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0BB13D" w14:textId="087039F0" w:rsidR="00E973EC" w:rsidRPr="00861C48" w:rsidRDefault="00E973EC" w:rsidP="00861C48">
      <w:pPr>
        <w:spacing w:after="240" w:line="360" w:lineRule="auto"/>
        <w:ind w:left="11" w:right="57" w:hanging="11"/>
        <w:jc w:val="center"/>
      </w:pPr>
      <w:r w:rsidRPr="00861C48">
        <w:t>UZASADNIENIE</w:t>
      </w:r>
    </w:p>
    <w:p w14:paraId="7B9B424E" w14:textId="3B841DC9" w:rsidR="00E973EC" w:rsidRPr="00861C48" w:rsidRDefault="00E973EC" w:rsidP="00861C48">
      <w:pPr>
        <w:spacing w:line="360" w:lineRule="auto"/>
        <w:ind w:left="-15" w:right="0"/>
      </w:pPr>
      <w:r w:rsidRPr="00861C48">
        <w:t>Celem projektowanych zmian w ustawie z dnia 27 sierpnia 2004 r. o świadczeniach opieki zdrowotnej finansowanych ze środków publicznych (Dz. U. z 201</w:t>
      </w:r>
      <w:r w:rsidR="00A14E53" w:rsidRPr="00861C48">
        <w:t>9</w:t>
      </w:r>
      <w:r w:rsidRPr="00861C48">
        <w:t xml:space="preserve"> r. poz. </w:t>
      </w:r>
      <w:r w:rsidR="00A14E53" w:rsidRPr="00861C48">
        <w:t>1373</w:t>
      </w:r>
      <w:r w:rsidRPr="00861C48">
        <w:t>, z późn. zm.), zwanej dalej „ustawą o świadczeniach”, ustawie z dnia 15 kwietnia 2011 r. o</w:t>
      </w:r>
      <w:r w:rsidR="003B6E81" w:rsidRPr="00861C48">
        <w:t xml:space="preserve"> </w:t>
      </w:r>
      <w:r w:rsidRPr="00861C48">
        <w:t>działalności leczniczej (Dz. U. z 20</w:t>
      </w:r>
      <w:r w:rsidR="00EF52EC" w:rsidRPr="00861C48">
        <w:t>20</w:t>
      </w:r>
      <w:r w:rsidRPr="00861C48">
        <w:t xml:space="preserve"> r. poz. </w:t>
      </w:r>
      <w:r w:rsidR="00EF52EC" w:rsidRPr="00861C48">
        <w:t>295</w:t>
      </w:r>
      <w:r w:rsidR="00D42E9A" w:rsidRPr="00861C48">
        <w:t xml:space="preserve"> i 567</w:t>
      </w:r>
      <w:r w:rsidRPr="00861C48">
        <w:t>)</w:t>
      </w:r>
      <w:r w:rsidR="00F932C0" w:rsidRPr="00861C48">
        <w:t xml:space="preserve"> oraz </w:t>
      </w:r>
      <w:r w:rsidR="00B717F4" w:rsidRPr="00861C48">
        <w:t xml:space="preserve">w </w:t>
      </w:r>
      <w:r w:rsidR="00B717F4" w:rsidRPr="00861C48">
        <w:rPr>
          <w:szCs w:val="24"/>
        </w:rPr>
        <w:t>ustawie z dnia 28 kwietnia 2011 r. o systemie informacji w ochronie zdrowia (Dz. U. z 20</w:t>
      </w:r>
      <w:r w:rsidR="00EF52EC" w:rsidRPr="00861C48">
        <w:rPr>
          <w:szCs w:val="24"/>
        </w:rPr>
        <w:t>20</w:t>
      </w:r>
      <w:r w:rsidR="00B717F4" w:rsidRPr="00861C48">
        <w:rPr>
          <w:szCs w:val="24"/>
        </w:rPr>
        <w:t xml:space="preserve"> r. poz. </w:t>
      </w:r>
      <w:r w:rsidR="00EF52EC" w:rsidRPr="00861C48">
        <w:rPr>
          <w:szCs w:val="24"/>
        </w:rPr>
        <w:t>702</w:t>
      </w:r>
      <w:r w:rsidR="00B717F4" w:rsidRPr="00861C48">
        <w:rPr>
          <w:szCs w:val="24"/>
        </w:rPr>
        <w:t>)</w:t>
      </w:r>
      <w:r w:rsidR="00F932C0" w:rsidRPr="00861C48">
        <w:rPr>
          <w:szCs w:val="24"/>
        </w:rPr>
        <w:t xml:space="preserve"> </w:t>
      </w:r>
      <w:r w:rsidRPr="00861C48">
        <w:t>jest eliminacja zjawiska nadpodaży usług medycznych, a także dostosowanie inwestycji w sektorze zdrowia do rzeczywistych potrzeb społeczeństwa oraz umożliwienie świadczeniodawcy perspektywicznego rozwoju zgodnego z lokalnymi potrzebami zdrowotnymi.</w:t>
      </w:r>
      <w:r w:rsidR="000212AD" w:rsidRPr="00861C48">
        <w:t xml:space="preserve"> </w:t>
      </w:r>
      <w:r w:rsidR="00802C34">
        <w:t>Konsekwencją zmian w ustawie o </w:t>
      </w:r>
      <w:r w:rsidR="00F932C0" w:rsidRPr="00861C48">
        <w:t xml:space="preserve">świadczeniach są zmiany w </w:t>
      </w:r>
      <w:r w:rsidR="00F932C0" w:rsidRPr="00861C48">
        <w:rPr>
          <w:szCs w:val="24"/>
        </w:rPr>
        <w:t>ustawie z dnia 18 października 2006 r. o ujawnianiu informacji o dokumentach organów bezpieczeństwa państwa z lat 1944–1990 oraz treści tych dokumentów (Dz. U. z 2020 r. poz. 306,</w:t>
      </w:r>
      <w:r w:rsidR="00B569EB" w:rsidRPr="00861C48">
        <w:rPr>
          <w:szCs w:val="24"/>
        </w:rPr>
        <w:t xml:space="preserve"> </w:t>
      </w:r>
      <w:r w:rsidR="00FF02C2" w:rsidRPr="00861C48">
        <w:rPr>
          <w:szCs w:val="24"/>
        </w:rPr>
        <w:t>z późn. zm.</w:t>
      </w:r>
      <w:r w:rsidR="00F932C0" w:rsidRPr="00861C48">
        <w:rPr>
          <w:szCs w:val="24"/>
        </w:rPr>
        <w:t>).</w:t>
      </w:r>
    </w:p>
    <w:p w14:paraId="063974B6" w14:textId="00496CC1" w:rsidR="00E973EC" w:rsidRPr="00861C48" w:rsidRDefault="00E973EC" w:rsidP="00861C48">
      <w:pPr>
        <w:spacing w:line="360" w:lineRule="auto"/>
        <w:ind w:left="-15" w:right="0"/>
      </w:pPr>
      <w:r w:rsidRPr="00861C48">
        <w:t>W celu optymalnego wykorzystywania środków publicznych projektodawca proponuje zmiany w ww. aktach prawnych przez</w:t>
      </w:r>
      <w:r w:rsidR="00FD5C8E" w:rsidRPr="00861C48">
        <w:t xml:space="preserve"> u</w:t>
      </w:r>
      <w:r w:rsidRPr="00861C48">
        <w:t xml:space="preserve">zależnienie </w:t>
      </w:r>
      <w:r w:rsidR="00FD5C8E" w:rsidRPr="00861C48">
        <w:t xml:space="preserve">zawierania umów z </w:t>
      </w:r>
      <w:r w:rsidRPr="00861C48">
        <w:t>Narodow</w:t>
      </w:r>
      <w:r w:rsidR="00FD5C8E" w:rsidRPr="00861C48">
        <w:t>ym</w:t>
      </w:r>
      <w:r w:rsidRPr="00861C48">
        <w:t xml:space="preserve"> Fundusz</w:t>
      </w:r>
      <w:r w:rsidR="00FD5C8E" w:rsidRPr="00861C48">
        <w:t>em</w:t>
      </w:r>
      <w:r w:rsidRPr="00861C48">
        <w:t xml:space="preserve"> Zdrowia, zwan</w:t>
      </w:r>
      <w:r w:rsidR="00FD5C8E" w:rsidRPr="00861C48">
        <w:t>ym</w:t>
      </w:r>
      <w:r w:rsidRPr="00861C48">
        <w:t xml:space="preserve"> dalej „NFZ”, od posiadania pozytywnej opinii o celowości inwestycji, zwanej dalej „OCI”, oraz wsparcie ze środków publicznych wyłącznie tych przedsięwzięć inwestycyjnych, które są</w:t>
      </w:r>
      <w:r w:rsidR="00DF3E85">
        <w:t xml:space="preserve"> </w:t>
      </w:r>
      <w:r w:rsidRPr="00861C48">
        <w:t>faktycznie celowe, a</w:t>
      </w:r>
      <w:r w:rsidR="00802C34">
        <w:t xml:space="preserve"> więc odpowiadają istniejącym i </w:t>
      </w:r>
      <w:r w:rsidRPr="00861C48">
        <w:t>prognozowanym potrzebom zdrowotnym na danym obszarze. Zamierzeniem projektodawcy jest objęcie szerokiego spektrum podmiotów leczniczych, które świadczą lub zamierzają świadczyć usługi medyczne ze środków budżetu państwa, do uzyskania OCI w systemie Instrumentu Oceny Wniosków Inwestycyjnych w Sektorze Zdrowia, zwanego dalej „IOWISZ”, na realizację zadań inwestycyjnych.</w:t>
      </w:r>
    </w:p>
    <w:p w14:paraId="40F4C6AD" w14:textId="1FB93678" w:rsidR="00E973EC" w:rsidRPr="00861C48" w:rsidRDefault="00E973EC" w:rsidP="00861C48">
      <w:pPr>
        <w:spacing w:line="360" w:lineRule="auto"/>
        <w:ind w:left="-15" w:right="0"/>
      </w:pPr>
      <w:r w:rsidRPr="00861C48">
        <w:t xml:space="preserve">W świetle </w:t>
      </w:r>
      <w:r w:rsidR="00B249A7" w:rsidRPr="00861C48">
        <w:t xml:space="preserve">proponowanych </w:t>
      </w:r>
      <w:r w:rsidRPr="00861C48">
        <w:t>uregulowań</w:t>
      </w:r>
      <w:r w:rsidR="008F2975" w:rsidRPr="00861C48">
        <w:t xml:space="preserve">, w przypadku braku pozytywnej </w:t>
      </w:r>
      <w:r w:rsidR="00B569EB" w:rsidRPr="00861C48">
        <w:t>OCI</w:t>
      </w:r>
      <w:r w:rsidR="008F2975" w:rsidRPr="00861C48">
        <w:t>,</w:t>
      </w:r>
      <w:r w:rsidRPr="00861C48">
        <w:t xml:space="preserve"> nie będzie możliwe zawarcie umowy </w:t>
      </w:r>
      <w:r w:rsidR="004407FB" w:rsidRPr="00861C48">
        <w:t xml:space="preserve">o udzielanie świadczeń opieki zdrowotnej </w:t>
      </w:r>
      <w:r w:rsidRPr="00861C48">
        <w:t>w trybie</w:t>
      </w:r>
      <w:r w:rsidR="004119BF" w:rsidRPr="00861C48">
        <w:t xml:space="preserve"> konkursu ofert lub rokowań</w:t>
      </w:r>
      <w:r w:rsidRPr="00861C48">
        <w:t>, obejmującej udzielanie świadczeń przy użyciu infrastruktury podlegającej wymogowi uzyskiwania OCI – przed upływem 5 lat od zakończenia inwestycji. Dotyczy to</w:t>
      </w:r>
      <w:r w:rsidR="00DB3A29" w:rsidRPr="00861C48">
        <w:t> </w:t>
      </w:r>
      <w:r w:rsidRPr="00861C48">
        <w:t>wszystkich rodzajów świadczeń, kontraktowanych w trybie konkursowym. Wprowadzenie zaproponowanych zmian spowoduje, ż</w:t>
      </w:r>
      <w:r w:rsidR="00CC60C0">
        <w:t>e</w:t>
      </w:r>
      <w:r w:rsidRPr="00861C48">
        <w:t xml:space="preserve"> każdy nowo</w:t>
      </w:r>
      <w:r w:rsidR="00DF3E85">
        <w:t xml:space="preserve"> </w:t>
      </w:r>
      <w:r w:rsidRPr="00861C48">
        <w:t xml:space="preserve">utworzony podmiot leczniczy lub nowa jednostka lub komórka organizacyjna zakładu leczniczego podmiotu wykonującego działalność leczniczą, lub inna inwestycja, o której mowa w art. 95d </w:t>
      </w:r>
      <w:r w:rsidR="00B249A7" w:rsidRPr="00861C48">
        <w:t xml:space="preserve">ust. 1 pkt 2 </w:t>
      </w:r>
      <w:r w:rsidRPr="00861C48">
        <w:t>ustawy o świadczeniach, biorący udział w postępowaniu w sprawie zawarcia um</w:t>
      </w:r>
      <w:r w:rsidR="00700547" w:rsidRPr="00861C48">
        <w:t>ów</w:t>
      </w:r>
      <w:r w:rsidRPr="00861C48">
        <w:t xml:space="preserve"> o udzielanie świadczeń</w:t>
      </w:r>
      <w:r w:rsidR="00700547" w:rsidRPr="00861C48">
        <w:t xml:space="preserve"> opieki zdrowotnej</w:t>
      </w:r>
      <w:r w:rsidRPr="00861C48">
        <w:t xml:space="preserve">, będzie zobligowany do przedłożenia OCI w ramach </w:t>
      </w:r>
      <w:r w:rsidR="00700547" w:rsidRPr="00861C48">
        <w:t xml:space="preserve">tego </w:t>
      </w:r>
      <w:r w:rsidRPr="00861C48">
        <w:t>postępowania</w:t>
      </w:r>
      <w:r w:rsidR="00700547" w:rsidRPr="00861C48">
        <w:t>.</w:t>
      </w:r>
      <w:r w:rsidR="00A831C0" w:rsidRPr="00861C48">
        <w:t xml:space="preserve"> </w:t>
      </w:r>
      <w:r w:rsidRPr="00861C48">
        <w:t xml:space="preserve">Podmioty, </w:t>
      </w:r>
      <w:r w:rsidRPr="00861C48">
        <w:lastRenderedPageBreak/>
        <w:t>które nie będą spełniać tego wymogu, zostaną wy</w:t>
      </w:r>
      <w:r w:rsidR="00802C34">
        <w:t>kluczone z możliwości udziału w </w:t>
      </w:r>
      <w:r w:rsidRPr="00861C48">
        <w:t xml:space="preserve">postępowaniu </w:t>
      </w:r>
      <w:r w:rsidR="00700547" w:rsidRPr="00861C48">
        <w:t>w sprawie zawarcia umów o udzielanie świadczeń opieki zdrowotnej</w:t>
      </w:r>
      <w:r w:rsidR="00EF52EC" w:rsidRPr="00861C48">
        <w:t xml:space="preserve"> – </w:t>
      </w:r>
      <w:r w:rsidRPr="00861C48">
        <w:t xml:space="preserve">ich oferta będzie podlegać odrzuceniu (zmiana w art. 149 </w:t>
      </w:r>
      <w:r w:rsidR="00F932C0" w:rsidRPr="00861C48">
        <w:t xml:space="preserve">ust. 1 </w:t>
      </w:r>
      <w:r w:rsidRPr="00861C48">
        <w:t>ustawy o świadczeniach</w:t>
      </w:r>
      <w:r w:rsidR="00EF52EC" w:rsidRPr="00861C48">
        <w:t xml:space="preserve"> przez dodanie pkt 9</w:t>
      </w:r>
      <w:r w:rsidRPr="00861C48">
        <w:t xml:space="preserve">). Powyższy cel zostanie zrealizowany przez </w:t>
      </w:r>
      <w:r w:rsidR="00254EE0" w:rsidRPr="00861C48">
        <w:t>zmianę art.</w:t>
      </w:r>
      <w:r w:rsidR="00DF3E85">
        <w:t> </w:t>
      </w:r>
      <w:r w:rsidR="00254EE0" w:rsidRPr="00861C48">
        <w:t>95d ust. 1</w:t>
      </w:r>
      <w:r w:rsidRPr="00861C48">
        <w:t xml:space="preserve"> ustaw</w:t>
      </w:r>
      <w:r w:rsidR="00254EE0" w:rsidRPr="00861C48">
        <w:t>y</w:t>
      </w:r>
      <w:r w:rsidRPr="00861C48">
        <w:t xml:space="preserve"> o</w:t>
      </w:r>
      <w:r w:rsidR="00802C34">
        <w:t> </w:t>
      </w:r>
      <w:r w:rsidRPr="00861C48">
        <w:t>świadczeniach</w:t>
      </w:r>
      <w:r w:rsidR="00EF52EC" w:rsidRPr="00861C48">
        <w:t xml:space="preserve">, zgodnie z którym </w:t>
      </w:r>
      <w:r w:rsidR="00D47247" w:rsidRPr="00861C48">
        <w:t>do inwestycji, której wa</w:t>
      </w:r>
      <w:r w:rsidR="00802C34">
        <w:t>rtość kosztorysowa przekracza 2 </w:t>
      </w:r>
      <w:r w:rsidR="00D47247" w:rsidRPr="00861C48">
        <w:t>mln zł, jest wydawana opinia o celowości tej inwestycji</w:t>
      </w:r>
      <w:r w:rsidRPr="00861C48">
        <w:t>. Ponadto uzyskanie pozytywnej OCI ma być również warunkiem zwiększenia finansowania świadczeń opieki zdrowotnej w ramach już obowiązujących umów zarówno tych zawartych w trybie konkursów ofert lub rokowań, jak i zawartych z podmiotami działającymi w ramach systemu podstawowego szpitalnego zabezpieczenia świadczeń opieki zdrowotnej, na podstawie art. 159a ustawy o świadczeniach – w odniesieniu do świadczeń realizowanych z wykorzystaniem inwestycji objętej IOWISZ. Temu celowi będzie służyć dodawany przepis art. 136 ust. 2 pkt 3 ustawy o świadczeniach</w:t>
      </w:r>
      <w:r w:rsidR="00601B08" w:rsidRPr="00861C48">
        <w:t>.</w:t>
      </w:r>
      <w:r w:rsidR="00763A97" w:rsidRPr="00861C48">
        <w:t xml:space="preserve"> Projektowane regulacje w zakresie zmiany brzmienia art.</w:t>
      </w:r>
      <w:r w:rsidR="006947FD" w:rsidRPr="00861C48">
        <w:t xml:space="preserve"> </w:t>
      </w:r>
      <w:r w:rsidR="00763A97" w:rsidRPr="00861C48">
        <w:t xml:space="preserve">148 </w:t>
      </w:r>
      <w:r w:rsidR="006947FD" w:rsidRPr="00861C48">
        <w:t xml:space="preserve">ustawy o świadczeniach </w:t>
      </w:r>
      <w:r w:rsidR="00763A97" w:rsidRPr="00861C48">
        <w:t xml:space="preserve">wynikają z istniejącego powielenia </w:t>
      </w:r>
      <w:r w:rsidR="006947FD" w:rsidRPr="00861C48">
        <w:t>przepisów</w:t>
      </w:r>
      <w:r w:rsidR="00763A97" w:rsidRPr="00861C48">
        <w:t xml:space="preserve"> dotyczących ważności opinii o celowości inwestycji</w:t>
      </w:r>
      <w:r w:rsidR="00BE56D7" w:rsidRPr="00861C48">
        <w:t>.</w:t>
      </w:r>
      <w:r w:rsidR="00763A97" w:rsidRPr="00861C48">
        <w:t xml:space="preserve"> </w:t>
      </w:r>
      <w:r w:rsidR="00BE56D7" w:rsidRPr="00861C48">
        <w:t>W</w:t>
      </w:r>
      <w:r w:rsidR="00B04DA3" w:rsidRPr="00861C48">
        <w:t>arunkiem formalnym podczas porównywa</w:t>
      </w:r>
      <w:r w:rsidR="00802C34">
        <w:t>nia ofert w toku postępowania w </w:t>
      </w:r>
      <w:r w:rsidR="00B04DA3" w:rsidRPr="00861C48">
        <w:t xml:space="preserve">sprawie zawarcia umowy o udzielanie świadczeń opieki zdrowotnej jest posiadanie </w:t>
      </w:r>
      <w:r w:rsidR="00763A97" w:rsidRPr="00861C48">
        <w:t>ważn</w:t>
      </w:r>
      <w:r w:rsidR="00B04DA3" w:rsidRPr="00861C48">
        <w:t>ej</w:t>
      </w:r>
      <w:r w:rsidR="00763A97" w:rsidRPr="00861C48">
        <w:t xml:space="preserve"> OCI.</w:t>
      </w:r>
    </w:p>
    <w:p w14:paraId="2DB4CBB3" w14:textId="26C93DDA" w:rsidR="004407FB" w:rsidRPr="00861C48" w:rsidRDefault="00014616" w:rsidP="00861C48">
      <w:pPr>
        <w:spacing w:line="360" w:lineRule="auto"/>
        <w:ind w:left="-15" w:right="0"/>
      </w:pPr>
      <w:r w:rsidRPr="00861C48">
        <w:t xml:space="preserve">Należy </w:t>
      </w:r>
      <w:r w:rsidR="00F204F3" w:rsidRPr="00861C48">
        <w:t>podkreślić</w:t>
      </w:r>
      <w:r w:rsidRPr="00861C48">
        <w:t xml:space="preserve">, że w projekcie ustawy wprowadzono okres obowiązywania </w:t>
      </w:r>
      <w:r w:rsidR="00EC3C1A" w:rsidRPr="00861C48">
        <w:t xml:space="preserve">pozytywnej </w:t>
      </w:r>
      <w:r w:rsidR="00254EE0" w:rsidRPr="00861C48">
        <w:t>OCI</w:t>
      </w:r>
      <w:r w:rsidRPr="00861C48">
        <w:t xml:space="preserve"> i wynosi on </w:t>
      </w:r>
      <w:r w:rsidR="00CD52F2" w:rsidRPr="00861C48">
        <w:t>3</w:t>
      </w:r>
      <w:r w:rsidRPr="00861C48">
        <w:t xml:space="preserve"> lat</w:t>
      </w:r>
      <w:r w:rsidR="00CD52F2" w:rsidRPr="00861C48">
        <w:t>a</w:t>
      </w:r>
      <w:r w:rsidRPr="00861C48">
        <w:t xml:space="preserve"> od </w:t>
      </w:r>
      <w:r w:rsidR="000B6A2D" w:rsidRPr="00861C48">
        <w:t xml:space="preserve">dnia </w:t>
      </w:r>
      <w:r w:rsidR="00EC3C1A" w:rsidRPr="00861C48">
        <w:t>jej wydania</w:t>
      </w:r>
      <w:r w:rsidR="000B6A2D" w:rsidRPr="00861C48">
        <w:t xml:space="preserve">. </w:t>
      </w:r>
      <w:r w:rsidR="00A823FE" w:rsidRPr="00861C48">
        <w:t>Natomiast okres ważności opinii wydanych przed wejściem w życie niniejszej ustawy jest</w:t>
      </w:r>
      <w:r w:rsidR="002A7191" w:rsidRPr="00861C48">
        <w:t>, jak dotychczas</w:t>
      </w:r>
      <w:r w:rsidR="00CC60C0">
        <w:t>, bezterminowy</w:t>
      </w:r>
      <w:r w:rsidR="00A823FE" w:rsidRPr="00861C48">
        <w:t xml:space="preserve">. </w:t>
      </w:r>
      <w:r w:rsidR="004407FB" w:rsidRPr="00861C48">
        <w:t>Warto dodać, że zmiany w</w:t>
      </w:r>
      <w:r w:rsidR="00EC3C1A" w:rsidRPr="00861C48">
        <w:t xml:space="preserve"> </w:t>
      </w:r>
      <w:r w:rsidR="004407FB" w:rsidRPr="00861C48">
        <w:t>ustawie</w:t>
      </w:r>
      <w:r w:rsidR="00821D9A" w:rsidRPr="00861C48">
        <w:t xml:space="preserve"> o świadczeniach</w:t>
      </w:r>
      <w:r w:rsidR="004407FB" w:rsidRPr="00861C48">
        <w:t xml:space="preserve"> nie wpływają na obowiązujące umowy</w:t>
      </w:r>
      <w:r w:rsidR="00FD5C8E" w:rsidRPr="00861C48">
        <w:t xml:space="preserve"> zawarte </w:t>
      </w:r>
      <w:r w:rsidR="00CC60C0">
        <w:t>z</w:t>
      </w:r>
      <w:r w:rsidR="00802C34">
        <w:t> </w:t>
      </w:r>
      <w:r w:rsidR="00FD5C8E" w:rsidRPr="00861C48">
        <w:t>NFZ</w:t>
      </w:r>
      <w:r w:rsidR="004407FB" w:rsidRPr="00861C48">
        <w:t>, a jedynie dotyczą przypadków, w ramach których</w:t>
      </w:r>
      <w:r w:rsidR="00802C34">
        <w:t xml:space="preserve"> podmiot leczniczy ubiega się o </w:t>
      </w:r>
      <w:r w:rsidR="004407FB" w:rsidRPr="00861C48">
        <w:t>zwiększenie finansowania w ramach już zawartej umowy. Celem powyższego rozwiązania jest weryfikacja istnienia potrzeby zwiększenia finasowania</w:t>
      </w:r>
      <w:r w:rsidR="00FD5C8E" w:rsidRPr="00861C48">
        <w:t xml:space="preserve"> </w:t>
      </w:r>
      <w:r w:rsidR="004407FB" w:rsidRPr="00861C48">
        <w:t xml:space="preserve">ze środków </w:t>
      </w:r>
      <w:r w:rsidR="00FD5C8E" w:rsidRPr="00861C48">
        <w:t xml:space="preserve">NFZ </w:t>
      </w:r>
      <w:r w:rsidR="004407FB" w:rsidRPr="00861C48">
        <w:t>danego zakresu świadczeń</w:t>
      </w:r>
      <w:r w:rsidR="00FD5C8E" w:rsidRPr="00861C48">
        <w:t xml:space="preserve"> opieki zdrowotnej </w:t>
      </w:r>
      <w:r w:rsidR="004407FB" w:rsidRPr="00861C48">
        <w:t>i zgodności z priorytetami polityki zdrowotnej.</w:t>
      </w:r>
    </w:p>
    <w:p w14:paraId="0976B344" w14:textId="2AEF31CD" w:rsidR="00E973EC" w:rsidRPr="00861C48" w:rsidRDefault="00E973EC" w:rsidP="00861C48">
      <w:pPr>
        <w:spacing w:line="360" w:lineRule="auto"/>
        <w:ind w:left="-15" w:right="0"/>
      </w:pPr>
      <w:r w:rsidRPr="00861C48">
        <w:t>W praktyce powyższe rozwiązanie pozwoli uniknąć chaotycznego i krótkowzrocznego rozwoju rynku usług medycznych. OCI ma stanowić potwierdzenie zasadności realizacji inwestycji i skuteczne narzędzie do podejmowania decyzji dotyczących ich finansowania</w:t>
      </w:r>
      <w:r w:rsidR="00D47247" w:rsidRPr="00861C48">
        <w:t xml:space="preserve">, </w:t>
      </w:r>
      <w:r w:rsidRPr="00861C48">
        <w:t>a</w:t>
      </w:r>
      <w:r w:rsidR="00DB3A29" w:rsidRPr="00861C48">
        <w:t> </w:t>
      </w:r>
      <w:r w:rsidRPr="00861C48">
        <w:t xml:space="preserve">także zwiększy efektywność inwestowania środków własnych przez uzyskanie zewnętrznej oceny celowości prowadzonych działań, pozwalając generować konkurencję pomiędzy podmiotami leczniczymi na poziomie np. jakości i kompleksowości udzielanych świadczeń. </w:t>
      </w:r>
    </w:p>
    <w:p w14:paraId="29C7F811" w14:textId="4F01B370" w:rsidR="00E973EC" w:rsidRPr="00861C48" w:rsidRDefault="00E973EC" w:rsidP="00861C48">
      <w:pPr>
        <w:spacing w:line="360" w:lineRule="auto"/>
        <w:ind w:left="-15" w:right="0"/>
      </w:pPr>
      <w:r w:rsidRPr="00861C48">
        <w:lastRenderedPageBreak/>
        <w:t xml:space="preserve">Określenie kwotowego limitu, dla którego </w:t>
      </w:r>
      <w:r w:rsidR="00821D9A" w:rsidRPr="00861C48">
        <w:t>będzie</w:t>
      </w:r>
      <w:r w:rsidRPr="00861C48">
        <w:t xml:space="preserve"> </w:t>
      </w:r>
      <w:r w:rsidR="007059B3">
        <w:t xml:space="preserve">istniał </w:t>
      </w:r>
      <w:r w:rsidRPr="00861C48">
        <w:t>obowiązek sporządzania OCI</w:t>
      </w:r>
      <w:r w:rsidR="00821D9A" w:rsidRPr="00861C48">
        <w:t>,</w:t>
      </w:r>
      <w:r w:rsidRPr="00861C48">
        <w:t xml:space="preserve"> jest </w:t>
      </w:r>
      <w:r w:rsidR="00821D9A" w:rsidRPr="00861C48">
        <w:t xml:space="preserve">przewidywane </w:t>
      </w:r>
      <w:r w:rsidRPr="00861C48">
        <w:t xml:space="preserve">dla inwestycji o wartości kosztorysowej przekraczającej 2 mln zł. </w:t>
      </w:r>
      <w:r w:rsidR="00FF02C2" w:rsidRPr="00861C48">
        <w:t xml:space="preserve">Celem </w:t>
      </w:r>
      <w:r w:rsidRPr="00861C48">
        <w:t>wprowadzeni</w:t>
      </w:r>
      <w:r w:rsidR="00FF02C2" w:rsidRPr="00861C48">
        <w:t>a</w:t>
      </w:r>
      <w:r w:rsidRPr="00861C48">
        <w:t xml:space="preserve"> limitu w tej wysokości jest spodziewana eliminacja wniosków o niskiej wartości inwestycyjnej, które dotyczą inwestycji nieistotnych z punktu widzenia zapewnienia świadczeń w ramach ubezpieczenia zdrowotnego. </w:t>
      </w:r>
    </w:p>
    <w:p w14:paraId="77847F23" w14:textId="60934338" w:rsidR="00E973EC" w:rsidRPr="00861C48" w:rsidRDefault="00E973EC" w:rsidP="00861C48">
      <w:pPr>
        <w:spacing w:line="360" w:lineRule="auto"/>
        <w:ind w:left="-15" w:right="0"/>
      </w:pPr>
      <w:r w:rsidRPr="00861C48">
        <w:t>Na podstawie analizy dokonanej w okresie obowiązywania przepisów dot</w:t>
      </w:r>
      <w:r w:rsidR="00A14E53" w:rsidRPr="00861C48">
        <w:t>yczących</w:t>
      </w:r>
      <w:r w:rsidRPr="00861C48">
        <w:t xml:space="preserve"> IOWISZ, tj.</w:t>
      </w:r>
      <w:r w:rsidR="00DB3A29" w:rsidRPr="00861C48">
        <w:t> </w:t>
      </w:r>
      <w:r w:rsidR="00383BEB" w:rsidRPr="00861C48">
        <w:t xml:space="preserve">w latach </w:t>
      </w:r>
      <w:r w:rsidRPr="00861C48">
        <w:t>2016–2018</w:t>
      </w:r>
      <w:r w:rsidR="00E720D2" w:rsidRPr="00861C48">
        <w:t>,</w:t>
      </w:r>
      <w:r w:rsidRPr="00861C48">
        <w:t xml:space="preserve"> w skali całego kraju wydano ponad 1600 opinii, z czego negatywne opinie stanowiły ok. 10%. W ramach przeprowadzonej analizy zbioru danych pobranych z</w:t>
      </w:r>
      <w:r w:rsidR="006936C3">
        <w:t xml:space="preserve"> </w:t>
      </w:r>
      <w:r w:rsidRPr="00861C48">
        <w:t>systemu IOWISZ dla złożonych wniosków na terenie całego kraju stwierdzono, że skala inwestycji do 2 mln zł według statystyki podlegająca ocenie stanowi 27% wszystkich wniosków i dotyczy w szczególności drobnego zakupu sprzętu medycznego, nieodzwierciedlonego w mapach potrzeb zdrowotnych. Wymiar takich inwestycji, brak odniesienia w mapach oraz rodzaj zakupu charakteryzujący się przeważnie wymian</w:t>
      </w:r>
      <w:r w:rsidR="00462398" w:rsidRPr="00861C48">
        <w:t>ą</w:t>
      </w:r>
      <w:r w:rsidRPr="00861C48">
        <w:t xml:space="preserve"> zużytego, często mocno wyeksploatowanego sprzętu, dla którego brak jest na rynku części zamiennych</w:t>
      </w:r>
      <w:r w:rsidR="006936C3">
        <w:t>,</w:t>
      </w:r>
      <w:r w:rsidRPr="00861C48">
        <w:t xml:space="preserve"> z uwagi na zbyt stary sprzęt, a także wysokie koszty napraw, które są zbyt kosztochłonne dla podmiotów</w:t>
      </w:r>
      <w:r w:rsidR="00E720D2" w:rsidRPr="00861C48">
        <w:t>,</w:t>
      </w:r>
      <w:r w:rsidRPr="00861C48">
        <w:t xml:space="preserve"> i jednocześnie jego niezbędność posiadania w celu zapewnienia ciągłości udzielanych świadczeń, formułuje konkluzję określenia dolnego limitu wartości dla inwestycji, dla których nie jest wymagane posiadanie OCI. Na podstawie przeprowadzonej obserwacji wskazano, </w:t>
      </w:r>
      <w:r w:rsidR="00E720D2" w:rsidRPr="00861C48">
        <w:t>a</w:t>
      </w:r>
      <w:r w:rsidRPr="00861C48">
        <w:t>by kwotowy limit wartości inwestycji do 2 mln zł nie podlegał ocenie o</w:t>
      </w:r>
      <w:r w:rsidR="006936C3">
        <w:t xml:space="preserve"> </w:t>
      </w:r>
      <w:r w:rsidRPr="00861C48">
        <w:t>celowości inwestycji. Proponowane rozwiązanie ma zapewnić optymalny wybór inwestycji podlegających OCI.</w:t>
      </w:r>
    </w:p>
    <w:p w14:paraId="130A272B" w14:textId="637C7C21" w:rsidR="00510607" w:rsidRPr="00861C48" w:rsidRDefault="00E973EC" w:rsidP="00861C48">
      <w:pPr>
        <w:spacing w:line="360" w:lineRule="auto"/>
      </w:pPr>
      <w:r w:rsidRPr="00861C48">
        <w:t>Projektowane zmiany mają na celu wzmocnienie merytorycznej oceny wniosków dla</w:t>
      </w:r>
      <w:r w:rsidR="00DB3A29" w:rsidRPr="00861C48">
        <w:t> </w:t>
      </w:r>
      <w:r w:rsidRPr="00861C48">
        <w:t>inwestycji strategicznych o wartości kosztorysowej in</w:t>
      </w:r>
      <w:r w:rsidR="00802C34">
        <w:t>westycji przekraczającej 50 mln </w:t>
      </w:r>
      <w:r w:rsidRPr="00861C48">
        <w:t>zł, przez utworzenie Komisji Oceny Wniosków Inwestycyjnych</w:t>
      </w:r>
      <w:r w:rsidR="00A14E53" w:rsidRPr="00861C48">
        <w:t>, zwan</w:t>
      </w:r>
      <w:r w:rsidR="002B055B" w:rsidRPr="00861C48">
        <w:t>ej</w:t>
      </w:r>
      <w:r w:rsidR="00A14E53" w:rsidRPr="00861C48">
        <w:t xml:space="preserve"> dalej „Komisją”</w:t>
      </w:r>
      <w:r w:rsidRPr="00861C48">
        <w:t>, jako organu opiniodawczo</w:t>
      </w:r>
      <w:r w:rsidR="00462398" w:rsidRPr="00861C48">
        <w:t>-</w:t>
      </w:r>
      <w:r w:rsidRPr="00861C48">
        <w:t>doradczego</w:t>
      </w:r>
      <w:r w:rsidR="002B055B" w:rsidRPr="00861C48">
        <w:t xml:space="preserve"> ministra właściwego do spraw zdrowia</w:t>
      </w:r>
      <w:r w:rsidRPr="00861C48">
        <w:t>. W skład Komisji będą wchodzić osoby wskazane przez Szefa Kancelarii Prezesa Rady Ministrów, ministra właściwego do spraw finansów publicznych, ministra właściwego do spraw rozwoju regionalnego, ministra właściwego do spraw zdrowia</w:t>
      </w:r>
      <w:r w:rsidR="00F932C0" w:rsidRPr="00861C48">
        <w:t xml:space="preserve"> </w:t>
      </w:r>
      <w:r w:rsidRPr="00861C48">
        <w:t>oraz Prezesa</w:t>
      </w:r>
      <w:r w:rsidR="002317C6" w:rsidRPr="00861C48">
        <w:t xml:space="preserve"> NFZ</w:t>
      </w:r>
      <w:r w:rsidR="00067F72" w:rsidRPr="00861C48">
        <w:t xml:space="preserve"> – to w ich gestii leży</w:t>
      </w:r>
      <w:r w:rsidR="00EB38E4" w:rsidRPr="00861C48">
        <w:t xml:space="preserve"> stosowny</w:t>
      </w:r>
      <w:r w:rsidR="00067F72" w:rsidRPr="00861C48">
        <w:t xml:space="preserve"> wybór kandydata na członka Komisji</w:t>
      </w:r>
      <w:r w:rsidRPr="00861C48">
        <w:t xml:space="preserve">. Zalecane jest, </w:t>
      </w:r>
      <w:r w:rsidR="00E720D2" w:rsidRPr="00861C48">
        <w:t>a</w:t>
      </w:r>
      <w:r w:rsidRPr="00861C48">
        <w:t>by członkami Komisji były osoby obejmujące wyższe stanowiska w służbie cywilnej, posiadające wyższe wykszta</w:t>
      </w:r>
      <w:r w:rsidR="003E3793" w:rsidRPr="00861C48">
        <w:t>ł</w:t>
      </w:r>
      <w:r w:rsidRPr="00861C48">
        <w:t xml:space="preserve">cenie, doświadczenie </w:t>
      </w:r>
      <w:r w:rsidR="00C51287" w:rsidRPr="00861C48">
        <w:t>w</w:t>
      </w:r>
      <w:r w:rsidRPr="00861C48">
        <w:t xml:space="preserve"> pracy w zakresie oceny wniosków oraz posiadające wiedzę w</w:t>
      </w:r>
      <w:r w:rsidR="00200FD4" w:rsidRPr="00861C48">
        <w:t> </w:t>
      </w:r>
      <w:r w:rsidRPr="00861C48">
        <w:t>zakresie specyfiki danego obszaru zagadnień.</w:t>
      </w:r>
      <w:r w:rsidR="00032FD1" w:rsidRPr="00861C48">
        <w:t xml:space="preserve"> Podmioty uprawnione do wskazywania kandydatów na </w:t>
      </w:r>
      <w:r w:rsidR="00032FD1" w:rsidRPr="00861C48">
        <w:lastRenderedPageBreak/>
        <w:t>członków Komisji mają pełną swobodę w wyznaczaniu tych kandydatów.</w:t>
      </w:r>
      <w:r w:rsidR="00CF1A91" w:rsidRPr="00861C48">
        <w:t xml:space="preserve"> </w:t>
      </w:r>
      <w:r w:rsidR="00032FD1" w:rsidRPr="00861C48">
        <w:t>Podmioty te powinny brać pod uwagę ww. zalecenia</w:t>
      </w:r>
      <w:r w:rsidR="00CF1A91" w:rsidRPr="00861C48">
        <w:t>,</w:t>
      </w:r>
      <w:r w:rsidRPr="00861C48">
        <w:t xml:space="preserve"> </w:t>
      </w:r>
      <w:r w:rsidR="00CF1A91" w:rsidRPr="00861C48">
        <w:t>j</w:t>
      </w:r>
      <w:r w:rsidR="00032FD1" w:rsidRPr="00861C48">
        <w:t>ednakże</w:t>
      </w:r>
      <w:r w:rsidR="00CF1A91" w:rsidRPr="00861C48">
        <w:t xml:space="preserve"> mają autonomię wyboru.</w:t>
      </w:r>
      <w:r w:rsidR="00032FD1" w:rsidRPr="00861C48">
        <w:t xml:space="preserve"> </w:t>
      </w:r>
      <w:r w:rsidR="00067F72" w:rsidRPr="00861C48">
        <w:t>Oczekiwane jest, ż</w:t>
      </w:r>
      <w:r w:rsidR="002B58B2">
        <w:t>e</w:t>
      </w:r>
      <w:r w:rsidR="00067F72" w:rsidRPr="00861C48">
        <w:t xml:space="preserve"> </w:t>
      </w:r>
      <w:r w:rsidR="005D0A1D" w:rsidRPr="00861C48">
        <w:t xml:space="preserve">dzięki posiadanym przez członków Komisji </w:t>
      </w:r>
      <w:r w:rsidR="00067F72" w:rsidRPr="00861C48">
        <w:t>doświadczeni</w:t>
      </w:r>
      <w:r w:rsidR="005D0A1D" w:rsidRPr="00861C48">
        <w:t>u</w:t>
      </w:r>
      <w:r w:rsidR="00067F72" w:rsidRPr="00861C48">
        <w:t xml:space="preserve"> i </w:t>
      </w:r>
      <w:r w:rsidR="00802C34">
        <w:t>wiedzy merytorycznej w </w:t>
      </w:r>
      <w:r w:rsidR="005D0A1D" w:rsidRPr="00861C48">
        <w:t xml:space="preserve">zakresie różnych obszarów społeczno-gospodarczych, dokonana przez nich ocena wniosków będzie kompleksowa i pogłębiona. </w:t>
      </w:r>
      <w:r w:rsidR="00510607" w:rsidRPr="00861C48">
        <w:t>Członkiem Komisji będzie mogła zostać osoba korzystająca z pełni praw publicznych, która nie była skazana prawomocnym wyrokiem za umyślne przestępstwo lub umyślne przestępstwo skarbowe, a także nie pełniła służby zawodowej, pracy ani współpracy z organami bezpieczeństwa państwa. Człon</w:t>
      </w:r>
      <w:r w:rsidR="00802C34">
        <w:t>kowie Komisji będą powoływani i </w:t>
      </w:r>
      <w:r w:rsidR="00510607" w:rsidRPr="00861C48">
        <w:t>odwoływani przez ministra właściwego do spraw zdrowia.</w:t>
      </w:r>
      <w:r w:rsidR="00882514" w:rsidRPr="00861C48">
        <w:t xml:space="preserve"> Odwołanie nastąpić może z urzędu</w:t>
      </w:r>
      <w:r w:rsidR="00861C48">
        <w:t xml:space="preserve"> </w:t>
      </w:r>
      <w:r w:rsidR="00861C48" w:rsidRPr="00861C48">
        <w:t>–</w:t>
      </w:r>
      <w:r w:rsidR="00F932C0" w:rsidRPr="00861C48">
        <w:t xml:space="preserve"> przez ministra właściwego do spraw zdrowia albo</w:t>
      </w:r>
      <w:r w:rsidR="00882514" w:rsidRPr="00861C48">
        <w:t xml:space="preserve"> na wniosek organu</w:t>
      </w:r>
      <w:r w:rsidR="00F932C0" w:rsidRPr="00861C48">
        <w:t xml:space="preserve"> lub podmiotu</w:t>
      </w:r>
      <w:r w:rsidR="00254EE0" w:rsidRPr="00861C48">
        <w:t>,</w:t>
      </w:r>
      <w:r w:rsidR="00882514" w:rsidRPr="00861C48">
        <w:t xml:space="preserve"> którego przedstawicielem jest członek Komisji.</w:t>
      </w:r>
    </w:p>
    <w:p w14:paraId="07A30D6E" w14:textId="060B3054" w:rsidR="00231AF5" w:rsidRPr="00861C48" w:rsidRDefault="00231AF5" w:rsidP="00861C48">
      <w:pPr>
        <w:spacing w:line="360" w:lineRule="auto"/>
      </w:pPr>
      <w:r w:rsidRPr="00861C48">
        <w:t>Podkreślenia wymaga fakt</w:t>
      </w:r>
      <w:r w:rsidR="00AC49DB" w:rsidRPr="00861C48">
        <w:t>, że</w:t>
      </w:r>
      <w:r w:rsidRPr="00861C48">
        <w:t xml:space="preserve"> w latach 2018</w:t>
      </w:r>
      <w:r w:rsidR="00F26905">
        <w:t xml:space="preserve"> i </w:t>
      </w:r>
      <w:r w:rsidRPr="00861C48">
        <w:t>2019 wnioskodawcy złożyli w systemie IOWISZ 25 wniosków o opinię celowości inwestycji o wartości przekraczającej 50 mln zł, co daje</w:t>
      </w:r>
      <w:r w:rsidR="00E720D2" w:rsidRPr="00861C48">
        <w:t xml:space="preserve"> średnio</w:t>
      </w:r>
      <w:r w:rsidRPr="00861C48">
        <w:t xml:space="preserve"> 12,5 wniosków rocznie. Powyższe przekłada się na spodziewane nieznaczne obciążenie pracą członków Komisji – przewidywana ś</w:t>
      </w:r>
      <w:r w:rsidR="00802C34">
        <w:t>rednia liczba spotkań Komisji w </w:t>
      </w:r>
      <w:r w:rsidRPr="00861C48">
        <w:t>miesiącu</w:t>
      </w:r>
      <w:r w:rsidR="002B055B" w:rsidRPr="00861C48">
        <w:t xml:space="preserve"> – </w:t>
      </w:r>
      <w:r w:rsidRPr="00861C48">
        <w:t>1.</w:t>
      </w:r>
      <w:r w:rsidR="009A72A3" w:rsidRPr="00861C48">
        <w:t xml:space="preserve"> </w:t>
      </w:r>
    </w:p>
    <w:p w14:paraId="7EA7FE8D" w14:textId="5E0743A6" w:rsidR="00C51287" w:rsidRPr="00861C48" w:rsidRDefault="00C51287" w:rsidP="00861C48">
      <w:pPr>
        <w:spacing w:line="360" w:lineRule="auto"/>
      </w:pPr>
      <w:r w:rsidRPr="00861C48">
        <w:t xml:space="preserve">W procesie oceny celowości inwestycji </w:t>
      </w:r>
      <w:r w:rsidR="00510607" w:rsidRPr="00861C48">
        <w:t xml:space="preserve">Komisja będzie mogła wystąpić </w:t>
      </w:r>
      <w:r w:rsidR="0084786C" w:rsidRPr="00861C48">
        <w:t>o</w:t>
      </w:r>
      <w:r w:rsidRPr="00861C48">
        <w:t xml:space="preserve">: </w:t>
      </w:r>
      <w:r w:rsidR="00510607" w:rsidRPr="00861C48">
        <w:t>opini</w:t>
      </w:r>
      <w:r w:rsidR="0084786C" w:rsidRPr="00861C48">
        <w:t xml:space="preserve">ę </w:t>
      </w:r>
      <w:r w:rsidRPr="00861C48">
        <w:t>przedstawiciela wojewody lub marszałka</w:t>
      </w:r>
      <w:r w:rsidR="002B055B" w:rsidRPr="00861C48">
        <w:t xml:space="preserve"> – w</w:t>
      </w:r>
      <w:r w:rsidRPr="00861C48">
        <w:t xml:space="preserve">łaściwych terytorialnie dla </w:t>
      </w:r>
      <w:r w:rsidR="00531366" w:rsidRPr="00861C48">
        <w:t xml:space="preserve">miejsca realizacji </w:t>
      </w:r>
      <w:r w:rsidRPr="00861C48">
        <w:t>danej inwestycji, ministra właściwego do spraw wewnętrznych</w:t>
      </w:r>
      <w:r w:rsidR="00243849" w:rsidRPr="00861C48">
        <w:t>, ministra właściwego do spraw nauki i szkolnictwa wyższego,</w:t>
      </w:r>
      <w:r w:rsidRPr="00861C48">
        <w:t xml:space="preserve"> Ministra Obrony Narodowej</w:t>
      </w:r>
      <w:r w:rsidR="00802C34">
        <w:t>, konsultantów krajowych z </w:t>
      </w:r>
      <w:r w:rsidR="00243849" w:rsidRPr="00861C48">
        <w:t>dziedzin medycyny i innych dziedzin mających zastosowanie w ochronie zdrowia, właściwych merytorycznie dla wniosku podlegającego opiniowaniu</w:t>
      </w:r>
      <w:r w:rsidRPr="00861C48">
        <w:t xml:space="preserve">. </w:t>
      </w:r>
      <w:r w:rsidR="006947FD" w:rsidRPr="00861C48">
        <w:t>Będzie to odbywać w ten sposób, że p</w:t>
      </w:r>
      <w:r w:rsidR="00763A97" w:rsidRPr="00861C48">
        <w:t xml:space="preserve">rzewodniczący Komisji za pomocą środków komunikacji elektronicznej </w:t>
      </w:r>
      <w:r w:rsidR="00B04235" w:rsidRPr="00861C48">
        <w:t xml:space="preserve">będzie </w:t>
      </w:r>
      <w:r w:rsidR="00763A97" w:rsidRPr="00861C48">
        <w:t>przekaz</w:t>
      </w:r>
      <w:r w:rsidR="00B04235" w:rsidRPr="00861C48">
        <w:t>ywać</w:t>
      </w:r>
      <w:r w:rsidR="00763A97" w:rsidRPr="00861C48">
        <w:t xml:space="preserve"> wniosek o wydanie oceny o celowości inwestycji </w:t>
      </w:r>
      <w:r w:rsidR="00B43874" w:rsidRPr="00861C48">
        <w:t>wraz z zapytaniem właściwym</w:t>
      </w:r>
      <w:r w:rsidR="005119F6" w:rsidRPr="00861C48">
        <w:t xml:space="preserve"> podmiotom</w:t>
      </w:r>
      <w:r w:rsidR="00B43874" w:rsidRPr="00861C48">
        <w:t>.</w:t>
      </w:r>
    </w:p>
    <w:p w14:paraId="1F3FADDD" w14:textId="2EDE1CD8" w:rsidR="00F22632" w:rsidRPr="00861C48" w:rsidRDefault="00F22632" w:rsidP="00861C48">
      <w:pPr>
        <w:widowControl w:val="0"/>
        <w:autoSpaceDE w:val="0"/>
        <w:autoSpaceDN w:val="0"/>
        <w:adjustRightInd w:val="0"/>
        <w:spacing w:after="0" w:line="360" w:lineRule="auto"/>
        <w:ind w:right="0"/>
      </w:pPr>
      <w:r w:rsidRPr="00861C48">
        <w:t>Opinia Komisji będzie sporządz</w:t>
      </w:r>
      <w:r w:rsidR="00462398" w:rsidRPr="00861C48">
        <w:t>a</w:t>
      </w:r>
      <w:r w:rsidRPr="00861C48">
        <w:t>n</w:t>
      </w:r>
      <w:r w:rsidR="00462398" w:rsidRPr="00861C48">
        <w:t>a</w:t>
      </w:r>
      <w:r w:rsidRPr="00861C48">
        <w:t xml:space="preserve"> w postaci elektronicznej</w:t>
      </w:r>
      <w:r w:rsidR="00462398" w:rsidRPr="00861C48">
        <w:t xml:space="preserve"> i</w:t>
      </w:r>
      <w:r w:rsidRPr="00861C48">
        <w:t xml:space="preserve"> podpis</w:t>
      </w:r>
      <w:r w:rsidR="00B04235" w:rsidRPr="00861C48">
        <w:t>yw</w:t>
      </w:r>
      <w:r w:rsidR="00462398" w:rsidRPr="00861C48">
        <w:t>ana</w:t>
      </w:r>
      <w:r w:rsidRPr="00861C48">
        <w:t xml:space="preserve"> przez przedstawiciela ministra właściwego do spraw zdrowia, który będzie przewodniczącym Komisji</w:t>
      </w:r>
      <w:r w:rsidR="00254EE0" w:rsidRPr="00861C48">
        <w:t>.</w:t>
      </w:r>
      <w:r w:rsidRPr="00861C48">
        <w:t xml:space="preserve"> Opinia będzie zawierać dane formalne wniosku oraz </w:t>
      </w:r>
      <w:r w:rsidR="00462398" w:rsidRPr="00861C48">
        <w:t xml:space="preserve">stanowisko </w:t>
      </w:r>
      <w:r w:rsidRPr="00861C48">
        <w:t>Komisji na temat celowości inwestycji wraz z uzasadnieniem.</w:t>
      </w:r>
      <w:r w:rsidR="00A86B84" w:rsidRPr="00861C48">
        <w:t xml:space="preserve"> Za dostarczenie wniosku Komisji przy wykorzystaniu środków komunikacji elektronicznej </w:t>
      </w:r>
      <w:r w:rsidR="006947FD" w:rsidRPr="00861C48">
        <w:t xml:space="preserve">będzie </w:t>
      </w:r>
      <w:r w:rsidR="00A86B84" w:rsidRPr="00861C48">
        <w:t xml:space="preserve">odpowiedzialny właściwy merytorycznie </w:t>
      </w:r>
      <w:r w:rsidR="006947FD" w:rsidRPr="00861C48">
        <w:t>d</w:t>
      </w:r>
      <w:r w:rsidR="00A86B84" w:rsidRPr="00861C48">
        <w:t xml:space="preserve">epartament Ministerstwa Zdrowia. Komisja opiniuje wniosek odnosząc się do propozycji przedstawionej przez właściwy </w:t>
      </w:r>
      <w:r w:rsidR="006947FD" w:rsidRPr="00861C48">
        <w:t>d</w:t>
      </w:r>
      <w:r w:rsidR="00A86B84" w:rsidRPr="00861C48">
        <w:t>epartament M</w:t>
      </w:r>
      <w:r w:rsidR="006947FD" w:rsidRPr="00861C48">
        <w:t xml:space="preserve">inisterstwa </w:t>
      </w:r>
      <w:r w:rsidR="00A86B84" w:rsidRPr="00861C48">
        <w:t>Z</w:t>
      </w:r>
      <w:r w:rsidR="006947FD" w:rsidRPr="00861C48">
        <w:t>drowia</w:t>
      </w:r>
      <w:r w:rsidR="00A86B84" w:rsidRPr="00861C48">
        <w:t xml:space="preserve">. </w:t>
      </w:r>
      <w:r w:rsidR="00A86B84" w:rsidRPr="00861C48">
        <w:lastRenderedPageBreak/>
        <w:t>Przewodniczący Komisji przedkłada ministrowi właściwemu do spraw zdrowia opinię niezwłocznie po jej podjęciu i podpisaniu</w:t>
      </w:r>
      <w:r w:rsidR="00DE7E2B" w:rsidRPr="00861C48">
        <w:t>, dokonuj</w:t>
      </w:r>
      <w:r w:rsidR="002B58B2">
        <w:t>ąc</w:t>
      </w:r>
      <w:r w:rsidR="00DE7E2B" w:rsidRPr="00861C48">
        <w:t xml:space="preserve"> tego</w:t>
      </w:r>
      <w:r w:rsidR="00A86B84" w:rsidRPr="00861C48">
        <w:t xml:space="preserve"> za pomocą środków komunikacji elektronicznej.</w:t>
      </w:r>
      <w:r w:rsidR="00DE7E2B" w:rsidRPr="00861C48">
        <w:t xml:space="preserve"> Komisja </w:t>
      </w:r>
      <w:r w:rsidR="006947FD" w:rsidRPr="00861C48">
        <w:t xml:space="preserve">jest </w:t>
      </w:r>
      <w:r w:rsidR="00DE7E2B" w:rsidRPr="00861C48">
        <w:t xml:space="preserve">obowiązana do wydania opinii w sprawie wniosku w </w:t>
      </w:r>
      <w:r w:rsidR="00B04235" w:rsidRPr="00861C48">
        <w:t xml:space="preserve">terminie </w:t>
      </w:r>
      <w:r w:rsidR="00DE7E2B" w:rsidRPr="00861C48">
        <w:t xml:space="preserve">7 dni od jej otrzymania. Proces opiniowania wniosku przez Komisję odbywa się poza </w:t>
      </w:r>
      <w:r w:rsidR="006947FD" w:rsidRPr="00861C48">
        <w:t>s</w:t>
      </w:r>
      <w:r w:rsidR="00DE7E2B" w:rsidRPr="00861C48">
        <w:t>ystemem IOWISZ.</w:t>
      </w:r>
      <w:r w:rsidR="003B190E" w:rsidRPr="00861C48">
        <w:t xml:space="preserve"> Co do zasady, Komisja dokonuje oceny wniosków za pośrednictwem elektronicznych środków porozumiewania się na odległość</w:t>
      </w:r>
      <w:r w:rsidR="00F90736">
        <w:t>,</w:t>
      </w:r>
      <w:r w:rsidR="003B190E" w:rsidRPr="00861C48">
        <w:t xml:space="preserve"> tylko na wniosek przewodniczącego lub co najmniej dwóch członków ocena wniosków odbywa się na posiedzeniach. </w:t>
      </w:r>
    </w:p>
    <w:p w14:paraId="39CCC491" w14:textId="6D99FB45" w:rsidR="005D11D8" w:rsidRPr="00861C48" w:rsidRDefault="00243849" w:rsidP="00861C48">
      <w:pPr>
        <w:spacing w:line="360" w:lineRule="auto"/>
      </w:pPr>
      <w:r w:rsidRPr="00861C48">
        <w:t>Szczegóły organizacji</w:t>
      </w:r>
      <w:r w:rsidR="007711FA" w:rsidRPr="00861C48">
        <w:t xml:space="preserve">, </w:t>
      </w:r>
      <w:r w:rsidRPr="00861C48">
        <w:t xml:space="preserve">sposobu </w:t>
      </w:r>
      <w:r w:rsidR="008245C8" w:rsidRPr="00861C48">
        <w:t xml:space="preserve">i </w:t>
      </w:r>
      <w:r w:rsidR="00817294" w:rsidRPr="00861C48">
        <w:t>tryb</w:t>
      </w:r>
      <w:r w:rsidRPr="00861C48">
        <w:t>u</w:t>
      </w:r>
      <w:r w:rsidR="00817294" w:rsidRPr="00861C48">
        <w:t xml:space="preserve"> działania, a tak</w:t>
      </w:r>
      <w:r w:rsidR="00087CEF">
        <w:t>że sposób obsługi organizacyjno</w:t>
      </w:r>
      <w:r w:rsidR="00087CEF">
        <w:noBreakHyphen/>
      </w:r>
      <w:r w:rsidR="00817294" w:rsidRPr="00861C48">
        <w:t xml:space="preserve">technicznej </w:t>
      </w:r>
      <w:r w:rsidR="00821D9A" w:rsidRPr="00861C48">
        <w:t>K</w:t>
      </w:r>
      <w:r w:rsidR="00817294" w:rsidRPr="00861C48">
        <w:t xml:space="preserve">omisji zostaną określone w </w:t>
      </w:r>
      <w:r w:rsidR="00700547" w:rsidRPr="00861C48">
        <w:t>r</w:t>
      </w:r>
      <w:r w:rsidR="00E973EC" w:rsidRPr="00861C48">
        <w:t xml:space="preserve">egulaminie </w:t>
      </w:r>
      <w:r w:rsidR="00700547" w:rsidRPr="00861C48">
        <w:t>p</w:t>
      </w:r>
      <w:r w:rsidR="00E973EC" w:rsidRPr="00861C48">
        <w:t>rac Komisji</w:t>
      </w:r>
      <w:r w:rsidR="004A0542" w:rsidRPr="00861C48">
        <w:t>, na podstawie</w:t>
      </w:r>
      <w:r w:rsidR="00383BEB" w:rsidRPr="00861C48">
        <w:t xml:space="preserve"> projektowanego</w:t>
      </w:r>
      <w:r w:rsidR="004A0542" w:rsidRPr="00861C48">
        <w:t xml:space="preserve"> art. 95ea ust. </w:t>
      </w:r>
      <w:r w:rsidR="00462398" w:rsidRPr="00861C48">
        <w:t xml:space="preserve">5 </w:t>
      </w:r>
      <w:r w:rsidR="004A0542" w:rsidRPr="00861C48">
        <w:t>ustawy</w:t>
      </w:r>
      <w:r w:rsidR="00FD5C8E" w:rsidRPr="00861C48">
        <w:t xml:space="preserve"> o świadczeniach</w:t>
      </w:r>
      <w:r w:rsidR="00817294" w:rsidRPr="00861C48">
        <w:t>.</w:t>
      </w:r>
      <w:r w:rsidR="00A47C4E" w:rsidRPr="00861C48">
        <w:t xml:space="preserve"> W regulaminie zostaną doprecyzowane</w:t>
      </w:r>
      <w:r w:rsidR="009E03AD" w:rsidRPr="00861C48">
        <w:t xml:space="preserve"> także</w:t>
      </w:r>
      <w:r w:rsidR="00861C48">
        <w:t xml:space="preserve"> </w:t>
      </w:r>
      <w:r w:rsidR="00A47C4E" w:rsidRPr="00861C48">
        <w:t>terminy wyboru członków Komisji, w tym przewodniczącego</w:t>
      </w:r>
      <w:r w:rsidR="00762C93" w:rsidRPr="00861C48">
        <w:t>,</w:t>
      </w:r>
      <w:r w:rsidR="00861C48">
        <w:t xml:space="preserve"> </w:t>
      </w:r>
      <w:r w:rsidR="00762C93" w:rsidRPr="00861C48">
        <w:t xml:space="preserve">którym </w:t>
      </w:r>
      <w:r w:rsidR="00DE7E2B" w:rsidRPr="00861C48">
        <w:t>będzie przedstawiciel ministra właściwego do spraw zdrowia</w:t>
      </w:r>
      <w:r w:rsidR="003B190E" w:rsidRPr="00861C48">
        <w:t xml:space="preserve">. </w:t>
      </w:r>
      <w:r w:rsidR="00920110" w:rsidRPr="00861C48">
        <w:t>Ze względu na fakt, że r</w:t>
      </w:r>
      <w:r w:rsidR="00817294" w:rsidRPr="00861C48">
        <w:t>egulamin</w:t>
      </w:r>
      <w:r w:rsidR="00920110" w:rsidRPr="00861C48">
        <w:t xml:space="preserve"> nie będzie stanowił podstawy decyzji wobec ogółu osób prawnych oraz innych podmiotów</w:t>
      </w:r>
      <w:r w:rsidR="00142E32" w:rsidRPr="00861C48">
        <w:t>,</w:t>
      </w:r>
      <w:r w:rsidR="00920110" w:rsidRPr="00861C48">
        <w:t xml:space="preserve"> </w:t>
      </w:r>
      <w:r w:rsidR="00A831C0" w:rsidRPr="00861C48">
        <w:t xml:space="preserve">będzie </w:t>
      </w:r>
      <w:r w:rsidR="00B04235" w:rsidRPr="00861C48">
        <w:t xml:space="preserve">ustanowiony </w:t>
      </w:r>
      <w:r w:rsidR="004A0542" w:rsidRPr="00861C48">
        <w:t>w</w:t>
      </w:r>
      <w:r w:rsidR="004079C1" w:rsidRPr="00861C48">
        <w:t xml:space="preserve"> </w:t>
      </w:r>
      <w:r w:rsidR="004A0542" w:rsidRPr="00861C48">
        <w:t xml:space="preserve">drodze zarządzenia </w:t>
      </w:r>
      <w:r w:rsidR="002B055B" w:rsidRPr="00861C48">
        <w:t>M</w:t>
      </w:r>
      <w:r w:rsidR="00A831C0" w:rsidRPr="00861C48">
        <w:t>inistra Zdrowia</w:t>
      </w:r>
      <w:r w:rsidR="00517FAC" w:rsidRPr="00861C48">
        <w:t>.</w:t>
      </w:r>
      <w:r w:rsidR="006F5FDE" w:rsidRPr="00861C48" w:rsidDel="006F5FDE">
        <w:t xml:space="preserve"> </w:t>
      </w:r>
      <w:r w:rsidR="00E80C20" w:rsidRPr="00861C48">
        <w:t xml:space="preserve">Decyzja o tym, że regulamin prac Komisji zostanie określony na podstawie zarządzenia Ministra Zdrowia została oparta na podstawie innych rozwiązań legislacyjnych funkcjonujących od dawna w obowiązujących przepisach, w tym na regulaminie prac Komisji Ekonomicznej </w:t>
      </w:r>
      <w:r w:rsidR="00861C48" w:rsidRPr="00861C48">
        <w:t>–</w:t>
      </w:r>
      <w:r w:rsidR="00E80C20" w:rsidRPr="00861C48">
        <w:t xml:space="preserve"> </w:t>
      </w:r>
      <w:r w:rsidR="00E80C20" w:rsidRPr="00087CEF">
        <w:rPr>
          <w:i/>
        </w:rPr>
        <w:t>vide</w:t>
      </w:r>
      <w:r w:rsidR="00802C34">
        <w:t xml:space="preserve"> art. 23 ust. 2 ustawy z </w:t>
      </w:r>
      <w:r w:rsidR="00E80C20" w:rsidRPr="00861C48">
        <w:t>dnia 12 maja 2011 r. o refundacji leków, środków spożywczych specjalnego przeznaczenia żywieniowego oraz wyrobów medycznych</w:t>
      </w:r>
      <w:r w:rsidR="00A36FC2">
        <w:t xml:space="preserve"> (Dz. U. z 2020 r. poz. 357 i 945)</w:t>
      </w:r>
      <w:r w:rsidR="00E80C20" w:rsidRPr="00861C48">
        <w:t>.</w:t>
      </w:r>
      <w:r w:rsidR="00920110" w:rsidRPr="00861C48">
        <w:t xml:space="preserve"> Ponadto procedowanie regulaminu w formie zarządzenia </w:t>
      </w:r>
      <w:r w:rsidR="007111AA" w:rsidRPr="00861C48">
        <w:t>M</w:t>
      </w:r>
      <w:r w:rsidR="005E246C" w:rsidRPr="00861C48">
        <w:t>inistra Zdrowia</w:t>
      </w:r>
      <w:r w:rsidR="007111AA" w:rsidRPr="00861C48">
        <w:t xml:space="preserve"> </w:t>
      </w:r>
      <w:r w:rsidR="005E246C" w:rsidRPr="00861C48">
        <w:t>zapewni niezbędną</w:t>
      </w:r>
      <w:r w:rsidR="00920110" w:rsidRPr="00861C48">
        <w:t xml:space="preserve"> elastyczność</w:t>
      </w:r>
      <w:r w:rsidR="007111AA" w:rsidRPr="00861C48">
        <w:t xml:space="preserve"> w</w:t>
      </w:r>
      <w:r w:rsidR="005E246C" w:rsidRPr="00861C48">
        <w:t>e</w:t>
      </w:r>
      <w:r w:rsidR="007111AA" w:rsidRPr="00861C48">
        <w:t xml:space="preserve"> </w:t>
      </w:r>
      <w:r w:rsidR="005E246C" w:rsidRPr="00861C48">
        <w:t>w</w:t>
      </w:r>
      <w:r w:rsidR="007111AA" w:rsidRPr="00861C48">
        <w:t>prowadzaniu ewentualnych zmian</w:t>
      </w:r>
      <w:r w:rsidR="00142E32" w:rsidRPr="00861C48">
        <w:t xml:space="preserve"> albo</w:t>
      </w:r>
      <w:r w:rsidR="007111AA" w:rsidRPr="00861C48">
        <w:t xml:space="preserve"> usprawnień</w:t>
      </w:r>
      <w:r w:rsidR="00920110" w:rsidRPr="00861C48">
        <w:t xml:space="preserve"> w zakresie funkcjonowania Komisji</w:t>
      </w:r>
      <w:r w:rsidR="005E246C" w:rsidRPr="00861C48">
        <w:t xml:space="preserve">, której przewodniczącym – zgodnie z projektem ustawy – jest przedstawiciel </w:t>
      </w:r>
      <w:r w:rsidR="00142E32" w:rsidRPr="00861C48">
        <w:t>ministra właściwego do spraw zdrowia</w:t>
      </w:r>
      <w:r w:rsidR="00FB298A" w:rsidRPr="00861C48">
        <w:t>.</w:t>
      </w:r>
    </w:p>
    <w:p w14:paraId="2D26AF0D" w14:textId="36956B60" w:rsidR="004A0542" w:rsidRPr="00861C48" w:rsidRDefault="00817294" w:rsidP="00861C48">
      <w:pPr>
        <w:spacing w:line="360" w:lineRule="auto"/>
      </w:pPr>
      <w:r w:rsidRPr="00861C48">
        <w:t>Należy</w:t>
      </w:r>
      <w:r w:rsidR="004A0542" w:rsidRPr="00861C48">
        <w:t xml:space="preserve"> podkreślić, że </w:t>
      </w:r>
      <w:r w:rsidR="005D11D8" w:rsidRPr="00861C48">
        <w:t xml:space="preserve">utworzenie i funkcjonowanie Komisji nie będzie generowało dodatkowych kosztów. Członkom </w:t>
      </w:r>
      <w:r w:rsidR="00821D9A" w:rsidRPr="00861C48">
        <w:t>K</w:t>
      </w:r>
      <w:r w:rsidR="005D11D8" w:rsidRPr="00861C48">
        <w:t>omisji nie przysługuje wynagrod</w:t>
      </w:r>
      <w:r w:rsidR="005C1EDF" w:rsidRPr="00861C48">
        <w:t xml:space="preserve">zenie za udział </w:t>
      </w:r>
      <w:r w:rsidR="00802C34">
        <w:t>w </w:t>
      </w:r>
      <w:r w:rsidR="005C1EDF" w:rsidRPr="00861C48">
        <w:t xml:space="preserve">posiedzeniach, zgodnie z </w:t>
      </w:r>
      <w:r w:rsidR="00383BEB" w:rsidRPr="00861C48">
        <w:t xml:space="preserve">projektowanym </w:t>
      </w:r>
      <w:r w:rsidR="005C1EDF" w:rsidRPr="00861C48">
        <w:t xml:space="preserve">art. 95ea ust. </w:t>
      </w:r>
      <w:r w:rsidR="00462398" w:rsidRPr="00861C48">
        <w:t xml:space="preserve">4 </w:t>
      </w:r>
      <w:r w:rsidR="005C1EDF" w:rsidRPr="00861C48">
        <w:t>ustawy</w:t>
      </w:r>
      <w:r w:rsidR="00FD5C8E" w:rsidRPr="00861C48">
        <w:t xml:space="preserve"> o świadczeniach</w:t>
      </w:r>
      <w:r w:rsidR="005C1EDF" w:rsidRPr="00861C48">
        <w:t>.</w:t>
      </w:r>
    </w:p>
    <w:p w14:paraId="310E4F30" w14:textId="55250B65" w:rsidR="00E973EC" w:rsidRPr="00861C48" w:rsidRDefault="00FD5C8E" w:rsidP="00861C48">
      <w:pPr>
        <w:spacing w:line="360" w:lineRule="auto"/>
        <w:ind w:left="-15" w:right="0"/>
      </w:pPr>
      <w:r w:rsidRPr="00861C48">
        <w:t xml:space="preserve">Projektowane przepisy </w:t>
      </w:r>
      <w:r w:rsidR="00817294" w:rsidRPr="00861C48">
        <w:t>zobowiązują</w:t>
      </w:r>
      <w:r w:rsidR="00DA4DF8" w:rsidRPr="00861C48">
        <w:t xml:space="preserve"> kandydatów na członków Komisji oraz</w:t>
      </w:r>
      <w:r w:rsidR="00817294" w:rsidRPr="00861C48">
        <w:t xml:space="preserve"> członków </w:t>
      </w:r>
      <w:r w:rsidRPr="00861C48">
        <w:t>K</w:t>
      </w:r>
      <w:r w:rsidR="00817294" w:rsidRPr="00861C48">
        <w:t>omisji do złożenia oświadcze</w:t>
      </w:r>
      <w:r w:rsidR="002B055B" w:rsidRPr="00861C48">
        <w:t xml:space="preserve">nia </w:t>
      </w:r>
      <w:r w:rsidR="00170108" w:rsidRPr="00861C48">
        <w:t xml:space="preserve">dotyczącego niezachodzenia okoliczności, o których mowa w projektowanym art. 95eb ust. 3 </w:t>
      </w:r>
      <w:r w:rsidR="00817294" w:rsidRPr="00861C48">
        <w:t>– pod rygorem odpowiedzialności karnej za składanie fałszywych zeznań</w:t>
      </w:r>
      <w:r w:rsidR="002B055B" w:rsidRPr="00861C48">
        <w:t xml:space="preserve"> – </w:t>
      </w:r>
      <w:r w:rsidR="00817294" w:rsidRPr="00861C48">
        <w:t>w zakresie przesłanek wyłączając</w:t>
      </w:r>
      <w:r w:rsidR="00802C34">
        <w:t>ych z możliwości udziału prac w </w:t>
      </w:r>
      <w:r w:rsidR="00462398" w:rsidRPr="00861C48">
        <w:t>K</w:t>
      </w:r>
      <w:r w:rsidR="00817294" w:rsidRPr="00861C48">
        <w:t>omisji</w:t>
      </w:r>
      <w:r w:rsidR="00462398" w:rsidRPr="00861C48">
        <w:t>,</w:t>
      </w:r>
      <w:r w:rsidR="00EA3F2D" w:rsidRPr="00861C48">
        <w:t xml:space="preserve"> a dotyczących potencjalnego konfliktu interesów</w:t>
      </w:r>
      <w:r w:rsidR="00170108" w:rsidRPr="00861C48">
        <w:t xml:space="preserve"> (w tym dotyczących także ich </w:t>
      </w:r>
      <w:r w:rsidR="00170108" w:rsidRPr="00861C48">
        <w:lastRenderedPageBreak/>
        <w:t>małżonków, zstępnych i wstępnych w linii prostej do drugiego stopnia oraz os</w:t>
      </w:r>
      <w:r w:rsidR="00B04235" w:rsidRPr="00861C48">
        <w:t>ób</w:t>
      </w:r>
      <w:r w:rsidR="00170108" w:rsidRPr="00861C48">
        <w:t>, z którymi kandydaci na członków Komisji oraz członkowie Komisji pozostają we wspólnym pożyciu,</w:t>
      </w:r>
      <w:r w:rsidR="00861C48">
        <w:t xml:space="preserve"> </w:t>
      </w:r>
      <w:r w:rsidR="00170108" w:rsidRPr="00861C48">
        <w:t>oraz w stosunku przysposobienia, opieki lub kurateli)</w:t>
      </w:r>
      <w:r w:rsidR="00817294" w:rsidRPr="00861C48">
        <w:t xml:space="preserve">. Wzór oświadczenia zostanie określony </w:t>
      </w:r>
      <w:r w:rsidRPr="00861C48">
        <w:t>w rozporządzeniu ministra właściwego do spraw zdrowia</w:t>
      </w:r>
      <w:r w:rsidR="00DC2C73" w:rsidRPr="00861C48">
        <w:t xml:space="preserve">. </w:t>
      </w:r>
      <w:r w:rsidR="00B04235" w:rsidRPr="00861C48">
        <w:t>W c</w:t>
      </w:r>
      <w:r w:rsidR="00DC2C73" w:rsidRPr="00861C48">
        <w:t>el</w:t>
      </w:r>
      <w:r w:rsidR="00B04235" w:rsidRPr="00861C48">
        <w:t>u</w:t>
      </w:r>
      <w:r w:rsidR="00DC2C73" w:rsidRPr="00861C48">
        <w:t xml:space="preserve"> zapewnienia przejrzystości działania </w:t>
      </w:r>
      <w:r w:rsidRPr="00861C48">
        <w:t>K</w:t>
      </w:r>
      <w:r w:rsidR="00DC2C73" w:rsidRPr="00861C48">
        <w:t xml:space="preserve">omisji, oświadczenie będzie weryfikowane </w:t>
      </w:r>
      <w:r w:rsidR="00FE60F2" w:rsidRPr="00861C48">
        <w:t xml:space="preserve">w </w:t>
      </w:r>
      <w:r w:rsidR="00B04235" w:rsidRPr="00861C48">
        <w:t xml:space="preserve">terminie </w:t>
      </w:r>
      <w:r w:rsidR="00FE60F2" w:rsidRPr="00861C48">
        <w:t xml:space="preserve">10 dni </w:t>
      </w:r>
      <w:r w:rsidR="00DC2C73" w:rsidRPr="00861C48">
        <w:t>przez Centralne Biuro Antykorupcyjne.</w:t>
      </w:r>
      <w:r w:rsidR="0032059A" w:rsidRPr="00861C48">
        <w:t xml:space="preserve"> </w:t>
      </w:r>
      <w:r w:rsidR="00EA3F2D" w:rsidRPr="00861C48">
        <w:t>Ponadto członkowie Komisji przed powołaniem do jej składu będą obowiązani do złożenia oświadczenia lustracyjnego</w:t>
      </w:r>
      <w:r w:rsidR="00462398" w:rsidRPr="00861C48">
        <w:t xml:space="preserve"> na zasad</w:t>
      </w:r>
      <w:r w:rsidR="00E84E5E" w:rsidRPr="00861C48">
        <w:t>a</w:t>
      </w:r>
      <w:r w:rsidR="00462398" w:rsidRPr="00861C48">
        <w:t xml:space="preserve">ch i w trybie </w:t>
      </w:r>
      <w:r w:rsidR="00E84E5E" w:rsidRPr="00861C48">
        <w:t>określonym</w:t>
      </w:r>
      <w:r w:rsidR="00802C34">
        <w:t xml:space="preserve"> w </w:t>
      </w:r>
      <w:r w:rsidR="00EA3F2D" w:rsidRPr="00861C48">
        <w:t>ustaw</w:t>
      </w:r>
      <w:r w:rsidR="00462398" w:rsidRPr="00861C48">
        <w:t>ie</w:t>
      </w:r>
      <w:r w:rsidR="00EA3F2D" w:rsidRPr="00861C48">
        <w:t xml:space="preserve"> z dnia 18 października 2006 r. o ujawnianiu informacji o dokumentach organów bezpieczeństwa państwa z lat 1944</w:t>
      </w:r>
      <w:r w:rsidR="00861C48" w:rsidRPr="00861C48">
        <w:t>–</w:t>
      </w:r>
      <w:r w:rsidR="00EA3F2D" w:rsidRPr="00861C48">
        <w:t xml:space="preserve">1990 oraz treści tych dokumentów. </w:t>
      </w:r>
      <w:r w:rsidR="00E973EC" w:rsidRPr="00861C48">
        <w:t>Założeniem powyższego działania ma być efektywniejsza kontrola nad inwestycjami najbardziej kosztochłonnymi</w:t>
      </w:r>
      <w:r w:rsidR="00254EE0" w:rsidRPr="00861C48">
        <w:t xml:space="preserve"> (stąd przyjęcie kwoty 50 mln zł jako granicznej kwoty </w:t>
      </w:r>
      <w:r w:rsidR="00457F40" w:rsidRPr="00861C48">
        <w:t>inwestycji)</w:t>
      </w:r>
      <w:r w:rsidR="00802C34">
        <w:t>, które w </w:t>
      </w:r>
      <w:r w:rsidR="00E973EC" w:rsidRPr="00861C48">
        <w:t>znacznym stopniu oddział</w:t>
      </w:r>
      <w:r w:rsidR="00F932C0" w:rsidRPr="00861C48">
        <w:t>u</w:t>
      </w:r>
      <w:r w:rsidR="00E973EC" w:rsidRPr="00861C48">
        <w:t>ją na rynek usług medycznych. Taka potrzeba wynika z trudności oceny składanych wniosków, które cechują się dużą złożonością zagadnień i zróżnicowaną specyfiką ocenianych aspektów, a także szczególnych wymagań</w:t>
      </w:r>
      <w:r w:rsidR="00B04235" w:rsidRPr="00861C48">
        <w:t>,</w:t>
      </w:r>
      <w:r w:rsidR="00E973EC" w:rsidRPr="00861C48">
        <w:t xml:space="preserve"> jakie istnieją w ochronie zdrowia, jak również istotnego znaczenia planowanego do realizacji przedsięwzięcia pod kątem udzielanych świadczeń zdrowotnych. Projektodawca przewiduje, że utworzenie Komisji zwiększy efektywność kontroli nad inwestycjami o wysokiej wartości.</w:t>
      </w:r>
    </w:p>
    <w:p w14:paraId="0D00A674" w14:textId="0EC1C54B" w:rsidR="00E973EC" w:rsidRPr="00861C48" w:rsidRDefault="00E973EC" w:rsidP="00861C48">
      <w:pPr>
        <w:spacing w:line="360" w:lineRule="auto"/>
        <w:ind w:left="-15" w:right="0"/>
      </w:pPr>
      <w:r w:rsidRPr="00861C48">
        <w:t xml:space="preserve">Za kryterium pozwalającym uznać </w:t>
      </w:r>
      <w:r w:rsidR="00374A90" w:rsidRPr="00861C48">
        <w:t xml:space="preserve">dane </w:t>
      </w:r>
      <w:r w:rsidRPr="00861C48">
        <w:t xml:space="preserve">zadanie </w:t>
      </w:r>
      <w:r w:rsidR="00374A90" w:rsidRPr="00861C48">
        <w:t xml:space="preserve">za </w:t>
      </w:r>
      <w:r w:rsidRPr="00861C48">
        <w:t>inwestycj</w:t>
      </w:r>
      <w:r w:rsidR="00374A90" w:rsidRPr="00861C48">
        <w:t>ę</w:t>
      </w:r>
      <w:r w:rsidRPr="00861C48">
        <w:t xml:space="preserve"> strategiczn</w:t>
      </w:r>
      <w:r w:rsidR="00374A90" w:rsidRPr="00861C48">
        <w:t>ą</w:t>
      </w:r>
      <w:r w:rsidRPr="00861C48">
        <w:t xml:space="preserve"> przyjęto wartość kosztorysową inwestycji</w:t>
      </w:r>
      <w:r w:rsidR="004079C1" w:rsidRPr="00861C48">
        <w:t>,</w:t>
      </w:r>
      <w:r w:rsidRPr="00861C48">
        <w:t xml:space="preserve"> </w:t>
      </w:r>
      <w:r w:rsidR="004079C1" w:rsidRPr="00861C48">
        <w:t xml:space="preserve">ustaloną na dzień złożenia wniosku o wydanie OCI, </w:t>
      </w:r>
      <w:r w:rsidRPr="00861C48">
        <w:t>przekraczającą 50 mln zł.</w:t>
      </w:r>
      <w:r w:rsidR="004079C1" w:rsidRPr="00861C48">
        <w:t xml:space="preserve"> </w:t>
      </w:r>
      <w:r w:rsidRPr="00861C48">
        <w:t>Próg ten określa kluczowe przedsięwzięcia realizowane przez podmioty lecznicze służące realizacji ważnego interesu publicznego, obejmujące wydatki związane z ochroną zdrowia na potrzeby ogółu społeczeństwa, co wpływa na podejmowane przez administrację działania. Mając na uwadze, że inwestycje w ochronę zdrowia z reguły nie są dochodowe i przede wszystkim mają na celu przynosić bezpośrednie korzyści dla pacjentów oraz wpływać na rozwój nauk medycznych, to konieczna</w:t>
      </w:r>
      <w:r w:rsidR="00802C34">
        <w:t xml:space="preserve"> jest ich dodatkowa kontrola, w </w:t>
      </w:r>
      <w:r w:rsidRPr="00861C48">
        <w:t xml:space="preserve">szczególności z punktu widzenia zagwarantowania udzielenia świadczeń medycznych, co jednocześnie wpływa na przyszłą kondycję finansową danej placówki. Przedsięwzięcia </w:t>
      </w:r>
      <w:r w:rsidR="002F57C0" w:rsidRPr="00861C48">
        <w:t xml:space="preserve">o tak wysokiej kwocie </w:t>
      </w:r>
      <w:r w:rsidRPr="00861C48">
        <w:t>charakteryzują się długoterminowymi zamierzeniami, ukierunkowanymi na innowacje technologiczne mające zastosowanie w ochronie zdrowia w</w:t>
      </w:r>
      <w:r w:rsidR="00347E5F">
        <w:t xml:space="preserve"> </w:t>
      </w:r>
      <w:r w:rsidRPr="00861C48">
        <w:t>skali krajowej. Konieczność określenia inwestycji strategicznych w ochronie zdrowia jest spowodowana istniejącą sytuacją na rynku usług medycznych, gdzie brak kontraktowania realizacji świadczeń opieki zdrowotnej finansowanych ze środków publicznych</w:t>
      </w:r>
      <w:r w:rsidR="00B04235" w:rsidRPr="00861C48">
        <w:t xml:space="preserve"> i</w:t>
      </w:r>
      <w:r w:rsidRPr="00861C48">
        <w:t xml:space="preserve"> wzajemna konkurencja blisko położonych od siebie podmiotów leczniczych prowadzi do znacznego zadłużania podmiotów, </w:t>
      </w:r>
      <w:r w:rsidRPr="00861C48">
        <w:lastRenderedPageBreak/>
        <w:t xml:space="preserve">a w efekcie może doprowadzić do bankructwa z uwagi na całkowity brak rentowności. </w:t>
      </w:r>
      <w:r w:rsidRPr="00B2152F">
        <w:rPr>
          <w:color w:val="auto"/>
        </w:rPr>
        <w:t>Inwestycje strategiczne to takie</w:t>
      </w:r>
      <w:r w:rsidR="00B04235" w:rsidRPr="00B2152F">
        <w:rPr>
          <w:color w:val="auto"/>
        </w:rPr>
        <w:t>,</w:t>
      </w:r>
      <w:r w:rsidRPr="00B2152F">
        <w:rPr>
          <w:color w:val="auto"/>
        </w:rPr>
        <w:t xml:space="preserve"> dla których jest przewidziany rozwój, przede wszystkim rozumiany jako zjawisko jakościowe polegające na wprowadzaniu innowacji produktowych, nowoczesnych procedur medycznych, procesu realizacji, strukturalnych i</w:t>
      </w:r>
      <w:r w:rsidR="00DB3A29" w:rsidRPr="00B2152F">
        <w:rPr>
          <w:color w:val="auto"/>
        </w:rPr>
        <w:t> </w:t>
      </w:r>
      <w:r w:rsidR="00802C34">
        <w:rPr>
          <w:color w:val="auto"/>
        </w:rPr>
        <w:t>innowacji w </w:t>
      </w:r>
      <w:r w:rsidRPr="00B2152F">
        <w:rPr>
          <w:color w:val="auto"/>
        </w:rPr>
        <w:t>dziedzinie zarządzania, tak aby podmiot, który zrealizował inwestycję</w:t>
      </w:r>
      <w:r w:rsidR="00B04235" w:rsidRPr="00B2152F">
        <w:rPr>
          <w:color w:val="auto"/>
        </w:rPr>
        <w:t>,</w:t>
      </w:r>
      <w:r w:rsidR="00802C34">
        <w:rPr>
          <w:color w:val="auto"/>
        </w:rPr>
        <w:t xml:space="preserve"> mógł przetrwać w </w:t>
      </w:r>
      <w:r w:rsidRPr="00B2152F">
        <w:rPr>
          <w:color w:val="auto"/>
        </w:rPr>
        <w:t xml:space="preserve">długim okresie i realizować swoje zadania tylko pod warunkiem permanentnego rozwoju oraz </w:t>
      </w:r>
      <w:r w:rsidRPr="00861C48">
        <w:t>wzrostu. Wzmocnienie nadzoru nad takimi inwestycjami przez Komisję posłuży do stworzenia właściwego kierunku działań dla inwestycji realizowanych w tym obszarze. Nadano im kształt inwestycj</w:t>
      </w:r>
      <w:r w:rsidR="007C075F" w:rsidRPr="00861C48">
        <w:t>i</w:t>
      </w:r>
      <w:r w:rsidRPr="00861C48">
        <w:t xml:space="preserve"> strategiczn</w:t>
      </w:r>
      <w:r w:rsidR="007C075F" w:rsidRPr="00861C48">
        <w:t>ych</w:t>
      </w:r>
      <w:r w:rsidRPr="00861C48">
        <w:t xml:space="preserve">, </w:t>
      </w:r>
      <w:r w:rsidR="00E84E5E" w:rsidRPr="00861C48">
        <w:t xml:space="preserve">ponieważ </w:t>
      </w:r>
      <w:r w:rsidRPr="00861C48">
        <w:t>są jednym z kluczowych celów polityki zdrowotnej w kraju i są traktowane jako najważniejsze ze względu na udzielanie świadczeń medycznych. Dodatkowo są drogowskazem postępowania w ochronie zdrowia, a ich działanie jest długofalowe, ponieważ jest związane z funkcjonowaniem mającym służyć poprawie w</w:t>
      </w:r>
      <w:r w:rsidR="00200FD4" w:rsidRPr="00861C48">
        <w:t> </w:t>
      </w:r>
      <w:r w:rsidRPr="00861C48">
        <w:t>ochronie zdrowia również w dalszej perspektywie. Wzmocniona ocena celowości powyższych inwestycji jest niezbędna ze względu na ich silne oddziaływanie na całą gospodarkę oraz znaczący wpływ i kształtowanie rynku usług medycznych w kraju.</w:t>
      </w:r>
    </w:p>
    <w:p w14:paraId="6CFE6497" w14:textId="5DCCE11F" w:rsidR="00E973EC" w:rsidRPr="00861C48" w:rsidRDefault="00FD5C8E" w:rsidP="00861C48">
      <w:pPr>
        <w:spacing w:line="360" w:lineRule="auto"/>
        <w:ind w:left="-15" w:right="0"/>
      </w:pPr>
      <w:r w:rsidRPr="00861C48">
        <w:t xml:space="preserve">Proponuje się </w:t>
      </w:r>
      <w:r w:rsidR="00E973EC" w:rsidRPr="00861C48">
        <w:t xml:space="preserve">uproszczenie formularza wniosku o wydanie OCI i jego oceny przez odstąpienie od wskazywania we wniosku o wydanie OCI dziedzin medycyny, w celu zobrazowania inwestycji jako komplementarnej całości, umożliwiającej dokonanie holistycznej oceny. W związku z istniejącym obecnie podziałem wniosków na dziedziny </w:t>
      </w:r>
      <w:r w:rsidR="00067F72" w:rsidRPr="00861C48">
        <w:t xml:space="preserve">medycyny </w:t>
      </w:r>
      <w:r w:rsidR="00E973EC" w:rsidRPr="00861C48">
        <w:t>jest zaburzona pełna ocena inwestycji, która jest dokonywana w oderwaniu od całości inwestycji. Takie rozwiązanie w efekcie umożliwi ocenianie inwestycji jako jednej spójnej całości bez oceniania odrębnie poszczególnych dziedzin</w:t>
      </w:r>
      <w:r w:rsidR="00067F72" w:rsidRPr="00861C48">
        <w:t xml:space="preserve"> medycyny</w:t>
      </w:r>
      <w:r w:rsidR="00E973EC" w:rsidRPr="00861C48">
        <w:t>, co przełoży się na zmniejszenie nakładu pracy.</w:t>
      </w:r>
    </w:p>
    <w:p w14:paraId="7665D463" w14:textId="771383EF" w:rsidR="00E973EC" w:rsidRPr="00861C48" w:rsidRDefault="00E973EC" w:rsidP="00861C48">
      <w:pPr>
        <w:spacing w:line="360" w:lineRule="auto"/>
        <w:ind w:left="-15" w:right="0"/>
      </w:pPr>
      <w:r w:rsidRPr="00861C48">
        <w:t>W związku z likwidacją</w:t>
      </w:r>
      <w:r w:rsidR="00395AF6" w:rsidRPr="00861C48">
        <w:t xml:space="preserve"> </w:t>
      </w:r>
      <w:r w:rsidR="000C3CAD" w:rsidRPr="00861C48">
        <w:t xml:space="preserve">określania we wniosku o wydanie OCI świadczeń opieki zdrowotnej w poszczególnych </w:t>
      </w:r>
      <w:r w:rsidRPr="00861C48">
        <w:t>dziedzin</w:t>
      </w:r>
      <w:r w:rsidR="000C3CAD" w:rsidRPr="00861C48">
        <w:t>ach</w:t>
      </w:r>
      <w:r w:rsidR="00170108" w:rsidRPr="00861C48">
        <w:t xml:space="preserve"> medycyny</w:t>
      </w:r>
      <w:r w:rsidRPr="00861C48">
        <w:t xml:space="preserve">, konieczne staje się ujednolicenie opłaty za wniosek, </w:t>
      </w:r>
      <w:r w:rsidR="00477B11">
        <w:t xml:space="preserve">do </w:t>
      </w:r>
      <w:r w:rsidRPr="00861C48">
        <w:t xml:space="preserve">wysokości 4000 zł, co zapewni równe traktowanie wnioskodawców. Proponowane zmiany usprawnią proces opiniowania i umożliwią bardziej trafną i </w:t>
      </w:r>
      <w:r w:rsidR="00170108" w:rsidRPr="00861C48">
        <w:t xml:space="preserve">rzetelną </w:t>
      </w:r>
      <w:r w:rsidRPr="00861C48">
        <w:t xml:space="preserve">ocenę inwestycji, co wpłynie na wzrost jakości wydawanych opinii. </w:t>
      </w:r>
    </w:p>
    <w:p w14:paraId="3B91CA95" w14:textId="5F289C8A" w:rsidR="00E973EC" w:rsidRPr="00861C48" w:rsidRDefault="00E973EC" w:rsidP="00861C48">
      <w:pPr>
        <w:spacing w:line="360" w:lineRule="auto"/>
        <w:ind w:left="-15" w:right="0"/>
      </w:pPr>
      <w:r w:rsidRPr="00861C48">
        <w:t>W przedstawionym projekcie przewiduje się ujednolic</w:t>
      </w:r>
      <w:r w:rsidR="00802C34">
        <w:t>enie formy składania wniosków o </w:t>
      </w:r>
      <w:r w:rsidRPr="00861C48">
        <w:t xml:space="preserve">wydanie OCI przez wykorzystanie wyłącznie drogi elektronicznej </w:t>
      </w:r>
      <w:bookmarkStart w:id="0" w:name="_Hlk42173202"/>
      <w:r w:rsidRPr="00861C48">
        <w:t>–</w:t>
      </w:r>
      <w:bookmarkEnd w:id="0"/>
      <w:r w:rsidRPr="00861C48">
        <w:t xml:space="preserve"> systemu IOWISZ</w:t>
      </w:r>
      <w:r w:rsidR="007C075F" w:rsidRPr="00861C48">
        <w:t>.</w:t>
      </w:r>
      <w:r w:rsidRPr="00861C48">
        <w:t xml:space="preserve"> </w:t>
      </w:r>
      <w:r w:rsidR="007C075F" w:rsidRPr="00861C48">
        <w:t>W</w:t>
      </w:r>
      <w:r w:rsidRPr="00861C48">
        <w:t xml:space="preserve">płynie to na zharmonizowanie momentu wpływu dokumentów i przyspieszy całość postępowania. Rekomendowane rozwiązanie determinuje postępująca informatyzacja </w:t>
      </w:r>
      <w:r w:rsidRPr="00861C48">
        <w:lastRenderedPageBreak/>
        <w:t xml:space="preserve">administracji publicznej w Rzeczypospolitej Polskiej, co usprawni komunikację między wszystkimi użytkownikami systemu. Takie rozwiązanie w efekcie dodatkowo uprości procedury objęte wydaniem OCI. Powodem wprowadzenia nowych rozwiązań jest </w:t>
      </w:r>
      <w:r w:rsidR="00E84E5E" w:rsidRPr="00861C48">
        <w:t xml:space="preserve">obecnie </w:t>
      </w:r>
      <w:r w:rsidRPr="00861C48">
        <w:t>brak kompatybilności.</w:t>
      </w:r>
    </w:p>
    <w:p w14:paraId="63159044" w14:textId="77777777" w:rsidR="00E973EC" w:rsidRPr="00861C48" w:rsidRDefault="00E973EC" w:rsidP="00861C48">
      <w:pPr>
        <w:spacing w:after="120" w:line="360" w:lineRule="auto"/>
        <w:ind w:left="-17" w:right="0" w:firstLine="499"/>
      </w:pPr>
      <w:r w:rsidRPr="00861C48">
        <w:t>Rozwiązania ujęte w projekcie ustawy są ukierunkowane na zapewnienie optymalizacji wykorzystania środków publicznych w zakresie finansowania inwestycji na rynku usług medycznych przez zaspokojenie popytu na usługi medyczne w danym obszarze oraz eliminację nadpodaży niektórych usług medycznych.</w:t>
      </w:r>
    </w:p>
    <w:p w14:paraId="4D4C6E3F" w14:textId="5AB2D05B" w:rsidR="00E973EC" w:rsidRPr="00861C48" w:rsidRDefault="00E973EC" w:rsidP="00861C48">
      <w:pPr>
        <w:spacing w:line="360" w:lineRule="auto"/>
        <w:ind w:left="-15" w:right="0"/>
      </w:pPr>
      <w:r w:rsidRPr="00861C48">
        <w:t>Wejście w życie projektowanej ustawy wpłynie na sektor finansów publicznych, w</w:t>
      </w:r>
      <w:r w:rsidR="00DB3A29" w:rsidRPr="00861C48">
        <w:t> </w:t>
      </w:r>
      <w:r w:rsidRPr="00861C48">
        <w:t>zakresie dochodów budżetu państwa.</w:t>
      </w:r>
    </w:p>
    <w:p w14:paraId="082E5629" w14:textId="590B2C29" w:rsidR="00E973EC" w:rsidRPr="00861C48" w:rsidRDefault="00E973EC" w:rsidP="00861C48">
      <w:pPr>
        <w:spacing w:line="360" w:lineRule="auto"/>
        <w:ind w:left="-15" w:right="0"/>
      </w:pPr>
      <w:r w:rsidRPr="00861C48">
        <w:t>Dochody wynikające z niniejszej ustawy będą stanowić wpływy z opłat za składane przez podmioty lecznicze wnioski o wydanie OCI. W związku z przyjęciem określonych rozwiązań w zakresie poszerzenia grona podmiotów ubiegających się o wydanie OCI, co będzie generowało wzrost liczby opinii, a z drugiej strony ustalenie dolnego limitu wartości inwestycji, co wpłynie na spadek liczby opinii, potrzebne jest wykonanie badania w celu oceny przewidywanych następstw.</w:t>
      </w:r>
    </w:p>
    <w:p w14:paraId="74AC0C41" w14:textId="20842C10" w:rsidR="00E973EC" w:rsidRPr="00861C48" w:rsidRDefault="00E973EC" w:rsidP="00861C48">
      <w:pPr>
        <w:spacing w:line="360" w:lineRule="auto"/>
        <w:ind w:left="-15" w:right="0"/>
      </w:pPr>
      <w:r w:rsidRPr="00861C48">
        <w:t xml:space="preserve">Szacunek wielkości oczekiwanej skali spadku albo wzrostu liczby ocenianych inwestycji wymaga określenia potencjalnej liczby podmiotów, które będą składały wnioski </w:t>
      </w:r>
      <w:r w:rsidR="007C075F" w:rsidRPr="00861C48">
        <w:t xml:space="preserve">w sprawie </w:t>
      </w:r>
      <w:r w:rsidRPr="00861C48">
        <w:t>celowości inwestycji</w:t>
      </w:r>
      <w:r w:rsidR="00E46FB1">
        <w:t>,</w:t>
      </w:r>
      <w:r w:rsidRPr="00861C48">
        <w:t xml:space="preserve"> oraz liczby planowanych inwestycji. Ministerstwo Zdrowia w celu oszacowania skutków projektowanych regulacji zwróciło się z wnioskiem do 4 losowo wybranych województw</w:t>
      </w:r>
      <w:r w:rsidR="00DD6A5B" w:rsidRPr="00861C48">
        <w:t>,</w:t>
      </w:r>
      <w:r w:rsidRPr="00861C48">
        <w:t xml:space="preserve"> tj. zachodniopomorskieg</w:t>
      </w:r>
      <w:r w:rsidR="00802C34">
        <w:t>o, pomorskiego, mazowieckiego i </w:t>
      </w:r>
      <w:r w:rsidRPr="00861C48">
        <w:t>podlaskiego o wskazanie wszystkich inwestycji realizowanych lub zaplanowanych do rozpoczęcia w latach 2017</w:t>
      </w:r>
      <w:r w:rsidR="002F57C0" w:rsidRPr="00861C48">
        <w:t>–</w:t>
      </w:r>
      <w:r w:rsidRPr="00861C48">
        <w:t>2019 dla wybranej próby podmiotów leczniczych, niezależnie od tego</w:t>
      </w:r>
      <w:r w:rsidR="00C0014E" w:rsidRPr="00861C48">
        <w:t>,</w:t>
      </w:r>
      <w:r w:rsidRPr="00861C48">
        <w:t xml:space="preserve"> czy dana inwestycja miała OCI. Zebrane zbiory danych polegały na ustaleniu pewnych wielkości określonej grupy zbiorowości na podstawie zbiorowości znanej pozostającej z nią w</w:t>
      </w:r>
      <w:r w:rsidR="00DB3A29" w:rsidRPr="00861C48">
        <w:t> </w:t>
      </w:r>
      <w:r w:rsidRPr="00861C48">
        <w:t xml:space="preserve">określonym związku. Liczba jednostek objętych badaniem statystycznym wynosiła 505 inwestycji realizowanych przez 125 podmiotów w przekroju 3 lat. Powyższe wartości zostały oparte na informacjach bezpośrednio przekazanych od podmiotów leczniczych przez urzędy wojewódzkie, które zawierały listę podmiotów i informację o inwestycjach zarówno posiadających OCI oraz realizowanych bez tej opinii. W związku z faktem, </w:t>
      </w:r>
      <w:r w:rsidR="00374A90" w:rsidRPr="00861C48">
        <w:t xml:space="preserve">że </w:t>
      </w:r>
      <w:r w:rsidRPr="00861C48">
        <w:t xml:space="preserve">Minister Zdrowia jest administratorem systemu IOWISZ, na potrzeby analizy została wygenerowana lista wszystkich złożonych wniosków </w:t>
      </w:r>
      <w:r w:rsidR="00477B11">
        <w:t xml:space="preserve">o wydanie OCI </w:t>
      </w:r>
      <w:r w:rsidRPr="00861C48">
        <w:t>na terenie kraju</w:t>
      </w:r>
      <w:r w:rsidR="00477B11">
        <w:t>.</w:t>
      </w:r>
      <w:r w:rsidRPr="00861C48">
        <w:t xml:space="preserve"> Powyższe dwie grupy danych </w:t>
      </w:r>
      <w:r w:rsidRPr="00861C48">
        <w:lastRenderedPageBreak/>
        <w:t>posłużyły dalszej dedukcji, która m.in. polegała na porównaniu danych pochodzących z dwóch źródeł. Przeprowadzona analiza doprowadziła do następujących wniosków</w:t>
      </w:r>
      <w:r w:rsidR="00C0014E" w:rsidRPr="00861C48">
        <w:t>:</w:t>
      </w:r>
    </w:p>
    <w:p w14:paraId="075EFDA5" w14:textId="2B86DC3B" w:rsidR="00E973EC" w:rsidRPr="00464BF1" w:rsidRDefault="00E973EC" w:rsidP="00861C48">
      <w:pPr>
        <w:spacing w:line="360" w:lineRule="auto"/>
        <w:ind w:left="-15" w:right="0"/>
        <w:rPr>
          <w:color w:val="auto"/>
        </w:rPr>
      </w:pPr>
      <w:r w:rsidRPr="00464BF1">
        <w:rPr>
          <w:color w:val="auto"/>
        </w:rPr>
        <w:t xml:space="preserve">Zakłada się, że poszerzenie grona podmiotów ubiegających się o wydanie OCI wpłynie na wzrost liczby wniosków </w:t>
      </w:r>
      <w:r w:rsidR="000F20AF">
        <w:rPr>
          <w:color w:val="auto"/>
        </w:rPr>
        <w:t xml:space="preserve">o wydanie </w:t>
      </w:r>
      <w:r w:rsidRPr="00464BF1">
        <w:rPr>
          <w:color w:val="auto"/>
        </w:rPr>
        <w:t xml:space="preserve">OCI. Na podstawie przeprowadzonej próby 125 podmiotów leczniczych z czterech wybranych województw oszacowano, że w </w:t>
      </w:r>
      <w:r w:rsidR="000F20AF">
        <w:rPr>
          <w:color w:val="auto"/>
        </w:rPr>
        <w:t>latach</w:t>
      </w:r>
      <w:r w:rsidR="000F20AF" w:rsidRPr="00464BF1">
        <w:rPr>
          <w:color w:val="auto"/>
        </w:rPr>
        <w:t xml:space="preserve"> </w:t>
      </w:r>
      <w:r w:rsidRPr="00464BF1">
        <w:rPr>
          <w:color w:val="auto"/>
        </w:rPr>
        <w:t>2017</w:t>
      </w:r>
      <w:r w:rsidR="00DD6A5B" w:rsidRPr="00464BF1">
        <w:rPr>
          <w:color w:val="auto"/>
        </w:rPr>
        <w:t>–</w:t>
      </w:r>
      <w:r w:rsidRPr="00464BF1">
        <w:rPr>
          <w:color w:val="auto"/>
        </w:rPr>
        <w:t>2019 realizowano 505 inwestycji. Po porównaniu danych uzyskanych z urzędów wojewódzkich ze zbiorami wygenerowanymi z systemu IOWISZ wynika, iż 198 spośród nich nie miało OCI. Z</w:t>
      </w:r>
      <w:r w:rsidR="00DB3A29" w:rsidRPr="00464BF1">
        <w:rPr>
          <w:color w:val="auto"/>
        </w:rPr>
        <w:t> </w:t>
      </w:r>
      <w:r w:rsidRPr="00464BF1">
        <w:rPr>
          <w:color w:val="auto"/>
        </w:rPr>
        <w:t xml:space="preserve">przeprowadzonej analizy wynika, że liczba wpływających wniosków może wzrosnąć o ok. 40%. </w:t>
      </w:r>
    </w:p>
    <w:p w14:paraId="6235694C" w14:textId="5997BC49" w:rsidR="00E973EC" w:rsidRPr="00861C48" w:rsidRDefault="00E973EC" w:rsidP="00861C48">
      <w:pPr>
        <w:spacing w:line="360" w:lineRule="auto"/>
        <w:ind w:left="-15" w:right="0"/>
      </w:pPr>
      <w:r w:rsidRPr="00861C48">
        <w:t xml:space="preserve">Odnosząc się do proponowanych zmian w zakresie ustawy </w:t>
      </w:r>
      <w:r w:rsidR="00802C34">
        <w:t>z dnia 15 kwietnia 2011 </w:t>
      </w:r>
      <w:r w:rsidR="000313F0" w:rsidRPr="00861C48">
        <w:t xml:space="preserve">r. </w:t>
      </w:r>
      <w:r w:rsidR="00802C34">
        <w:t>o </w:t>
      </w:r>
      <w:r w:rsidRPr="00861C48">
        <w:t>działalności leczniczej</w:t>
      </w:r>
      <w:r w:rsidR="00464BF1">
        <w:t>,</w:t>
      </w:r>
      <w:r w:rsidRPr="00861C48">
        <w:t xml:space="preserve"> należy podkreślić, </w:t>
      </w:r>
      <w:r w:rsidR="00D8016A" w:rsidRPr="00861C48">
        <w:t xml:space="preserve">że </w:t>
      </w:r>
      <w:r w:rsidRPr="00861C48">
        <w:t>rozwiązywanym problemem jest zbyt wąskie spektrum podmiotów leczniczych objętych koniecznością posiadania oceny o celowości inwestycji, w których są realizowane inwestycje obarczon</w:t>
      </w:r>
      <w:r w:rsidR="00802C34">
        <w:t>e ryzykiem nieuzyskania umowy z </w:t>
      </w:r>
      <w:r w:rsidRPr="00861C48">
        <w:t>NFZ. Aktualnie brak jest uregulowań dotyczących spełnienia warunku posiadania OCI</w:t>
      </w:r>
      <w:r w:rsidR="00E667CE" w:rsidRPr="00861C48">
        <w:t xml:space="preserve"> </w:t>
      </w:r>
      <w:r w:rsidR="00802C34">
        <w:t>w </w:t>
      </w:r>
      <w:r w:rsidRPr="00861C48">
        <w:t>przypadku podmiotów leczniczych utworzonych przez jednostki samorządu terytorialnego, w zakresie przyznawania środków publicznych na realizację zadań w ramach ochrony zdrowia. Skutkuje to realizacją inwestycji, dla których występuje d</w:t>
      </w:r>
      <w:r w:rsidR="00802C34">
        <w:t>uże ryzyko nieuzyskania umowy z </w:t>
      </w:r>
      <w:r w:rsidRPr="00861C48">
        <w:t>NFZ</w:t>
      </w:r>
      <w:r w:rsidR="00C0014E" w:rsidRPr="00861C48">
        <w:t>,</w:t>
      </w:r>
      <w:r w:rsidRPr="00861C48">
        <w:t xml:space="preserve"> lub w ograniczonym zakresie odzwierciedlających </w:t>
      </w:r>
      <w:r w:rsidR="00802C34">
        <w:t>rzeczywiste potrzeby ludności i </w:t>
      </w:r>
      <w:r w:rsidRPr="00861C48">
        <w:t>służących kreowaniu polityki zdrowotnej państwa. Finansowanie inwestycji niezgodnych z</w:t>
      </w:r>
      <w:r w:rsidR="00802C34">
        <w:t> </w:t>
      </w:r>
      <w:r w:rsidRPr="00861C48">
        <w:t>rzeczywistymi i prognozowanymi potrzebami społeczeństwa powoduje występowanie nadpodaży niektórych usług medycznych, przy jednoczesnym niedoborze pożądanych świadczeń. Wsparcie ze środków publicznych powinny otrzymywać wyłącznie te przedsięwzięcia inwestycyjne, które są faktycznie celowe, a</w:t>
      </w:r>
      <w:r w:rsidR="00802C34">
        <w:t xml:space="preserve"> więc odpowiadają istniejącym i </w:t>
      </w:r>
      <w:r w:rsidRPr="00861C48">
        <w:t>prognozowanym potrzebom zdrowotnym na danym obszarze zgodnie z</w:t>
      </w:r>
      <w:r w:rsidR="00200FD4" w:rsidRPr="00861C48">
        <w:t> </w:t>
      </w:r>
      <w:r w:rsidRPr="00861C48">
        <w:t>obowiązującymi mapami potrzeb zdrowotnych i Priorytetami dla Regionalnej Polityki Zdrowotnej, które są</w:t>
      </w:r>
      <w:r w:rsidR="00DB3A29" w:rsidRPr="00861C48">
        <w:t> </w:t>
      </w:r>
      <w:r w:rsidRPr="00861C48">
        <w:t>ustalane przez poszczególnych wojewodów.</w:t>
      </w:r>
    </w:p>
    <w:p w14:paraId="14D6D32A" w14:textId="3497B08C" w:rsidR="00464BF1" w:rsidRDefault="00E973EC" w:rsidP="00861C48">
      <w:pPr>
        <w:spacing w:after="120" w:line="360" w:lineRule="auto"/>
        <w:ind w:left="-17" w:right="0" w:firstLine="499"/>
      </w:pPr>
      <w:r w:rsidRPr="00861C48">
        <w:t>Kwotowe określenie limitu inwestycji, dla którego przewiduje się sporządzanie OCI</w:t>
      </w:r>
      <w:r w:rsidR="00464BF1">
        <w:t>,</w:t>
      </w:r>
      <w:r w:rsidRPr="00861C48">
        <w:t xml:space="preserve"> założono dla inwestycji o wartości kosztorysowej przekraczającej 2 mln zł. </w:t>
      </w:r>
      <w:r w:rsidR="004E07AE" w:rsidRPr="00861C48">
        <w:t>Należy wskazać, że regulacje w zakresie tego, kto określa wartość kosztorysową inwestycji</w:t>
      </w:r>
      <w:r w:rsidR="00C0014E" w:rsidRPr="00861C48">
        <w:t>,</w:t>
      </w:r>
      <w:r w:rsidR="004E07AE" w:rsidRPr="00861C48">
        <w:t xml:space="preserve"> </w:t>
      </w:r>
      <w:r w:rsidR="00D8016A" w:rsidRPr="00861C48">
        <w:t xml:space="preserve">są </w:t>
      </w:r>
      <w:r w:rsidR="004E07AE" w:rsidRPr="00861C48">
        <w:t>z</w:t>
      </w:r>
      <w:r w:rsidR="00802C34">
        <w:t>awarte w </w:t>
      </w:r>
      <w:r w:rsidR="004E07AE" w:rsidRPr="00861C48">
        <w:t>odrębnych przepisach (przepisach dotyczących prawa budowlanego). Wartość inwestycji określona we wniosku dotyczy konkretnego zakresu rzeczowego, a jej wartość ma być aktualna na dzień złożenia wniosku</w:t>
      </w:r>
      <w:r w:rsidR="004079C1" w:rsidRPr="00861C48">
        <w:t xml:space="preserve"> o wydanie OCI</w:t>
      </w:r>
      <w:r w:rsidR="004E07AE" w:rsidRPr="00861C48">
        <w:t xml:space="preserve">. Szacunkowa wartość inwestycji powinna być </w:t>
      </w:r>
      <w:r w:rsidR="004E07AE" w:rsidRPr="00861C48">
        <w:lastRenderedPageBreak/>
        <w:t>wskazana z uwzględnieniem realnych, prognoz</w:t>
      </w:r>
      <w:r w:rsidR="00802C34">
        <w:t>owanych trendów ekonomicznych i </w:t>
      </w:r>
      <w:r w:rsidR="004E07AE" w:rsidRPr="00861C48">
        <w:t xml:space="preserve">gospodarczych. </w:t>
      </w:r>
    </w:p>
    <w:p w14:paraId="361577F4" w14:textId="1EBB21B0" w:rsidR="00E973EC" w:rsidRPr="00861C48" w:rsidRDefault="00E973EC" w:rsidP="00861C48">
      <w:pPr>
        <w:spacing w:after="120" w:line="360" w:lineRule="auto"/>
        <w:ind w:left="-17" w:right="0" w:firstLine="499"/>
      </w:pPr>
      <w:r w:rsidRPr="00861C48">
        <w:t>Na podstawie wygenerowanych danych z sytemu IOWISZ oszacowano, że w latach 2016</w:t>
      </w:r>
      <w:r w:rsidR="00802C34">
        <w:noBreakHyphen/>
      </w:r>
      <w:r w:rsidRPr="00861C48">
        <w:t xml:space="preserve">2018 wpłynęło 1649 wniosków </w:t>
      </w:r>
      <w:r w:rsidR="00391803">
        <w:t xml:space="preserve">o wydanie </w:t>
      </w:r>
      <w:r w:rsidRPr="00861C48">
        <w:t>OCI, z czego 437 stanowiły wnioski o wartości inwestycyjnej do 2 mln zł i</w:t>
      </w:r>
      <w:r w:rsidR="00CD7A50">
        <w:t xml:space="preserve"> </w:t>
      </w:r>
      <w:r w:rsidRPr="00861C48">
        <w:t xml:space="preserve">były to wnioski w szczególności dotyczące zakupu sprzętu medycznego, mało istotnego z uwagi na kontraktowanie realizacji świadczeń opieki zdrowotnej finansowanych z NFZ. Prognozowany jest zatem 27% spadek liczby wniosków </w:t>
      </w:r>
      <w:r w:rsidR="00391803">
        <w:t xml:space="preserve">o wydanie </w:t>
      </w:r>
      <w:r w:rsidRPr="00861C48">
        <w:t>OCI w związku z wprowadzeniem limitu kwotowego. Podsumowując</w:t>
      </w:r>
      <w:r w:rsidR="00C0014E" w:rsidRPr="00861C48">
        <w:t>,</w:t>
      </w:r>
      <w:r w:rsidR="00802C34">
        <w:t xml:space="preserve"> projektowane zmiany z </w:t>
      </w:r>
      <w:r w:rsidRPr="00861C48">
        <w:t>jednej strony zakładają 27% spadek wynikający z określenia dolnego limitu kwoty dla inwestycji, które nie podlegają ocenie IOWISZ, a z drugiej 40% przewidywany wzrost składanych w systemie IOWISZ wniosków o</w:t>
      </w:r>
      <w:r w:rsidR="00CD7A50">
        <w:t xml:space="preserve"> </w:t>
      </w:r>
      <w:r w:rsidR="00B72F90">
        <w:t xml:space="preserve">wydanie </w:t>
      </w:r>
      <w:r w:rsidRPr="00861C48">
        <w:t xml:space="preserve">OCI, w konsekwencji </w:t>
      </w:r>
      <w:r w:rsidR="00D8016A" w:rsidRPr="00861C48">
        <w:t xml:space="preserve">jest </w:t>
      </w:r>
      <w:r w:rsidRPr="00861C48">
        <w:t>prognozowana zatem 13% zmiana dodatnia oznaczająca, że przyjęcie rozwiązań w ustawie skutkuje 13% wzrostem liczby składanych wniosków. Natomiast odnosząc się do możliwości kadrowych zapewnienia odpowiedniego wysokiego poziomu opiniowania zwiększonej liczby wniosków</w:t>
      </w:r>
      <w:r w:rsidR="00CD7A50">
        <w:t>,</w:t>
      </w:r>
      <w:r w:rsidRPr="00861C48">
        <w:t xml:space="preserve"> należy zaznaczyć, iż projektowana ustawa oprócz ww. zmian jednocześnie likwiduje ocenę poszczególnych dziedzin</w:t>
      </w:r>
      <w:r w:rsidR="00B72F90">
        <w:t xml:space="preserve"> medycyny</w:t>
      </w:r>
      <w:r w:rsidRPr="00861C48">
        <w:t>, co w praktyce oznacza znaczne uproszczenie procesu oceny wniosków i w efekcie wpłynie na zmniejszenie czasu potrzebnego do oceny wniosku dla opiniującego. Należy podkreślić, ż</w:t>
      </w:r>
      <w:r w:rsidR="00B72F90">
        <w:t>e</w:t>
      </w:r>
      <w:r w:rsidRPr="00861C48">
        <w:t xml:space="preserve"> w ramach obowiązujących przepisów, w przypadku znacznej liczby składanych wniosków obejmujących kilka lub kilkanaście dziedzin</w:t>
      </w:r>
      <w:r w:rsidR="00067F72" w:rsidRPr="00861C48">
        <w:t xml:space="preserve"> medycyny</w:t>
      </w:r>
      <w:r w:rsidRPr="00861C48">
        <w:t>, osoba opiniująca poświęca kilkakrotnie więcej czasu potrzebnego do obsługi wniosku, ze względu na konieczność dokonania opinii dla każdej dziedziny z osobna przechodząc przez poszczególne kryteria. Czas niezbędny do</w:t>
      </w:r>
      <w:r w:rsidR="00CD7A50">
        <w:t xml:space="preserve"> </w:t>
      </w:r>
      <w:r w:rsidRPr="00861C48">
        <w:t>przeprowadzenia oceny wniosku obejmującego wiele dziedzin</w:t>
      </w:r>
      <w:r w:rsidR="00067F72" w:rsidRPr="00861C48">
        <w:t xml:space="preserve"> medycyny</w:t>
      </w:r>
      <w:r w:rsidRPr="00861C48">
        <w:t xml:space="preserve"> ze względu na rozdrobnienie jest często równoznaczny z dokonaniem oceny przynajmniej dwóch wniosków składanych przed wejściem w życie regulacji wprowadzającej dziedziny. Dodatkowo, pozostałe usprawnienia w zakresie elektronizacji całego procesu opiniowania wniosków, także przyczynią </w:t>
      </w:r>
      <w:r w:rsidR="00802C34">
        <w:t>się do skrócenia czasu oceny. W </w:t>
      </w:r>
      <w:r w:rsidRPr="00861C48">
        <w:t xml:space="preserve">związku z powyższym, przewidywany na poziomie 13% wzrost liczby wniosków </w:t>
      </w:r>
      <w:r w:rsidR="00B72F90">
        <w:t xml:space="preserve">o wydanie </w:t>
      </w:r>
      <w:r w:rsidRPr="00861C48">
        <w:t>OCI nie wpłynie na konieczność zwiększenia zasobów kadrowych, w związku z likwidacją dziedzin</w:t>
      </w:r>
      <w:r w:rsidR="00B72F90">
        <w:t xml:space="preserve"> medycyny</w:t>
      </w:r>
      <w:r w:rsidRPr="00861C48">
        <w:t>, co w konsekwencji skróci czas obsługi jednego wniosku. A zatem należy założyć, że aktualne zasoby kadrowe są wystarczające i nie ma przesłanek, które naruszyłyby porządek i wpłynęłyby na jakość opiniowania przedkładanych wniosków. W związku z tym nie przewiduje się, aby projektowane regulacje wpłynęły na wygenerowanie wyższego poziomu kosztów personalnych, związanych z</w:t>
      </w:r>
      <w:r w:rsidR="00F82BBD">
        <w:t>e</w:t>
      </w:r>
      <w:r w:rsidRPr="00861C48">
        <w:t xml:space="preserve"> zwiększeniem liczby wniosków </w:t>
      </w:r>
      <w:r w:rsidR="00B72F90">
        <w:t xml:space="preserve">o wydanie </w:t>
      </w:r>
      <w:r w:rsidRPr="00861C48">
        <w:t xml:space="preserve">OCI. Nie </w:t>
      </w:r>
      <w:r w:rsidRPr="00861C48">
        <w:lastRenderedPageBreak/>
        <w:t>zakłada się zwiększenia liczby zatrudnionych osób do oceny wniosków w urzędach obsługujących wojewodę wydający</w:t>
      </w:r>
      <w:r w:rsidR="00F82BBD">
        <w:t>ch</w:t>
      </w:r>
      <w:r w:rsidRPr="00861C48">
        <w:t xml:space="preserve"> opinię ani w urzędzie obsługując</w:t>
      </w:r>
      <w:r w:rsidR="00CA2F1E">
        <w:t>ym</w:t>
      </w:r>
      <w:r w:rsidRPr="00861C48">
        <w:t xml:space="preserve"> ministra właściwego do spraw zdrowia. Szacuje się, że niniejsza ustawa spowoduje wzrost liczby wniosków o 13%. Powyższe szacunki wynikają przede wszystkim z poszerzenia grona podmiotów występujących o </w:t>
      </w:r>
      <w:r w:rsidR="00B72F90">
        <w:t xml:space="preserve">wydanie </w:t>
      </w:r>
      <w:r w:rsidRPr="00861C48">
        <w:t>OCI, skorygowan</w:t>
      </w:r>
      <w:r w:rsidR="00D14776">
        <w:t>ego</w:t>
      </w:r>
      <w:r w:rsidRPr="00861C48">
        <w:t xml:space="preserve"> o przewidywany spadek wynikający z </w:t>
      </w:r>
      <w:r w:rsidR="00E84E5E" w:rsidRPr="00861C48">
        <w:t>o</w:t>
      </w:r>
      <w:r w:rsidRPr="00861C48">
        <w:t>kreślenia dolnego limitu kwoty inwestycji</w:t>
      </w:r>
      <w:r w:rsidR="002F57C0" w:rsidRPr="00861C48">
        <w:t>,</w:t>
      </w:r>
      <w:r w:rsidRPr="00861C48">
        <w:t xml:space="preserve"> dla których nie będzie wymagana OCI, zniesienia dziedzin, ujednolicenia wysokości opłaty z</w:t>
      </w:r>
      <w:r w:rsidR="00D14776">
        <w:t xml:space="preserve"> </w:t>
      </w:r>
      <w:r w:rsidRPr="00861C48">
        <w:t xml:space="preserve">tytułu wydania opinii dla wszystkich inwestycji do wysokości 4000 zł, co jednocześnie spowoduje spadek jednostkowego dochodu wniosku, </w:t>
      </w:r>
      <w:r w:rsidR="00802C34">
        <w:t>w związku z </w:t>
      </w:r>
      <w:r w:rsidRPr="00861C48">
        <w:t>likwidacją dodatkowej opłaty w wysokości 1 tys. zł za każdą opiniowaną dziedzinę</w:t>
      </w:r>
      <w:r w:rsidR="00067F72" w:rsidRPr="00861C48">
        <w:t xml:space="preserve"> medycyny</w:t>
      </w:r>
      <w:r w:rsidRPr="00861C48">
        <w:t>. Mając na uwadze prognozowany wzrost liczby wniosków oszacowany na poziomie ok. 100 wniosków rocznie, przewiduje się, że całkowity dodatkowy dochód ro</w:t>
      </w:r>
      <w:r w:rsidR="00D14776">
        <w:t>czny będzie na poziomie ok. 400 </w:t>
      </w:r>
      <w:r w:rsidRPr="00861C48">
        <w:t>000 zł.</w:t>
      </w:r>
    </w:p>
    <w:p w14:paraId="7901DCE9" w14:textId="291CAEC5" w:rsidR="00B45FB3" w:rsidRPr="00861C48" w:rsidRDefault="002317C6" w:rsidP="00861C48">
      <w:pPr>
        <w:spacing w:line="360" w:lineRule="auto"/>
      </w:pPr>
      <w:r w:rsidRPr="00861C48">
        <w:t xml:space="preserve">Zakłada się, że projektowana ustawa wejdzie w życie z dniem </w:t>
      </w:r>
      <w:r w:rsidR="00E30F97" w:rsidRPr="00861C48">
        <w:t xml:space="preserve">1 </w:t>
      </w:r>
      <w:r w:rsidR="00531366" w:rsidRPr="00861C48">
        <w:t>stycznia</w:t>
      </w:r>
      <w:r w:rsidR="00E30F97" w:rsidRPr="00861C48">
        <w:t xml:space="preserve"> 202</w:t>
      </w:r>
      <w:r w:rsidR="00531366" w:rsidRPr="00861C48">
        <w:t>1</w:t>
      </w:r>
      <w:r w:rsidR="00E30F97" w:rsidRPr="00861C48">
        <w:t xml:space="preserve"> r.</w:t>
      </w:r>
      <w:r w:rsidR="00067F72" w:rsidRPr="00861C48">
        <w:t xml:space="preserve"> </w:t>
      </w:r>
      <w:r w:rsidR="00D41D1B" w:rsidRPr="00861C48">
        <w:t xml:space="preserve">– konieczne jest zapewnienie czasu niezbędnego na </w:t>
      </w:r>
      <w:r w:rsidR="00B45FB3" w:rsidRPr="00861C48">
        <w:t>przygotowani</w:t>
      </w:r>
      <w:r w:rsidR="00D41D1B" w:rsidRPr="00861C48">
        <w:t>e</w:t>
      </w:r>
      <w:r w:rsidR="00B45FB3" w:rsidRPr="00861C48">
        <w:t xml:space="preserve"> się do</w:t>
      </w:r>
      <w:r w:rsidR="00D41D1B" w:rsidRPr="00861C48">
        <w:t xml:space="preserve"> funkcjonowania</w:t>
      </w:r>
      <w:r w:rsidR="00B45FB3" w:rsidRPr="00861C48">
        <w:t xml:space="preserve"> nowej regulacji (</w:t>
      </w:r>
      <w:r w:rsidR="00D41D1B" w:rsidRPr="00861C48">
        <w:t xml:space="preserve">m.in. określenie zasad prac i </w:t>
      </w:r>
      <w:r w:rsidR="00B45FB3" w:rsidRPr="00861C48">
        <w:t>powołanie</w:t>
      </w:r>
      <w:r w:rsidR="00D41D1B" w:rsidRPr="00861C48">
        <w:t xml:space="preserve"> </w:t>
      </w:r>
      <w:r w:rsidR="00B45FB3" w:rsidRPr="00861C48">
        <w:t>Komisji</w:t>
      </w:r>
      <w:r w:rsidR="00572856" w:rsidRPr="00861C48">
        <w:t xml:space="preserve"> czy</w:t>
      </w:r>
      <w:r w:rsidR="00B45FB3" w:rsidRPr="00861C48">
        <w:t xml:space="preserve"> dostosowanie </w:t>
      </w:r>
      <w:r w:rsidR="00572856" w:rsidRPr="00861C48">
        <w:t>s</w:t>
      </w:r>
      <w:r w:rsidR="00B45FB3" w:rsidRPr="00861C48">
        <w:t>ytemu IOWISZ do zmian legislacyjnych).</w:t>
      </w:r>
    </w:p>
    <w:p w14:paraId="1BFA9302" w14:textId="6AC78FED" w:rsidR="0014301A" w:rsidRPr="00861C48" w:rsidRDefault="0014301A" w:rsidP="00861C48">
      <w:pPr>
        <w:spacing w:line="360" w:lineRule="auto"/>
      </w:pPr>
      <w:r w:rsidRPr="00861C48">
        <w:t xml:space="preserve">Projekt nie zawiera przepisów dostosowujących w zakresie Komisji, np. kiedy zostaną powołani członkowie Komisji, kiedy będzie powołany przewodniczący tej Komisji, gdyż </w:t>
      </w:r>
      <w:r w:rsidR="00C80C3D" w:rsidRPr="00861C48">
        <w:t xml:space="preserve">przygotowanie do tych </w:t>
      </w:r>
      <w:r w:rsidRPr="00861C48">
        <w:t>czynności będ</w:t>
      </w:r>
      <w:r w:rsidR="00C80C3D" w:rsidRPr="00861C48">
        <w:t>zie</w:t>
      </w:r>
      <w:r w:rsidRPr="00861C48">
        <w:t xml:space="preserve"> dokonywane w </w:t>
      </w:r>
      <w:r w:rsidRPr="00861C48">
        <w:rPr>
          <w:i/>
        </w:rPr>
        <w:t>vacatio legis</w:t>
      </w:r>
      <w:r w:rsidR="00C0014E" w:rsidRPr="00861C48">
        <w:t xml:space="preserve"> ustawy</w:t>
      </w:r>
      <w:r w:rsidR="00C80C3D" w:rsidRPr="00861C48">
        <w:t xml:space="preserve">, a same czynności dokonane niezwłocznie </w:t>
      </w:r>
      <w:r w:rsidR="00C0014E" w:rsidRPr="00861C48">
        <w:t>p</w:t>
      </w:r>
      <w:r w:rsidR="00C80C3D" w:rsidRPr="00861C48">
        <w:t>o wejściu ustawy w życie</w:t>
      </w:r>
      <w:r w:rsidRPr="00861C48">
        <w:t>.</w:t>
      </w:r>
      <w:r w:rsidR="00861C48">
        <w:t xml:space="preserve"> </w:t>
      </w:r>
      <w:r w:rsidR="00310854" w:rsidRPr="00861C48">
        <w:t>Ponadto należy zwrócić uwagę,</w:t>
      </w:r>
      <w:r w:rsidR="00142E32" w:rsidRPr="00861C48">
        <w:t xml:space="preserve"> </w:t>
      </w:r>
      <w:r w:rsidR="00310854" w:rsidRPr="00861C48">
        <w:t>ż</w:t>
      </w:r>
      <w:r w:rsidR="00142E32" w:rsidRPr="00861C48">
        <w:t>e</w:t>
      </w:r>
      <w:r w:rsidR="00310854" w:rsidRPr="00861C48">
        <w:t xml:space="preserve"> termin na wydanie </w:t>
      </w:r>
      <w:r w:rsidR="00142E32" w:rsidRPr="00861C48">
        <w:t>OCI</w:t>
      </w:r>
      <w:r w:rsidR="00310854" w:rsidRPr="00861C48">
        <w:t xml:space="preserve"> jest dostatecznie długi i wynosi </w:t>
      </w:r>
      <w:r w:rsidR="00FB298A" w:rsidRPr="00861C48">
        <w:t>45 dni</w:t>
      </w:r>
      <w:r w:rsidR="00142E32" w:rsidRPr="00861C48">
        <w:t>,</w:t>
      </w:r>
      <w:r w:rsidR="00310854" w:rsidRPr="00861C48">
        <w:t xml:space="preserve"> a </w:t>
      </w:r>
      <w:r w:rsidR="00FB298A" w:rsidRPr="00861C48">
        <w:t xml:space="preserve">wskazany w art. 95eb ust. 4 </w:t>
      </w:r>
      <w:r w:rsidR="00142E32" w:rsidRPr="00861C48">
        <w:t xml:space="preserve">ustawy o świadczeniach </w:t>
      </w:r>
      <w:r w:rsidR="00310854" w:rsidRPr="00861C48">
        <w:t xml:space="preserve">termin na złożenie oświadczenia wynosi </w:t>
      </w:r>
      <w:r w:rsidR="00FB298A" w:rsidRPr="00861C48">
        <w:t>10 dni dodatkowo zabezpiecza</w:t>
      </w:r>
      <w:r w:rsidR="00310854" w:rsidRPr="00861C48">
        <w:t>jąc</w:t>
      </w:r>
      <w:r w:rsidR="00FB298A" w:rsidRPr="00861C48">
        <w:t xml:space="preserve"> </w:t>
      </w:r>
      <w:r w:rsidR="00310854" w:rsidRPr="00861C48">
        <w:t>akuratność</w:t>
      </w:r>
      <w:r w:rsidR="00FB298A" w:rsidRPr="00861C48">
        <w:t xml:space="preserve"> </w:t>
      </w:r>
      <w:r w:rsidR="00310854" w:rsidRPr="00861C48">
        <w:t>w zakresie postępowania</w:t>
      </w:r>
      <w:r w:rsidR="00FB298A" w:rsidRPr="00861C48">
        <w:t>.</w:t>
      </w:r>
    </w:p>
    <w:p w14:paraId="53C0C6D7" w14:textId="6B58619F" w:rsidR="00FF7AC6" w:rsidRPr="00861C48" w:rsidRDefault="00DD6A5B" w:rsidP="00861C48">
      <w:pPr>
        <w:pStyle w:val="ARTartustawynprozporzdzenia"/>
        <w:rPr>
          <w:rFonts w:ascii="Times New Roman" w:eastAsia="Times New Roman" w:hAnsi="Times New Roman" w:cs="Times New Roman"/>
          <w:color w:val="000000"/>
          <w:szCs w:val="22"/>
        </w:rPr>
      </w:pPr>
      <w:r w:rsidRPr="00861C48">
        <w:rPr>
          <w:rFonts w:ascii="Times New Roman" w:eastAsia="Times New Roman" w:hAnsi="Times New Roman" w:cs="Times New Roman"/>
          <w:color w:val="000000"/>
          <w:szCs w:val="22"/>
        </w:rPr>
        <w:t>W p</w:t>
      </w:r>
      <w:r w:rsidR="00843EA0" w:rsidRPr="00861C48">
        <w:rPr>
          <w:rFonts w:ascii="Times New Roman" w:eastAsia="Times New Roman" w:hAnsi="Times New Roman" w:cs="Times New Roman"/>
          <w:color w:val="000000"/>
          <w:szCs w:val="22"/>
        </w:rPr>
        <w:t>rojektowan</w:t>
      </w:r>
      <w:r w:rsidRPr="00861C48">
        <w:rPr>
          <w:rFonts w:ascii="Times New Roman" w:eastAsia="Times New Roman" w:hAnsi="Times New Roman" w:cs="Times New Roman"/>
          <w:color w:val="000000"/>
          <w:szCs w:val="22"/>
        </w:rPr>
        <w:t>ej</w:t>
      </w:r>
      <w:r w:rsidR="00843EA0" w:rsidRPr="00861C48">
        <w:rPr>
          <w:rFonts w:ascii="Times New Roman" w:eastAsia="Times New Roman" w:hAnsi="Times New Roman" w:cs="Times New Roman"/>
          <w:color w:val="000000"/>
          <w:szCs w:val="22"/>
        </w:rPr>
        <w:t xml:space="preserve"> ustaw</w:t>
      </w:r>
      <w:r w:rsidRPr="00861C48">
        <w:rPr>
          <w:rFonts w:ascii="Times New Roman" w:eastAsia="Times New Roman" w:hAnsi="Times New Roman" w:cs="Times New Roman"/>
          <w:color w:val="000000"/>
          <w:szCs w:val="22"/>
        </w:rPr>
        <w:t>ie</w:t>
      </w:r>
      <w:r w:rsidR="00843EA0" w:rsidRPr="00861C48">
        <w:rPr>
          <w:rFonts w:ascii="Times New Roman" w:eastAsia="Times New Roman" w:hAnsi="Times New Roman" w:cs="Times New Roman"/>
          <w:color w:val="000000"/>
          <w:szCs w:val="22"/>
        </w:rPr>
        <w:t xml:space="preserve"> </w:t>
      </w:r>
      <w:r w:rsidRPr="00861C48">
        <w:rPr>
          <w:rFonts w:ascii="Times New Roman" w:eastAsia="Times New Roman" w:hAnsi="Times New Roman" w:cs="Times New Roman"/>
          <w:color w:val="000000"/>
          <w:szCs w:val="22"/>
        </w:rPr>
        <w:t>wprowadzono przepis przejściowy, zgodnie z którym</w:t>
      </w:r>
      <w:r w:rsidR="00843EA0" w:rsidRPr="00861C48">
        <w:rPr>
          <w:rFonts w:ascii="Times New Roman" w:eastAsia="Times New Roman" w:hAnsi="Times New Roman" w:cs="Times New Roman"/>
          <w:color w:val="000000"/>
          <w:szCs w:val="22"/>
        </w:rPr>
        <w:t xml:space="preserve"> </w:t>
      </w:r>
      <w:r w:rsidR="00E30F97" w:rsidRPr="00861C48">
        <w:rPr>
          <w:rFonts w:ascii="Times New Roman" w:eastAsia="Times New Roman" w:hAnsi="Times New Roman" w:cs="Times New Roman"/>
          <w:color w:val="000000"/>
          <w:szCs w:val="22"/>
        </w:rPr>
        <w:t xml:space="preserve">do postępowań o wydanie </w:t>
      </w:r>
      <w:r w:rsidR="00701CA7" w:rsidRPr="00861C48">
        <w:rPr>
          <w:rFonts w:ascii="Times New Roman" w:eastAsia="Times New Roman" w:hAnsi="Times New Roman" w:cs="Times New Roman"/>
          <w:color w:val="000000"/>
          <w:szCs w:val="22"/>
        </w:rPr>
        <w:t>OCI</w:t>
      </w:r>
      <w:r w:rsidR="00843EA0" w:rsidRPr="00861C48">
        <w:rPr>
          <w:rFonts w:ascii="Times New Roman" w:eastAsia="Times New Roman" w:hAnsi="Times New Roman" w:cs="Times New Roman"/>
          <w:color w:val="000000"/>
          <w:szCs w:val="22"/>
        </w:rPr>
        <w:t xml:space="preserve"> </w:t>
      </w:r>
      <w:r w:rsidR="00E30F97" w:rsidRPr="00861C48">
        <w:rPr>
          <w:rFonts w:ascii="Times New Roman" w:eastAsia="Times New Roman" w:hAnsi="Times New Roman" w:cs="Times New Roman"/>
          <w:color w:val="000000"/>
          <w:szCs w:val="22"/>
        </w:rPr>
        <w:t xml:space="preserve">oraz protestów do negatywnych </w:t>
      </w:r>
      <w:r w:rsidR="00701CA7" w:rsidRPr="00861C48">
        <w:rPr>
          <w:rFonts w:ascii="Times New Roman" w:eastAsia="Times New Roman" w:hAnsi="Times New Roman" w:cs="Times New Roman"/>
          <w:color w:val="000000"/>
          <w:szCs w:val="22"/>
        </w:rPr>
        <w:t>OCI</w:t>
      </w:r>
      <w:r w:rsidR="00802C34">
        <w:rPr>
          <w:rFonts w:ascii="Times New Roman" w:eastAsia="Times New Roman" w:hAnsi="Times New Roman" w:cs="Times New Roman"/>
          <w:color w:val="000000"/>
          <w:szCs w:val="22"/>
        </w:rPr>
        <w:t xml:space="preserve"> wszczętych i </w:t>
      </w:r>
      <w:r w:rsidR="00E30F97" w:rsidRPr="00861C48">
        <w:rPr>
          <w:rFonts w:ascii="Times New Roman" w:eastAsia="Times New Roman" w:hAnsi="Times New Roman" w:cs="Times New Roman"/>
          <w:color w:val="000000"/>
          <w:szCs w:val="22"/>
        </w:rPr>
        <w:t xml:space="preserve">niezakończonych przed dniem wejścia w życie niniejszej ustawy stosuje się przepisy dotychczasowe. </w:t>
      </w:r>
    </w:p>
    <w:p w14:paraId="4F5A5F92" w14:textId="78DB8A27" w:rsidR="00D23E1E" w:rsidRPr="00861C48" w:rsidRDefault="00D23E1E" w:rsidP="00861C48">
      <w:pPr>
        <w:pStyle w:val="ARTartustawynprozporzdzenia"/>
        <w:rPr>
          <w:rFonts w:ascii="Times New Roman" w:eastAsia="Times New Roman" w:hAnsi="Times New Roman" w:cs="Times New Roman"/>
          <w:color w:val="000000"/>
          <w:szCs w:val="22"/>
        </w:rPr>
      </w:pPr>
      <w:r w:rsidRPr="00861C48">
        <w:rPr>
          <w:rFonts w:ascii="Times New Roman" w:eastAsia="Times New Roman" w:hAnsi="Times New Roman" w:cs="Times New Roman"/>
          <w:color w:val="000000"/>
          <w:szCs w:val="22"/>
        </w:rPr>
        <w:t>Ponadto wprowadzono przepis, zgodnie z którym do postępowań w sprawie zawarcia umów o udzielanie świadczeń opieki zdrowotnej wszczętych i niezakończonych przed dniem wejścia w życie niniejszej ustawy stosuje się przepisy dotychczasowe.</w:t>
      </w:r>
    </w:p>
    <w:p w14:paraId="70A7A254" w14:textId="49DFECB7" w:rsidR="00E973EC" w:rsidRPr="00861C48" w:rsidRDefault="00E973EC" w:rsidP="00861C48">
      <w:pPr>
        <w:pStyle w:val="ARTartustawynprozporzdzenia"/>
        <w:rPr>
          <w:rFonts w:ascii="Times New Roman" w:eastAsia="Times New Roman" w:hAnsi="Times New Roman" w:cs="Times New Roman"/>
          <w:color w:val="000000"/>
          <w:szCs w:val="22"/>
        </w:rPr>
      </w:pPr>
      <w:r w:rsidRPr="00861C48">
        <w:rPr>
          <w:rFonts w:ascii="Times New Roman" w:hAnsi="Times New Roman" w:cs="Times New Roman"/>
        </w:rPr>
        <w:lastRenderedPageBreak/>
        <w:t xml:space="preserve">Projekt ustawy nie jest </w:t>
      </w:r>
      <w:r w:rsidR="00FF7AC6" w:rsidRPr="00861C48">
        <w:rPr>
          <w:rFonts w:ascii="Times New Roman" w:hAnsi="Times New Roman" w:cs="Times New Roman"/>
        </w:rPr>
        <w:t>sprzeczny z</w:t>
      </w:r>
      <w:r w:rsidRPr="00861C48">
        <w:rPr>
          <w:rFonts w:ascii="Times New Roman" w:hAnsi="Times New Roman" w:cs="Times New Roman"/>
        </w:rPr>
        <w:t xml:space="preserve"> praw</w:t>
      </w:r>
      <w:r w:rsidR="00FF7AC6" w:rsidRPr="00861C48">
        <w:rPr>
          <w:rFonts w:ascii="Times New Roman" w:hAnsi="Times New Roman" w:cs="Times New Roman"/>
        </w:rPr>
        <w:t>em</w:t>
      </w:r>
      <w:r w:rsidRPr="00861C48">
        <w:rPr>
          <w:rFonts w:ascii="Times New Roman" w:hAnsi="Times New Roman" w:cs="Times New Roman"/>
        </w:rPr>
        <w:t xml:space="preserve"> Unii Europejskiej</w:t>
      </w:r>
      <w:r w:rsidR="00FF7AC6" w:rsidRPr="00861C48">
        <w:rPr>
          <w:rFonts w:ascii="Times New Roman" w:hAnsi="Times New Roman" w:cs="Times New Roman"/>
        </w:rPr>
        <w:t>, zgodnie z pismem Ministra Spraw Zagranicznych z dnia 11 marca 2020 r., znak: KPDPUE.920.8.2020.MM(4)</w:t>
      </w:r>
      <w:r w:rsidRPr="00861C48">
        <w:rPr>
          <w:rFonts w:ascii="Times New Roman" w:hAnsi="Times New Roman" w:cs="Times New Roman"/>
        </w:rPr>
        <w:t>.</w:t>
      </w:r>
    </w:p>
    <w:p w14:paraId="6A0B76C9" w14:textId="561FBABC" w:rsidR="00E973EC" w:rsidRPr="00861C48" w:rsidRDefault="00E973EC" w:rsidP="00861C48">
      <w:pPr>
        <w:spacing w:line="360" w:lineRule="auto"/>
        <w:ind w:left="-15" w:right="0"/>
      </w:pPr>
      <w:r w:rsidRPr="00861C48">
        <w:t>Projekt ustawy nie wymaga przedstawienia organom i i</w:t>
      </w:r>
      <w:r w:rsidR="00802C34">
        <w:t>nstytucjom Unii Europejskiej, w </w:t>
      </w:r>
      <w:r w:rsidRPr="00861C48">
        <w:t>tym Europejskiemu Bankowi Centralnemu, w celu uzyskania opinii, dokonania powiadomienia, konsultacji albo uzgodnienia.</w:t>
      </w:r>
    </w:p>
    <w:p w14:paraId="3A8CDCCD" w14:textId="35A360F9" w:rsidR="00AA1151" w:rsidRPr="00861C48" w:rsidRDefault="00E973EC" w:rsidP="00861C48">
      <w:pPr>
        <w:spacing w:line="360" w:lineRule="auto"/>
        <w:ind w:left="-15" w:right="0"/>
      </w:pPr>
      <w:r w:rsidRPr="00861C48">
        <w:t>Projektowana ustawa nie podlega procedurze notyfikacji w rozumieniu przepisów rozporządzenia Rady Ministrów z dnia 23 grudnia 2002 r. w sprawie sposobu funkcjonowania krajowego systemu notyfikacji norm i aktów prawnych (Dz. U</w:t>
      </w:r>
      <w:r w:rsidR="00802C34">
        <w:t>. poz. 2039 oraz z 2004 </w:t>
      </w:r>
      <w:bookmarkStart w:id="1" w:name="_GoBack"/>
      <w:bookmarkEnd w:id="1"/>
      <w:r w:rsidR="00802C34">
        <w:t>r. poz. </w:t>
      </w:r>
      <w:r w:rsidRPr="00861C48">
        <w:t xml:space="preserve">597). </w:t>
      </w:r>
    </w:p>
    <w:p w14:paraId="5F4E824E" w14:textId="2EE99966" w:rsidR="00C962C8" w:rsidRPr="00861C48" w:rsidRDefault="00E973EC" w:rsidP="00861C48">
      <w:pPr>
        <w:spacing w:line="360" w:lineRule="auto"/>
        <w:ind w:left="-15" w:right="0"/>
        <w:rPr>
          <w:szCs w:val="24"/>
        </w:rPr>
      </w:pPr>
      <w:r w:rsidRPr="00861C48">
        <w:t>Nie ma możliwości podjęcia alternatywnych w stosunku do uchwalenia projektowanej ustawy środków umożliwiających osiągnięcie zamierzonego celu.</w:t>
      </w:r>
    </w:p>
    <w:p w14:paraId="2097667D" w14:textId="55E7210D" w:rsidR="003168AC" w:rsidRPr="00861C48" w:rsidRDefault="00C51435" w:rsidP="00861C48">
      <w:pPr>
        <w:spacing w:line="360" w:lineRule="auto"/>
        <w:rPr>
          <w:szCs w:val="24"/>
        </w:rPr>
      </w:pPr>
      <w:r w:rsidRPr="00861C48">
        <w:rPr>
          <w:szCs w:val="24"/>
        </w:rPr>
        <w:t>Nie przewiduje się wpływu projektowanych zmian na sektor mikro-, małych i średnich przedsiębiorstw.</w:t>
      </w:r>
    </w:p>
    <w:sectPr w:rsidR="003168AC" w:rsidRPr="00861C48">
      <w:headerReference w:type="even" r:id="rId8"/>
      <w:headerReference w:type="default" r:id="rId9"/>
      <w:footerReference w:type="default" r:id="rId10"/>
      <w:headerReference w:type="first" r:id="rId11"/>
      <w:footnotePr>
        <w:numRestart w:val="eachPage"/>
      </w:footnotePr>
      <w:pgSz w:w="11906" w:h="16838"/>
      <w:pgMar w:top="1618" w:right="1434" w:bottom="1569" w:left="1418" w:header="708" w:footer="708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455D40" w14:textId="77777777" w:rsidR="00B05979" w:rsidRDefault="00B05979">
      <w:pPr>
        <w:spacing w:after="0" w:line="240" w:lineRule="auto"/>
      </w:pPr>
      <w:r>
        <w:separator/>
      </w:r>
    </w:p>
  </w:endnote>
  <w:endnote w:type="continuationSeparator" w:id="0">
    <w:p w14:paraId="6965635D" w14:textId="77777777" w:rsidR="00B05979" w:rsidRDefault="00B05979">
      <w:pPr>
        <w:spacing w:after="0" w:line="240" w:lineRule="auto"/>
      </w:pPr>
      <w:r>
        <w:continuationSeparator/>
      </w:r>
    </w:p>
  </w:endnote>
  <w:endnote w:type="continuationNotice" w:id="1">
    <w:p w14:paraId="66B4FCCB" w14:textId="77777777" w:rsidR="00B05979" w:rsidRDefault="00B0597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88000242"/>
      <w:docPartObj>
        <w:docPartGallery w:val="Page Numbers (Bottom of Page)"/>
        <w:docPartUnique/>
      </w:docPartObj>
    </w:sdtPr>
    <w:sdtEndPr/>
    <w:sdtContent>
      <w:p w14:paraId="46B511E2" w14:textId="26150C11" w:rsidR="00861C48" w:rsidRDefault="00861C4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02C34">
          <w:rPr>
            <w:noProof/>
          </w:rPr>
          <w:t>12</w:t>
        </w:r>
        <w:r>
          <w:fldChar w:fldCharType="end"/>
        </w:r>
      </w:p>
    </w:sdtContent>
  </w:sdt>
  <w:p w14:paraId="57DD1CD5" w14:textId="77777777" w:rsidR="00434A8F" w:rsidRDefault="00434A8F" w:rsidP="00861C48">
    <w:pPr>
      <w:pStyle w:val="Stopka"/>
      <w:ind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D0789F" w14:textId="77777777" w:rsidR="00B05979" w:rsidRDefault="00B05979">
      <w:pPr>
        <w:spacing w:after="0" w:line="240" w:lineRule="auto"/>
      </w:pPr>
      <w:r>
        <w:separator/>
      </w:r>
    </w:p>
  </w:footnote>
  <w:footnote w:type="continuationSeparator" w:id="0">
    <w:p w14:paraId="4D93B756" w14:textId="77777777" w:rsidR="00B05979" w:rsidRDefault="00B05979">
      <w:pPr>
        <w:spacing w:after="0" w:line="240" w:lineRule="auto"/>
      </w:pPr>
      <w:r>
        <w:continuationSeparator/>
      </w:r>
    </w:p>
  </w:footnote>
  <w:footnote w:type="continuationNotice" w:id="1">
    <w:p w14:paraId="4681A44F" w14:textId="77777777" w:rsidR="00B05979" w:rsidRDefault="00B0597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BB9F1E" w14:textId="77777777" w:rsidR="00C61481" w:rsidRDefault="00A63588">
    <w:pPr>
      <w:spacing w:after="0" w:line="259" w:lineRule="auto"/>
      <w:ind w:right="0" w:firstLine="0"/>
      <w:jc w:val="center"/>
    </w:pPr>
    <w:r>
      <w:rPr>
        <w:sz w:val="22"/>
      </w:rPr>
      <w:t xml:space="preserve">– </w:t>
    </w:r>
    <w:r>
      <w:rPr>
        <w:sz w:val="22"/>
      </w:rPr>
      <w:fldChar w:fldCharType="begin"/>
    </w:r>
    <w:r>
      <w:rPr>
        <w:sz w:val="22"/>
      </w:rPr>
      <w:instrText xml:space="preserve"> PAGE   \* MERGEFORMAT </w:instrText>
    </w:r>
    <w:r>
      <w:rPr>
        <w:sz w:val="22"/>
      </w:rPr>
      <w:fldChar w:fldCharType="separate"/>
    </w:r>
    <w:r>
      <w:rPr>
        <w:sz w:val="22"/>
      </w:rPr>
      <w:t>2</w:t>
    </w:r>
    <w:r>
      <w:rPr>
        <w:sz w:val="22"/>
      </w:rPr>
      <w:fldChar w:fldCharType="end"/>
    </w:r>
    <w:r>
      <w:rPr>
        <w:sz w:val="22"/>
      </w:rP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527B26" w14:textId="74381602" w:rsidR="00C61481" w:rsidRDefault="00802C34" w:rsidP="00861C48">
    <w:pPr>
      <w:spacing w:after="0" w:line="259" w:lineRule="auto"/>
      <w:ind w:righ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5E414" w14:textId="77777777" w:rsidR="00C61481" w:rsidRDefault="00802C34">
    <w:pPr>
      <w:spacing w:after="160" w:line="259" w:lineRule="auto"/>
      <w:ind w:righ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201BD"/>
    <w:multiLevelType w:val="hybridMultilevel"/>
    <w:tmpl w:val="82FA3950"/>
    <w:lvl w:ilvl="0" w:tplc="24DC8CE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63423460"/>
    <w:multiLevelType w:val="hybridMultilevel"/>
    <w:tmpl w:val="ECFE7B48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65956466"/>
    <w:multiLevelType w:val="hybridMultilevel"/>
    <w:tmpl w:val="DA44246A"/>
    <w:lvl w:ilvl="0" w:tplc="52C4AC6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3EC"/>
    <w:rsid w:val="00014616"/>
    <w:rsid w:val="000212AD"/>
    <w:rsid w:val="00024040"/>
    <w:rsid w:val="000313F0"/>
    <w:rsid w:val="000322FE"/>
    <w:rsid w:val="00032FD1"/>
    <w:rsid w:val="00035008"/>
    <w:rsid w:val="00044340"/>
    <w:rsid w:val="00060021"/>
    <w:rsid w:val="00065F98"/>
    <w:rsid w:val="00067F72"/>
    <w:rsid w:val="00085846"/>
    <w:rsid w:val="000869FC"/>
    <w:rsid w:val="00087CEF"/>
    <w:rsid w:val="000A2D52"/>
    <w:rsid w:val="000A6834"/>
    <w:rsid w:val="000B00F7"/>
    <w:rsid w:val="000B6A2D"/>
    <w:rsid w:val="000C3CAD"/>
    <w:rsid w:val="000C4F49"/>
    <w:rsid w:val="000D4390"/>
    <w:rsid w:val="000E09B5"/>
    <w:rsid w:val="000E3F87"/>
    <w:rsid w:val="000F1979"/>
    <w:rsid w:val="000F20AF"/>
    <w:rsid w:val="0013545F"/>
    <w:rsid w:val="00142E32"/>
    <w:rsid w:val="0014301A"/>
    <w:rsid w:val="00155820"/>
    <w:rsid w:val="00156256"/>
    <w:rsid w:val="00162C94"/>
    <w:rsid w:val="00170108"/>
    <w:rsid w:val="00185A20"/>
    <w:rsid w:val="001B0F3A"/>
    <w:rsid w:val="00200FD4"/>
    <w:rsid w:val="0020142D"/>
    <w:rsid w:val="002317C6"/>
    <w:rsid w:val="00231AF5"/>
    <w:rsid w:val="002425F4"/>
    <w:rsid w:val="00243849"/>
    <w:rsid w:val="002519EC"/>
    <w:rsid w:val="002539AF"/>
    <w:rsid w:val="00254EE0"/>
    <w:rsid w:val="0026069A"/>
    <w:rsid w:val="00263ADF"/>
    <w:rsid w:val="00274BC9"/>
    <w:rsid w:val="00285FC0"/>
    <w:rsid w:val="00292346"/>
    <w:rsid w:val="002A4C53"/>
    <w:rsid w:val="002A7191"/>
    <w:rsid w:val="002B055B"/>
    <w:rsid w:val="002B58B2"/>
    <w:rsid w:val="002C538A"/>
    <w:rsid w:val="002D2744"/>
    <w:rsid w:val="002E564E"/>
    <w:rsid w:val="002F0034"/>
    <w:rsid w:val="002F57C0"/>
    <w:rsid w:val="003012DF"/>
    <w:rsid w:val="00303C1E"/>
    <w:rsid w:val="003048F7"/>
    <w:rsid w:val="00307538"/>
    <w:rsid w:val="00310854"/>
    <w:rsid w:val="003168AC"/>
    <w:rsid w:val="0032059A"/>
    <w:rsid w:val="00323457"/>
    <w:rsid w:val="0033777B"/>
    <w:rsid w:val="00347E5F"/>
    <w:rsid w:val="0037430E"/>
    <w:rsid w:val="00374A90"/>
    <w:rsid w:val="00383BEB"/>
    <w:rsid w:val="00391803"/>
    <w:rsid w:val="00395AF6"/>
    <w:rsid w:val="0039669E"/>
    <w:rsid w:val="00397E12"/>
    <w:rsid w:val="003A6B62"/>
    <w:rsid w:val="003B03F8"/>
    <w:rsid w:val="003B190E"/>
    <w:rsid w:val="003B6E81"/>
    <w:rsid w:val="003E268B"/>
    <w:rsid w:val="003E3793"/>
    <w:rsid w:val="004079C1"/>
    <w:rsid w:val="004119BF"/>
    <w:rsid w:val="00415405"/>
    <w:rsid w:val="00420010"/>
    <w:rsid w:val="00424F3F"/>
    <w:rsid w:val="004340C7"/>
    <w:rsid w:val="00434A8F"/>
    <w:rsid w:val="004407FB"/>
    <w:rsid w:val="00457523"/>
    <w:rsid w:val="00457F40"/>
    <w:rsid w:val="00462398"/>
    <w:rsid w:val="00464BF1"/>
    <w:rsid w:val="00471178"/>
    <w:rsid w:val="00477B11"/>
    <w:rsid w:val="00493AE3"/>
    <w:rsid w:val="004A0542"/>
    <w:rsid w:val="004B402B"/>
    <w:rsid w:val="004B77B3"/>
    <w:rsid w:val="004D3DC0"/>
    <w:rsid w:val="004E07AE"/>
    <w:rsid w:val="004E0FDF"/>
    <w:rsid w:val="004E131E"/>
    <w:rsid w:val="004E2F59"/>
    <w:rsid w:val="00502B3B"/>
    <w:rsid w:val="00506A96"/>
    <w:rsid w:val="00510607"/>
    <w:rsid w:val="005119F6"/>
    <w:rsid w:val="00517FAC"/>
    <w:rsid w:val="00521E8E"/>
    <w:rsid w:val="00531366"/>
    <w:rsid w:val="00531373"/>
    <w:rsid w:val="00570E06"/>
    <w:rsid w:val="00572856"/>
    <w:rsid w:val="0058094C"/>
    <w:rsid w:val="00597D9C"/>
    <w:rsid w:val="005C1EDF"/>
    <w:rsid w:val="005D0A1D"/>
    <w:rsid w:val="005D11D8"/>
    <w:rsid w:val="005E00D1"/>
    <w:rsid w:val="005E17AA"/>
    <w:rsid w:val="005E246C"/>
    <w:rsid w:val="005E2918"/>
    <w:rsid w:val="005E498D"/>
    <w:rsid w:val="005E7A45"/>
    <w:rsid w:val="00601B08"/>
    <w:rsid w:val="0060691B"/>
    <w:rsid w:val="006152CC"/>
    <w:rsid w:val="006216B1"/>
    <w:rsid w:val="0065091E"/>
    <w:rsid w:val="0065330D"/>
    <w:rsid w:val="0065425E"/>
    <w:rsid w:val="00656C77"/>
    <w:rsid w:val="00672F78"/>
    <w:rsid w:val="006936C3"/>
    <w:rsid w:val="006947FD"/>
    <w:rsid w:val="00695155"/>
    <w:rsid w:val="006A051C"/>
    <w:rsid w:val="006E2B8F"/>
    <w:rsid w:val="006E3C6E"/>
    <w:rsid w:val="006F5FDE"/>
    <w:rsid w:val="00700547"/>
    <w:rsid w:val="00701CA7"/>
    <w:rsid w:val="007023D5"/>
    <w:rsid w:val="007059B3"/>
    <w:rsid w:val="007111AA"/>
    <w:rsid w:val="00740466"/>
    <w:rsid w:val="00762C93"/>
    <w:rsid w:val="00763A97"/>
    <w:rsid w:val="00770A62"/>
    <w:rsid w:val="007711FA"/>
    <w:rsid w:val="007713BE"/>
    <w:rsid w:val="00774252"/>
    <w:rsid w:val="00781D4A"/>
    <w:rsid w:val="00790FFF"/>
    <w:rsid w:val="007A2A48"/>
    <w:rsid w:val="007A60AD"/>
    <w:rsid w:val="007C075F"/>
    <w:rsid w:val="007D231C"/>
    <w:rsid w:val="007E38CF"/>
    <w:rsid w:val="008009EC"/>
    <w:rsid w:val="00802C34"/>
    <w:rsid w:val="00817294"/>
    <w:rsid w:val="00821D9A"/>
    <w:rsid w:val="008245C8"/>
    <w:rsid w:val="00843EA0"/>
    <w:rsid w:val="0084786C"/>
    <w:rsid w:val="008538B9"/>
    <w:rsid w:val="00861C48"/>
    <w:rsid w:val="00882514"/>
    <w:rsid w:val="00885755"/>
    <w:rsid w:val="008A6AB1"/>
    <w:rsid w:val="008B172E"/>
    <w:rsid w:val="008B7F43"/>
    <w:rsid w:val="008C2513"/>
    <w:rsid w:val="008D1DAF"/>
    <w:rsid w:val="008F2975"/>
    <w:rsid w:val="00902E93"/>
    <w:rsid w:val="00907723"/>
    <w:rsid w:val="00920110"/>
    <w:rsid w:val="00942843"/>
    <w:rsid w:val="00960CD5"/>
    <w:rsid w:val="00986AEB"/>
    <w:rsid w:val="00997F0B"/>
    <w:rsid w:val="009A72A3"/>
    <w:rsid w:val="009B6520"/>
    <w:rsid w:val="009E03AD"/>
    <w:rsid w:val="00A14E53"/>
    <w:rsid w:val="00A36FC2"/>
    <w:rsid w:val="00A37D1E"/>
    <w:rsid w:val="00A47C4E"/>
    <w:rsid w:val="00A63588"/>
    <w:rsid w:val="00A823FE"/>
    <w:rsid w:val="00A831C0"/>
    <w:rsid w:val="00A8463D"/>
    <w:rsid w:val="00A86950"/>
    <w:rsid w:val="00A86B84"/>
    <w:rsid w:val="00AA1151"/>
    <w:rsid w:val="00AB5B2F"/>
    <w:rsid w:val="00AC43BB"/>
    <w:rsid w:val="00AC49DB"/>
    <w:rsid w:val="00AD146F"/>
    <w:rsid w:val="00B007BF"/>
    <w:rsid w:val="00B04235"/>
    <w:rsid w:val="00B04DA3"/>
    <w:rsid w:val="00B05979"/>
    <w:rsid w:val="00B2152F"/>
    <w:rsid w:val="00B249A7"/>
    <w:rsid w:val="00B43874"/>
    <w:rsid w:val="00B45FB3"/>
    <w:rsid w:val="00B47B0E"/>
    <w:rsid w:val="00B530BB"/>
    <w:rsid w:val="00B569EB"/>
    <w:rsid w:val="00B604A3"/>
    <w:rsid w:val="00B608FC"/>
    <w:rsid w:val="00B64C2A"/>
    <w:rsid w:val="00B717F4"/>
    <w:rsid w:val="00B722D8"/>
    <w:rsid w:val="00B72F90"/>
    <w:rsid w:val="00B83B7C"/>
    <w:rsid w:val="00B84A0C"/>
    <w:rsid w:val="00BB0494"/>
    <w:rsid w:val="00BB1B31"/>
    <w:rsid w:val="00BB6B2F"/>
    <w:rsid w:val="00BD04A1"/>
    <w:rsid w:val="00BE072F"/>
    <w:rsid w:val="00BE4E26"/>
    <w:rsid w:val="00BE56D7"/>
    <w:rsid w:val="00BF34B3"/>
    <w:rsid w:val="00BF4B4E"/>
    <w:rsid w:val="00C0014E"/>
    <w:rsid w:val="00C1161E"/>
    <w:rsid w:val="00C33466"/>
    <w:rsid w:val="00C51287"/>
    <w:rsid w:val="00C51435"/>
    <w:rsid w:val="00C54613"/>
    <w:rsid w:val="00C610F1"/>
    <w:rsid w:val="00C73D10"/>
    <w:rsid w:val="00C76F47"/>
    <w:rsid w:val="00C80C3D"/>
    <w:rsid w:val="00C86C23"/>
    <w:rsid w:val="00C929CE"/>
    <w:rsid w:val="00C962C8"/>
    <w:rsid w:val="00CA2F1E"/>
    <w:rsid w:val="00CB4E3F"/>
    <w:rsid w:val="00CC60C0"/>
    <w:rsid w:val="00CD52F2"/>
    <w:rsid w:val="00CD7A50"/>
    <w:rsid w:val="00CE2FA6"/>
    <w:rsid w:val="00CE507C"/>
    <w:rsid w:val="00CE6FFB"/>
    <w:rsid w:val="00CF1A91"/>
    <w:rsid w:val="00D02E85"/>
    <w:rsid w:val="00D0709E"/>
    <w:rsid w:val="00D14776"/>
    <w:rsid w:val="00D16196"/>
    <w:rsid w:val="00D23E1E"/>
    <w:rsid w:val="00D2563F"/>
    <w:rsid w:val="00D41D1B"/>
    <w:rsid w:val="00D42E9A"/>
    <w:rsid w:val="00D46B8D"/>
    <w:rsid w:val="00D47247"/>
    <w:rsid w:val="00D65D12"/>
    <w:rsid w:val="00D8016A"/>
    <w:rsid w:val="00DA2565"/>
    <w:rsid w:val="00DA3C59"/>
    <w:rsid w:val="00DA4DF8"/>
    <w:rsid w:val="00DB3A29"/>
    <w:rsid w:val="00DC0139"/>
    <w:rsid w:val="00DC2C73"/>
    <w:rsid w:val="00DD6A5B"/>
    <w:rsid w:val="00DE7E2B"/>
    <w:rsid w:val="00DF3E85"/>
    <w:rsid w:val="00E30F97"/>
    <w:rsid w:val="00E32500"/>
    <w:rsid w:val="00E32FA6"/>
    <w:rsid w:val="00E46FB1"/>
    <w:rsid w:val="00E54768"/>
    <w:rsid w:val="00E667CE"/>
    <w:rsid w:val="00E720D2"/>
    <w:rsid w:val="00E80C20"/>
    <w:rsid w:val="00E84E5E"/>
    <w:rsid w:val="00E973EC"/>
    <w:rsid w:val="00EA3445"/>
    <w:rsid w:val="00EA3F2D"/>
    <w:rsid w:val="00EB38E4"/>
    <w:rsid w:val="00EC3C1A"/>
    <w:rsid w:val="00EF350D"/>
    <w:rsid w:val="00EF52EC"/>
    <w:rsid w:val="00F12660"/>
    <w:rsid w:val="00F14036"/>
    <w:rsid w:val="00F15EF8"/>
    <w:rsid w:val="00F204F3"/>
    <w:rsid w:val="00F22632"/>
    <w:rsid w:val="00F26905"/>
    <w:rsid w:val="00F36E67"/>
    <w:rsid w:val="00F4466F"/>
    <w:rsid w:val="00F479AF"/>
    <w:rsid w:val="00F6071C"/>
    <w:rsid w:val="00F60EBF"/>
    <w:rsid w:val="00F714F4"/>
    <w:rsid w:val="00F82BBD"/>
    <w:rsid w:val="00F8521F"/>
    <w:rsid w:val="00F90736"/>
    <w:rsid w:val="00F91FAA"/>
    <w:rsid w:val="00F92C02"/>
    <w:rsid w:val="00F932C0"/>
    <w:rsid w:val="00FB15E3"/>
    <w:rsid w:val="00FB298A"/>
    <w:rsid w:val="00FD5C8E"/>
    <w:rsid w:val="00FE60F2"/>
    <w:rsid w:val="00FF02C2"/>
    <w:rsid w:val="00FF504B"/>
    <w:rsid w:val="00FF7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F5A6F"/>
  <w15:docId w15:val="{27EA60B7-6DDB-4155-ACB1-AB3A062D1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973EC"/>
    <w:pPr>
      <w:spacing w:after="116" w:line="365" w:lineRule="auto"/>
      <w:ind w:right="1" w:firstLine="500"/>
      <w:jc w:val="both"/>
    </w:pPr>
    <w:rPr>
      <w:rFonts w:ascii="Times New Roman" w:eastAsia="Times New Roman" w:hAnsi="Times New Roman" w:cs="Times New Roman"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B4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02B"/>
    <w:rPr>
      <w:rFonts w:ascii="Segoe UI" w:eastAsia="Times New Roman" w:hAnsi="Segoe UI" w:cs="Segoe UI"/>
      <w:color w:val="000000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E37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E379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E3793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7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793"/>
    <w:rPr>
      <w:rFonts w:ascii="Times New Roman" w:eastAsia="Times New Roman" w:hAnsi="Times New Roman" w:cs="Times New Roman"/>
      <w:b/>
      <w:bCs/>
      <w:color w:val="000000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71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13BE"/>
    <w:rPr>
      <w:rFonts w:ascii="Times New Roman" w:eastAsia="Times New Roman" w:hAnsi="Times New Roman" w:cs="Times New Roman"/>
      <w:color w:val="000000"/>
      <w:sz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E30F9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E30F97"/>
    <w:pPr>
      <w:spacing w:before="0"/>
    </w:pPr>
    <w:rPr>
      <w:bCs/>
    </w:rPr>
  </w:style>
  <w:style w:type="character" w:customStyle="1" w:styleId="Ppogrubienie">
    <w:name w:val="_P_ – pogrubienie"/>
    <w:basedOn w:val="Domylnaczcionkaakapitu"/>
    <w:uiPriority w:val="1"/>
    <w:qFormat/>
    <w:rsid w:val="00E30F97"/>
    <w:rPr>
      <w:b/>
    </w:rPr>
  </w:style>
  <w:style w:type="paragraph" w:customStyle="1" w:styleId="ZCZWSPLITwPKTzmczciwsplitwpktartykuempunktem">
    <w:name w:val="Z/CZ_WSP_LIT_w_PKT – zm. części wsp. lit. w pkt artykułem (punktem)"/>
    <w:basedOn w:val="Normalny"/>
    <w:next w:val="Normalny"/>
    <w:uiPriority w:val="35"/>
    <w:qFormat/>
    <w:rsid w:val="004A0542"/>
    <w:pPr>
      <w:spacing w:after="0" w:line="360" w:lineRule="auto"/>
      <w:ind w:left="1021" w:right="0" w:firstLine="0"/>
    </w:pPr>
    <w:rPr>
      <w:rFonts w:ascii="Times" w:eastAsiaTheme="minorEastAsia" w:hAnsi="Times" w:cs="Arial"/>
      <w:bCs/>
      <w:color w:val="auto"/>
      <w:szCs w:val="24"/>
    </w:rPr>
  </w:style>
  <w:style w:type="paragraph" w:customStyle="1" w:styleId="2TIRpodwjnytiret">
    <w:name w:val="2TIR – podwójny tiret"/>
    <w:basedOn w:val="Normalny"/>
    <w:uiPriority w:val="73"/>
    <w:qFormat/>
    <w:rsid w:val="00601B08"/>
    <w:pPr>
      <w:spacing w:after="0" w:line="360" w:lineRule="auto"/>
      <w:ind w:left="1780" w:right="0" w:hanging="397"/>
    </w:pPr>
    <w:rPr>
      <w:rFonts w:ascii="Times" w:eastAsiaTheme="minorEastAsia" w:hAnsi="Times" w:cs="Arial"/>
      <w:bCs/>
      <w:color w:val="auto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54EE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54EE0"/>
    <w:rPr>
      <w:rFonts w:ascii="Times New Roman" w:eastAsia="Times New Roman" w:hAnsi="Times New Roman" w:cs="Times New Roman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54EE0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14301A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4301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46FB1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CFD540-C5CF-48F2-A742-0864D028E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12</Pages>
  <Words>4189</Words>
  <Characters>25139</Characters>
  <Application>Microsoft Office Word</Application>
  <DocSecurity>0</DocSecurity>
  <Lines>209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Lesiak Katarzyna</dc:creator>
  <cp:lastModifiedBy>DJS</cp:lastModifiedBy>
  <cp:revision>7</cp:revision>
  <dcterms:created xsi:type="dcterms:W3CDTF">2020-08-07T10:08:00Z</dcterms:created>
  <dcterms:modified xsi:type="dcterms:W3CDTF">2020-08-07T13:24:00Z</dcterms:modified>
</cp:coreProperties>
</file>