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87C" w:rsidRPr="006E187C" w:rsidRDefault="006E187C" w:rsidP="006E187C">
      <w:pPr>
        <w:spacing w:after="240" w:line="360" w:lineRule="auto"/>
        <w:jc w:val="center"/>
        <w:rPr>
          <w:rFonts w:ascii="Tahoma" w:eastAsia="Times New Roman" w:hAnsi="Tahoma" w:cs="Tahoma"/>
          <w:sz w:val="24"/>
          <w:szCs w:val="24"/>
          <w:lang w:eastAsia="pl-PL"/>
        </w:rPr>
      </w:pPr>
      <w:bookmarkStart w:id="0" w:name="_GoBack"/>
      <w:bookmarkEnd w:id="0"/>
      <w:r w:rsidRPr="006E187C">
        <w:rPr>
          <w:rFonts w:ascii="Tahoma" w:eastAsia="Times New Roman" w:hAnsi="Tahoma" w:cs="Tahoma"/>
          <w:b/>
          <w:bCs/>
          <w:color w:val="000000"/>
          <w:sz w:val="24"/>
          <w:szCs w:val="24"/>
          <w:lang w:eastAsia="pl-PL"/>
        </w:rPr>
        <w:t>UZASADNIENIE</w:t>
      </w:r>
    </w:p>
    <w:p w:rsidR="006E187C" w:rsidRPr="006E187C" w:rsidRDefault="006E187C" w:rsidP="006E187C">
      <w:pPr>
        <w:spacing w:after="0" w:line="360" w:lineRule="auto"/>
        <w:jc w:val="center"/>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1. Cel i potrzeba wydania ustawy</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 xml:space="preserve">Projektowana ustawa służy stworzeniu zainteresowanym jednostkom samorządu terytorialnego podstaw do ubiegania się o zwrot utraconych dochodów z tytułu podmiotowych zwolnień z podatku rolnego i z podatku leśnego przewidzianych odpowiednio w ustawie z dnia 15 listopada 1984 r. o podatku rolnym i w ustawie z dnia 30 października 2002 r. o podatku leśnym, których beneficjentami są podmioty systemu szkolnictwa wyższego i nauki, tj. uczelnie, federacje podmiotów systemu szkolnictwa wyższego i nauki, instytuty naukowe i pomocnicze jednostki naukowe Polskiej Akademii Nauk, instytuty badawcze, Centrum Łukasiewicz i instytuty działające w ramach Sieci Badawczej Łukasiewicz. Rozwiązania te są motywowane potrzebą zapewnienia właściwego poziomu dochodów własnych jednostek samorządu terytorialnego, na obszarze których znajdują się wspomniane podmioty systemu szkolnictwa wyższego i nauki, a w konsekwencji – równych możliwości ich pozyskiwania. Zwolnienia podmiotowe z podatków, z których wpływy stanowią dochody własne jednostek samorządu terytorialnego, prowadzą bowiem do powstania nierówności dochodowych między jednostkami samorządu terytorialnego. Są one uzasadnione, gdy działalność podmiotów będących beneficjentami tych zwolnień może być źródłem dodatkowych dochodów jednostki samorządu terytorialnego, kompensujących utracony z tytułu zwolnienia dochód, lub przynajmniej – prowadzić do zaspokojenia w większym stopniu zbiorowych potrzeb mieszkańców objętych jej zadaniami własnymi. W pozostałych przypadkach natomiast niezbędne jest wprowadzenie mechanizmów rekompensujących jednostkom samorządu terytorialnego utracony z tytułu zwolnienia dochód. Ten stan rzeczy zachodzi w przypadku zwolnień z podatków rolnego i leśnego, które przysługują podmiotom systemu szkolnictwa wyższego i nauki. Rozwiązanie to służy bowiem przede wszystkim zabezpieczeniu interesu ogólnopaństwowego, który wyraża się w dążeniu do obniżenia kosztów działalności wspomnianych jednostek i stworzenia im dogodniejszych warunków wykonywania zadań publicznych, nie wiąże się zaś ani z powstaniem </w:t>
      </w:r>
      <w:r w:rsidRPr="006E187C">
        <w:rPr>
          <w:rFonts w:ascii="Tahoma" w:eastAsia="Times New Roman" w:hAnsi="Tahoma" w:cs="Tahoma"/>
          <w:color w:val="000000"/>
          <w:sz w:val="24"/>
          <w:szCs w:val="24"/>
          <w:lang w:eastAsia="pl-PL"/>
        </w:rPr>
        <w:lastRenderedPageBreak/>
        <w:t>nowych źródeł dochodów własnych, ani z zaspokojeniem zbiorowych potrzeb mieszkańców, za które odpowiada jednostka samorządu terytorialnego.</w:t>
      </w:r>
    </w:p>
    <w:p w:rsidR="006E187C" w:rsidRPr="006E187C" w:rsidRDefault="006E187C" w:rsidP="006E187C">
      <w:pPr>
        <w:shd w:val="clear" w:color="auto" w:fill="FFFFFF"/>
        <w:spacing w:after="0" w:line="360" w:lineRule="auto"/>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2. Rzeczywisty stan w dziedzinie, która ma być unormowana</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W obowiązującym stanie prawnym art. 12 ust. 2 pkt 1, 1a, 3, 5 i 8 ustawy z dnia 15 listopada 1984 r. o podatku rolnym przewiduje zwolnienia podmiotowe z podatku rolnego dla podmiotów systemu szkolnictwa wyższego i nauki: uczelni, federacji podmiotów systemu szkolnictwa wyższego i nauki, instytutów naukowych i pomocniczych jednostek naukowych Polskiej Akademii Nauk, instytutów badawczych, Centrum Łukasiewicz i instytutów działających w ramach Sieci Badawczej Łukasiewicz. Analogiczne zwolnienia podmiotowe przewiduje się w art. 7 ust. 2 pkt 1, 1a, 3, 5 i 8 ustawy z dnia 30 października 2002 r. o podatku leśnym. W konsekwencji w przypadku, gdy podmioty te są właścicielami, posiadaczami samoistnymi lub użytkownikami wieczystymi gruntów sklasyfikowanych w ewidencji gruntów i budynków jako odpowiednio użytki rolne lub lasy, gmina traci dochód własny w postaci wpływów z podatku rolnego lub leśnego, które mogłyby zostać pozyskane z tych gruntów. Ustawy z dnia 15 listopada 1984 r. o podatku rolnym i z 30 października 2002 r. o podatku leśnym nie przewidują przy tym mechanizmu rekompensowania z budżetu państwa dochodów utraconych przez gminy z tytułu wspomnianych zwolnień podmiotowych z podatków rolnego i leśnego.</w:t>
      </w:r>
    </w:p>
    <w:p w:rsidR="006E187C" w:rsidRPr="006E187C" w:rsidRDefault="006E187C" w:rsidP="006E187C">
      <w:pPr>
        <w:shd w:val="clear" w:color="auto" w:fill="FFFFFF"/>
        <w:spacing w:after="0" w:line="360" w:lineRule="auto"/>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3. Różnice między dotychczasowym a projektowanym stanem prawnym</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Projektowana ustawa zakłada rozszerzenie przewidzianego w art. 12 ust. 10 ustawy z dnia 15 listopada 1984 r. o podatku rolnym mechanizmu rekompensowania zainteresowanym jednostkom samorządu terytorialnego dochodu utraconego z tytułu zwolnień podmiotowych z podatku rolnego na dochody utracone z tytułu zwolnień dla podmiotów systemu szkolnictwa wyższego i nauki. Analogiczne zmiany wprowadza się w art. 7 ust. 4 ustawy z 30 października 2002 r. o podatku leśnym.</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lastRenderedPageBreak/>
        <w:t>4. Przewidywane skutki społeczne, gospodarcze, finansowe i prawne</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Skutki finansowe projektowanych rozwiązań są trudne do oszacowania. Brakuje bowiem dostępnych, zagregowanych danych, które odzwierciedlałyby wielkość utraconych przez gminy dochodów z tytułu zwolnień podmiotowych z podatku rolnego i z podatku leśnego dla podmiotów systemu szkolnictwa wyższego i nauki. Dane przedstawione projektodawcy przez niektóre gminy pozwala szacować skutki finansowe projektowanych rozwiązań dla budżetu państwa na poziomie nie wyższym niż 25 milionów złotych rocznie.</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Skutki społeczne projektowanej ustawy spro</w:t>
      </w:r>
      <w:r>
        <w:rPr>
          <w:rFonts w:ascii="Tahoma" w:eastAsia="Times New Roman" w:hAnsi="Tahoma" w:cs="Tahoma"/>
          <w:color w:val="000000"/>
          <w:sz w:val="24"/>
          <w:szCs w:val="24"/>
          <w:lang w:eastAsia="pl-PL"/>
        </w:rPr>
        <w:t>wadzają się przede wszystkim do </w:t>
      </w:r>
      <w:r w:rsidRPr="006E187C">
        <w:rPr>
          <w:rFonts w:ascii="Tahoma" w:eastAsia="Times New Roman" w:hAnsi="Tahoma" w:cs="Tahoma"/>
          <w:color w:val="000000"/>
          <w:sz w:val="24"/>
          <w:szCs w:val="24"/>
          <w:lang w:eastAsia="pl-PL"/>
        </w:rPr>
        <w:t>zwiększenia możliwości zaspokojenia zbiorow</w:t>
      </w:r>
      <w:r>
        <w:rPr>
          <w:rFonts w:ascii="Tahoma" w:eastAsia="Times New Roman" w:hAnsi="Tahoma" w:cs="Tahoma"/>
          <w:color w:val="000000"/>
          <w:sz w:val="24"/>
          <w:szCs w:val="24"/>
          <w:lang w:eastAsia="pl-PL"/>
        </w:rPr>
        <w:t>ych potrzeb mieszkańców gmin, w </w:t>
      </w:r>
      <w:r w:rsidRPr="006E187C">
        <w:rPr>
          <w:rFonts w:ascii="Tahoma" w:eastAsia="Times New Roman" w:hAnsi="Tahoma" w:cs="Tahoma"/>
          <w:color w:val="000000"/>
          <w:sz w:val="24"/>
          <w:szCs w:val="24"/>
          <w:lang w:eastAsia="pl-PL"/>
        </w:rPr>
        <w:t>których podmioty systemu szkolnictwa wyższego i nauki są właścicielami, posiadaczami samoistnymi lub użytkownikami wieczystymi użytków rolnych lub lasów, wskutek zwiększenia realnie pozyskiwanych przez te jednostki samorządu terytorialnego dochodów własnych.</w:t>
      </w:r>
    </w:p>
    <w:p w:rsidR="006E187C" w:rsidRPr="006E187C" w:rsidRDefault="006E187C" w:rsidP="006E187C">
      <w:pPr>
        <w:shd w:val="clear" w:color="auto" w:fill="FFFFFF"/>
        <w:spacing w:after="0" w:line="360" w:lineRule="auto"/>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5. Źródła finansowania</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Rozwiązania przewidziane projektowaną ustawą zostaną sfinansowane w całości z budżetu państwa. Jak wskazano wyżej, wydatki z budżetu państwa nie przekroczą 25 mln zł rocznie.</w:t>
      </w:r>
    </w:p>
    <w:p w:rsidR="006E187C" w:rsidRPr="006E187C" w:rsidRDefault="006E187C" w:rsidP="006E187C">
      <w:pPr>
        <w:shd w:val="clear" w:color="auto" w:fill="FFFFFF"/>
        <w:spacing w:after="0" w:line="360" w:lineRule="auto"/>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6. Założenia podstawowych aktów wykonawczych</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Projektowana ustawa nie przewiduje upoważnień do wydawania aktów wykonawczych. Konieczne będą jednak zmiany rozporządzeń wydanych na podstawie art. 12 ust. 11 ustawy z dnia 15 listopada 1984 r. o podatku rolnym i art. 7 ust. 5 ustawy z dnia 30 października 2002 r. o podatku leśnym.</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 xml:space="preserve">W rozporządzeniu Ministra Finansów z dnia 21 lutego 2006 r. w sprawie zwrotu utraconych przez gminy dochodów z tytułu zwolnienia od podatku rolnego </w:t>
      </w:r>
      <w:r w:rsidRPr="006E187C">
        <w:rPr>
          <w:rFonts w:ascii="Tahoma" w:eastAsia="Times New Roman" w:hAnsi="Tahoma" w:cs="Tahoma"/>
          <w:color w:val="000000"/>
          <w:sz w:val="24"/>
          <w:szCs w:val="24"/>
          <w:lang w:eastAsia="pl-PL"/>
        </w:rPr>
        <w:lastRenderedPageBreak/>
        <w:t>przedsiębiorców o statusie centrum badawczo-rozwojowego (Dz. U. z 2006 r. nr 33 poz. 228 i z 2009 r. nr 132 poz. 1088) wymagane zmiany dotyczą tytułu, treści § 1 oraz § 2 ust. 1 i ust. 3 pkt 1 rozporządzenia i ograniczają się do wymienienia, oprócz zwolnienia podmiotowego, o którym mowa w art. 12 ust. 2 pkt 5a ustawy z dnia 15 listopada 1984 r. o podatku rolnym, także zwolnień, o których mowa w art. 12 ust. 2 pkt 1, 1a, 3, 5 i 8 ww. ustawy.</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Podobnie w rozporządzeniu Ministra Finansów z dnia 21 lutego 2006 r. w sprawie zwrotu utraconych przez gminy dochodów z tytułu zwolnienia od podatku leśnego przedsiębiorców o statusie centrum badawczo-rozwojowego (Dz. U. z 2006 r. nr 33 poz. 230 i z 2009 r. nr 132 poz. 1090) konieczna będzie zmiana tytułu, § 1 oraz § 2 ust. 1 i ust. 3 pkt 1 poprzez uwzględnienie, oprócz zwolnienia podmiotowego, o którym mowa w art. 7 ust. 2 pkt 6 ustawy z dnia 30 października 2002 r. o podatku leśnym, także zwolnień, o których mowa w art. 7 ust. 2 pkt 1, 1a, 3, 5 i 8 ww. ustawy.</w:t>
      </w:r>
    </w:p>
    <w:p w:rsidR="006E187C" w:rsidRPr="006E187C" w:rsidRDefault="006E187C" w:rsidP="006E187C">
      <w:pPr>
        <w:shd w:val="clear" w:color="auto" w:fill="FFFFFF"/>
        <w:spacing w:after="0" w:line="360" w:lineRule="auto"/>
        <w:ind w:firstLine="700"/>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7. Oświadczenie o zgodności projektu ustawy z prawem Unii Europejskiej albo oświadczenie, że przedmiot projektowanej regulacji nie jest objęty prawem Unii Europejskiej</w:t>
      </w:r>
    </w:p>
    <w:p w:rsidR="006E187C" w:rsidRPr="006E187C" w:rsidRDefault="006E187C" w:rsidP="006E187C">
      <w:pPr>
        <w:shd w:val="clear" w:color="auto" w:fill="FFFFFF"/>
        <w:spacing w:after="0" w:line="360" w:lineRule="auto"/>
        <w:jc w:val="both"/>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 xml:space="preserve">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Projektowana ustawa nie jest objęta prawem Unii Europejskiej.</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8. Wpływ na działalność mikroprzedsiębiorców oraz małych i średnich przedsiębiorstw</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color w:val="000000"/>
          <w:sz w:val="24"/>
          <w:szCs w:val="24"/>
          <w:lang w:eastAsia="pl-PL"/>
        </w:rPr>
        <w:t>Projektowane rozwiązania nie wpływają bezpośrednio na przedsiębiorców, a jedynie na budżet państwa i jednostki samorządu terytorialnego. W związku z tym nie zachodzi zjawisko dyskryminacji określonej grupy przedsiębiorców.</w:t>
      </w:r>
    </w:p>
    <w:p w:rsidR="006E187C" w:rsidRPr="006E187C" w:rsidRDefault="006E187C" w:rsidP="006E187C">
      <w:pPr>
        <w:shd w:val="clear" w:color="auto" w:fill="FFFFFF"/>
        <w:spacing w:after="0" w:line="360" w:lineRule="auto"/>
        <w:jc w:val="both"/>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b/>
          <w:bCs/>
          <w:color w:val="000000"/>
          <w:sz w:val="24"/>
          <w:szCs w:val="24"/>
          <w:lang w:eastAsia="pl-PL"/>
        </w:rPr>
        <w:t>9. Konsultacje społeczne</w:t>
      </w:r>
    </w:p>
    <w:p w:rsidR="006E187C" w:rsidRPr="006E187C" w:rsidRDefault="006E187C" w:rsidP="006E187C">
      <w:pPr>
        <w:shd w:val="clear" w:color="auto" w:fill="FFFFFF"/>
        <w:spacing w:after="0" w:line="360" w:lineRule="auto"/>
        <w:ind w:firstLine="700"/>
        <w:jc w:val="both"/>
        <w:rPr>
          <w:rFonts w:ascii="Tahoma" w:eastAsia="Times New Roman" w:hAnsi="Tahoma" w:cs="Tahoma"/>
          <w:sz w:val="24"/>
          <w:szCs w:val="24"/>
          <w:lang w:eastAsia="pl-PL"/>
        </w:rPr>
      </w:pPr>
      <w:r w:rsidRPr="006E187C">
        <w:rPr>
          <w:rFonts w:ascii="Tahoma" w:eastAsia="Times New Roman" w:hAnsi="Tahoma" w:cs="Tahoma"/>
          <w:sz w:val="24"/>
          <w:szCs w:val="24"/>
          <w:lang w:eastAsia="pl-PL"/>
        </w:rPr>
        <w:t> </w:t>
      </w:r>
    </w:p>
    <w:p w:rsidR="0062722D" w:rsidRPr="006E187C" w:rsidRDefault="006E187C" w:rsidP="006E187C">
      <w:pPr>
        <w:shd w:val="clear" w:color="auto" w:fill="FFFFFF"/>
        <w:spacing w:after="0" w:line="360" w:lineRule="auto"/>
        <w:ind w:firstLine="700"/>
        <w:jc w:val="both"/>
        <w:rPr>
          <w:rFonts w:ascii="Tahoma" w:hAnsi="Tahoma" w:cs="Tahoma"/>
          <w:sz w:val="24"/>
          <w:szCs w:val="24"/>
        </w:rPr>
      </w:pPr>
      <w:r w:rsidRPr="006E187C">
        <w:rPr>
          <w:rFonts w:ascii="Tahoma" w:eastAsia="Times New Roman" w:hAnsi="Tahoma" w:cs="Tahoma"/>
          <w:color w:val="000000"/>
          <w:sz w:val="24"/>
          <w:szCs w:val="24"/>
          <w:lang w:eastAsia="pl-PL"/>
        </w:rPr>
        <w:t>Proponowany projekt ustawy nie był poddawany formalnym konsultacjom społecznym.</w:t>
      </w:r>
    </w:p>
    <w:sectPr w:rsidR="0062722D" w:rsidRPr="006E187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E97" w:rsidRDefault="004B4E97" w:rsidP="006E187C">
      <w:pPr>
        <w:spacing w:after="0" w:line="240" w:lineRule="auto"/>
      </w:pPr>
      <w:r>
        <w:separator/>
      </w:r>
    </w:p>
  </w:endnote>
  <w:endnote w:type="continuationSeparator" w:id="0">
    <w:p w:rsidR="004B4E97" w:rsidRDefault="004B4E97" w:rsidP="006E1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373728"/>
      <w:docPartObj>
        <w:docPartGallery w:val="Page Numbers (Bottom of Page)"/>
        <w:docPartUnique/>
      </w:docPartObj>
    </w:sdtPr>
    <w:sdtEndPr/>
    <w:sdtContent>
      <w:p w:rsidR="006E187C" w:rsidRDefault="006E187C">
        <w:pPr>
          <w:pStyle w:val="Stopka"/>
          <w:jc w:val="center"/>
        </w:pPr>
        <w:r>
          <w:fldChar w:fldCharType="begin"/>
        </w:r>
        <w:r>
          <w:instrText>PAGE   \* MERGEFORMAT</w:instrText>
        </w:r>
        <w:r>
          <w:fldChar w:fldCharType="separate"/>
        </w:r>
        <w:r w:rsidR="00406550">
          <w:rPr>
            <w:noProof/>
          </w:rPr>
          <w:t>4</w:t>
        </w:r>
        <w:r>
          <w:fldChar w:fldCharType="end"/>
        </w:r>
      </w:p>
    </w:sdtContent>
  </w:sdt>
  <w:p w:rsidR="006E187C" w:rsidRDefault="006E187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E97" w:rsidRDefault="004B4E97" w:rsidP="006E187C">
      <w:pPr>
        <w:spacing w:after="0" w:line="240" w:lineRule="auto"/>
      </w:pPr>
      <w:r>
        <w:separator/>
      </w:r>
    </w:p>
  </w:footnote>
  <w:footnote w:type="continuationSeparator" w:id="0">
    <w:p w:rsidR="004B4E97" w:rsidRDefault="004B4E97" w:rsidP="006E18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87C"/>
    <w:rsid w:val="000F740F"/>
    <w:rsid w:val="002A68A0"/>
    <w:rsid w:val="002F2A53"/>
    <w:rsid w:val="00406550"/>
    <w:rsid w:val="004B4E97"/>
    <w:rsid w:val="006E187C"/>
    <w:rsid w:val="00712167"/>
    <w:rsid w:val="00875E48"/>
    <w:rsid w:val="00C53B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A9BCC-8B66-4420-A9CE-BFB14C010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E187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6E18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187C"/>
  </w:style>
  <w:style w:type="paragraph" w:styleId="Stopka">
    <w:name w:val="footer"/>
    <w:basedOn w:val="Normalny"/>
    <w:link w:val="StopkaZnak"/>
    <w:uiPriority w:val="99"/>
    <w:unhideWhenUsed/>
    <w:rsid w:val="006E18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1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0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1060</Words>
  <Characters>6360</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Standerski</dc:creator>
  <cp:keywords/>
  <dc:description/>
  <cp:lastModifiedBy>Grzegorz Molesztak</cp:lastModifiedBy>
  <cp:revision>3</cp:revision>
  <dcterms:created xsi:type="dcterms:W3CDTF">2020-08-07T10:33:00Z</dcterms:created>
  <dcterms:modified xsi:type="dcterms:W3CDTF">2020-09-04T09:49:00Z</dcterms:modified>
</cp:coreProperties>
</file>