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A2C" w:rsidRPr="009F3A2C" w:rsidRDefault="009F3A2C" w:rsidP="009F3A2C">
      <w:pPr>
        <w:jc w:val="right"/>
        <w:rPr>
          <w:rFonts w:eastAsiaTheme="minorEastAsia" w:cs="Arial"/>
          <w:u w:val="single"/>
        </w:rPr>
      </w:pPr>
      <w:r w:rsidRPr="009F3A2C">
        <w:rPr>
          <w:rFonts w:eastAsiaTheme="minorEastAsia" w:cs="Arial"/>
          <w:u w:val="single"/>
        </w:rPr>
        <w:t>projekt</w:t>
      </w:r>
    </w:p>
    <w:p w:rsidR="009F3A2C" w:rsidRPr="009F3A2C" w:rsidRDefault="009F3A2C" w:rsidP="009F3A2C">
      <w:pPr>
        <w:keepNext/>
        <w:suppressAutoHyphens/>
        <w:spacing w:after="120"/>
        <w:jc w:val="center"/>
        <w:rPr>
          <w:rFonts w:ascii="Times" w:hAnsi="Times"/>
          <w:b/>
          <w:bCs/>
          <w:caps/>
          <w:spacing w:val="54"/>
          <w:kern w:val="24"/>
          <w:szCs w:val="24"/>
        </w:rPr>
      </w:pPr>
      <w:r w:rsidRPr="009F3A2C">
        <w:rPr>
          <w:rFonts w:ascii="Times" w:hAnsi="Times"/>
          <w:b/>
          <w:bCs/>
          <w:caps/>
          <w:spacing w:val="54"/>
          <w:kern w:val="24"/>
          <w:szCs w:val="24"/>
        </w:rPr>
        <w:t>ustawa</w:t>
      </w:r>
    </w:p>
    <w:p w:rsidR="009F3A2C" w:rsidRPr="009F3A2C" w:rsidRDefault="009F3A2C" w:rsidP="009F3A2C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Cs/>
          <w:szCs w:val="24"/>
        </w:rPr>
      </w:pPr>
      <w:r w:rsidRPr="009F3A2C">
        <w:rPr>
          <w:rFonts w:ascii="Times" w:eastAsiaTheme="minorEastAsia" w:hAnsi="Times" w:cs="Arial"/>
          <w:bCs/>
          <w:szCs w:val="24"/>
        </w:rPr>
        <w:t xml:space="preserve">z dnia </w:t>
      </w:r>
    </w:p>
    <w:p w:rsidR="009F3A2C" w:rsidRPr="009F3A2C" w:rsidRDefault="009F3A2C" w:rsidP="009F3A2C">
      <w:pPr>
        <w:keepNext/>
        <w:suppressAutoHyphens/>
        <w:spacing w:before="120" w:after="360"/>
        <w:jc w:val="center"/>
        <w:rPr>
          <w:rFonts w:ascii="Times" w:eastAsiaTheme="minorEastAsia" w:hAnsi="Times" w:cs="Arial"/>
          <w:b/>
          <w:bCs/>
          <w:szCs w:val="24"/>
          <w:vertAlign w:val="superscript"/>
        </w:rPr>
      </w:pPr>
      <w:r w:rsidRPr="009F3A2C">
        <w:rPr>
          <w:rFonts w:ascii="Times" w:eastAsiaTheme="minorEastAsia" w:hAnsi="Times" w:cs="Arial"/>
          <w:b/>
          <w:bCs/>
          <w:szCs w:val="24"/>
        </w:rPr>
        <w:t>o zmianie ustawy o emeryturach i rentach z Funduszu Ubezpieczeń Społecznych oraz ustawy o działaczach opozycji antykomunistycznej oraz osobach represjonowanych z powodów politycznych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F3A2C">
        <w:rPr>
          <w:rFonts w:ascii="Times" w:eastAsiaTheme="minorEastAsia" w:hAnsi="Times" w:cs="Arial"/>
          <w:b/>
        </w:rPr>
        <w:t>Art. 1.</w:t>
      </w:r>
      <w:r w:rsidRPr="009F3A2C">
        <w:rPr>
          <w:rFonts w:ascii="Times" w:eastAsiaTheme="minorEastAsia" w:hAnsi="Times" w:cs="Arial"/>
        </w:rPr>
        <w:t> W ustawie z dnia 17 grudnia 1998 r. o emeryturach i rentach z Funduszu Ubezpieczeń Społecznych (Dz. U. z 2020 r. poz. 53, 252, 568 i 1222) w art. 6 w ust. 2 po pkt 6a dodaje się pkt 6b w brzmieniu:</w:t>
      </w:r>
    </w:p>
    <w:p w:rsidR="009F3A2C" w:rsidRPr="009F3A2C" w:rsidRDefault="009F3A2C" w:rsidP="009F3A2C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9F3A2C">
        <w:rPr>
          <w:rFonts w:ascii="Times" w:eastAsiaTheme="minorEastAsia" w:hAnsi="Times" w:cs="Arial"/>
          <w:bCs/>
        </w:rPr>
        <w:t>„6b)</w:t>
      </w:r>
      <w:r w:rsidRPr="009F3A2C">
        <w:rPr>
          <w:rFonts w:ascii="Times" w:eastAsiaTheme="minorEastAsia" w:hAnsi="Times" w:cs="Arial"/>
          <w:bCs/>
        </w:rPr>
        <w:tab/>
        <w:t>pozbawienia możliwości wykonywania swojego zawodu przed dniem 31 lipca 1990 r. na skutek represji politycznych;”.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F3A2C">
        <w:rPr>
          <w:rFonts w:ascii="Times" w:eastAsiaTheme="minorEastAsia" w:hAnsi="Times" w:cs="Arial"/>
          <w:b/>
        </w:rPr>
        <w:t>Art. 2. </w:t>
      </w:r>
      <w:r w:rsidRPr="009F3A2C">
        <w:rPr>
          <w:rFonts w:ascii="Times" w:eastAsiaTheme="minorEastAsia" w:hAnsi="Times" w:cs="Arial"/>
        </w:rPr>
        <w:t xml:space="preserve">W ustawie z dnia 20 marca 2015 r. o działaczach opozycji antykomunistycznej oraz osobach represjonowanych z powodów politycznych </w:t>
      </w:r>
      <w:bookmarkStart w:id="0" w:name="_Hlk45717497"/>
      <w:r w:rsidRPr="009F3A2C">
        <w:rPr>
          <w:rFonts w:ascii="Times" w:eastAsiaTheme="minorEastAsia" w:hAnsi="Times" w:cs="Arial"/>
        </w:rPr>
        <w:t xml:space="preserve">(Dz. U. z 2020 r. poz. 319) </w:t>
      </w:r>
      <w:bookmarkEnd w:id="0"/>
      <w:r w:rsidRPr="009F3A2C">
        <w:rPr>
          <w:rFonts w:ascii="Times" w:eastAsiaTheme="minorEastAsia" w:hAnsi="Times" w:cs="Arial"/>
        </w:rPr>
        <w:t>w art. 12 dotychczasową treść oznacza się jako ust. 1 i dodaje się ust. 2 w brzmieniu: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9F3A2C">
        <w:rPr>
          <w:rFonts w:ascii="Times" w:eastAsiaTheme="minorEastAsia" w:hAnsi="Times" w:cs="Arial"/>
        </w:rPr>
        <w:t>„2. W przypadku umieszczenia osoby uprawnionej w domu pomocy społecznej, różnicę opłat za pobyt, wynikającą z opłat ponoszonych przez tę osobę, a rzeczywistym kosztem, pokrywa Urząd do Spraw Kombatantów i Osób Represjonowanych.”.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F3A2C">
        <w:rPr>
          <w:rFonts w:ascii="Times" w:eastAsiaTheme="minorEastAsia" w:hAnsi="Times" w:cs="Arial"/>
          <w:b/>
        </w:rPr>
        <w:t>Art. 3.</w:t>
      </w:r>
      <w:r w:rsidRPr="009F3A2C">
        <w:rPr>
          <w:rFonts w:ascii="Times" w:eastAsiaTheme="minorEastAsia" w:hAnsi="Times" w:cs="Arial"/>
        </w:rPr>
        <w:t xml:space="preserve"> 1. W przypadku osób, którym potwierdzono status działacza opozycji antykomunistycznej lub osoby represjonowanej z powodów politycznych, i którym uznano okresy składkowe na jednej lub kilku podstawach, o których mowa w art. 6 ust. 1 pkt 8 i 10, ust. 2 pkt 6a, 6b i 8 ustawy zmienianej w art. 1, składki emerytalne za te okresy składkowe zostają wpłacone do Funduszu Ubezpieczeń Społecznych z części budżetu państwa, której dysponentem jest Szef Urzędu do Spraw Kombatantów i Osób Represjonowanych.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F3A2C">
        <w:rPr>
          <w:rFonts w:ascii="Times" w:eastAsiaTheme="minorEastAsia" w:hAnsi="Times" w:cs="Arial"/>
          <w:bCs/>
        </w:rPr>
        <w:t>2. Składki emerytalne, o których mowa w ust. 1, wpłaca się tylko za okresy składkowe niemające równocześnie innej podstawy niż wymieniona w ust. 1.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F3A2C">
        <w:rPr>
          <w:rFonts w:ascii="Times" w:eastAsiaTheme="minorEastAsia" w:hAnsi="Times" w:cs="Arial"/>
          <w:bCs/>
        </w:rPr>
        <w:t>3. Składki emerytalne, o których mowa w ust. 1, zostają wpłacone w wysokości, która obowiązywała od przeciętnego wynagrodzenia w odpowiednim roku lub latach, zrewaloryzowanej na dzień 31 sierpnia 2020 r.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F3A2C">
        <w:rPr>
          <w:rFonts w:ascii="Times" w:eastAsiaTheme="minorEastAsia" w:hAnsi="Times" w:cs="Arial"/>
          <w:bCs/>
        </w:rPr>
        <w:t xml:space="preserve">4. W przypadku osób, które świadczyły pracę po 1956 r. na rzecz organizacji politycznych i związków zawodowych, nielegalnych w rozumieniu przepisów obowiązujących do kwietnia 1989 r. lub były pozbawione możliwości wykonywania swojego </w:t>
      </w:r>
      <w:r w:rsidRPr="009F3A2C">
        <w:rPr>
          <w:rFonts w:ascii="Times" w:eastAsiaTheme="minorEastAsia" w:hAnsi="Times" w:cs="Arial"/>
          <w:bCs/>
        </w:rPr>
        <w:lastRenderedPageBreak/>
        <w:t>zawodu przed dniem 31 lipca 1990 r. na skutek represji politycznych, i które w tym samym czasie świadczyły inną pracę, z tytułu której wpłacane były składki emerytalne w wysokości niższej niż obowiązywała od przeciętnego wynagrodzenia w odpowiednim roku lub latach, za ten czas zostaje odpowiednio wpłacone wyrównanie składek emerytalnych do wysokości, która obowiązywała od przeciętnego wynagrodzenia w odpowiednim roku lub latach.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ind w:firstLine="510"/>
        <w:jc w:val="both"/>
        <w:rPr>
          <w:rFonts w:ascii="Times" w:eastAsiaTheme="minorEastAsia" w:hAnsi="Times" w:cs="Arial"/>
          <w:bCs/>
        </w:rPr>
      </w:pPr>
      <w:r w:rsidRPr="009F3A2C">
        <w:rPr>
          <w:rFonts w:ascii="Times" w:eastAsiaTheme="minorEastAsia" w:hAnsi="Times" w:cs="Arial"/>
          <w:bCs/>
        </w:rPr>
        <w:t>5. Zakład Ubezpieczeń Społecznych, do dnia 31 sierpnia 2021 r., ponownie ustali kapitał początkowy i obliczy wysokość emerytury osób, o których mowa w ust. 1, z uwzględnieniem wpłaconych składek, o których mowa w ust. 1, bez konieczności składania odpowiednich wniosków przez osoby zainteresowane.</w:t>
      </w:r>
    </w:p>
    <w:p w:rsidR="009F3A2C" w:rsidRPr="009F3A2C" w:rsidRDefault="009F3A2C" w:rsidP="009F3A2C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9F3A2C">
        <w:rPr>
          <w:rFonts w:ascii="Times" w:eastAsiaTheme="minorEastAsia" w:hAnsi="Times" w:cs="Arial"/>
          <w:b/>
        </w:rPr>
        <w:t>Art. 4.</w:t>
      </w:r>
      <w:r w:rsidRPr="009F3A2C">
        <w:rPr>
          <w:rFonts w:ascii="Times" w:eastAsiaTheme="minorEastAsia" w:hAnsi="Times" w:cs="Arial"/>
        </w:rPr>
        <w:t xml:space="preserve"> Ustawa wchodzi w życie po upływie 14 dni od dnia ogłoszenia.</w:t>
      </w:r>
    </w:p>
    <w:p w:rsidR="009F3A2C" w:rsidRPr="009F3A2C" w:rsidRDefault="009F3A2C" w:rsidP="009F3A2C">
      <w:pPr>
        <w:jc w:val="right"/>
        <w:rPr>
          <w:rFonts w:eastAsiaTheme="minorEastAsia" w:cs="Arial"/>
          <w:u w:val="single"/>
        </w:rPr>
      </w:pPr>
      <w:bookmarkStart w:id="1" w:name="_GoBack"/>
      <w:bookmarkEnd w:id="1"/>
    </w:p>
    <w:sectPr w:rsidR="009F3A2C" w:rsidRPr="009F3A2C" w:rsidSect="00922DD0">
      <w:headerReference w:type="default" r:id="rId8"/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D9B" w:rsidRDefault="00E17D9B" w:rsidP="009A4937">
      <w:pPr>
        <w:spacing w:line="240" w:lineRule="auto"/>
      </w:pPr>
      <w:r>
        <w:separator/>
      </w:r>
    </w:p>
  </w:endnote>
  <w:endnote w:type="continuationSeparator" w:id="0">
    <w:p w:rsidR="00E17D9B" w:rsidRDefault="00E17D9B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A2C" w:rsidRDefault="009F3A2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D9B" w:rsidRDefault="00E17D9B" w:rsidP="009A4937">
      <w:pPr>
        <w:spacing w:line="240" w:lineRule="auto"/>
      </w:pPr>
      <w:r>
        <w:separator/>
      </w:r>
    </w:p>
  </w:footnote>
  <w:footnote w:type="continuationSeparator" w:id="0">
    <w:p w:rsidR="00E17D9B" w:rsidRDefault="00E17D9B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A2C" w:rsidRPr="009517E5" w:rsidRDefault="009F3A2C" w:rsidP="009F3A2C">
    <w:pPr>
      <w:pStyle w:val="Nagwek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33D9"/>
    <w:multiLevelType w:val="hybridMultilevel"/>
    <w:tmpl w:val="E9C00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37D4F"/>
    <w:multiLevelType w:val="hybridMultilevel"/>
    <w:tmpl w:val="24D093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76C9F"/>
    <w:multiLevelType w:val="hybridMultilevel"/>
    <w:tmpl w:val="AD3E9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1C8255E8"/>
    <w:multiLevelType w:val="hybridMultilevel"/>
    <w:tmpl w:val="1A020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9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0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2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9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</w:num>
  <w:num w:numId="3">
    <w:abstractNumId w:val="8"/>
  </w:num>
  <w:num w:numId="4">
    <w:abstractNumId w:val="8"/>
  </w:num>
  <w:num w:numId="5">
    <w:abstractNumId w:val="20"/>
  </w:num>
  <w:num w:numId="6">
    <w:abstractNumId w:val="18"/>
  </w:num>
  <w:num w:numId="7">
    <w:abstractNumId w:val="20"/>
  </w:num>
  <w:num w:numId="8">
    <w:abstractNumId w:val="18"/>
  </w:num>
  <w:num w:numId="9">
    <w:abstractNumId w:val="20"/>
  </w:num>
  <w:num w:numId="10">
    <w:abstractNumId w:val="18"/>
  </w:num>
  <w:num w:numId="11">
    <w:abstractNumId w:val="4"/>
  </w:num>
  <w:num w:numId="12">
    <w:abstractNumId w:val="14"/>
  </w:num>
  <w:num w:numId="13">
    <w:abstractNumId w:val="12"/>
  </w:num>
  <w:num w:numId="14">
    <w:abstractNumId w:val="6"/>
  </w:num>
  <w:num w:numId="15">
    <w:abstractNumId w:val="19"/>
  </w:num>
  <w:num w:numId="16">
    <w:abstractNumId w:val="15"/>
  </w:num>
  <w:num w:numId="17">
    <w:abstractNumId w:val="23"/>
  </w:num>
  <w:num w:numId="18">
    <w:abstractNumId w:val="17"/>
  </w:num>
  <w:num w:numId="19">
    <w:abstractNumId w:val="16"/>
  </w:num>
  <w:num w:numId="20">
    <w:abstractNumId w:val="2"/>
  </w:num>
  <w:num w:numId="21">
    <w:abstractNumId w:val="13"/>
  </w:num>
  <w:num w:numId="22">
    <w:abstractNumId w:val="9"/>
  </w:num>
  <w:num w:numId="23">
    <w:abstractNumId w:val="10"/>
  </w:num>
  <w:num w:numId="24">
    <w:abstractNumId w:val="7"/>
  </w:num>
  <w:num w:numId="25">
    <w:abstractNumId w:val="22"/>
  </w:num>
  <w:num w:numId="26">
    <w:abstractNumId w:val="21"/>
  </w:num>
  <w:num w:numId="27">
    <w:abstractNumId w:val="0"/>
  </w:num>
  <w:num w:numId="28">
    <w:abstractNumId w:val="1"/>
  </w:num>
  <w:num w:numId="29">
    <w:abstractNumId w:val="5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A5CE8"/>
    <w:rsid w:val="0018049A"/>
    <w:rsid w:val="001A4397"/>
    <w:rsid w:val="002942C0"/>
    <w:rsid w:val="002B0A43"/>
    <w:rsid w:val="00382AAC"/>
    <w:rsid w:val="003B7FBE"/>
    <w:rsid w:val="00474670"/>
    <w:rsid w:val="00474D5B"/>
    <w:rsid w:val="004F1121"/>
    <w:rsid w:val="004F1660"/>
    <w:rsid w:val="00527E52"/>
    <w:rsid w:val="0056045F"/>
    <w:rsid w:val="00607519"/>
    <w:rsid w:val="00695AD3"/>
    <w:rsid w:val="006E58F9"/>
    <w:rsid w:val="006E73F1"/>
    <w:rsid w:val="006F026C"/>
    <w:rsid w:val="00735880"/>
    <w:rsid w:val="007707E9"/>
    <w:rsid w:val="00777F90"/>
    <w:rsid w:val="007E66F5"/>
    <w:rsid w:val="008247EB"/>
    <w:rsid w:val="00874611"/>
    <w:rsid w:val="008758BB"/>
    <w:rsid w:val="008C7EE7"/>
    <w:rsid w:val="00920C57"/>
    <w:rsid w:val="00922DD0"/>
    <w:rsid w:val="009517E5"/>
    <w:rsid w:val="009A4937"/>
    <w:rsid w:val="009D2757"/>
    <w:rsid w:val="009F3A2C"/>
    <w:rsid w:val="00A06AF3"/>
    <w:rsid w:val="00AF364E"/>
    <w:rsid w:val="00B5303C"/>
    <w:rsid w:val="00BF3C48"/>
    <w:rsid w:val="00C43A19"/>
    <w:rsid w:val="00D07B91"/>
    <w:rsid w:val="00D37E95"/>
    <w:rsid w:val="00D829F5"/>
    <w:rsid w:val="00E15D93"/>
    <w:rsid w:val="00E17D9B"/>
    <w:rsid w:val="00E20B48"/>
    <w:rsid w:val="00EB7078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DCECF2-E211-4787-9F87-D151DCF1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6F5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3A2C"/>
    <w:pPr>
      <w:spacing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3A2C"/>
    <w:rPr>
      <w:rFonts w:ascii="Calibri" w:eastAsia="Calibri" w:hAnsi="Calibri"/>
      <w:lang w:eastAsia="en-US"/>
    </w:rPr>
  </w:style>
  <w:style w:type="paragraph" w:customStyle="1" w:styleId="tresc">
    <w:name w:val="tresc"/>
    <w:basedOn w:val="Normalny"/>
    <w:rsid w:val="009F3A2C"/>
    <w:pPr>
      <w:spacing w:after="300" w:line="240" w:lineRule="auto"/>
    </w:pPr>
    <w:rPr>
      <w:rFonts w:ascii="inherit" w:hAnsi="inherit"/>
      <w:szCs w:val="24"/>
    </w:rPr>
  </w:style>
  <w:style w:type="paragraph" w:styleId="Tytu">
    <w:name w:val="Title"/>
    <w:basedOn w:val="Normalny"/>
    <w:link w:val="TytuZnak"/>
    <w:qFormat/>
    <w:rsid w:val="009F3A2C"/>
    <w:pPr>
      <w:jc w:val="center"/>
    </w:pPr>
    <w:rPr>
      <w:rFonts w:ascii="Courier New" w:hAnsi="Courier New"/>
      <w:b/>
      <w:bCs/>
      <w:sz w:val="28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9F3A2C"/>
    <w:rPr>
      <w:rFonts w:ascii="Courier New" w:hAnsi="Courier New"/>
      <w:b/>
      <w:bCs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88F8A-D833-4F36-A1AF-D41D85234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5</cp:revision>
  <cp:lastPrinted>2020-08-18T11:34:00Z</cp:lastPrinted>
  <dcterms:created xsi:type="dcterms:W3CDTF">2020-08-18T08:58:00Z</dcterms:created>
  <dcterms:modified xsi:type="dcterms:W3CDTF">2020-09-04T10:00:00Z</dcterms:modified>
</cp:coreProperties>
</file>