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A2C" w:rsidRPr="009F3A2C" w:rsidRDefault="009F3A2C" w:rsidP="009F3A2C">
      <w:pPr>
        <w:keepNext/>
        <w:suppressAutoHyphens/>
        <w:spacing w:after="120"/>
        <w:jc w:val="center"/>
        <w:rPr>
          <w:rFonts w:ascii="Times" w:hAnsi="Times"/>
          <w:b/>
          <w:bCs/>
          <w:caps/>
          <w:spacing w:val="54"/>
          <w:kern w:val="24"/>
          <w:szCs w:val="24"/>
        </w:rPr>
      </w:pPr>
      <w:r w:rsidRPr="009F3A2C">
        <w:rPr>
          <w:rFonts w:ascii="Times" w:hAnsi="Times"/>
          <w:b/>
          <w:bCs/>
          <w:caps/>
          <w:spacing w:val="54"/>
          <w:kern w:val="24"/>
          <w:szCs w:val="24"/>
        </w:rPr>
        <w:t>UZASADNIENIE</w:t>
      </w:r>
    </w:p>
    <w:p w:rsidR="009F3A2C" w:rsidRPr="009F3A2C" w:rsidRDefault="009F3A2C" w:rsidP="009F3A2C">
      <w:pPr>
        <w:widowControl w:val="0"/>
        <w:autoSpaceDE w:val="0"/>
        <w:autoSpaceDN w:val="0"/>
        <w:adjustRightInd w:val="0"/>
        <w:jc w:val="both"/>
        <w:rPr>
          <w:rFonts w:eastAsiaTheme="minorEastAsia" w:cs="Arial"/>
        </w:rPr>
      </w:pP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bCs/>
        </w:rPr>
      </w:pPr>
      <w:r w:rsidRPr="009F3A2C">
        <w:rPr>
          <w:rFonts w:ascii="Times" w:eastAsiaTheme="minorEastAsia" w:hAnsi="Times" w:cs="Arial"/>
          <w:bCs/>
        </w:rPr>
        <w:t>Projekt służy przywróceniu sprawiedliwości i godności oraz częściowemu zrekompensowaniu ekonomicznych skutków represji osobom, którym potwierdzono status działacza opozycji antykomunistycznej lub osoby represjonowanej z powodów politycznych, i którym za czas prowadzenia działalności opozycyjnej lub podlegania represjom uznano okresy składkowe na potrzeby emerytur z Funduszu Ubezpieczeń Społecznych, ale za które w okresie PRL płacenie składek emerytalnych było niemożliwe. Projekt dotyczy czterech grup osób, którym okresy składkowe są uznawane na mocy ustawy o emeryturach i rentach z FUS – są to osoby osadzone w więzieniach lub innych miejscach odosobnienia na terytorium Polski na mocy skazania albo bez wyroku po dniu 31 grudnia 1955 r. za działalność polityczną, osoby świadczące pracę po 1956 r. na rzecz organizacji politycznych i związków zawodowych, nielegalnych w rozumieniu przepisów obowiązujących do kwietnia 1989 r., osoby niewykonujące pracy przed dniem 31 lipca 1990 r. na skutek represji politycznych, osoby internowane na podstawie art. 42 dekretu z dnia 12 grudnia 1981 r. o stanie wojennym – oraz dodaje grupę piątą, dotychczas niesłusznie pominiętą: osoby pozbawione możliwości wykonywania swojego zawodu przed dniem 31 lipca 1990 r. na skutek represji politycznych (taka kategoria osób represjonowanych jest objęta ustawą o działaczach opozycji antykomunistycznej oraz osobach represjonowanych z powodów politycznych, ale nie ustawą o emeryturach i rentach z FUS).</w:t>
      </w: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bCs/>
        </w:rPr>
      </w:pPr>
      <w:r w:rsidRPr="009F3A2C">
        <w:rPr>
          <w:rFonts w:ascii="Times" w:eastAsiaTheme="minorEastAsia" w:hAnsi="Times" w:cs="Arial"/>
          <w:bCs/>
        </w:rPr>
        <w:t>Obecnie osoby te są traktowane tak, jak gdyby w uznanych okresach składkowych miały zerowe wynagrodzenia, zatem jak gdyby ich wkład do społeczeństwa i państwa był bezwartościowy. Uznawane tylko w ten sposób okresy składkowe nie podnoszą wysokości emerytury, są zatem pozorne zamiast rzeczywistych. Ta sprzeczność jest niezrozumiała, krzywdząca i poniżająca. Oznacza lekceważenie działalności opozycyjnej, pracy dla opozycji i kosztów ekonomicznych ponoszenia represji.</w:t>
      </w: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bCs/>
        </w:rPr>
      </w:pPr>
      <w:r w:rsidRPr="009F3A2C">
        <w:rPr>
          <w:rFonts w:ascii="Times" w:eastAsiaTheme="minorEastAsia" w:hAnsi="Times" w:cs="Arial"/>
          <w:bCs/>
        </w:rPr>
        <w:t xml:space="preserve">Projekt służy temu, aby osoby te doznały od Państwa Polskiego uhonorowania zamiast litości. Zgodnie z projektem, punktem odniesienia przy traktowaniu tych osób będzie nie brak emerytury lub bardzo niska (tak zwana głodowa) emerytura, lecz przeciętne wynagrodzenie – nie wynagrodzenie minimalne – w Polsce w latach prowadzenia działalności opozycyjnej lub podlegania represjom. Status tych osób zostanie połączony ze statusem całego społeczeństwa, a nie tylko jego najuboższej części. Nastąpi także dostrzeżenie i uznanie indywidualnych </w:t>
      </w:r>
      <w:r w:rsidRPr="009F3A2C">
        <w:rPr>
          <w:rFonts w:ascii="Times" w:eastAsiaTheme="minorEastAsia" w:hAnsi="Times" w:cs="Arial"/>
          <w:bCs/>
        </w:rPr>
        <w:lastRenderedPageBreak/>
        <w:t>zasług poszczególnych osób – ich zróżnicowanego wkładu, działalności i pracy oraz zróżnicowanych kosztów ponoszenia represji. Wszystkim osobom zostanie zapewnione poczucie większej ekonomicznej i życiowej normalności i stabilności.</w:t>
      </w: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bCs/>
        </w:rPr>
      </w:pPr>
      <w:r w:rsidRPr="009F3A2C">
        <w:rPr>
          <w:rFonts w:ascii="Times" w:eastAsiaTheme="minorEastAsia" w:hAnsi="Times" w:cs="Arial"/>
          <w:bCs/>
        </w:rPr>
        <w:t>Skutki finansowe projektu ustawy dla budżetu państwa będą ograniczone. W wyniku wejścia ustawy w życie wiele spośród jej beneficjentów nie będzie musiało otrzymywać wprowadzanego ustawą z dnia 14 sierpnia 2020 r. o zmianie ustawy o działaczach opozycji antykomunistycznej oraz osobach represjonowanych z powodów politycznych oraz niektórych innych ustaw, świadczenia wyrównawczego dla osoby pobierającej emeryturę w kwocie niższej niż 2400 zł miesięcznie. W zamian osoby te będą otrzymywać normalną emeryturę. Jednorazowe wpłacenie lub wyrównanie składek emerytalnych zrewaloryzowanych na dzień 31 sierpnia 2020 r., za osoby, których dotyczy projekt, może być dla budżetu państwa tańsze od comiesięcznego wypłacania świadczeń wyrównawczych do emerytur zaniżonych wskutek nieopłacenia składek.</w:t>
      </w: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rPr>
      </w:pPr>
      <w:r w:rsidRPr="009F3A2C">
        <w:rPr>
          <w:rFonts w:ascii="Times" w:eastAsiaTheme="minorEastAsia" w:hAnsi="Times" w:cs="Arial"/>
        </w:rPr>
        <w:t>Dotychczasowe uregulowania prawne dają pierwszeństwo działaczom opozycji antykomunistycznej w uzyskaniu miejsca w domu pomocy społecznej (DPS), jednakże w przypadku braku możliwości pokrycia pełnej kwoty finansowej przez skierowanego, różnicę pokrywa rodzina albo gmina miejsca zamieszkania skierowanego.</w:t>
      </w: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rPr>
      </w:pPr>
      <w:r w:rsidRPr="009F3A2C">
        <w:rPr>
          <w:rFonts w:ascii="Times" w:eastAsiaTheme="minorEastAsia" w:hAnsi="Times" w:cs="Arial"/>
        </w:rPr>
        <w:t>Takie uregulowanie prawne czyni przepis o pierwszeństwie w uzyskaniu miejsca w DPS niejednokrotnie trudnym do zrealizowania, gdyż kierującym do DPS są urzędy podlegające władzom gminnym. W przypadku niewskazania przez działacza opozycji swoich dzieci, gminy muszą brać na siebie obowiązek dodatkowego świadczenia finansowego, wydając przedmiotowe skierowanie.</w:t>
      </w: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rPr>
      </w:pPr>
      <w:r w:rsidRPr="009F3A2C">
        <w:rPr>
          <w:rFonts w:ascii="Times" w:eastAsiaTheme="minorEastAsia" w:hAnsi="Times" w:cs="Arial"/>
        </w:rPr>
        <w:t>W związku z powyższym projekt przewiduje regulację, zgodnie z którą w przypadku umieszczenia osoby uprawnionej w DPS, różnicę opłat za pobyt, wynikającą z opłat ponoszonych przez tę osobę, a rzeczywistym kosztem, pokrywać będzie Urząd do Spraw Kombatantów i Osób Represjonowanych.</w:t>
      </w: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rPr>
      </w:pPr>
    </w:p>
    <w:p w:rsidR="009F3A2C" w:rsidRPr="009F3A2C" w:rsidRDefault="009F3A2C" w:rsidP="009F3A2C">
      <w:pPr>
        <w:suppressAutoHyphens/>
        <w:autoSpaceDE w:val="0"/>
        <w:autoSpaceDN w:val="0"/>
        <w:adjustRightInd w:val="0"/>
        <w:spacing w:before="120"/>
        <w:ind w:firstLine="510"/>
        <w:jc w:val="both"/>
        <w:rPr>
          <w:rFonts w:ascii="Times" w:eastAsiaTheme="minorEastAsia" w:hAnsi="Times" w:cs="Arial"/>
          <w:bCs/>
        </w:rPr>
      </w:pPr>
      <w:r w:rsidRPr="009F3A2C">
        <w:rPr>
          <w:rFonts w:ascii="Times" w:eastAsiaTheme="minorEastAsia" w:hAnsi="Times" w:cs="Arial"/>
          <w:bCs/>
        </w:rPr>
        <w:t>Oczekiwane skutki społeczne, gospodarcze i finansowe są przedstawione w Ocenie Skutków Regulacji.</w:t>
      </w:r>
    </w:p>
    <w:p w:rsidR="009F3A2C" w:rsidRDefault="009F3A2C" w:rsidP="009F3A2C">
      <w:pPr>
        <w:suppressAutoHyphens/>
        <w:autoSpaceDE w:val="0"/>
        <w:autoSpaceDN w:val="0"/>
        <w:adjustRightInd w:val="0"/>
        <w:spacing w:before="120"/>
        <w:ind w:firstLine="510"/>
        <w:jc w:val="both"/>
        <w:rPr>
          <w:rFonts w:ascii="Times" w:eastAsiaTheme="minorEastAsia" w:hAnsi="Times" w:cs="Arial"/>
        </w:rPr>
      </w:pPr>
      <w:r w:rsidRPr="009F3A2C">
        <w:rPr>
          <w:rFonts w:ascii="Times" w:eastAsiaTheme="minorEastAsia" w:hAnsi="Times" w:cs="Arial"/>
        </w:rPr>
        <w:t xml:space="preserve">Projekt ustawy jest zgodny z prawem Unii Europejskiej. </w:t>
      </w:r>
    </w:p>
    <w:p w:rsidR="009F3A2C" w:rsidRDefault="009F3A2C" w:rsidP="009F3A2C">
      <w:pPr>
        <w:suppressAutoHyphens/>
        <w:autoSpaceDE w:val="0"/>
        <w:autoSpaceDN w:val="0"/>
        <w:adjustRightInd w:val="0"/>
        <w:spacing w:before="120"/>
        <w:ind w:firstLine="510"/>
        <w:jc w:val="both"/>
        <w:rPr>
          <w:rFonts w:ascii="Times" w:eastAsiaTheme="minorEastAsia" w:hAnsi="Times" w:cs="Arial"/>
        </w:rPr>
        <w:sectPr w:rsidR="009F3A2C" w:rsidSect="009F3A2C">
          <w:headerReference w:type="default" r:id="rId8"/>
          <w:footnotePr>
            <w:numRestart w:val="eachSect"/>
          </w:footnotePr>
          <w:pgSz w:w="11906" w:h="16838"/>
          <w:pgMar w:top="1560" w:right="1434" w:bottom="1560" w:left="1418" w:header="709" w:footer="709" w:gutter="0"/>
          <w:pgNumType w:start="1"/>
          <w:cols w:space="708"/>
          <w:titlePg/>
          <w:docGrid w:linePitch="254"/>
        </w:sectPr>
      </w:pPr>
      <w:bookmarkStart w:id="0" w:name="_GoBack"/>
      <w:bookmarkEnd w:id="0"/>
    </w:p>
    <w:p w:rsidR="007E66F5" w:rsidRDefault="007E66F5" w:rsidP="007707E9">
      <w:pPr>
        <w:tabs>
          <w:tab w:val="center" w:pos="6237"/>
        </w:tabs>
        <w:spacing w:line="240" w:lineRule="auto"/>
        <w:ind w:right="-2"/>
        <w:jc w:val="both"/>
        <w:rPr>
          <w:b/>
        </w:rPr>
      </w:pPr>
    </w:p>
    <w:sectPr w:rsidR="007E66F5" w:rsidSect="009F3A2C">
      <w:headerReference w:type="default" r:id="rId9"/>
      <w:footerReference w:type="default" r:id="rId10"/>
      <w:pgSz w:w="11906" w:h="16838"/>
      <w:pgMar w:top="567" w:right="709" w:bottom="567" w:left="720" w:header="397"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A7D" w:rsidRDefault="00DD0A7D" w:rsidP="009A4937">
      <w:pPr>
        <w:spacing w:line="240" w:lineRule="auto"/>
      </w:pPr>
      <w:r>
        <w:separator/>
      </w:r>
    </w:p>
  </w:endnote>
  <w:endnote w:type="continuationSeparator" w:id="0">
    <w:p w:rsidR="00DD0A7D" w:rsidRDefault="00DD0A7D" w:rsidP="009A4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A2C" w:rsidRDefault="009F3A2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A7D" w:rsidRDefault="00DD0A7D" w:rsidP="009A4937">
      <w:pPr>
        <w:spacing w:line="240" w:lineRule="auto"/>
      </w:pPr>
      <w:r>
        <w:separator/>
      </w:r>
    </w:p>
  </w:footnote>
  <w:footnote w:type="continuationSeparator" w:id="0">
    <w:p w:rsidR="00DD0A7D" w:rsidRDefault="00DD0A7D" w:rsidP="009A49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E20B48" w:rsidP="00B371CC">
    <w:pPr>
      <w:pStyle w:val="Nagwek"/>
      <w:jc w:val="center"/>
    </w:pPr>
    <w:r>
      <w:t xml:space="preserve">– </w:t>
    </w:r>
    <w:r>
      <w:fldChar w:fldCharType="begin"/>
    </w:r>
    <w:r>
      <w:instrText xml:space="preserve"> PAGE  \* MERGEFORMAT </w:instrText>
    </w:r>
    <w:r>
      <w:fldChar w:fldCharType="separate"/>
    </w:r>
    <w:r w:rsidR="00C95593">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A2C" w:rsidRPr="009517E5" w:rsidRDefault="009F3A2C" w:rsidP="009F3A2C">
    <w:pPr>
      <w:pStyle w:val="Nagwek"/>
      <w:rPr>
        <w:sz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D33D9"/>
    <w:multiLevelType w:val="hybridMultilevel"/>
    <w:tmpl w:val="E9C0085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637D4F"/>
    <w:multiLevelType w:val="hybridMultilevel"/>
    <w:tmpl w:val="24D0934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2F622CE"/>
    <w:multiLevelType w:val="hybridMultilevel"/>
    <w:tmpl w:val="FAE2342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276C9F"/>
    <w:multiLevelType w:val="hybridMultilevel"/>
    <w:tmpl w:val="AD3E92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5" w15:restartNumberingAfterBreak="0">
    <w:nsid w:val="1C8255E8"/>
    <w:multiLevelType w:val="hybridMultilevel"/>
    <w:tmpl w:val="1A020C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E32230F"/>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8D32FB"/>
    <w:multiLevelType w:val="hybridMultilevel"/>
    <w:tmpl w:val="E9B6A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1684525"/>
    <w:multiLevelType w:val="singleLevel"/>
    <w:tmpl w:val="6792BDB4"/>
    <w:lvl w:ilvl="0">
      <w:start w:val="1"/>
      <w:numFmt w:val="decimal"/>
      <w:lvlText w:val="%1)"/>
      <w:lvlJc w:val="left"/>
      <w:pPr>
        <w:tabs>
          <w:tab w:val="num" w:pos="397"/>
        </w:tabs>
        <w:ind w:left="397" w:hanging="397"/>
      </w:pPr>
    </w:lvl>
  </w:abstractNum>
  <w:abstractNum w:abstractNumId="9" w15:restartNumberingAfterBreak="0">
    <w:nsid w:val="239C4525"/>
    <w:multiLevelType w:val="hybridMultilevel"/>
    <w:tmpl w:val="F7DA2FF0"/>
    <w:lvl w:ilvl="0" w:tplc="04150001">
      <w:start w:val="1"/>
      <w:numFmt w:val="bullet"/>
      <w:lvlText w:val=""/>
      <w:lvlJc w:val="left"/>
      <w:pPr>
        <w:ind w:left="1061" w:hanging="360"/>
      </w:pPr>
      <w:rPr>
        <w:rFonts w:ascii="Symbol" w:hAnsi="Symbol" w:hint="default"/>
      </w:rPr>
    </w:lvl>
    <w:lvl w:ilvl="1" w:tplc="04150003" w:tentative="1">
      <w:start w:val="1"/>
      <w:numFmt w:val="bullet"/>
      <w:lvlText w:val="o"/>
      <w:lvlJc w:val="left"/>
      <w:pPr>
        <w:ind w:left="1781" w:hanging="360"/>
      </w:pPr>
      <w:rPr>
        <w:rFonts w:ascii="Courier New" w:hAnsi="Courier New" w:cs="Courier New" w:hint="default"/>
      </w:rPr>
    </w:lvl>
    <w:lvl w:ilvl="2" w:tplc="04150005" w:tentative="1">
      <w:start w:val="1"/>
      <w:numFmt w:val="bullet"/>
      <w:lvlText w:val=""/>
      <w:lvlJc w:val="left"/>
      <w:pPr>
        <w:ind w:left="2501" w:hanging="360"/>
      </w:pPr>
      <w:rPr>
        <w:rFonts w:ascii="Wingdings" w:hAnsi="Wingdings" w:hint="default"/>
      </w:rPr>
    </w:lvl>
    <w:lvl w:ilvl="3" w:tplc="04150001" w:tentative="1">
      <w:start w:val="1"/>
      <w:numFmt w:val="bullet"/>
      <w:lvlText w:val=""/>
      <w:lvlJc w:val="left"/>
      <w:pPr>
        <w:ind w:left="3221" w:hanging="360"/>
      </w:pPr>
      <w:rPr>
        <w:rFonts w:ascii="Symbol" w:hAnsi="Symbol" w:hint="default"/>
      </w:rPr>
    </w:lvl>
    <w:lvl w:ilvl="4" w:tplc="04150003" w:tentative="1">
      <w:start w:val="1"/>
      <w:numFmt w:val="bullet"/>
      <w:lvlText w:val="o"/>
      <w:lvlJc w:val="left"/>
      <w:pPr>
        <w:ind w:left="3941" w:hanging="360"/>
      </w:pPr>
      <w:rPr>
        <w:rFonts w:ascii="Courier New" w:hAnsi="Courier New" w:cs="Courier New" w:hint="default"/>
      </w:rPr>
    </w:lvl>
    <w:lvl w:ilvl="5" w:tplc="04150005" w:tentative="1">
      <w:start w:val="1"/>
      <w:numFmt w:val="bullet"/>
      <w:lvlText w:val=""/>
      <w:lvlJc w:val="left"/>
      <w:pPr>
        <w:ind w:left="4661" w:hanging="360"/>
      </w:pPr>
      <w:rPr>
        <w:rFonts w:ascii="Wingdings" w:hAnsi="Wingdings" w:hint="default"/>
      </w:rPr>
    </w:lvl>
    <w:lvl w:ilvl="6" w:tplc="04150001" w:tentative="1">
      <w:start w:val="1"/>
      <w:numFmt w:val="bullet"/>
      <w:lvlText w:val=""/>
      <w:lvlJc w:val="left"/>
      <w:pPr>
        <w:ind w:left="5381" w:hanging="360"/>
      </w:pPr>
      <w:rPr>
        <w:rFonts w:ascii="Symbol" w:hAnsi="Symbol" w:hint="default"/>
      </w:rPr>
    </w:lvl>
    <w:lvl w:ilvl="7" w:tplc="04150003" w:tentative="1">
      <w:start w:val="1"/>
      <w:numFmt w:val="bullet"/>
      <w:lvlText w:val="o"/>
      <w:lvlJc w:val="left"/>
      <w:pPr>
        <w:ind w:left="6101" w:hanging="360"/>
      </w:pPr>
      <w:rPr>
        <w:rFonts w:ascii="Courier New" w:hAnsi="Courier New" w:cs="Courier New" w:hint="default"/>
      </w:rPr>
    </w:lvl>
    <w:lvl w:ilvl="8" w:tplc="04150005" w:tentative="1">
      <w:start w:val="1"/>
      <w:numFmt w:val="bullet"/>
      <w:lvlText w:val=""/>
      <w:lvlJc w:val="left"/>
      <w:pPr>
        <w:ind w:left="6821" w:hanging="360"/>
      </w:pPr>
      <w:rPr>
        <w:rFonts w:ascii="Wingdings" w:hAnsi="Wingdings" w:hint="default"/>
      </w:rPr>
    </w:lvl>
  </w:abstractNum>
  <w:abstractNum w:abstractNumId="10" w15:restartNumberingAfterBreak="0">
    <w:nsid w:val="27471732"/>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1C61B4"/>
    <w:multiLevelType w:val="singleLevel"/>
    <w:tmpl w:val="1ECCD4F4"/>
    <w:lvl w:ilvl="0">
      <w:start w:val="1"/>
      <w:numFmt w:val="decimal"/>
      <w:lvlText w:val="%1)"/>
      <w:lvlJc w:val="left"/>
      <w:pPr>
        <w:tabs>
          <w:tab w:val="num" w:pos="397"/>
        </w:tabs>
        <w:ind w:left="397" w:hanging="397"/>
      </w:pPr>
    </w:lvl>
  </w:abstractNum>
  <w:abstractNum w:abstractNumId="12" w15:restartNumberingAfterBreak="0">
    <w:nsid w:val="308D4468"/>
    <w:multiLevelType w:val="hybridMultilevel"/>
    <w:tmpl w:val="D4100F8A"/>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4E73566"/>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B931C1"/>
    <w:multiLevelType w:val="hybridMultilevel"/>
    <w:tmpl w:val="54AEF948"/>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B94068"/>
    <w:multiLevelType w:val="hybridMultilevel"/>
    <w:tmpl w:val="42EE01C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016C30"/>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3A757D5"/>
    <w:multiLevelType w:val="singleLevel"/>
    <w:tmpl w:val="92B6EFF2"/>
    <w:lvl w:ilvl="0">
      <w:start w:val="1"/>
      <w:numFmt w:val="lowerLetter"/>
      <w:lvlText w:val="%1)"/>
      <w:lvlJc w:val="left"/>
      <w:pPr>
        <w:tabs>
          <w:tab w:val="num" w:pos="786"/>
        </w:tabs>
        <w:ind w:left="786" w:hanging="360"/>
      </w:pPr>
      <w:rPr>
        <w:rFonts w:hint="default"/>
      </w:rPr>
    </w:lvl>
  </w:abstractNum>
  <w:abstractNum w:abstractNumId="19" w15:restartNumberingAfterBreak="0">
    <w:nsid w:val="74663D3D"/>
    <w:multiLevelType w:val="hybridMultilevel"/>
    <w:tmpl w:val="3036FE8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00E1C"/>
    <w:multiLevelType w:val="singleLevel"/>
    <w:tmpl w:val="917A9C24"/>
    <w:lvl w:ilvl="0">
      <w:start w:val="1"/>
      <w:numFmt w:val="decimal"/>
      <w:lvlText w:val="%1)"/>
      <w:lvlJc w:val="left"/>
      <w:pPr>
        <w:tabs>
          <w:tab w:val="num" w:pos="360"/>
        </w:tabs>
        <w:ind w:left="360" w:hanging="360"/>
      </w:pPr>
      <w:rPr>
        <w:rFonts w:hint="default"/>
      </w:rPr>
    </w:lvl>
  </w:abstractNum>
  <w:abstractNum w:abstractNumId="21" w15:restartNumberingAfterBreak="0">
    <w:nsid w:val="782E5354"/>
    <w:multiLevelType w:val="hybridMultilevel"/>
    <w:tmpl w:val="0094A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A4F00D7"/>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ED46462"/>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11"/>
  </w:num>
  <w:num w:numId="3">
    <w:abstractNumId w:val="8"/>
  </w:num>
  <w:num w:numId="4">
    <w:abstractNumId w:val="8"/>
  </w:num>
  <w:num w:numId="5">
    <w:abstractNumId w:val="20"/>
  </w:num>
  <w:num w:numId="6">
    <w:abstractNumId w:val="18"/>
  </w:num>
  <w:num w:numId="7">
    <w:abstractNumId w:val="20"/>
  </w:num>
  <w:num w:numId="8">
    <w:abstractNumId w:val="18"/>
  </w:num>
  <w:num w:numId="9">
    <w:abstractNumId w:val="20"/>
  </w:num>
  <w:num w:numId="10">
    <w:abstractNumId w:val="18"/>
  </w:num>
  <w:num w:numId="11">
    <w:abstractNumId w:val="4"/>
  </w:num>
  <w:num w:numId="12">
    <w:abstractNumId w:val="14"/>
  </w:num>
  <w:num w:numId="13">
    <w:abstractNumId w:val="12"/>
  </w:num>
  <w:num w:numId="14">
    <w:abstractNumId w:val="6"/>
  </w:num>
  <w:num w:numId="15">
    <w:abstractNumId w:val="19"/>
  </w:num>
  <w:num w:numId="16">
    <w:abstractNumId w:val="15"/>
  </w:num>
  <w:num w:numId="17">
    <w:abstractNumId w:val="23"/>
  </w:num>
  <w:num w:numId="18">
    <w:abstractNumId w:val="17"/>
  </w:num>
  <w:num w:numId="19">
    <w:abstractNumId w:val="16"/>
  </w:num>
  <w:num w:numId="20">
    <w:abstractNumId w:val="2"/>
  </w:num>
  <w:num w:numId="21">
    <w:abstractNumId w:val="13"/>
  </w:num>
  <w:num w:numId="22">
    <w:abstractNumId w:val="9"/>
  </w:num>
  <w:num w:numId="23">
    <w:abstractNumId w:val="10"/>
  </w:num>
  <w:num w:numId="24">
    <w:abstractNumId w:val="7"/>
  </w:num>
  <w:num w:numId="25">
    <w:abstractNumId w:val="22"/>
  </w:num>
  <w:num w:numId="26">
    <w:abstractNumId w:val="21"/>
  </w:num>
  <w:num w:numId="27">
    <w:abstractNumId w:val="0"/>
  </w:num>
  <w:num w:numId="28">
    <w:abstractNumId w:val="1"/>
  </w:num>
  <w:num w:numId="29">
    <w:abstractNumId w:val="5"/>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37"/>
    <w:rsid w:val="0001613E"/>
    <w:rsid w:val="000A5CE8"/>
    <w:rsid w:val="0018049A"/>
    <w:rsid w:val="001A4397"/>
    <w:rsid w:val="002942C0"/>
    <w:rsid w:val="002B0A43"/>
    <w:rsid w:val="00382AAC"/>
    <w:rsid w:val="003B7FBE"/>
    <w:rsid w:val="00474670"/>
    <w:rsid w:val="00474D5B"/>
    <w:rsid w:val="004F1121"/>
    <w:rsid w:val="004F1660"/>
    <w:rsid w:val="00527E52"/>
    <w:rsid w:val="0056045F"/>
    <w:rsid w:val="00607519"/>
    <w:rsid w:val="00695AD3"/>
    <w:rsid w:val="006E58F9"/>
    <w:rsid w:val="006E73F1"/>
    <w:rsid w:val="006F026C"/>
    <w:rsid w:val="00735880"/>
    <w:rsid w:val="007707E9"/>
    <w:rsid w:val="00777F90"/>
    <w:rsid w:val="007E66F5"/>
    <w:rsid w:val="008247EB"/>
    <w:rsid w:val="00874611"/>
    <w:rsid w:val="008758BB"/>
    <w:rsid w:val="008C7EE7"/>
    <w:rsid w:val="00920C57"/>
    <w:rsid w:val="009517E5"/>
    <w:rsid w:val="009A4937"/>
    <w:rsid w:val="009D2757"/>
    <w:rsid w:val="009F3A2C"/>
    <w:rsid w:val="00A06AF3"/>
    <w:rsid w:val="00AF364E"/>
    <w:rsid w:val="00B5303C"/>
    <w:rsid w:val="00BF3C48"/>
    <w:rsid w:val="00C43A19"/>
    <w:rsid w:val="00C95593"/>
    <w:rsid w:val="00D07B91"/>
    <w:rsid w:val="00D37E95"/>
    <w:rsid w:val="00D829F5"/>
    <w:rsid w:val="00DD0A7D"/>
    <w:rsid w:val="00E15D93"/>
    <w:rsid w:val="00E20B48"/>
    <w:rsid w:val="00EB7078"/>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F97A87-E8CB-4BD2-87F3-23855CA0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E66F5"/>
    <w:pPr>
      <w:spacing w:line="360" w:lineRule="auto"/>
    </w:pPr>
    <w:rPr>
      <w:sz w:val="24"/>
    </w:rPr>
  </w:style>
  <w:style w:type="paragraph" w:styleId="Nagwek1">
    <w:name w:val="heading 1"/>
    <w:basedOn w:val="Normalny"/>
    <w:next w:val="Normalny"/>
    <w:link w:val="Nagwek1Znak"/>
    <w:qFormat/>
    <w:rsid w:val="00D37E95"/>
    <w:pPr>
      <w:keepNext/>
      <w:spacing w:before="240" w:after="60" w:line="240" w:lineRule="auto"/>
      <w:outlineLvl w:val="0"/>
    </w:pPr>
    <w:rPr>
      <w:rFonts w:ascii="Arial"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uiPriority w:val="99"/>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1"/>
      </w:numPr>
    </w:pPr>
  </w:style>
  <w:style w:type="paragraph" w:customStyle="1" w:styleId="Senatorowie">
    <w:name w:val="Senatorowie"/>
    <w:basedOn w:val="Normalny"/>
    <w:rsid w:val="00735880"/>
  </w:style>
  <w:style w:type="paragraph" w:styleId="Nagwek">
    <w:name w:val="header"/>
    <w:basedOn w:val="Normalny"/>
    <w:link w:val="NagwekZnak"/>
    <w:uiPriority w:val="99"/>
    <w:unhideWhenUsed/>
    <w:rsid w:val="009A4937"/>
    <w:pPr>
      <w:tabs>
        <w:tab w:val="center" w:pos="4536"/>
        <w:tab w:val="right" w:pos="9072"/>
      </w:tabs>
      <w:spacing w:line="240" w:lineRule="auto"/>
    </w:pPr>
  </w:style>
  <w:style w:type="character" w:customStyle="1" w:styleId="NagwekZnak">
    <w:name w:val="Nagłówek Znak"/>
    <w:basedOn w:val="Domylnaczcionkaakapitu"/>
    <w:link w:val="Nagwek"/>
    <w:uiPriority w:val="99"/>
    <w:rsid w:val="009A4937"/>
    <w:rPr>
      <w:sz w:val="24"/>
    </w:rPr>
  </w:style>
  <w:style w:type="character" w:styleId="Odwoanieprzypisudolnego">
    <w:name w:val="footnote reference"/>
    <w:uiPriority w:val="99"/>
    <w:semiHidden/>
    <w:rsid w:val="009A4937"/>
    <w:rPr>
      <w:rFonts w:cs="Times New Roman"/>
      <w:vertAlign w:val="superscript"/>
    </w:rPr>
  </w:style>
  <w:style w:type="paragraph" w:customStyle="1" w:styleId="ODNONIKtreodnonika">
    <w:name w:val="ODNOŚNIK – treść odnośnika"/>
    <w:uiPriority w:val="19"/>
    <w:qFormat/>
    <w:rsid w:val="009A4937"/>
    <w:pPr>
      <w:ind w:left="284" w:hanging="284"/>
      <w:jc w:val="both"/>
    </w:pPr>
    <w:rPr>
      <w:rFonts w:eastAsiaTheme="minorEastAsia" w:cs="Arial"/>
    </w:rPr>
  </w:style>
  <w:style w:type="character" w:customStyle="1" w:styleId="IGindeksgrny">
    <w:name w:val="_IG_ – indeks górny"/>
    <w:basedOn w:val="Domylnaczcionkaakapitu"/>
    <w:uiPriority w:val="2"/>
    <w:qFormat/>
    <w:rsid w:val="009A4937"/>
    <w:rPr>
      <w:b w:val="0"/>
      <w:i w:val="0"/>
      <w:vanish w:val="0"/>
      <w:spacing w:val="0"/>
      <w:vertAlign w:val="superscript"/>
    </w:rPr>
  </w:style>
  <w:style w:type="paragraph" w:styleId="Stopka">
    <w:name w:val="footer"/>
    <w:basedOn w:val="Normalny"/>
    <w:link w:val="StopkaZnak"/>
    <w:uiPriority w:val="99"/>
    <w:unhideWhenUsed/>
    <w:rsid w:val="009A4937"/>
    <w:pPr>
      <w:tabs>
        <w:tab w:val="center" w:pos="4536"/>
        <w:tab w:val="right" w:pos="9072"/>
      </w:tabs>
      <w:spacing w:line="240" w:lineRule="auto"/>
    </w:pPr>
  </w:style>
  <w:style w:type="character" w:customStyle="1" w:styleId="StopkaZnak">
    <w:name w:val="Stopka Znak"/>
    <w:basedOn w:val="Domylnaczcionkaakapitu"/>
    <w:link w:val="Stopka"/>
    <w:uiPriority w:val="99"/>
    <w:rsid w:val="009A4937"/>
    <w:rPr>
      <w:sz w:val="24"/>
    </w:rPr>
  </w:style>
  <w:style w:type="character" w:customStyle="1" w:styleId="Nagwek1Znak">
    <w:name w:val="Nagłówek 1 Znak"/>
    <w:basedOn w:val="Domylnaczcionkaakapitu"/>
    <w:link w:val="Nagwek1"/>
    <w:rsid w:val="00D37E95"/>
    <w:rPr>
      <w:rFonts w:ascii="Arial" w:hAnsi="Arial" w:cs="Arial"/>
      <w:b/>
      <w:bCs/>
      <w:kern w:val="32"/>
      <w:sz w:val="32"/>
      <w:szCs w:val="32"/>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37E95"/>
    <w:pPr>
      <w:suppressAutoHyphens/>
      <w:autoSpaceDE w:val="0"/>
      <w:autoSpaceDN w:val="0"/>
      <w:adjustRightInd w:val="0"/>
      <w:spacing w:before="120"/>
      <w:ind w:firstLine="510"/>
      <w:jc w:val="both"/>
    </w:pPr>
    <w:rPr>
      <w:rFonts w:ascii="Times" w:hAnsi="Times" w:cs="Arial"/>
      <w:bCs/>
    </w:rPr>
  </w:style>
  <w:style w:type="paragraph" w:styleId="Tekstdymka">
    <w:name w:val="Balloon Text"/>
    <w:basedOn w:val="Normalny"/>
    <w:link w:val="TekstdymkaZnak"/>
    <w:uiPriority w:val="99"/>
    <w:semiHidden/>
    <w:unhideWhenUsed/>
    <w:rsid w:val="00D37E9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95"/>
    <w:rPr>
      <w:rFonts w:ascii="Tahoma" w:hAnsi="Tahoma" w:cs="Tahoma"/>
      <w:sz w:val="16"/>
      <w:szCs w:val="16"/>
    </w:rPr>
  </w:style>
  <w:style w:type="paragraph" w:customStyle="1" w:styleId="ARTartustawynprozporzdzenia">
    <w:name w:val="ART(§) – art. ustawy (§ np. rozporządzenia)"/>
    <w:link w:val="ARTartustawynprozporzdzeniaZnak"/>
    <w:uiPriority w:val="11"/>
    <w:qFormat/>
    <w:rsid w:val="0018049A"/>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DATAAKTUdatauchwalenialubwydaniaaktu">
    <w:name w:val="DATA_AKTU – data uchwalenia lub wydania aktu"/>
    <w:next w:val="TYTUAKTUprzedmiotregulacjiustawylubrozporzdzenia"/>
    <w:uiPriority w:val="6"/>
    <w:qFormat/>
    <w:rsid w:val="0018049A"/>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18049A"/>
    <w:pPr>
      <w:keepNext/>
      <w:suppressAutoHyphens/>
      <w:spacing w:before="120" w:after="360" w:line="360" w:lineRule="auto"/>
      <w:jc w:val="center"/>
    </w:pPr>
    <w:rPr>
      <w:rFonts w:ascii="Times" w:eastAsiaTheme="minorEastAsia"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18049A"/>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18049A"/>
    <w:pPr>
      <w:spacing w:before="0"/>
    </w:pPr>
    <w:rPr>
      <w:bCs/>
    </w:rPr>
  </w:style>
  <w:style w:type="paragraph" w:customStyle="1" w:styleId="ZUSTzmustartykuempunktem">
    <w:name w:val="Z/UST(§) – zm. ust. (§) artykułem (punktem)"/>
    <w:basedOn w:val="Normalny"/>
    <w:uiPriority w:val="30"/>
    <w:qFormat/>
    <w:rsid w:val="0018049A"/>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18049A"/>
    <w:pPr>
      <w:spacing w:line="360" w:lineRule="auto"/>
      <w:jc w:val="right"/>
    </w:pPr>
    <w:rPr>
      <w:rFonts w:eastAsiaTheme="minorEastAsia" w:cs="Arial"/>
      <w:sz w:val="24"/>
      <w:u w:val="single"/>
    </w:rPr>
  </w:style>
  <w:style w:type="character" w:customStyle="1" w:styleId="Ppogrubienie">
    <w:name w:val="_P_ – pogrubienie"/>
    <w:basedOn w:val="Domylnaczcionkaakapitu"/>
    <w:uiPriority w:val="1"/>
    <w:qFormat/>
    <w:rsid w:val="0018049A"/>
    <w:rPr>
      <w:b/>
    </w:rPr>
  </w:style>
  <w:style w:type="character" w:customStyle="1" w:styleId="ARTartustawynprozporzdzeniaZnak">
    <w:name w:val="ART(§) – art. ustawy (§ np. rozporządzenia) Znak"/>
    <w:basedOn w:val="Domylnaczcionkaakapitu"/>
    <w:link w:val="ARTartustawynprozporzdzenia"/>
    <w:uiPriority w:val="11"/>
    <w:locked/>
    <w:rsid w:val="0018049A"/>
    <w:rPr>
      <w:rFonts w:ascii="Times" w:eastAsiaTheme="minorEastAsia" w:hAnsi="Times" w:cs="Arial"/>
      <w:sz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18049A"/>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18049A"/>
    <w:rPr>
      <w:rFonts w:ascii="Times" w:eastAsiaTheme="minorEastAsia" w:hAnsi="Times" w:cs="Arial"/>
      <w:bCs/>
      <w:sz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18049A"/>
    <w:rPr>
      <w:rFonts w:ascii="Times" w:hAnsi="Times"/>
      <w:b/>
      <w:bCs/>
      <w:caps/>
      <w:spacing w:val="54"/>
      <w:kern w:val="24"/>
      <w:sz w:val="24"/>
      <w:szCs w:val="24"/>
    </w:rPr>
  </w:style>
  <w:style w:type="paragraph" w:styleId="Tekstpodstawowy">
    <w:name w:val="Body Text"/>
    <w:basedOn w:val="Normalny"/>
    <w:link w:val="TekstpodstawowyZnak"/>
    <w:uiPriority w:val="99"/>
    <w:semiHidden/>
    <w:rsid w:val="0018049A"/>
    <w:pPr>
      <w:widowControl w:val="0"/>
      <w:autoSpaceDE w:val="0"/>
      <w:autoSpaceDN w:val="0"/>
      <w:adjustRightInd w:val="0"/>
      <w:spacing w:after="120"/>
      <w:jc w:val="both"/>
    </w:pPr>
    <w:rPr>
      <w:rFonts w:eastAsiaTheme="minorEastAsia" w:cs="Arial"/>
    </w:rPr>
  </w:style>
  <w:style w:type="character" w:customStyle="1" w:styleId="TekstpodstawowyZnak">
    <w:name w:val="Tekst podstawowy Znak"/>
    <w:basedOn w:val="Domylnaczcionkaakapitu"/>
    <w:link w:val="Tekstpodstawowy"/>
    <w:uiPriority w:val="99"/>
    <w:semiHidden/>
    <w:rsid w:val="0018049A"/>
    <w:rPr>
      <w:rFonts w:eastAsiaTheme="minorEastAsia" w:cs="Arial"/>
      <w:sz w:val="24"/>
    </w:rPr>
  </w:style>
  <w:style w:type="paragraph" w:styleId="Akapitzlist">
    <w:name w:val="List Paragraph"/>
    <w:basedOn w:val="Normalny"/>
    <w:uiPriority w:val="34"/>
    <w:qFormat/>
    <w:rsid w:val="006E73F1"/>
    <w:pPr>
      <w:spacing w:line="276" w:lineRule="auto"/>
      <w:ind w:left="720"/>
      <w:contextualSpacing/>
    </w:pPr>
    <w:rPr>
      <w:rFonts w:ascii="Calibri" w:eastAsia="Calibri" w:hAnsi="Calibri"/>
      <w:sz w:val="22"/>
      <w:szCs w:val="22"/>
      <w:lang w:eastAsia="en-US"/>
    </w:rPr>
  </w:style>
  <w:style w:type="paragraph" w:styleId="Tekstprzypisudolnego">
    <w:name w:val="footnote text"/>
    <w:basedOn w:val="Normalny"/>
    <w:link w:val="TekstprzypisudolnegoZnak"/>
    <w:uiPriority w:val="99"/>
    <w:semiHidden/>
    <w:unhideWhenUsed/>
    <w:rsid w:val="009F3A2C"/>
    <w:pPr>
      <w:spacing w:line="276" w:lineRule="auto"/>
    </w:pPr>
    <w:rPr>
      <w:rFonts w:ascii="Calibri" w:eastAsia="Calibri" w:hAnsi="Calibri"/>
      <w:sz w:val="20"/>
      <w:lang w:eastAsia="en-US"/>
    </w:rPr>
  </w:style>
  <w:style w:type="character" w:customStyle="1" w:styleId="TekstprzypisudolnegoZnak">
    <w:name w:val="Tekst przypisu dolnego Znak"/>
    <w:basedOn w:val="Domylnaczcionkaakapitu"/>
    <w:link w:val="Tekstprzypisudolnego"/>
    <w:uiPriority w:val="99"/>
    <w:semiHidden/>
    <w:rsid w:val="009F3A2C"/>
    <w:rPr>
      <w:rFonts w:ascii="Calibri" w:eastAsia="Calibri" w:hAnsi="Calibri"/>
      <w:lang w:eastAsia="en-US"/>
    </w:rPr>
  </w:style>
  <w:style w:type="paragraph" w:customStyle="1" w:styleId="tresc">
    <w:name w:val="tresc"/>
    <w:basedOn w:val="Normalny"/>
    <w:rsid w:val="009F3A2C"/>
    <w:pPr>
      <w:spacing w:after="300" w:line="240" w:lineRule="auto"/>
    </w:pPr>
    <w:rPr>
      <w:rFonts w:ascii="inherit" w:hAnsi="inherit"/>
      <w:szCs w:val="24"/>
    </w:rPr>
  </w:style>
  <w:style w:type="paragraph" w:styleId="Tytu">
    <w:name w:val="Title"/>
    <w:basedOn w:val="Normalny"/>
    <w:link w:val="TytuZnak"/>
    <w:qFormat/>
    <w:rsid w:val="009F3A2C"/>
    <w:pPr>
      <w:jc w:val="center"/>
    </w:pPr>
    <w:rPr>
      <w:rFonts w:ascii="Courier New" w:hAnsi="Courier New"/>
      <w:b/>
      <w:bCs/>
      <w:sz w:val="28"/>
      <w:szCs w:val="24"/>
      <w:lang w:val="x-none" w:eastAsia="x-none"/>
    </w:rPr>
  </w:style>
  <w:style w:type="character" w:customStyle="1" w:styleId="TytuZnak">
    <w:name w:val="Tytuł Znak"/>
    <w:basedOn w:val="Domylnaczcionkaakapitu"/>
    <w:link w:val="Tytu"/>
    <w:rsid w:val="009F3A2C"/>
    <w:rPr>
      <w:rFonts w:ascii="Courier New" w:hAnsi="Courier New"/>
      <w:b/>
      <w:bCs/>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9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7E4EF-AD2C-4807-AE0E-0D3C10429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662</Words>
  <Characters>3976</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4629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5</cp:revision>
  <cp:lastPrinted>2020-08-18T11:34:00Z</cp:lastPrinted>
  <dcterms:created xsi:type="dcterms:W3CDTF">2020-08-18T08:58:00Z</dcterms:created>
  <dcterms:modified xsi:type="dcterms:W3CDTF">2020-09-04T10:02:00Z</dcterms:modified>
</cp:coreProperties>
</file>