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809" w:rsidRPr="00A428F6" w:rsidRDefault="00E23809" w:rsidP="00E23809">
      <w:pPr>
        <w:pStyle w:val="OZNRODZAKTUtznustawalubrozporzdzenieiorganwydajcy"/>
      </w:pPr>
      <w:r w:rsidRPr="00A428F6">
        <w:t>UZASADNIENIE</w:t>
      </w:r>
    </w:p>
    <w:p w:rsidR="00E23809" w:rsidRPr="00A428F6" w:rsidRDefault="00E23809" w:rsidP="00E23809"/>
    <w:p w:rsidR="00E23809" w:rsidRPr="009B66B3" w:rsidRDefault="00E23809" w:rsidP="00E23809">
      <w:pPr>
        <w:rPr>
          <w:rStyle w:val="Ppogrubienie"/>
        </w:rPr>
      </w:pPr>
      <w:r w:rsidRPr="009B66B3">
        <w:rPr>
          <w:rStyle w:val="Ppogrubienie"/>
        </w:rPr>
        <w:t>1. Cel projektowanej ustawy</w:t>
      </w:r>
    </w:p>
    <w:p w:rsidR="00E23809" w:rsidRPr="00A428F6" w:rsidRDefault="00E23809" w:rsidP="00E23809">
      <w:pPr>
        <w:pStyle w:val="NIEARTTEKSTtekstnieartykuowanynppodstprawnarozplubpreambua"/>
      </w:pPr>
      <w:r w:rsidRPr="00A428F6">
        <w:t>Projekt ustawy stanowi realizację postulatu zawartego w petycji P</w:t>
      </w:r>
      <w:r>
        <w:t>10-</w:t>
      </w:r>
      <w:r w:rsidRPr="00A428F6">
        <w:t>1</w:t>
      </w:r>
      <w:r>
        <w:t>1</w:t>
      </w:r>
      <w:r w:rsidRPr="00A428F6">
        <w:t>/</w:t>
      </w:r>
      <w:r>
        <w:t>20</w:t>
      </w:r>
      <w:r w:rsidRPr="00A428F6">
        <w:t xml:space="preserve"> wniesionej do Senatu w dniu 9 </w:t>
      </w:r>
      <w:r>
        <w:t>styczni</w:t>
      </w:r>
      <w:r w:rsidRPr="00A428F6">
        <w:t>a 20</w:t>
      </w:r>
      <w:r>
        <w:t>20</w:t>
      </w:r>
      <w:r w:rsidRPr="00A428F6">
        <w:t xml:space="preserve"> r. przez Helsińską Fundację Praw Człowieka.</w:t>
      </w:r>
    </w:p>
    <w:p w:rsidR="00E23809" w:rsidRPr="00A428F6" w:rsidRDefault="00E23809" w:rsidP="00E23809">
      <w:pPr>
        <w:pStyle w:val="NIEARTTEKSTtekstnieartykuowanynppodstprawnarozplubpreambua"/>
      </w:pPr>
      <w:r w:rsidRPr="00A428F6">
        <w:t>Autor petycji zwraca się do Marszałka Senatu o podjęcie przez Senat inicjatywy ustawodawczej zmierzającej do zmiany  art. 27 ustawy z dnia 26 października 1982 r. – o postępowaniu w sprawach nieletnich (zwaną dalej „u.p.n.”), regulującego kwestie umieszczenia nieletniego w schronisku dla nieletnich oraz przedłużania okresu pobytu nieletniego w schronisku.</w:t>
      </w:r>
      <w:r>
        <w:t xml:space="preserve"> </w:t>
      </w:r>
      <w:r w:rsidRPr="00A428F6">
        <w:t>Autor petycji motywuje potrzebę wniesienia petycji treścią wytycznych sformułowanych przez Europejski Trybunał Praw Człowieka (zwany dalej „ETPCz”), zawartych w wyroku z dnia 30 czerwca 2015 r. w sprawie Grabowski przeciwko Polsce (skarga nr 57722/12).</w:t>
      </w:r>
    </w:p>
    <w:p w:rsidR="00E23809" w:rsidRPr="00A428F6" w:rsidRDefault="00E23809" w:rsidP="00E23809">
      <w:pPr>
        <w:pStyle w:val="NIEARTTEKSTtekstnieartykuowanynppodstprawnarozplubpreambua"/>
      </w:pPr>
      <w:r w:rsidRPr="00A428F6">
        <w:t>W petycji postuluje się:</w:t>
      </w:r>
    </w:p>
    <w:p w:rsidR="00E23809" w:rsidRPr="00A428F6" w:rsidRDefault="00E23809" w:rsidP="00E23809">
      <w:pPr>
        <w:pStyle w:val="PKTpunkt"/>
      </w:pPr>
      <w:r w:rsidRPr="00A428F6">
        <w:t>1)</w:t>
      </w:r>
      <w:r w:rsidRPr="00A428F6">
        <w:tab/>
        <w:t>dodanie przepisu nakładającego na sąd obowiązku okresowej kontroli zasadności pobytu nieletniego w schronisku (co 3 miesiące), także po skierowaniu sprawy na rozprawę;</w:t>
      </w:r>
    </w:p>
    <w:p w:rsidR="00E23809" w:rsidRPr="00A428F6" w:rsidRDefault="00E23809" w:rsidP="00E23809">
      <w:pPr>
        <w:pStyle w:val="PKTpunkt"/>
      </w:pPr>
      <w:r w:rsidRPr="00A428F6">
        <w:t>2)</w:t>
      </w:r>
      <w:r w:rsidRPr="00A428F6">
        <w:tab/>
        <w:t>nałożenie obowiązku wydawania każdorazowo osobnego postanowienia o przedłużeniu pobytu w schronisku dla nieletnich, zawierającego uzasadnienie, a w nim wskazanie okoliczności przemawiających za wydaniem takiego rozstrzygnięcia, także po skierowaniu sprawy na rozprawę;</w:t>
      </w:r>
    </w:p>
    <w:p w:rsidR="00E23809" w:rsidRDefault="00E23809" w:rsidP="00E23809">
      <w:pPr>
        <w:pStyle w:val="PKTpunkt"/>
      </w:pPr>
      <w:r w:rsidRPr="00A428F6">
        <w:t>3)</w:t>
      </w:r>
      <w:r w:rsidRPr="00A428F6">
        <w:tab/>
        <w:t>wprowadzenie procedury umożliwiają</w:t>
      </w:r>
      <w:r>
        <w:t>cej kontrolę instancyjną postanowienia</w:t>
      </w:r>
      <w:r w:rsidRPr="00A428F6">
        <w:t xml:space="preserve"> sądu o</w:t>
      </w:r>
      <w:r>
        <w:t> przedłużeniu stosowania środka;</w:t>
      </w:r>
    </w:p>
    <w:p w:rsidR="00E23809" w:rsidRPr="00A428F6" w:rsidRDefault="00E23809" w:rsidP="00E23809">
      <w:pPr>
        <w:pStyle w:val="PKTpunkt"/>
      </w:pPr>
      <w:r>
        <w:t>4)</w:t>
      </w:r>
      <w:r>
        <w:tab/>
        <w:t>nałożenie na sąd pierwszej i drugiej instancji obowiązku uzasadniania każdego postanowienia skutkującego umieszczeniem w schronisku dla nieletnich albo przedłużeniem pobytu w schronisku.</w:t>
      </w:r>
    </w:p>
    <w:p w:rsidR="00E23809" w:rsidRDefault="00E23809" w:rsidP="00E23809">
      <w:pPr>
        <w:pStyle w:val="NIEARTTEKSTtekstnieartykuowanynppodstprawnarozplubpreambua"/>
      </w:pPr>
      <w:r>
        <w:t>W Senacie IX kadencji prowadzone były prace nad tożsamą petycją Helsińskiej Fundacji</w:t>
      </w:r>
      <w:r w:rsidRPr="00A428F6">
        <w:t xml:space="preserve"> Praw Człowieka</w:t>
      </w:r>
      <w:r>
        <w:t xml:space="preserve"> o sygn. P9 – 14/17.</w:t>
      </w:r>
    </w:p>
    <w:p w:rsidR="00E23809" w:rsidRDefault="00E23809" w:rsidP="00E23809">
      <w:pPr>
        <w:pStyle w:val="ARTartustawynprozporzdzenia"/>
      </w:pPr>
      <w:r>
        <w:t>Senat w dniu 16 kwietnia 2018 r. podjął uchwałę o wyniesieniu do Sejmu projektu ustawy o zmianie ustawy o postępowaniu w sprawach nieletnich (druk nr 602).</w:t>
      </w:r>
    </w:p>
    <w:p w:rsidR="00E23809" w:rsidRDefault="00E23809" w:rsidP="00E23809">
      <w:pPr>
        <w:pStyle w:val="ARTartustawynprozporzdzenia"/>
      </w:pPr>
      <w:r>
        <w:t xml:space="preserve">W Sejmie, projekt oznaczony jako druk sejmowy nr 2521, skierowano do pierwszego czytania do Komisji Sprawiedliwości i Praw Człowieka. W dniu 3 sierpnia 2018 r. wpłynęło </w:t>
      </w:r>
      <w:r>
        <w:lastRenderedPageBreak/>
        <w:t>do Sejmu stanowisko rządu do projektu ustawy, aprobujące projekt wraz z rekomendacją do dalszych prac. W związku jednak z zakończeniem kadencji parlamentu projekt ustawy objęty został działaniem zasady dyskontynuacji prac legislacyjnych.</w:t>
      </w:r>
    </w:p>
    <w:p w:rsidR="00E23809" w:rsidRPr="00F30DFD" w:rsidRDefault="00E23809" w:rsidP="00E23809">
      <w:pPr>
        <w:pStyle w:val="ARTartustawynprozporzdzenia"/>
      </w:pPr>
    </w:p>
    <w:p w:rsidR="00E23809" w:rsidRPr="009B66B3" w:rsidRDefault="00E23809" w:rsidP="00E23809">
      <w:pPr>
        <w:rPr>
          <w:rStyle w:val="Ppogrubienie"/>
        </w:rPr>
      </w:pPr>
      <w:r w:rsidRPr="009B66B3">
        <w:rPr>
          <w:rStyle w:val="Ppogrubienie"/>
        </w:rPr>
        <w:t>2. Różnice między obowiązującym a projektowanym stanem prawnym</w:t>
      </w:r>
    </w:p>
    <w:p w:rsidR="00E23809" w:rsidRDefault="00E23809" w:rsidP="00E23809">
      <w:pPr>
        <w:pStyle w:val="NIEARTTEKSTtekstnieartykuowanynppodstprawnarozplubpreambua"/>
      </w:pPr>
      <w:r w:rsidRPr="00A428F6">
        <w:t>Przepisy art. 27 § 1 i 2 określają przypadki, w których nieletniego można umieścić w schronisku dla nieletnich. Zgodnie z tymi przepisami środek ten można zastosować, gdy zostaną ujawnione okoliczności przemawiające za umieszczeniem nieletniego w zakładzie poprawczym, a zachodzi uzasadniona obawa ukrycia się nieletniego lub zatarcia śladów czynu karalnego, albo jeżeli nie można ustalić tożsamości nieletniego (§ 1).</w:t>
      </w:r>
      <w:r>
        <w:t xml:space="preserve"> </w:t>
      </w:r>
      <w:r w:rsidRPr="00A428F6">
        <w:t xml:space="preserve">Ponadto wyjątkowo (§ 2), umieszczenie w schronisku może nastąpić także wtedy, gdy oprócz okoliczności przemawiających za umieszczeniem go w zakładzie poprawczym, nieletniemu zarzuca się popełnienie czynu karalnego określonego w art. 134, art. 148 § 1, 2 lub 3, art. 156 § 1 lub 3, art. 163 § 1 lub 3, art. 166, art. 173 § 1 lub 3, art. 189, art. 189a, art. 197 § 3 lub 4, art. 198, art. 200, art. 202 § 3, 4, 4a, 4b lub 4c, art. 204 § 3, art. 252 § 1 lub 2 i w </w:t>
      </w:r>
      <w:bookmarkStart w:id="0" w:name="#hiperlinkText.rpc?hiperlink=type=tresc:"/>
      <w:r w:rsidRPr="00A428F6">
        <w:t>art. 280</w:t>
      </w:r>
      <w:bookmarkEnd w:id="0"/>
      <w:r w:rsidRPr="00A428F6">
        <w:t xml:space="preserve"> Kodeksu karnego.</w:t>
      </w:r>
      <w:r>
        <w:t xml:space="preserve"> </w:t>
      </w:r>
    </w:p>
    <w:p w:rsidR="00E23809" w:rsidRDefault="00E23809" w:rsidP="00E23809">
      <w:pPr>
        <w:pStyle w:val="ARTartustawynprozporzdzenia"/>
      </w:pPr>
      <w:r w:rsidRPr="00A428F6">
        <w:t xml:space="preserve">Przepis § 3 stanowi, że </w:t>
      </w:r>
      <w:r w:rsidRPr="008C31B4">
        <w:rPr>
          <w:u w:val="single"/>
        </w:rPr>
        <w:t>przed skierowaniem sprawy na rozprawę</w:t>
      </w:r>
      <w:r w:rsidRPr="00A428F6">
        <w:t xml:space="preserve"> pobyt nieletniego w schronisku nie może trwać dłużej niż 3 miesiące.</w:t>
      </w:r>
    </w:p>
    <w:p w:rsidR="00E23809" w:rsidRPr="00A428F6" w:rsidRDefault="00E23809" w:rsidP="00E23809">
      <w:pPr>
        <w:pStyle w:val="ARTartustawynprozporzdzenia"/>
      </w:pPr>
      <w:r>
        <w:t>P</w:t>
      </w:r>
      <w:r w:rsidRPr="00A428F6">
        <w:t>o wydaniu postanowienia o skierowaniu sprawy na rozprawę</w:t>
      </w:r>
      <w:r>
        <w:t>,</w:t>
      </w:r>
      <w:r w:rsidRPr="00A428F6">
        <w:t xml:space="preserve"> </w:t>
      </w:r>
      <w:r>
        <w:t>z</w:t>
      </w:r>
      <w:r w:rsidRPr="00A428F6">
        <w:t>godnie z realizowaną przez sądy rodzinne praktyką, nie było wymagane wydanie osobnego postanowienia o</w:t>
      </w:r>
      <w:r>
        <w:t> </w:t>
      </w:r>
      <w:r w:rsidRPr="00A428F6">
        <w:t>przedłużeniu pobytu nieletniego w schronisku dla nieletnich</w:t>
      </w:r>
      <w:r>
        <w:t>, a jedynym</w:t>
      </w:r>
      <w:r w:rsidRPr="00A428F6">
        <w:t xml:space="preserve"> ograniczenie</w:t>
      </w:r>
      <w:r>
        <w:t>m dotyczącym</w:t>
      </w:r>
      <w:r w:rsidRPr="00A428F6">
        <w:t xml:space="preserve"> długości pobytu nieletniego w schronisku, uznawany </w:t>
      </w:r>
      <w:r>
        <w:t>był</w:t>
      </w:r>
      <w:r w:rsidRPr="00A428F6">
        <w:t xml:space="preserve"> przepis art. 27 § 6, który stanowi, że łączny pobyt w schronisku dla nieletnich, do chwili wydania wyroku w</w:t>
      </w:r>
      <w:r>
        <w:t> </w:t>
      </w:r>
      <w:r w:rsidRPr="00A428F6">
        <w:t>pierwszej instancji nie może być dłuższy niż rok.</w:t>
      </w:r>
    </w:p>
    <w:p w:rsidR="00E23809" w:rsidRDefault="00E23809" w:rsidP="00E23809">
      <w:pPr>
        <w:pStyle w:val="ARTartustawynprozporzdzenia"/>
      </w:pPr>
      <w:r>
        <w:t>Podstawą przedłużania pobytu było wydanie postanowienia o rozpoznaniu sprawy w postępowaniu poprawczym. Zaaprobowano praktykę, zgodnie z którą przedłużenie pobytu w schronisku następowało niejako automatycznie, bez osobnego postanowienia sądu.</w:t>
      </w:r>
    </w:p>
    <w:p w:rsidR="00E23809" w:rsidRPr="00A428F6" w:rsidRDefault="00E23809" w:rsidP="00E23809">
      <w:pPr>
        <w:pStyle w:val="NIEARTTEKSTtekstnieartykuowanynppodstprawnarozplubpreambua"/>
      </w:pPr>
      <w:r w:rsidRPr="00A428F6">
        <w:t>Dodatkowo przepis § 7 pozwala sądowi okręgowemu, w szczególnie uzasadnionych przypadkach, na wniosek sądu prowadzącego sprawę, na przedłużenie pobytu nieletniego w schronisku na „czas oznaczony”.</w:t>
      </w:r>
    </w:p>
    <w:p w:rsidR="00E23809" w:rsidRPr="00A428F6" w:rsidRDefault="00E23809" w:rsidP="00E23809">
      <w:pPr>
        <w:pStyle w:val="NIEARTTEKSTtekstnieartykuowanynppodstprawnarozplubpreambua"/>
      </w:pPr>
      <w:r w:rsidRPr="00A428F6">
        <w:lastRenderedPageBreak/>
        <w:t>Wyrok wydany przez ETPCz w dniu 30 czerwca 2015 r. w sprawie Grabowski przeciwko Polsce stwierdził, że praktyka polskich sądów, zgodnie z którą w chwili przejścia postępowania w sprawach nieletnich w tryb postępowania rozpoznawczego, dla przedłużenia pobytu nieletniego w schronisku, nie było wymagane wydanie odrębnego postanowienia, narusza art. 5 ust. 1 Konwencji o ochronie praw człowieka i podstawowych wolności.</w:t>
      </w:r>
    </w:p>
    <w:p w:rsidR="00E23809" w:rsidRPr="00A428F6" w:rsidRDefault="00E23809" w:rsidP="00E23809">
      <w:pPr>
        <w:pStyle w:val="NIEARTTEKSTtekstnieartykuowanynppodstprawnarozplubpreambua"/>
      </w:pPr>
      <w:r w:rsidRPr="00A428F6">
        <w:t>Szczególnym mankamentem, zdaniem Trybunału było nie tylko automatyczne przedłużanie pobytu w schronisku dla nieletnich przy jednoczesnym braku odrębnego orzeczenia sądu w tej kwestii, ale również brak wskazania konkretnego terminu, na który takie pozbawienie wolności następowało.</w:t>
      </w:r>
    </w:p>
    <w:p w:rsidR="00E23809" w:rsidRPr="00A428F6" w:rsidRDefault="00E23809" w:rsidP="00E23809">
      <w:pPr>
        <w:pStyle w:val="NIEARTTEKSTtekstnieartykuowanynppodstprawnarozplubpreambua"/>
      </w:pPr>
      <w:r w:rsidRPr="00A428F6">
        <w:t>Dodatkowo, skutkiem braku odrębnego postanowienia w kwestii pozbawienia nieletniego wolności była niemożność jego zaskarżenia (odwołania się) co stanowi naruszenie art. 5 ust. 4 Konwencji, ustanawiającego prawo odwołania się do sądu w celu ustalenia legalności (zgodności z prawem) pozbawienia wolności przez osobę tej wolności pozbawioną.</w:t>
      </w:r>
    </w:p>
    <w:p w:rsidR="00E23809" w:rsidRPr="00A428F6" w:rsidRDefault="00E23809" w:rsidP="00E23809">
      <w:pPr>
        <w:pStyle w:val="NIEARTTEKSTtekstnieartykuowanynppodstprawnarozplubpreambua"/>
      </w:pPr>
      <w:r w:rsidRPr="00A428F6">
        <w:t>W okresie dwóch lat, które upłynęły od chwili wydania przez ETPCz wskazanego wyżej wyroku, Ministerstwo Sprawiedliwości upowszechnia</w:t>
      </w:r>
      <w:r>
        <w:t>ło</w:t>
      </w:r>
      <w:r w:rsidRPr="00A428F6">
        <w:t xml:space="preserve"> standardy wynikające z wyroku poprzez jego przetłumaczenie, przesłanie do sądów oraz prowadzone szkolenia. Dokonano również zmiany Regulaminu urzędowania sądów powszechnych (§ 2</w:t>
      </w:r>
      <w:r>
        <w:t>69</w:t>
      </w:r>
      <w:r w:rsidRPr="00A428F6">
        <w:t>).</w:t>
      </w:r>
      <w:r>
        <w:t xml:space="preserve"> Nowy przepis Regulaminu nałożył na sąd obowiązek przesyłania administracji schroniska odpisów postanowień o przedłużaniu pobytu w schronisku w odpowiednio wczesnym terminie (co najmniej 3 dni przed upływem terminu stosowania środka).</w:t>
      </w:r>
    </w:p>
    <w:p w:rsidR="00E23809" w:rsidRPr="00A428F6" w:rsidRDefault="00E23809" w:rsidP="00E23809">
      <w:pPr>
        <w:pStyle w:val="NIEARTTEKSTtekstnieartykuowanynppodstprawnarozplubpreambua"/>
      </w:pPr>
      <w:r w:rsidRPr="00A428F6">
        <w:t>Wyraźna stała się jednak potrzeba nowelizacji przepisów samej ustawy o postępowaniu sprawach nieletnich w kierunku wskazanym w § 66-68 w/w wyroku ETPCz.</w:t>
      </w:r>
    </w:p>
    <w:p w:rsidR="00E23809" w:rsidRPr="00A428F6" w:rsidRDefault="00E23809" w:rsidP="00E23809">
      <w:pPr>
        <w:pStyle w:val="NIEARTTEKSTtekstnieartykuowanynppodstprawnarozplubpreambua"/>
      </w:pPr>
      <w:r w:rsidRPr="00A428F6">
        <w:t>Przygotowany projekt nowelizacji ustawy wychodzi te</w:t>
      </w:r>
      <w:r>
        <w:t>j</w:t>
      </w:r>
      <w:r w:rsidRPr="00A428F6">
        <w:t xml:space="preserve"> p</w:t>
      </w:r>
      <w:r>
        <w:t>otrzebie naprzeciw.</w:t>
      </w:r>
    </w:p>
    <w:p w:rsidR="00E23809" w:rsidRPr="00A428F6" w:rsidRDefault="00E23809" w:rsidP="00E23809">
      <w:pPr>
        <w:pStyle w:val="NIEARTTEKSTtekstnieartykuowanynppodstprawnarozplubpreambua"/>
      </w:pPr>
      <w:r w:rsidRPr="00A428F6">
        <w:t>Projekt ustawy zakłada wprowadzenie rozróżnienia postanowienia o umieszczeniu nieletniego w schronisku dla nieletnich, wydawanego na podstawie art. 27 § 3 od</w:t>
      </w:r>
      <w:r>
        <w:t> </w:t>
      </w:r>
      <w:r w:rsidRPr="00A428F6">
        <w:t>postanowień o przedłużeniu pobytu w schronisku dla nieletnich.</w:t>
      </w:r>
    </w:p>
    <w:p w:rsidR="00E23809" w:rsidRPr="00A428F6" w:rsidRDefault="00E23809" w:rsidP="00E23809">
      <w:pPr>
        <w:pStyle w:val="NIEARTTEKSTtekstnieartykuowanynppodstprawnarozplubpreambua"/>
      </w:pPr>
      <w:r w:rsidRPr="00A428F6">
        <w:t>Postanowienia o przedłużeniu pobytu nieletniego przed skierowaniem sprawy na</w:t>
      </w:r>
      <w:r>
        <w:t> </w:t>
      </w:r>
      <w:r w:rsidRPr="00A428F6">
        <w:t>rozprawę wydane na podstawie art. 27 § 4 mogą spowodować przedłużenie pobytu w schronisku na łączny czas nie dłuższy niż trzy miesiące.</w:t>
      </w:r>
    </w:p>
    <w:p w:rsidR="00E23809" w:rsidRPr="00A428F6" w:rsidRDefault="00E23809" w:rsidP="00E23809">
      <w:pPr>
        <w:pStyle w:val="NIEARTTEKSTtekstnieartykuowanynppodstprawnarozplubpreambua"/>
      </w:pPr>
      <w:r w:rsidRPr="00A428F6">
        <w:lastRenderedPageBreak/>
        <w:t>Jeżeli po upływie tego czasu sprawa nie zostanie nadal skierowana na rozprawę nieletniego należy zwolnić ze schroniska.</w:t>
      </w:r>
    </w:p>
    <w:p w:rsidR="00E23809" w:rsidRPr="00A428F6" w:rsidRDefault="00E23809" w:rsidP="00E23809">
      <w:pPr>
        <w:pStyle w:val="NIEARTTEKSTtekstnieartykuowanynppodstprawnarozplubpreambua"/>
      </w:pPr>
      <w:r w:rsidRPr="00A428F6">
        <w:t>Jeśli jednak sąd skieruje sprawę na rozprawę</w:t>
      </w:r>
      <w:r>
        <w:t xml:space="preserve"> (wyznaczy rozprawę)</w:t>
      </w:r>
      <w:r w:rsidRPr="00A428F6">
        <w:t>, zgodnie z projektem zastosowanie znajdą nowe przepisy art. 27 § 4a i 4b, które nakazują stosować przepis § 4 odpowiednio, zezwalając sądowi na przedłużenie pobytu nieletniego w schronisku jeżeli zachodzi taka konieczność, ze względu na szczególne okoliczności sprawy, na okres nieprzekraczający kolejnych 3 miesięcy.</w:t>
      </w:r>
    </w:p>
    <w:p w:rsidR="00E23809" w:rsidRDefault="00E23809" w:rsidP="00E23809">
      <w:pPr>
        <w:pStyle w:val="NIEARTTEKSTtekstnieartykuowanynppodstprawnarozplubpreambua"/>
      </w:pPr>
      <w:r w:rsidRPr="00A428F6">
        <w:t>Przepis § 4b podkreśla konieczność wsk</w:t>
      </w:r>
      <w:r>
        <w:t>azania każdorazowo w postanowieniu okresu, o który przedłuża się pobyt w schronisku</w:t>
      </w:r>
      <w:r w:rsidRPr="00A428F6">
        <w:t>.</w:t>
      </w:r>
    </w:p>
    <w:p w:rsidR="00E23809" w:rsidRDefault="00E23809" w:rsidP="00E23809">
      <w:pPr>
        <w:pStyle w:val="ARTartustawynprozporzdzenia"/>
      </w:pPr>
      <w:r>
        <w:t>Przepis art. 27 § 6 stanowi, że łączny okres pobytu nieletniego w schronisku dla nieletnich, do czasu wydania przez sąd pierwszej instancji postanowienia kończącego postępowanie w sprawie, nie może być dłuższy niż rok. Do okresu tego nie wlicza się czasu nieusprawiedliwionej nieobecności nieletniego, trwającej dłużej niż 3 dni oraz okresu obserwacji psychiatrycznej.</w:t>
      </w:r>
    </w:p>
    <w:p w:rsidR="00E23809" w:rsidRDefault="00E23809" w:rsidP="00E23809">
      <w:pPr>
        <w:pStyle w:val="ARTartustawynprozporzdzenia"/>
      </w:pPr>
      <w:r>
        <w:t xml:space="preserve">Obserwacja psychiatryczna nieletniego, zgodnie z przepisami art. 25a ustawy może trwać do 6 tygodni. Przebywanie nieletniego na obserwacji psychiatrycznej, która prowadzona jest na oddziale zamkniętym zakładu leczniczego, jest </w:t>
      </w:r>
      <w:r w:rsidRPr="00BE1A6C">
        <w:rPr>
          <w:rStyle w:val="Kkursywa"/>
        </w:rPr>
        <w:t>de facto</w:t>
      </w:r>
      <w:r>
        <w:t xml:space="preserve"> formą pozbawienia wolności. Obowiązująca dotychczas regulacja prowadzi zatem do wydłużenia maksymalnego czasu umieszczenia w schronisku o czas prowadzonej obserwacji psychiatrycznej, prowadząc do rzeczywistego pozbawienia wolności trwającego ponad maksymalny czas określony w art. 27 </w:t>
      </w:r>
      <w:r>
        <w:rPr>
          <w:rFonts w:cs="Times"/>
        </w:rPr>
        <w:t>§</w:t>
      </w:r>
      <w:r>
        <w:t xml:space="preserve"> 6.</w:t>
      </w:r>
    </w:p>
    <w:p w:rsidR="00E23809" w:rsidRPr="00487F59" w:rsidRDefault="00E23809" w:rsidP="00E23809">
      <w:pPr>
        <w:pStyle w:val="ARTartustawynprozporzdzenia"/>
      </w:pPr>
      <w:r>
        <w:t xml:space="preserve">W związku z powyższym, w projekcie nowelizacji art. 27 </w:t>
      </w:r>
      <w:r>
        <w:rPr>
          <w:rFonts w:cs="Times"/>
        </w:rPr>
        <w:t>§</w:t>
      </w:r>
      <w:r>
        <w:t xml:space="preserve"> 6 przewiduje się wprowadzenie rozwiązania, które spowoduje, że okres obserwacji psychiatrycznej będzie zaliczany w poczet zastosowanego środka tymczasowego w postaci pobytu w schronisku dla nieletnich.</w:t>
      </w:r>
    </w:p>
    <w:p w:rsidR="00E23809" w:rsidRPr="00A428F6" w:rsidRDefault="00E23809" w:rsidP="00E23809">
      <w:pPr>
        <w:pStyle w:val="NIEARTTEKSTtekstnieartykuowanynppodstprawnarozplubpreambua"/>
      </w:pPr>
      <w:r w:rsidRPr="00A428F6">
        <w:t>Projekt ustawy został uzupełniony o zmianę art. 29, która polega na zagwarantowaniu osobie pozbawionej wolności, umieszczonej w schronisku dla nieletnich</w:t>
      </w:r>
      <w:r>
        <w:t>,</w:t>
      </w:r>
      <w:r w:rsidRPr="00A428F6">
        <w:t xml:space="preserve"> prawa do wniesienia zażalenia na każde postanowienie o zastosowan</w:t>
      </w:r>
      <w:r>
        <w:t>iu środka wskazanego w art. 27.</w:t>
      </w:r>
    </w:p>
    <w:p w:rsidR="00E23809" w:rsidRDefault="00E23809" w:rsidP="00E23809">
      <w:pPr>
        <w:pStyle w:val="NIEARTTEKSTtekstnieartykuowanynppodstprawnarozplubpreambua"/>
      </w:pPr>
      <w:r w:rsidRPr="00A428F6">
        <w:t xml:space="preserve">Zmieniany przepis art. 29 nakazuje sądom niezwłoczne rozpatrzenie każdego postanowienia o </w:t>
      </w:r>
      <w:r>
        <w:t xml:space="preserve">umieszczeniu, a także o każdorazowym </w:t>
      </w:r>
      <w:r w:rsidRPr="00A428F6">
        <w:t xml:space="preserve">przedłużeniu pobytu w schronisku </w:t>
      </w:r>
      <w:r w:rsidRPr="00A428F6">
        <w:lastRenderedPageBreak/>
        <w:t>dla nieletnich, bez względu na etap postępowania</w:t>
      </w:r>
      <w:r>
        <w:t>,</w:t>
      </w:r>
      <w:r w:rsidRPr="00A428F6">
        <w:t xml:space="preserve"> w trakcie którego postanowienie zostało wydane.</w:t>
      </w:r>
    </w:p>
    <w:p w:rsidR="00E23809" w:rsidRPr="00B5437B" w:rsidRDefault="00E23809" w:rsidP="00E23809">
      <w:pPr>
        <w:pStyle w:val="NIEARTTEKSTtekstnieartykuowanynppodstprawnarozplubpreambua"/>
      </w:pPr>
      <w:r>
        <w:t xml:space="preserve">Ponadto, w art. 29 w </w:t>
      </w:r>
      <w:r>
        <w:rPr>
          <w:rFonts w:cs="Times"/>
        </w:rPr>
        <w:t>§</w:t>
      </w:r>
      <w:r>
        <w:t xml:space="preserve"> 2 ustawa nakłada na sąd pierwszej i drugiej instancji obowiązek uzasadniania każdego postanowienia skutkującego umieszczeniem w schronisku dla nieletnich albo przedłużeniem pobytu w schronisku. Pozwoli to na przyspieszenie postępowania odwoławczego. Dotychczasowe przepisy art. 357 </w:t>
      </w:r>
      <w:r>
        <w:rPr>
          <w:rFonts w:cs="Times"/>
        </w:rPr>
        <w:t>§</w:t>
      </w:r>
      <w:r>
        <w:t xml:space="preserve"> 1 i 2, wymagające złożenia wniosku o sporządzenie uzasadnienia, wydłużają bowiem znacząco proces zaskarżenia.</w:t>
      </w:r>
    </w:p>
    <w:p w:rsidR="00E23809" w:rsidRPr="00A428F6" w:rsidRDefault="00E23809" w:rsidP="00E23809">
      <w:pPr>
        <w:pStyle w:val="NIEARTTEKSTtekstnieartykuowanynppodstprawnarozplubpreambua"/>
      </w:pPr>
      <w:r w:rsidRPr="00A428F6">
        <w:t>Przepis art. 2 ustawy nowelizującej, jest przepisem przejściowym, regulującym kwestie intertemporalne. Nakazuje stosować przepisy nowe także do spraw już będących w toku, co</w:t>
      </w:r>
      <w:r>
        <w:t> </w:t>
      </w:r>
      <w:r w:rsidRPr="00A428F6">
        <w:t>do czynów, które zaistniały przed dniem wejścia w życie ustawy.</w:t>
      </w:r>
    </w:p>
    <w:p w:rsidR="00E23809" w:rsidRPr="00A428F6" w:rsidRDefault="00E23809" w:rsidP="00E23809">
      <w:pPr>
        <w:pStyle w:val="NIEARTTEKSTtekstnieartykuowanynppodstprawnarozplubpreambua"/>
      </w:pPr>
      <w:r w:rsidRPr="00A428F6">
        <w:t xml:space="preserve">Należy podkreślić, że rozwiązanie to nie narusza zasady </w:t>
      </w:r>
      <w:r w:rsidRPr="00487F59">
        <w:rPr>
          <w:rStyle w:val="Kkursywa"/>
        </w:rPr>
        <w:t>lex retro non agit</w:t>
      </w:r>
      <w:r w:rsidRPr="00A428F6">
        <w:t>, ze względu na to, że ustanawia normy zmieniające prawo na korzyść obywatela</w:t>
      </w:r>
      <w:r>
        <w:t>,</w:t>
      </w:r>
      <w:r w:rsidRPr="00A428F6">
        <w:t xml:space="preserve"> co jest jednoznaczne z faktem, że normy te nie wywołują żadnych ujemnych następstw dla bezpieczeństwa prawnego i poszanowania praw nabytych.</w:t>
      </w:r>
    </w:p>
    <w:p w:rsidR="00E23809" w:rsidRDefault="00E23809" w:rsidP="00E23809">
      <w:pPr>
        <w:pStyle w:val="NIEARTTEKSTtekstnieartykuowanynppodstprawnarozplubpreambua"/>
      </w:pPr>
      <w:r w:rsidRPr="00A428F6">
        <w:t>W art. 3 ustawa określa czternastodniowy okres vacatio legis, uznając go</w:t>
      </w:r>
      <w:r>
        <w:t> </w:t>
      </w:r>
      <w:r w:rsidRPr="00A428F6">
        <w:t>za</w:t>
      </w:r>
      <w:r>
        <w:t> </w:t>
      </w:r>
      <w:r w:rsidRPr="00A428F6">
        <w:t>wystarczający i odpowiedni, zgodnie z normą zawartą w art. 4 ust. 1 ustawy z dnia 20</w:t>
      </w:r>
      <w:r>
        <w:t> </w:t>
      </w:r>
      <w:r w:rsidRPr="00A428F6">
        <w:t>lipca 2000 r. o ogłaszaniu aktów normatywnych i niektórych innych aktów prawnych.</w:t>
      </w:r>
    </w:p>
    <w:p w:rsidR="00E23809" w:rsidRDefault="00E23809" w:rsidP="00E23809">
      <w:pPr>
        <w:rPr>
          <w:rStyle w:val="Ppogrubienie"/>
        </w:rPr>
      </w:pPr>
    </w:p>
    <w:p w:rsidR="00E23809" w:rsidRDefault="00E23809" w:rsidP="00E23809">
      <w:pPr>
        <w:rPr>
          <w:rStyle w:val="Ppogrubienie"/>
        </w:rPr>
      </w:pPr>
      <w:r>
        <w:rPr>
          <w:rStyle w:val="Ppogrubienie"/>
        </w:rPr>
        <w:t>3</w:t>
      </w:r>
      <w:r w:rsidRPr="00487F59">
        <w:rPr>
          <w:rStyle w:val="Ppogrubienie"/>
        </w:rPr>
        <w:t>. Konsultacje</w:t>
      </w:r>
    </w:p>
    <w:p w:rsidR="00E23809" w:rsidRDefault="00E23809" w:rsidP="00E23809">
      <w:pPr>
        <w:pStyle w:val="ARTartustawynprozporzdzenia"/>
      </w:pPr>
      <w:r w:rsidRPr="000415CB">
        <w:t>Nadesłane w ramach konsultacji opinie i uwagi są zamieszczone na senackiej stronie internetowej. Wyniki konsultacji przedstawiono w Ocenie Skutków Regulacji.</w:t>
      </w:r>
    </w:p>
    <w:p w:rsidR="00E23809" w:rsidRDefault="00E23809" w:rsidP="00E23809">
      <w:pPr>
        <w:rPr>
          <w:rStyle w:val="Ppogrubienie"/>
        </w:rPr>
      </w:pPr>
    </w:p>
    <w:p w:rsidR="00E23809" w:rsidRPr="009B66B3" w:rsidRDefault="00E23809" w:rsidP="00E23809">
      <w:pPr>
        <w:rPr>
          <w:rStyle w:val="Ppogrubienie"/>
        </w:rPr>
      </w:pPr>
      <w:r>
        <w:rPr>
          <w:rStyle w:val="Ppogrubienie"/>
        </w:rPr>
        <w:t>4</w:t>
      </w:r>
      <w:r w:rsidRPr="009B66B3">
        <w:rPr>
          <w:rStyle w:val="Ppogrubienie"/>
        </w:rPr>
        <w:t>. Oświadczenie o zgodności z prawem Unii Europejskiej</w:t>
      </w:r>
    </w:p>
    <w:p w:rsidR="00E23809" w:rsidRPr="004810D7" w:rsidRDefault="00E23809" w:rsidP="00E23809">
      <w:pPr>
        <w:pStyle w:val="NIEARTTEKSTtekstnieartykuowanynppodstprawnarozplubpreambua"/>
      </w:pPr>
      <w:r w:rsidRPr="00A428F6">
        <w:t>Przedmiot projektowanej ustawy nie jest objęty prawem Unii Europejskiej.</w:t>
      </w:r>
    </w:p>
    <w:p w:rsidR="00E23809" w:rsidRDefault="00E23809" w:rsidP="007707E9">
      <w:pPr>
        <w:tabs>
          <w:tab w:val="center" w:pos="6237"/>
        </w:tabs>
        <w:spacing w:line="240" w:lineRule="auto"/>
        <w:ind w:right="-2"/>
        <w:jc w:val="both"/>
        <w:rPr>
          <w:b/>
        </w:rPr>
        <w:sectPr w:rsidR="00E23809" w:rsidSect="00E23809">
          <w:headerReference w:type="default" r:id="rId8"/>
          <w:footnotePr>
            <w:numRestart w:val="eachSect"/>
          </w:footnotePr>
          <w:pgSz w:w="11906" w:h="16838"/>
          <w:pgMar w:top="1560" w:right="1434" w:bottom="1560" w:left="1418" w:header="709" w:footer="709" w:gutter="0"/>
          <w:pgNumType w:start="1"/>
          <w:cols w:space="708"/>
          <w:titlePg/>
          <w:docGrid w:linePitch="254"/>
        </w:sectPr>
      </w:pPr>
      <w:bookmarkStart w:id="1" w:name="_GoBack"/>
      <w:bookmarkEnd w:id="1"/>
    </w:p>
    <w:p w:rsidR="00E23809" w:rsidRDefault="00E23809" w:rsidP="007707E9">
      <w:pPr>
        <w:tabs>
          <w:tab w:val="center" w:pos="6237"/>
        </w:tabs>
        <w:spacing w:line="240" w:lineRule="auto"/>
        <w:ind w:right="-2"/>
        <w:jc w:val="both"/>
        <w:rPr>
          <w:b/>
        </w:rPr>
      </w:pPr>
    </w:p>
    <w:sectPr w:rsidR="00E23809" w:rsidSect="003A28C1">
      <w:headerReference w:type="default" r:id="rId9"/>
      <w:footnotePr>
        <w:numRestart w:val="eachSect"/>
      </w:footnotePr>
      <w:pgSz w:w="11906" w:h="16838"/>
      <w:pgMar w:top="709" w:right="1434" w:bottom="284" w:left="1418" w:header="510" w:footer="709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7AA" w:rsidRDefault="00BA57AA" w:rsidP="009A4937">
      <w:pPr>
        <w:spacing w:line="240" w:lineRule="auto"/>
      </w:pPr>
      <w:r>
        <w:separator/>
      </w:r>
    </w:p>
  </w:endnote>
  <w:endnote w:type="continuationSeparator" w:id="0">
    <w:p w:rsidR="00BA57AA" w:rsidRDefault="00BA57AA" w:rsidP="009A49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57AA" w:rsidRDefault="00BA57AA" w:rsidP="009A4937">
      <w:pPr>
        <w:spacing w:line="240" w:lineRule="auto"/>
      </w:pPr>
      <w:r>
        <w:separator/>
      </w:r>
    </w:p>
  </w:footnote>
  <w:footnote w:type="continuationSeparator" w:id="0">
    <w:p w:rsidR="00BA57AA" w:rsidRDefault="00BA57AA" w:rsidP="009A49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3A28C1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B70C0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28C1" w:rsidRPr="003A28C1" w:rsidRDefault="003A28C1" w:rsidP="003A28C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D33D9"/>
    <w:multiLevelType w:val="hybridMultilevel"/>
    <w:tmpl w:val="E9C008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E6CC4"/>
    <w:multiLevelType w:val="hybridMultilevel"/>
    <w:tmpl w:val="E4705C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37D4F"/>
    <w:multiLevelType w:val="hybridMultilevel"/>
    <w:tmpl w:val="24D0934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F622CE"/>
    <w:multiLevelType w:val="hybridMultilevel"/>
    <w:tmpl w:val="FAE23426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111DC"/>
    <w:multiLevelType w:val="singleLevel"/>
    <w:tmpl w:val="9D2C0646"/>
    <w:lvl w:ilvl="0">
      <w:start w:val="1"/>
      <w:numFmt w:val="bullet"/>
      <w:pStyle w:val="tir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 w15:restartNumberingAfterBreak="0">
    <w:nsid w:val="1A0D186A"/>
    <w:multiLevelType w:val="hybridMultilevel"/>
    <w:tmpl w:val="A914183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32230F"/>
    <w:multiLevelType w:val="hybridMultilevel"/>
    <w:tmpl w:val="0D2A66B0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D32FB"/>
    <w:multiLevelType w:val="hybridMultilevel"/>
    <w:tmpl w:val="E9B6A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9" w15:restartNumberingAfterBreak="0">
    <w:nsid w:val="239C4525"/>
    <w:multiLevelType w:val="hybridMultilevel"/>
    <w:tmpl w:val="F7DA2FF0"/>
    <w:lvl w:ilvl="0" w:tplc="04150001">
      <w:start w:val="1"/>
      <w:numFmt w:val="bullet"/>
      <w:lvlText w:val=""/>
      <w:lvlJc w:val="left"/>
      <w:pPr>
        <w:ind w:left="10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10" w15:restartNumberingAfterBreak="0">
    <w:nsid w:val="27471732"/>
    <w:multiLevelType w:val="hybridMultilevel"/>
    <w:tmpl w:val="D54EA1CA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12" w15:restartNumberingAfterBreak="0">
    <w:nsid w:val="308D4468"/>
    <w:multiLevelType w:val="hybridMultilevel"/>
    <w:tmpl w:val="D4100F8A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E73566"/>
    <w:multiLevelType w:val="hybridMultilevel"/>
    <w:tmpl w:val="9CE0B724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931C1"/>
    <w:multiLevelType w:val="hybridMultilevel"/>
    <w:tmpl w:val="54AEF948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844354"/>
    <w:multiLevelType w:val="hybridMultilevel"/>
    <w:tmpl w:val="57D2830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20" w:hanging="360"/>
      </w:pPr>
      <w:rPr>
        <w:rFonts w:ascii="Wingdings" w:hAnsi="Wingdings" w:hint="default"/>
      </w:rPr>
    </w:lvl>
  </w:abstractNum>
  <w:abstractNum w:abstractNumId="17" w15:restartNumberingAfterBreak="0">
    <w:nsid w:val="43B94068"/>
    <w:multiLevelType w:val="hybridMultilevel"/>
    <w:tmpl w:val="42EE01C6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016C30"/>
    <w:multiLevelType w:val="hybridMultilevel"/>
    <w:tmpl w:val="9CE0B724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0" w15:restartNumberingAfterBreak="0">
    <w:nsid w:val="694A794A"/>
    <w:multiLevelType w:val="hybridMultilevel"/>
    <w:tmpl w:val="9EB298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663D3D"/>
    <w:multiLevelType w:val="hybridMultilevel"/>
    <w:tmpl w:val="3036F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782E5354"/>
    <w:multiLevelType w:val="hybridMultilevel"/>
    <w:tmpl w:val="0094A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4F00D7"/>
    <w:multiLevelType w:val="hybridMultilevel"/>
    <w:tmpl w:val="D54EA1CA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D46462"/>
    <w:multiLevelType w:val="hybridMultilevel"/>
    <w:tmpl w:val="0D2A66B0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1"/>
  </w:num>
  <w:num w:numId="3">
    <w:abstractNumId w:val="8"/>
  </w:num>
  <w:num w:numId="4">
    <w:abstractNumId w:val="8"/>
  </w:num>
  <w:num w:numId="5">
    <w:abstractNumId w:val="22"/>
  </w:num>
  <w:num w:numId="6">
    <w:abstractNumId w:val="19"/>
  </w:num>
  <w:num w:numId="7">
    <w:abstractNumId w:val="22"/>
  </w:num>
  <w:num w:numId="8">
    <w:abstractNumId w:val="19"/>
  </w:num>
  <w:num w:numId="9">
    <w:abstractNumId w:val="22"/>
  </w:num>
  <w:num w:numId="10">
    <w:abstractNumId w:val="19"/>
  </w:num>
  <w:num w:numId="11">
    <w:abstractNumId w:val="4"/>
  </w:num>
  <w:num w:numId="12">
    <w:abstractNumId w:val="14"/>
  </w:num>
  <w:num w:numId="13">
    <w:abstractNumId w:val="12"/>
  </w:num>
  <w:num w:numId="14">
    <w:abstractNumId w:val="6"/>
  </w:num>
  <w:num w:numId="15">
    <w:abstractNumId w:val="21"/>
  </w:num>
  <w:num w:numId="16">
    <w:abstractNumId w:val="15"/>
  </w:num>
  <w:num w:numId="17">
    <w:abstractNumId w:val="25"/>
  </w:num>
  <w:num w:numId="18">
    <w:abstractNumId w:val="18"/>
  </w:num>
  <w:num w:numId="19">
    <w:abstractNumId w:val="17"/>
  </w:num>
  <w:num w:numId="20">
    <w:abstractNumId w:val="3"/>
  </w:num>
  <w:num w:numId="21">
    <w:abstractNumId w:val="13"/>
  </w:num>
  <w:num w:numId="22">
    <w:abstractNumId w:val="9"/>
  </w:num>
  <w:num w:numId="23">
    <w:abstractNumId w:val="10"/>
  </w:num>
  <w:num w:numId="24">
    <w:abstractNumId w:val="7"/>
  </w:num>
  <w:num w:numId="25">
    <w:abstractNumId w:val="24"/>
  </w:num>
  <w:num w:numId="26">
    <w:abstractNumId w:val="23"/>
  </w:num>
  <w:num w:numId="27">
    <w:abstractNumId w:val="0"/>
  </w:num>
  <w:num w:numId="28">
    <w:abstractNumId w:val="2"/>
  </w:num>
  <w:num w:numId="29">
    <w:abstractNumId w:val="16"/>
  </w:num>
  <w:num w:numId="30">
    <w:abstractNumId w:val="1"/>
  </w:num>
  <w:num w:numId="31">
    <w:abstractNumId w:val="20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937"/>
    <w:rsid w:val="0001613E"/>
    <w:rsid w:val="000A5CE8"/>
    <w:rsid w:val="0018049A"/>
    <w:rsid w:val="001A4397"/>
    <w:rsid w:val="002942C0"/>
    <w:rsid w:val="002B0A43"/>
    <w:rsid w:val="00382AAC"/>
    <w:rsid w:val="003A28C1"/>
    <w:rsid w:val="003B7FBE"/>
    <w:rsid w:val="00474670"/>
    <w:rsid w:val="00474D5B"/>
    <w:rsid w:val="004F1121"/>
    <w:rsid w:val="004F1660"/>
    <w:rsid w:val="00527E52"/>
    <w:rsid w:val="0056045F"/>
    <w:rsid w:val="00607519"/>
    <w:rsid w:val="00695AD3"/>
    <w:rsid w:val="006E58F9"/>
    <w:rsid w:val="006E73F1"/>
    <w:rsid w:val="006F026C"/>
    <w:rsid w:val="00735880"/>
    <w:rsid w:val="007707E9"/>
    <w:rsid w:val="00777F90"/>
    <w:rsid w:val="007E66F5"/>
    <w:rsid w:val="008247EB"/>
    <w:rsid w:val="00874611"/>
    <w:rsid w:val="008758BB"/>
    <w:rsid w:val="008C7EE7"/>
    <w:rsid w:val="00920C57"/>
    <w:rsid w:val="009A4937"/>
    <w:rsid w:val="009D2757"/>
    <w:rsid w:val="00A06AF3"/>
    <w:rsid w:val="00AF364E"/>
    <w:rsid w:val="00B5303C"/>
    <w:rsid w:val="00BA57AA"/>
    <w:rsid w:val="00BF3C48"/>
    <w:rsid w:val="00C43A19"/>
    <w:rsid w:val="00D07B91"/>
    <w:rsid w:val="00D37E95"/>
    <w:rsid w:val="00D829F5"/>
    <w:rsid w:val="00E15D93"/>
    <w:rsid w:val="00E23809"/>
    <w:rsid w:val="00EB70C0"/>
    <w:rsid w:val="00FC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D80F938-0A7B-42AD-9972-41E22877E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3809"/>
    <w:pPr>
      <w:spacing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D37E95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-A6">
    <w:name w:val="Adres-A6"/>
    <w:basedOn w:val="Normalny"/>
    <w:next w:val="Normalny"/>
    <w:rsid w:val="00735880"/>
    <w:pPr>
      <w:spacing w:after="600"/>
      <w:ind w:left="5245"/>
    </w:pPr>
  </w:style>
  <w:style w:type="paragraph" w:customStyle="1" w:styleId="Podpis-A7">
    <w:name w:val="Podpis-A7"/>
    <w:basedOn w:val="Normalny"/>
    <w:rsid w:val="00735880"/>
    <w:pPr>
      <w:tabs>
        <w:tab w:val="center" w:pos="1701"/>
        <w:tab w:val="center" w:pos="6237"/>
      </w:tabs>
    </w:pPr>
  </w:style>
  <w:style w:type="paragraph" w:customStyle="1" w:styleId="pkt">
    <w:name w:val="pkt"/>
    <w:basedOn w:val="Normalny"/>
    <w:rsid w:val="00735880"/>
    <w:pPr>
      <w:ind w:left="357" w:hanging="357"/>
      <w:jc w:val="both"/>
    </w:pPr>
  </w:style>
  <w:style w:type="paragraph" w:customStyle="1" w:styleId="ppkt">
    <w:name w:val="ppkt"/>
    <w:basedOn w:val="Normalny"/>
    <w:rsid w:val="00735880"/>
    <w:pPr>
      <w:ind w:left="782" w:hanging="425"/>
      <w:jc w:val="both"/>
    </w:pPr>
  </w:style>
  <w:style w:type="paragraph" w:customStyle="1" w:styleId="akapit">
    <w:name w:val="akapit"/>
    <w:basedOn w:val="Normalny"/>
    <w:uiPriority w:val="99"/>
    <w:rsid w:val="00735880"/>
    <w:pPr>
      <w:ind w:firstLine="851"/>
      <w:jc w:val="both"/>
    </w:pPr>
  </w:style>
  <w:style w:type="paragraph" w:customStyle="1" w:styleId="art">
    <w:name w:val="art"/>
    <w:basedOn w:val="Normalny"/>
    <w:rsid w:val="00735880"/>
    <w:pPr>
      <w:tabs>
        <w:tab w:val="left" w:pos="1276"/>
      </w:tabs>
      <w:ind w:left="1276" w:hanging="992"/>
    </w:pPr>
  </w:style>
  <w:style w:type="paragraph" w:customStyle="1" w:styleId="tiret">
    <w:name w:val="tiret"/>
    <w:basedOn w:val="akapit"/>
    <w:rsid w:val="00735880"/>
    <w:pPr>
      <w:numPr>
        <w:numId w:val="11"/>
      </w:numPr>
    </w:pPr>
  </w:style>
  <w:style w:type="paragraph" w:customStyle="1" w:styleId="Senatorowie">
    <w:name w:val="Senatorowie"/>
    <w:basedOn w:val="Normalny"/>
    <w:rsid w:val="00735880"/>
  </w:style>
  <w:style w:type="paragraph" w:styleId="Nagwek">
    <w:name w:val="header"/>
    <w:basedOn w:val="Normalny"/>
    <w:link w:val="NagwekZnak"/>
    <w:uiPriority w:val="99"/>
    <w:unhideWhenUsed/>
    <w:rsid w:val="009A493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4937"/>
    <w:rPr>
      <w:sz w:val="24"/>
    </w:rPr>
  </w:style>
  <w:style w:type="character" w:styleId="Odwoanieprzypisudolnego">
    <w:name w:val="footnote reference"/>
    <w:uiPriority w:val="99"/>
    <w:semiHidden/>
    <w:rsid w:val="009A4937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9A4937"/>
    <w:pPr>
      <w:ind w:left="284" w:hanging="284"/>
      <w:jc w:val="both"/>
    </w:pPr>
    <w:rPr>
      <w:rFonts w:eastAsiaTheme="minorEastAsia" w:cs="Arial"/>
    </w:rPr>
  </w:style>
  <w:style w:type="character" w:customStyle="1" w:styleId="IGindeksgrny">
    <w:name w:val="_IG_ – indeks górny"/>
    <w:basedOn w:val="Domylnaczcionkaakapitu"/>
    <w:uiPriority w:val="2"/>
    <w:qFormat/>
    <w:rsid w:val="009A4937"/>
    <w:rPr>
      <w:b w:val="0"/>
      <w:i w:val="0"/>
      <w:vanish w:val="0"/>
      <w:spacing w:val="0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A493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4937"/>
    <w:rPr>
      <w:sz w:val="24"/>
    </w:rPr>
  </w:style>
  <w:style w:type="character" w:customStyle="1" w:styleId="Nagwek1Znak">
    <w:name w:val="Nagłówek 1 Znak"/>
    <w:basedOn w:val="Domylnaczcionkaakapitu"/>
    <w:link w:val="Nagwek1"/>
    <w:rsid w:val="00D37E95"/>
    <w:rPr>
      <w:rFonts w:ascii="Arial" w:hAnsi="Arial" w:cs="Arial"/>
      <w:b/>
      <w:bCs/>
      <w:kern w:val="32"/>
      <w:sz w:val="32"/>
      <w:szCs w:val="32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D37E95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ascii="Times" w:hAnsi="Times" w:cs="Arial"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E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E95"/>
    <w:rPr>
      <w:rFonts w:ascii="Tahoma" w:hAnsi="Tahoma" w:cs="Tahoma"/>
      <w:sz w:val="16"/>
      <w:szCs w:val="16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18049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18049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18049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1"/>
    <w:qFormat/>
    <w:rsid w:val="0018049A"/>
    <w:pPr>
      <w:keepNext/>
      <w:suppressAutoHyphens/>
      <w:spacing w:after="120" w:line="360" w:lineRule="auto"/>
      <w:jc w:val="center"/>
    </w:pPr>
    <w:rPr>
      <w:rFonts w:ascii="Times" w:hAnsi="Times"/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18049A"/>
    <w:pPr>
      <w:spacing w:before="0"/>
    </w:pPr>
    <w:rPr>
      <w:bCs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18049A"/>
    <w:pPr>
      <w:suppressAutoHyphens/>
      <w:autoSpaceDE w:val="0"/>
      <w:autoSpaceDN w:val="0"/>
      <w:adjustRightInd w:val="0"/>
      <w:ind w:left="510" w:firstLine="510"/>
      <w:jc w:val="both"/>
    </w:pPr>
    <w:rPr>
      <w:rFonts w:ascii="Times" w:eastAsiaTheme="minorEastAsia" w:hAnsi="Times" w:cs="Aria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18049A"/>
    <w:pPr>
      <w:spacing w:line="360" w:lineRule="auto"/>
      <w:jc w:val="right"/>
    </w:pPr>
    <w:rPr>
      <w:rFonts w:eastAsiaTheme="minorEastAsia" w:cs="Arial"/>
      <w:sz w:val="24"/>
      <w:u w:val="single"/>
    </w:rPr>
  </w:style>
  <w:style w:type="character" w:customStyle="1" w:styleId="Ppogrubienie">
    <w:name w:val="_P_ – pogrubienie"/>
    <w:basedOn w:val="Domylnaczcionkaakapitu"/>
    <w:uiPriority w:val="1"/>
    <w:qFormat/>
    <w:rsid w:val="0018049A"/>
    <w:rPr>
      <w:b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18049A"/>
    <w:rPr>
      <w:rFonts w:ascii="Times" w:eastAsiaTheme="minorEastAsia" w:hAnsi="Times" w:cs="Arial"/>
      <w:sz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99"/>
    <w:qFormat/>
    <w:rsid w:val="0018049A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99"/>
    <w:rsid w:val="0018049A"/>
    <w:rPr>
      <w:rFonts w:ascii="Times" w:eastAsiaTheme="minorEastAsia" w:hAnsi="Times" w:cs="Arial"/>
      <w:bCs/>
      <w:sz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18049A"/>
    <w:rPr>
      <w:rFonts w:ascii="Times" w:hAnsi="Times"/>
      <w:b/>
      <w:bCs/>
      <w:caps/>
      <w:spacing w:val="54"/>
      <w:kern w:val="24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rsid w:val="0018049A"/>
    <w:pPr>
      <w:widowControl w:val="0"/>
      <w:autoSpaceDE w:val="0"/>
      <w:autoSpaceDN w:val="0"/>
      <w:adjustRightInd w:val="0"/>
      <w:spacing w:after="120"/>
      <w:jc w:val="both"/>
    </w:pPr>
    <w:rPr>
      <w:rFonts w:eastAsiaTheme="minorEastAsia" w:cs="Aria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8049A"/>
    <w:rPr>
      <w:rFonts w:eastAsiaTheme="minorEastAsia" w:cs="Arial"/>
      <w:sz w:val="24"/>
    </w:rPr>
  </w:style>
  <w:style w:type="paragraph" w:styleId="Akapitzlist">
    <w:name w:val="List Paragraph"/>
    <w:basedOn w:val="Normalny"/>
    <w:uiPriority w:val="34"/>
    <w:qFormat/>
    <w:rsid w:val="006E73F1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E23809"/>
    <w:pPr>
      <w:spacing w:before="0"/>
      <w:ind w:left="510"/>
    </w:pPr>
  </w:style>
  <w:style w:type="paragraph" w:customStyle="1" w:styleId="PKTpunkt">
    <w:name w:val="PKT – punkt"/>
    <w:uiPriority w:val="16"/>
    <w:qFormat/>
    <w:rsid w:val="00E23809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</w:rPr>
  </w:style>
  <w:style w:type="paragraph" w:customStyle="1" w:styleId="LITlitera">
    <w:name w:val="LIT – litera"/>
    <w:basedOn w:val="PKTpunkt"/>
    <w:uiPriority w:val="14"/>
    <w:qFormat/>
    <w:rsid w:val="00E23809"/>
    <w:pPr>
      <w:ind w:left="986" w:hanging="476"/>
    </w:pPr>
  </w:style>
  <w:style w:type="paragraph" w:customStyle="1" w:styleId="ZLITUSTzmustliter">
    <w:name w:val="Z_LIT/UST(§) – zm. ust. (§) literą"/>
    <w:basedOn w:val="USTustnpkodeksu"/>
    <w:uiPriority w:val="46"/>
    <w:qFormat/>
    <w:rsid w:val="00E23809"/>
    <w:pPr>
      <w:ind w:left="987"/>
    </w:pPr>
  </w:style>
  <w:style w:type="character" w:customStyle="1" w:styleId="Kkursywa">
    <w:name w:val="_K_ – kursywa"/>
    <w:basedOn w:val="Domylnaczcionkaakapitu"/>
    <w:uiPriority w:val="1"/>
    <w:qFormat/>
    <w:rsid w:val="00E23809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39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42E94-7F12-4F19-9331-9E59E2E69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1474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Senatu</Company>
  <LinksUpToDate>false</LinksUpToDate>
  <CharactersWithSpaces>10301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O.</dc:creator>
  <cp:lastModifiedBy>Grzegorz Molesztak</cp:lastModifiedBy>
  <cp:revision>6</cp:revision>
  <cp:lastPrinted>2020-08-14T07:45:00Z</cp:lastPrinted>
  <dcterms:created xsi:type="dcterms:W3CDTF">2020-08-17T16:49:00Z</dcterms:created>
  <dcterms:modified xsi:type="dcterms:W3CDTF">2020-09-04T09:55:00Z</dcterms:modified>
</cp:coreProperties>
</file>