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C48" w:rsidRPr="00BF3C48" w:rsidRDefault="00BF3C48" w:rsidP="00BF3C48">
      <w:pPr>
        <w:jc w:val="right"/>
        <w:rPr>
          <w:rFonts w:eastAsiaTheme="minorEastAsia" w:cs="Arial"/>
          <w:u w:val="single"/>
        </w:rPr>
      </w:pPr>
      <w:r w:rsidRPr="00BF3C48">
        <w:rPr>
          <w:rFonts w:eastAsiaTheme="minorEastAsia" w:cs="Arial"/>
          <w:u w:val="single"/>
        </w:rPr>
        <w:t>projekt</w:t>
      </w:r>
    </w:p>
    <w:p w:rsidR="00BF3C48" w:rsidRPr="00BF3C48" w:rsidRDefault="00BF3C48" w:rsidP="00BF3C48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BF3C48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BF3C48" w:rsidRPr="00BF3C48" w:rsidRDefault="00BF3C48" w:rsidP="00BF3C48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BF3C48">
        <w:rPr>
          <w:rFonts w:ascii="Times" w:eastAsiaTheme="minorEastAsia" w:hAnsi="Times" w:cs="Arial"/>
          <w:bCs/>
          <w:szCs w:val="24"/>
        </w:rPr>
        <w:t>z dnia</w:t>
      </w:r>
    </w:p>
    <w:p w:rsidR="00BF3C48" w:rsidRPr="00BF3C48" w:rsidRDefault="00BF3C48" w:rsidP="00BF3C48">
      <w:pPr>
        <w:keepNext/>
        <w:suppressAutoHyphens/>
        <w:spacing w:before="120" w:after="360"/>
        <w:jc w:val="center"/>
        <w:rPr>
          <w:rFonts w:ascii="Times" w:eastAsiaTheme="minorEastAsia" w:hAnsi="Times" w:cs="Arial"/>
          <w:b/>
          <w:bCs/>
          <w:szCs w:val="24"/>
        </w:rPr>
      </w:pPr>
      <w:r w:rsidRPr="00BF3C48">
        <w:rPr>
          <w:rFonts w:ascii="Times" w:eastAsiaTheme="minorEastAsia" w:hAnsi="Times" w:cs="Arial"/>
          <w:b/>
          <w:bCs/>
          <w:szCs w:val="24"/>
        </w:rPr>
        <w:t>o zmianie ustawy – Kodeks postępowania karnego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BF3C48">
        <w:rPr>
          <w:rFonts w:ascii="Times" w:eastAsiaTheme="minorEastAsia" w:hAnsi="Times" w:cs="Arial"/>
          <w:b/>
        </w:rPr>
        <w:t>Art. 1.</w:t>
      </w:r>
      <w:r w:rsidRPr="00BF3C48">
        <w:rPr>
          <w:rFonts w:ascii="Times" w:eastAsiaTheme="minorEastAsia" w:hAnsi="Times" w:cs="Arial"/>
        </w:rPr>
        <w:t xml:space="preserve"> W ustawie z dnia 6 czerwca 1997 r. – Kodeks postępowania karnego (Dz. U. z 2020 r. poz. 30, 413, 568 i 1086) wprowadza się następujące zmiany:</w:t>
      </w:r>
    </w:p>
    <w:p w:rsidR="00BF3C48" w:rsidRPr="00BF3C48" w:rsidRDefault="00BF3C48" w:rsidP="00BF3C48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BF3C48">
        <w:rPr>
          <w:rFonts w:ascii="Times" w:eastAsiaTheme="minorEastAsia" w:hAnsi="Times" w:cs="Arial"/>
          <w:bCs/>
        </w:rPr>
        <w:t>1)</w:t>
      </w:r>
      <w:r w:rsidRPr="00BF3C48">
        <w:rPr>
          <w:rFonts w:ascii="Times" w:eastAsiaTheme="minorEastAsia" w:hAnsi="Times" w:cs="Arial"/>
          <w:bCs/>
        </w:rPr>
        <w:tab/>
        <w:t>w art. 55 § 1 otrzymuje brzmienie: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BF3C48">
        <w:rPr>
          <w:rFonts w:ascii="Times" w:eastAsiaTheme="minorEastAsia" w:hAnsi="Times" w:cs="Arial"/>
        </w:rPr>
        <w:t>„§ 1. W razie powtórnego wydania postanowienia o odmowie wszczęcia lub o umorzeniu postępowania w wypadku, o którym mowa w art. 330 § 2, pokrzywdzony może w terminie miesiąca od doręczenia mu zawiadomienia o postanowieniu wnieść akt oskarżenia do sądu, dołączając po jednym odpisie dla każdego oskarżonego oraz dla prokuratora. Przepis art. 488 § 2 stosuje się odpowiednio. Przepisów art. 339 § 3 pkt 3a i art. 396a nie stosuje się.”;</w:t>
      </w:r>
    </w:p>
    <w:p w:rsidR="00BF3C48" w:rsidRPr="00BF3C48" w:rsidRDefault="00BF3C48" w:rsidP="00BF3C48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BF3C48">
        <w:rPr>
          <w:rFonts w:ascii="Times" w:eastAsiaTheme="minorEastAsia" w:hAnsi="Times" w:cs="Arial"/>
          <w:bCs/>
        </w:rPr>
        <w:t>2)</w:t>
      </w:r>
      <w:r w:rsidRPr="00BF3C48">
        <w:rPr>
          <w:rFonts w:ascii="Times" w:eastAsiaTheme="minorEastAsia" w:hAnsi="Times" w:cs="Arial"/>
          <w:bCs/>
        </w:rPr>
        <w:tab/>
        <w:t xml:space="preserve">w art. 330 </w:t>
      </w:r>
      <w:r w:rsidRPr="00BF3C48">
        <w:rPr>
          <w:rFonts w:ascii="Times" w:eastAsiaTheme="minorEastAsia" w:hAnsi="Times" w:cs="Times"/>
          <w:bCs/>
        </w:rPr>
        <w:t>§</w:t>
      </w:r>
      <w:r w:rsidRPr="00BF3C48">
        <w:rPr>
          <w:rFonts w:ascii="Times" w:eastAsiaTheme="minorEastAsia" w:hAnsi="Times" w:cs="Arial"/>
          <w:bCs/>
        </w:rPr>
        <w:t xml:space="preserve"> 2 otrzymuje brzmienie: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BF3C48">
        <w:rPr>
          <w:rFonts w:ascii="Times" w:eastAsiaTheme="minorEastAsia" w:hAnsi="Times" w:cs="Arial"/>
        </w:rPr>
        <w:t>„§ 2. Jeżeli organ prowadzący postępowanie nadal nie znajduje podstaw do wniesienia aktu oskarżenia, wydaje ponownie postanowienie o umorzeniu postępowania lub odmowie jego wszczęcia. W takim wypadku pokrzywdzony, który wykorzystał uprawnienia przewidziane w art. 306 § 1 i 1a, może wnieść akt oskarżenia określony w art. 55 § 1 – o czym należy go pouczyć.”.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BF3C48">
        <w:rPr>
          <w:rFonts w:ascii="Times" w:eastAsiaTheme="minorEastAsia" w:hAnsi="Times" w:cs="Arial"/>
          <w:b/>
        </w:rPr>
        <w:t>Art. 2.</w:t>
      </w:r>
      <w:r w:rsidRPr="00BF3C48">
        <w:rPr>
          <w:rFonts w:ascii="Times" w:eastAsiaTheme="minorEastAsia" w:hAnsi="Times" w:cs="Arial"/>
        </w:rPr>
        <w:t xml:space="preserve"> 1. Do postępowań wszczętych i niezakończonych przed dniem wejścia w życie niniejszej ustawy przepisy art. 55 § 1 oraz art. 330 § 2 ustawy, o której mowa w art. 1, stosuje się w brzmieniu nadanym niniejszą ustawą.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BF3C48">
        <w:rPr>
          <w:rFonts w:ascii="Times" w:eastAsiaTheme="minorEastAsia" w:hAnsi="Times" w:cs="Arial"/>
          <w:bCs/>
        </w:rPr>
        <w:t>2. Czynności procesowe dokonane przed dniem wejścia w życie niniejszej ustawy są skuteczne, jeżeli dokonano ich z zachowaniem przepisów dotychczasowych.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BF3C48">
        <w:rPr>
          <w:rFonts w:ascii="Times" w:eastAsiaTheme="minorEastAsia" w:hAnsi="Times" w:cs="Arial"/>
          <w:bCs/>
        </w:rPr>
        <w:t>3. Strona, która na podstawie dotychczasowych przepisów zaskarżyła ponowne postanowienie o umorzeniu postępowania lub o odmowie jego wszczęcia do prokuratora nadrzędnego, ma prawo w terminie miesiąca od dnia wejścia w życie niniejszej ustawy wnieść akt oskarżenia, o którym mowa w art. 55 § 1 ustawy, o której mowa w art. 1, w brzmieniu nadanym niniejszą ustawą.</w:t>
      </w:r>
    </w:p>
    <w:p w:rsidR="00BF3C48" w:rsidRPr="00BF3C48" w:rsidRDefault="00BF3C48" w:rsidP="00BF3C48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BF3C48">
        <w:rPr>
          <w:rFonts w:ascii="Times" w:eastAsiaTheme="minorEastAsia" w:hAnsi="Times" w:cs="Arial"/>
          <w:b/>
        </w:rPr>
        <w:t>Art. 3.</w:t>
      </w:r>
      <w:r w:rsidRPr="00BF3C48">
        <w:rPr>
          <w:rFonts w:ascii="Times" w:eastAsiaTheme="minorEastAsia" w:hAnsi="Times" w:cs="Arial"/>
        </w:rPr>
        <w:t xml:space="preserve"> Ustawa wchodzi w życie po upływie 14 dni od dnia ogłoszenia.</w:t>
      </w:r>
    </w:p>
    <w:p w:rsidR="007E66F5" w:rsidRDefault="007E66F5" w:rsidP="008478A2">
      <w:pPr>
        <w:keepNext/>
        <w:suppressAutoHyphens/>
        <w:spacing w:after="120"/>
        <w:jc w:val="center"/>
        <w:rPr>
          <w:b/>
        </w:rPr>
      </w:pPr>
      <w:bookmarkStart w:id="0" w:name="_GoBack"/>
      <w:bookmarkEnd w:id="0"/>
    </w:p>
    <w:sectPr w:rsidR="007E66F5" w:rsidSect="008478A2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EED" w:rsidRDefault="00DC1EED" w:rsidP="009A4937">
      <w:pPr>
        <w:spacing w:line="240" w:lineRule="auto"/>
      </w:pPr>
      <w:r>
        <w:separator/>
      </w:r>
    </w:p>
  </w:endnote>
  <w:endnote w:type="continuationSeparator" w:id="0">
    <w:p w:rsidR="00DC1EED" w:rsidRDefault="00DC1EED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EED" w:rsidRDefault="00DC1EED" w:rsidP="009A4937">
      <w:pPr>
        <w:spacing w:line="240" w:lineRule="auto"/>
      </w:pPr>
      <w:r>
        <w:separator/>
      </w:r>
    </w:p>
  </w:footnote>
  <w:footnote w:type="continuationSeparator" w:id="0">
    <w:p w:rsidR="00DC1EED" w:rsidRDefault="00DC1EED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C48" w:rsidRPr="00B371CC" w:rsidRDefault="00BF3C48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3D9"/>
    <w:multiLevelType w:val="hybridMultilevel"/>
    <w:tmpl w:val="E9C0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37D4F"/>
    <w:multiLevelType w:val="hybridMultilevel"/>
    <w:tmpl w:val="24D093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7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8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0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7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6"/>
  </w:num>
  <w:num w:numId="4">
    <w:abstractNumId w:val="6"/>
  </w:num>
  <w:num w:numId="5">
    <w:abstractNumId w:val="18"/>
  </w:num>
  <w:num w:numId="6">
    <w:abstractNumId w:val="16"/>
  </w:num>
  <w:num w:numId="7">
    <w:abstractNumId w:val="18"/>
  </w:num>
  <w:num w:numId="8">
    <w:abstractNumId w:val="16"/>
  </w:num>
  <w:num w:numId="9">
    <w:abstractNumId w:val="18"/>
  </w:num>
  <w:num w:numId="10">
    <w:abstractNumId w:val="16"/>
  </w:num>
  <w:num w:numId="11">
    <w:abstractNumId w:val="3"/>
  </w:num>
  <w:num w:numId="12">
    <w:abstractNumId w:val="12"/>
  </w:num>
  <w:num w:numId="13">
    <w:abstractNumId w:val="10"/>
  </w:num>
  <w:num w:numId="14">
    <w:abstractNumId w:val="4"/>
  </w:num>
  <w:num w:numId="15">
    <w:abstractNumId w:val="17"/>
  </w:num>
  <w:num w:numId="16">
    <w:abstractNumId w:val="13"/>
  </w:num>
  <w:num w:numId="17">
    <w:abstractNumId w:val="21"/>
  </w:num>
  <w:num w:numId="18">
    <w:abstractNumId w:val="15"/>
  </w:num>
  <w:num w:numId="19">
    <w:abstractNumId w:val="14"/>
  </w:num>
  <w:num w:numId="20">
    <w:abstractNumId w:val="2"/>
  </w:num>
  <w:num w:numId="21">
    <w:abstractNumId w:val="11"/>
  </w:num>
  <w:num w:numId="22">
    <w:abstractNumId w:val="7"/>
  </w:num>
  <w:num w:numId="23">
    <w:abstractNumId w:val="8"/>
  </w:num>
  <w:num w:numId="24">
    <w:abstractNumId w:val="5"/>
  </w:num>
  <w:num w:numId="25">
    <w:abstractNumId w:val="20"/>
  </w:num>
  <w:num w:numId="26">
    <w:abstractNumId w:val="19"/>
  </w:num>
  <w:num w:numId="27">
    <w:abstractNumId w:val="0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8049A"/>
    <w:rsid w:val="001A4397"/>
    <w:rsid w:val="002942C0"/>
    <w:rsid w:val="002B0A43"/>
    <w:rsid w:val="00382AAC"/>
    <w:rsid w:val="003B7FBE"/>
    <w:rsid w:val="00474670"/>
    <w:rsid w:val="00474D5B"/>
    <w:rsid w:val="004F1121"/>
    <w:rsid w:val="00527E52"/>
    <w:rsid w:val="0056045F"/>
    <w:rsid w:val="00695AD3"/>
    <w:rsid w:val="006E58F9"/>
    <w:rsid w:val="006E73F1"/>
    <w:rsid w:val="006F026C"/>
    <w:rsid w:val="00735880"/>
    <w:rsid w:val="00777F90"/>
    <w:rsid w:val="007E66F5"/>
    <w:rsid w:val="008247EB"/>
    <w:rsid w:val="008478A2"/>
    <w:rsid w:val="00874611"/>
    <w:rsid w:val="008758BB"/>
    <w:rsid w:val="008C7EE7"/>
    <w:rsid w:val="00920C57"/>
    <w:rsid w:val="009A4937"/>
    <w:rsid w:val="009D2757"/>
    <w:rsid w:val="00A06AF3"/>
    <w:rsid w:val="00AF364E"/>
    <w:rsid w:val="00B5303C"/>
    <w:rsid w:val="00BF3C48"/>
    <w:rsid w:val="00C43A19"/>
    <w:rsid w:val="00D07B91"/>
    <w:rsid w:val="00D37E95"/>
    <w:rsid w:val="00D829F5"/>
    <w:rsid w:val="00DC1EED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D3BF5F-FA1E-4433-AEC5-94F8F118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6F5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74A33-84DF-4DCE-BA2B-A57667FD8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8</cp:revision>
  <cp:lastPrinted>2020-08-14T07:45:00Z</cp:lastPrinted>
  <dcterms:created xsi:type="dcterms:W3CDTF">2020-08-13T11:20:00Z</dcterms:created>
  <dcterms:modified xsi:type="dcterms:W3CDTF">2020-09-04T10:46:00Z</dcterms:modified>
</cp:coreProperties>
</file>