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7C22" w:rsidRPr="005C7C22" w:rsidRDefault="005C7C22" w:rsidP="005C7C22">
      <w:pPr>
        <w:keepNext/>
        <w:suppressAutoHyphens/>
        <w:spacing w:after="360"/>
        <w:jc w:val="center"/>
        <w:rPr>
          <w:rFonts w:ascii="Times" w:hAnsi="Times"/>
          <w:b/>
          <w:bCs/>
          <w:caps/>
          <w:spacing w:val="54"/>
          <w:kern w:val="24"/>
          <w:szCs w:val="24"/>
        </w:rPr>
      </w:pPr>
      <w:r w:rsidRPr="005C7C22">
        <w:rPr>
          <w:rFonts w:ascii="Times" w:hAnsi="Times"/>
          <w:b/>
          <w:bCs/>
          <w:caps/>
          <w:spacing w:val="54"/>
          <w:kern w:val="24"/>
          <w:szCs w:val="24"/>
        </w:rPr>
        <w:t>UZASADNIENIE</w:t>
      </w:r>
    </w:p>
    <w:p w:rsidR="005C7C22" w:rsidRPr="005C7C22" w:rsidRDefault="005C7C22" w:rsidP="005C7C22">
      <w:pPr>
        <w:keepNext/>
        <w:widowControl w:val="0"/>
        <w:autoSpaceDE w:val="0"/>
        <w:autoSpaceDN w:val="0"/>
        <w:adjustRightInd w:val="0"/>
        <w:spacing w:before="360"/>
        <w:jc w:val="both"/>
        <w:rPr>
          <w:rFonts w:eastAsiaTheme="minorEastAsia" w:cs="Arial"/>
          <w:b/>
          <w:szCs w:val="24"/>
        </w:rPr>
      </w:pPr>
      <w:r w:rsidRPr="005C7C22">
        <w:rPr>
          <w:rFonts w:eastAsiaTheme="minorEastAsia" w:cs="Arial"/>
          <w:b/>
          <w:szCs w:val="24"/>
        </w:rPr>
        <w:t>1. Cel projektowanej ustawy</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spacing w:val="-2"/>
        </w:rPr>
        <w:t>Celem projektu jest dostosowanie systemu prawa do wyroku Trybunału Konstytucyjnego z dnia 11 czerwca 2019 r. (sygn. akt P 20/17)</w:t>
      </w:r>
      <w:r w:rsidRPr="005C7C22">
        <w:rPr>
          <w:rFonts w:ascii="Times" w:eastAsiaTheme="minorEastAsia" w:hAnsi="Times" w:cs="Arial"/>
          <w:bCs/>
        </w:rPr>
        <w:t xml:space="preserve">. Sentencja tego orzeczenia została ogłoszona </w:t>
      </w:r>
      <w:r w:rsidRPr="005C7C22">
        <w:rPr>
          <w:rFonts w:ascii="Times" w:eastAsiaTheme="minorEastAsia" w:hAnsi="Times" w:cs="Arial"/>
          <w:bCs/>
          <w:spacing w:val="-2"/>
        </w:rPr>
        <w:t>w dniu 18 czerwca 2019 r. w Dz. U.</w:t>
      </w:r>
      <w:r w:rsidRPr="005C7C22">
        <w:rPr>
          <w:rFonts w:ascii="Times" w:eastAsiaTheme="minorEastAsia" w:hAnsi="Times" w:cs="Arial"/>
          <w:bCs/>
        </w:rPr>
        <w:t xml:space="preserve"> poz. 1135, a jego pełna treść wraz z uzasadnieniem ukazała się w OTK ZU A poz. 29.</w:t>
      </w:r>
    </w:p>
    <w:p w:rsidR="005C7C22" w:rsidRPr="005C7C22" w:rsidRDefault="005C7C22" w:rsidP="005C7C22">
      <w:pPr>
        <w:keepNext/>
        <w:widowControl w:val="0"/>
        <w:autoSpaceDE w:val="0"/>
        <w:autoSpaceDN w:val="0"/>
        <w:adjustRightInd w:val="0"/>
        <w:spacing w:before="360"/>
        <w:jc w:val="both"/>
        <w:rPr>
          <w:rFonts w:eastAsiaTheme="minorEastAsia" w:cs="Arial"/>
          <w:b/>
          <w:szCs w:val="24"/>
        </w:rPr>
      </w:pPr>
      <w:r w:rsidRPr="005C7C22">
        <w:rPr>
          <w:rFonts w:eastAsiaTheme="minorEastAsia" w:cs="Arial"/>
          <w:b/>
          <w:szCs w:val="24"/>
        </w:rPr>
        <w:t>2. Przedmiot i istota rozstrzygnięcia Trybunału Konstytucyjnego</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rPr>
      </w:pPr>
      <w:r w:rsidRPr="005C7C22">
        <w:rPr>
          <w:rFonts w:ascii="Times" w:eastAsiaTheme="minorEastAsia" w:hAnsi="Times" w:cs="Arial"/>
        </w:rPr>
        <w:t xml:space="preserve">Trybunał orzekł, że art. 87 § 1 ustawy z dnia 6 czerwca 1997 r. – Kodeks karny (dalej jako k.k.) w zakresie, w jakim nakłada na sąd obowiązek połączenia kar pozbawienia wolności i ograniczenia wolności oraz wymierzenia kary łącznej pozbawienia wolności po </w:t>
      </w:r>
      <w:r w:rsidRPr="005C7C22">
        <w:rPr>
          <w:rFonts w:ascii="Times" w:eastAsiaTheme="minorEastAsia" w:hAnsi="Times" w:cs="Arial"/>
          <w:spacing w:val="-2"/>
        </w:rPr>
        <w:t>dokonaniu zamiany kary ograniczenia wolności na karę pozbawienia wolności, jest niezgodny</w:t>
      </w:r>
      <w:r w:rsidRPr="005C7C22">
        <w:rPr>
          <w:rFonts w:ascii="Times" w:eastAsiaTheme="minorEastAsia" w:hAnsi="Times" w:cs="Arial"/>
        </w:rPr>
        <w:t xml:space="preserve"> z art. 45 ust. 1 i art. 175 ust. 1 Konstytucji Rzeczypospolitej Polskiej.</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 xml:space="preserve">Art. 87 § 1 k.k., w brzmieniu poddanym kognicji TK, przesądzał, że w razie skazania za zbiegające się przestępstwa na kary pozbawienia wolności i ograniczenia wolności sąd wymierza karę łączną pozbawienia wolności, przyjmując, że miesiąc ograniczenia wolności równa się 15 dniom pozbawienia wolności. Wyjątek od powyższego mechanizmu wymiaru kary łącznej wynikał jedynie z art. 87 § 2 k.k., wedle którego sąd może orzec jednocześnie kary łączne pozbawienia wolności oraz ograniczenia wolności, o ile tylko pierwsza z nich nie przekroczy 6 miesięcy, zaś kara łączna ograniczenia wolności – 2 lat. Mimo że kwestia zakresu zastosowania art. 87 § 2 k.k. wywoływała pewne kontrowersje i była przedmiotem </w:t>
      </w:r>
      <w:r w:rsidRPr="005C7C22">
        <w:rPr>
          <w:rFonts w:ascii="Times" w:eastAsiaTheme="minorEastAsia" w:hAnsi="Times" w:cs="Arial"/>
          <w:bCs/>
          <w:spacing w:val="-2"/>
        </w:rPr>
        <w:t>rozbieżnych wypowiedzi judykatury, przyjmowano, że odstępstwo od obligatoryjnego łączenia</w:t>
      </w:r>
      <w:r w:rsidRPr="005C7C22">
        <w:rPr>
          <w:rFonts w:ascii="Times" w:eastAsiaTheme="minorEastAsia" w:hAnsi="Times" w:cs="Arial"/>
          <w:bCs/>
        </w:rPr>
        <w:t xml:space="preserve"> kar różnorodzajowych, jakimi są kara ograniczenia wolności oraz kara pozbawienia wolności, po dokonaniu przeliczenia tej pierwszej kary na karę pozbawienia wolności, jest możliwe w</w:t>
      </w:r>
      <w:r w:rsidRPr="005C7C22">
        <w:rPr>
          <w:rFonts w:ascii="Times" w:eastAsiaTheme="minorEastAsia" w:hAnsi="Times" w:cs="Arial"/>
        </w:rPr>
        <w:t>  </w:t>
      </w:r>
      <w:r w:rsidRPr="005C7C22">
        <w:rPr>
          <w:rFonts w:ascii="Times" w:eastAsiaTheme="minorEastAsia" w:hAnsi="Times" w:cs="Arial"/>
          <w:bCs/>
        </w:rPr>
        <w:t>sytuacji, gdy za zbiegające się przestępstwa zostały wymierzone kary sekwencyjne na podstawie art. 37b k.k., kara sekwencyjna oraz kara ograniczenia wolności i kara pozbawienia wolności, a także co najmniej dwie kary ograniczenia wolności i kary pozbawienia wolności. Niemniej jednak gdyby w następstwie połączenia takich kar w wyroku łącznym miały zostać przekroczone okresy określone w art. 87 § 2 k.k., sąd byłby zmuszony orzec stosownie do dyspozycji art. 87 § 1 k.k.</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lastRenderedPageBreak/>
        <w:t xml:space="preserve">Istotą zagadnienia badanego przez Trybunał było to, że w przypadku gdy nie zostały </w:t>
      </w:r>
      <w:r w:rsidRPr="005C7C22">
        <w:rPr>
          <w:rFonts w:ascii="Times" w:eastAsiaTheme="minorEastAsia" w:hAnsi="Times" w:cs="Arial"/>
          <w:bCs/>
          <w:spacing w:val="-2"/>
        </w:rPr>
        <w:t>spełnione przesłanki zastosowania art. 87 § 2 k.k., sąd karny był obowiązany dokonać zamiany</w:t>
      </w:r>
      <w:r w:rsidRPr="005C7C22">
        <w:rPr>
          <w:rFonts w:ascii="Times" w:eastAsiaTheme="minorEastAsia" w:hAnsi="Times" w:cs="Arial"/>
          <w:bCs/>
        </w:rPr>
        <w:t xml:space="preserve"> </w:t>
      </w:r>
      <w:r w:rsidRPr="005C7C22">
        <w:rPr>
          <w:rFonts w:ascii="Times" w:eastAsiaTheme="minorEastAsia" w:hAnsi="Times" w:cs="Arial"/>
          <w:bCs/>
          <w:spacing w:val="-3"/>
        </w:rPr>
        <w:t>kary ograniczenia wolności na karę pozbawienia wolności i wymierzyć karę łączną pozbawienia</w:t>
      </w:r>
      <w:r w:rsidRPr="005C7C22">
        <w:rPr>
          <w:rFonts w:ascii="Times" w:eastAsiaTheme="minorEastAsia" w:hAnsi="Times" w:cs="Arial"/>
          <w:bCs/>
        </w:rPr>
        <w:t xml:space="preserve"> wolności. W opisywanej sytuacji sąd przede wszystkim nie mógł uwzględnić okoliczności konkretnej sprawy i odstąpić od zamiany, choćby okazało się to zasadne, np. ze względu na </w:t>
      </w:r>
      <w:r w:rsidRPr="005C7C22">
        <w:rPr>
          <w:rFonts w:ascii="Times" w:eastAsiaTheme="minorEastAsia" w:hAnsi="Times" w:cs="Arial"/>
          <w:bCs/>
          <w:spacing w:val="-3"/>
        </w:rPr>
        <w:t>prognozę kryminologiczną, postawę skazanego czy też cele kary. Obligatoryjność i automatyzm</w:t>
      </w:r>
      <w:r w:rsidRPr="005C7C22">
        <w:rPr>
          <w:rFonts w:ascii="Times" w:eastAsiaTheme="minorEastAsia" w:hAnsi="Times" w:cs="Arial"/>
          <w:bCs/>
        </w:rPr>
        <w:t xml:space="preserve"> mechanizmu przewidzianego w art. 87 § 1 k.k. prowadziły do wyłączenia sądowej gwarancji kontroli merytorycznej przesłanek pozbawienia wolności, a więc ingerencji, i to najdalej </w:t>
      </w:r>
      <w:r w:rsidRPr="005C7C22">
        <w:rPr>
          <w:rFonts w:ascii="Times" w:eastAsiaTheme="minorEastAsia" w:hAnsi="Times" w:cs="Arial"/>
          <w:bCs/>
          <w:spacing w:val="-2"/>
        </w:rPr>
        <w:t>idącej, w jedną z fundamentalnych wartości o randze konstytucyjnej, jaką jest wolność osobista</w:t>
      </w:r>
      <w:r w:rsidRPr="005C7C22">
        <w:rPr>
          <w:rFonts w:ascii="Times" w:eastAsiaTheme="minorEastAsia" w:hAnsi="Times" w:cs="Arial"/>
          <w:bCs/>
        </w:rPr>
        <w:t xml:space="preserve"> (art. 41 ust. 1 Konstytucji).</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 xml:space="preserve">W swym orzecznictwie sąd konstytucyjny akcentował, że „jednym z najważniejszych </w:t>
      </w:r>
      <w:r w:rsidRPr="005C7C22">
        <w:rPr>
          <w:rFonts w:ascii="Times" w:eastAsiaTheme="minorEastAsia" w:hAnsi="Times" w:cs="Arial"/>
          <w:bCs/>
          <w:spacing w:val="-3"/>
        </w:rPr>
        <w:t>elementów zapewniających, że do pozbawienia wolności jednostki dochodzi tylko w warunkach</w:t>
      </w:r>
      <w:r w:rsidRPr="005C7C22">
        <w:rPr>
          <w:rFonts w:ascii="Times" w:eastAsiaTheme="minorEastAsia" w:hAnsi="Times" w:cs="Arial"/>
          <w:bCs/>
        </w:rPr>
        <w:t xml:space="preserve"> szczególnie uzasadnionych, jest ustawowa gwarancja pełnej, realnej sądowej – a zatem </w:t>
      </w:r>
      <w:r w:rsidRPr="005C7C22">
        <w:rPr>
          <w:rFonts w:ascii="Times" w:eastAsiaTheme="minorEastAsia" w:hAnsi="Times" w:cs="Arial"/>
          <w:bCs/>
          <w:spacing w:val="-3"/>
        </w:rPr>
        <w:t>procesowej – kontroli nad potrzebą pozbawienia wolności jednostki. Wyklucza to konstytucyjną</w:t>
      </w:r>
      <w:r w:rsidRPr="005C7C22">
        <w:rPr>
          <w:rFonts w:ascii="Times" w:eastAsiaTheme="minorEastAsia" w:hAnsi="Times" w:cs="Arial"/>
          <w:bCs/>
        </w:rPr>
        <w:t xml:space="preserve"> dopuszczalność pozbawienia wolności z mocy prawa. Z tego punktu widzenia ograniczeniem zakresu procesowych gwarancji byłoby wyłączenie realnej roli sądu w podejmowaniu decyzji o pozbawieniu jednostki wolności osobistej, nawet jeżeli – formalnie – decyzję w tym zakresie podejmowałby sąd, tyle że sprowadzony do roli notarialnej”. Co więcej: pamiętać należy, że pozbawienie wolności jest środkiem </w:t>
      </w:r>
      <w:r w:rsidRPr="005C7C22">
        <w:rPr>
          <w:rFonts w:ascii="Times" w:eastAsiaTheme="minorEastAsia" w:hAnsi="Times" w:cs="Arial"/>
          <w:bCs/>
          <w:i/>
        </w:rPr>
        <w:t>ultima ratio</w:t>
      </w:r>
      <w:r w:rsidRPr="005C7C22">
        <w:rPr>
          <w:rFonts w:ascii="Times" w:eastAsiaTheme="minorEastAsia" w:hAnsi="Times" w:cs="Arial"/>
          <w:bCs/>
        </w:rPr>
        <w:t xml:space="preserve">, a skoro tak, to sąd powinien mieć możliwość rozważenia wszystkich okoliczności sprawy relewantnych w dniu wydania </w:t>
      </w:r>
      <w:r w:rsidRPr="005C7C22">
        <w:rPr>
          <w:rFonts w:ascii="Times" w:eastAsiaTheme="minorEastAsia" w:hAnsi="Times" w:cs="Arial"/>
          <w:bCs/>
          <w:spacing w:val="-3"/>
        </w:rPr>
        <w:t>orzeczenia. Innymi słowy, TK nieodmiennie stoi na stanowisku, że „wolność osobista wymaga</w:t>
      </w:r>
      <w:r w:rsidRPr="005C7C22">
        <w:rPr>
          <w:rFonts w:ascii="Times" w:eastAsiaTheme="minorEastAsia" w:hAnsi="Times" w:cs="Arial"/>
          <w:bCs/>
        </w:rPr>
        <w:t xml:space="preserve"> tego, aby sąd, przy orzekaniu o jej realnym pozbawieniu, miał zapewniony zakres uznania (minimum kompetencji sądu)”.</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Przechodząc do kontroli zaskarżonej regulacji, Trybunał podniósł, że sąd karny, który orzeka o karze łącznej, nadal sprawuje wymiar sprawiedliwości. „W porównaniu z karami jednostkowymi, kara łączna nie tylko może mieć zmodyfikowany (zazwyczaj powiększony) wymiar (…), ale też może zostać istotnie przekształcona (dotyczy to zwłaszcza orzeczenia kar bezwzględnych w wyniku łączenia kar z warunkowym zawieszeniem ich wykonania (…)) lub poszerzona o nowe elementy (…). Dla sprawcy jest to więc «nowa» kara, zastępująca sankcje wymierzone mu wcześniej”. W tej perspektywie wydanie przez sąd wyroku, na mocy którego jest orzekana kara łączna, stanowi „sprawę” w rozumieniu art. 45 ust. 1 Konstytucji.</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lastRenderedPageBreak/>
        <w:t>Tymczasem art. 87 § 1 k.k. redukował zarówno funkcję „wymierzania sprawiedliwości”, jak i „rozpatrzenia” sprawy, do przeliczenia kary ograniczenia wolności na karę pozbawienia wolności oraz orzeczenia, w miejsce kar wymierzonych za zbiegające się przestępstwa, jednej kary łącznej pozbawienia wolności. TK zwrócił przy tym uwagę, że kwestionowany przepis miał zastosowanie także wówczas, gdy dochodzi do zbiegu jednej kary pozbawienia wolności i dwóch lub więcej kar ograniczenia wolności. „W takim wypadku kar ograniczenia wolności nie łączy się w karę łączną ograniczenia wolności, lecz obligatoryjnie «przelicza się» je na kary pozbawienia wolności i wymierza jedną karę łączną pozbawienia wolności. Tak więc zbieg kary pozbawienia wolności z karami ograniczenia wolności stanowi przeszkodę do łączenia tych ostatnich kar jako kar tego samego rodzaju”.</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 xml:space="preserve">Na skutek zobligowania sądu do łączenia z urzędu kar jednostkowych w ten sposób, że z mocy ustawy musiała zostać wymierzona kara jednego rodzaju, i to najsurowsza, skazany </w:t>
      </w:r>
      <w:r w:rsidRPr="005C7C22">
        <w:rPr>
          <w:rFonts w:ascii="Times" w:eastAsiaTheme="minorEastAsia" w:hAnsi="Times" w:cs="Arial"/>
          <w:bCs/>
          <w:i/>
          <w:spacing w:val="-2"/>
        </w:rPr>
        <w:t>de facto</w:t>
      </w:r>
      <w:r w:rsidRPr="005C7C22">
        <w:rPr>
          <w:rFonts w:ascii="Times" w:eastAsiaTheme="minorEastAsia" w:hAnsi="Times" w:cs="Arial"/>
          <w:bCs/>
          <w:spacing w:val="-2"/>
        </w:rPr>
        <w:t xml:space="preserve"> tracił gwarancję sprawiedliwego rozpatrzenia sprawy. Ostatecznie zatem istotnie obniżony</w:t>
      </w:r>
      <w:r w:rsidRPr="005C7C22">
        <w:rPr>
          <w:rFonts w:ascii="Times" w:eastAsiaTheme="minorEastAsia" w:hAnsi="Times" w:cs="Arial"/>
          <w:bCs/>
        </w:rPr>
        <w:t xml:space="preserve"> został, czy wręcz na gruncie ocenianej normy prawnej stracił praktyczne znaczenie, standard ochrony poręczony przez art. 45 ust. 1 Konstytucji (prawo do sądu), z którego to skazany korzystał na etapie wydawania wyroków za zbiegające się przestępstwa. Trybunał </w:t>
      </w:r>
      <w:r w:rsidRPr="005C7C22">
        <w:rPr>
          <w:rFonts w:ascii="Times" w:eastAsiaTheme="minorEastAsia" w:hAnsi="Times" w:cs="Arial"/>
          <w:bCs/>
          <w:spacing w:val="-2"/>
        </w:rPr>
        <w:t>stwierdził ponadto, że art. 87 § 1 k.k., stosowany w postępowaniu o wydanie wyroku łącznego, następczo niweczył również gwarancję swobody</w:t>
      </w:r>
      <w:r w:rsidRPr="005C7C22">
        <w:rPr>
          <w:rFonts w:ascii="Times" w:eastAsiaTheme="minorEastAsia" w:hAnsi="Times" w:cs="Arial"/>
          <w:bCs/>
        </w:rPr>
        <w:t xml:space="preserve"> orzekania. Czynił to w takim stopniu, że</w:t>
      </w:r>
      <w:r w:rsidRPr="005C7C22">
        <w:rPr>
          <w:rFonts w:ascii="Times" w:eastAsiaTheme="minorEastAsia" w:hAnsi="Times" w:cs="Arial"/>
          <w:bCs/>
        </w:rPr>
        <w:br/>
        <w:t>– zdaniem TK – naruszał zasadę sprawowania przez sądy „wymiaru sprawiedliwości” wysłowioną w art. 175 ust. 1 Konstytucji.</w:t>
      </w:r>
    </w:p>
    <w:p w:rsidR="005C7C22" w:rsidRPr="005C7C22" w:rsidRDefault="005C7C22" w:rsidP="005C7C22">
      <w:pPr>
        <w:keepNext/>
        <w:widowControl w:val="0"/>
        <w:autoSpaceDE w:val="0"/>
        <w:autoSpaceDN w:val="0"/>
        <w:adjustRightInd w:val="0"/>
        <w:spacing w:before="360"/>
        <w:jc w:val="both"/>
        <w:rPr>
          <w:rFonts w:eastAsiaTheme="minorEastAsia" w:cs="Arial"/>
          <w:b/>
          <w:szCs w:val="24"/>
        </w:rPr>
      </w:pPr>
      <w:r w:rsidRPr="005C7C22">
        <w:rPr>
          <w:rFonts w:eastAsiaTheme="minorEastAsia" w:cs="Arial"/>
          <w:b/>
          <w:szCs w:val="24"/>
        </w:rPr>
        <w:t>3. Różnice między dotychczasowym a projektowanym stanem prawnym</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rPr>
        <w:t xml:space="preserve">Wraz z wejściem w życie wyroku z dnia </w:t>
      </w:r>
      <w:r w:rsidRPr="005C7C22">
        <w:rPr>
          <w:rFonts w:ascii="Times" w:eastAsiaTheme="minorEastAsia" w:hAnsi="Times" w:cs="Arial"/>
          <w:spacing w:val="-2"/>
        </w:rPr>
        <w:t xml:space="preserve">11 czerwca 2019 r. z porządku prawnego została wyeliminowana norma prawna </w:t>
      </w:r>
      <w:r w:rsidRPr="005C7C22">
        <w:rPr>
          <w:rFonts w:ascii="Times" w:eastAsiaTheme="minorEastAsia" w:hAnsi="Times" w:cs="Arial"/>
          <w:szCs w:val="21"/>
        </w:rPr>
        <w:t>dekodowana z</w:t>
      </w:r>
      <w:r w:rsidRPr="005C7C22">
        <w:rPr>
          <w:rFonts w:ascii="Times" w:eastAsiaTheme="minorEastAsia" w:hAnsi="Times" w:cs="Arial"/>
          <w:spacing w:val="-2"/>
        </w:rPr>
        <w:t xml:space="preserve"> art. 87 § 1 k.k., która obligowała sąd do wymiaru kary łącznej pozbawienia wolności, jeżeli za pozostające w zbiegu przestępstwa zostały wobec skazanego orzeczone kary pozbawienia wolności oraz ograniczenia wolności, z tym wszakże zastrzeżeniem, że odstąpienie od omawianego łączenia kar było możliwe jedynie w warunkach art. 87 § 2 k.k., tj. pod warunkiem zachowania przewidzianych tam progów: </w:t>
      </w:r>
      <w:r w:rsidRPr="005C7C22">
        <w:rPr>
          <w:rFonts w:ascii="Times" w:eastAsiaTheme="minorEastAsia" w:hAnsi="Times" w:cs="Arial"/>
          <w:bCs/>
        </w:rPr>
        <w:t>6 miesięcy dla kary łącznej pozbawienia wolności i 2 lat dla kary łącznej ograniczenia wolności. W związku z tym aktualnie</w:t>
      </w:r>
      <w:r w:rsidRPr="005C7C22">
        <w:rPr>
          <w:rFonts w:ascii="Times" w:eastAsiaTheme="minorEastAsia" w:hAnsi="Times" w:cs="Arial"/>
          <w:szCs w:val="21"/>
        </w:rPr>
        <w:t xml:space="preserve"> walor normatywny art. 87 § 1 k.k. sprowadza się do ustalenia stosunku, w jakim kara ograniczenia wolności podlega przeliczeniu na karę pozbawienia wolności, jeśli tylko sąd zdecyduje się na wymierzenie izolacyjnej kary łącznej.</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lastRenderedPageBreak/>
        <w:t>W proponowanym brzmieniu przepis art. 87 k.k. wprost wysławia swobodę decyzyjną sądu i nie ustanawia żadnych dodatkowych przesłanek, których rolą byłoby limitowanie</w:t>
      </w:r>
      <w:r w:rsidRPr="005C7C22">
        <w:rPr>
          <w:rFonts w:ascii="Times" w:eastAsiaTheme="minorEastAsia" w:hAnsi="Times" w:cs="Arial"/>
          <w:bCs/>
          <w:spacing w:val="-2"/>
        </w:rPr>
        <w:t xml:space="preserve"> kompetencji sądu orzekającego o połączeniu kar jednostkowych pozbawienia wolności oraz ograniczenia wolności. Niemniej nie oznacza to, iż uznanie sądu jest niczym nieograniczone</w:t>
      </w:r>
      <w:r w:rsidRPr="005C7C22">
        <w:rPr>
          <w:rFonts w:ascii="Times" w:eastAsiaTheme="minorEastAsia" w:hAnsi="Times" w:cs="Arial"/>
          <w:bCs/>
        </w:rPr>
        <w:t>.</w:t>
      </w:r>
      <w:r w:rsidRPr="005C7C22">
        <w:rPr>
          <w:rFonts w:ascii="Times" w:eastAsiaTheme="minorEastAsia" w:hAnsi="Times" w:cs="Arial"/>
          <w:szCs w:val="21"/>
        </w:rPr>
        <w:t xml:space="preserve"> Sąd musi bowiem kierować się dyrektywami określonymi w art. 85a k.k. („</w:t>
      </w:r>
      <w:r w:rsidRPr="005C7C22">
        <w:rPr>
          <w:rFonts w:ascii="Times" w:eastAsiaTheme="minorEastAsia" w:hAnsi="Times" w:cs="Arial"/>
          <w:i/>
        </w:rPr>
        <w:t xml:space="preserve">Orzekając karę łączną, sąd bierze pod uwagę przede wszystkim cele zapobiegawcze </w:t>
      </w:r>
      <w:r w:rsidRPr="005C7C22">
        <w:rPr>
          <w:rFonts w:ascii="Times" w:eastAsiaTheme="minorEastAsia" w:hAnsi="Times" w:cs="Arial"/>
          <w:i/>
          <w:spacing w:val="-2"/>
        </w:rPr>
        <w:t>i wychowawcze, które kara ma osiągnąć w stosunku do skazanego, a także potrzeby w zakresie</w:t>
      </w:r>
      <w:r w:rsidRPr="005C7C22">
        <w:rPr>
          <w:rFonts w:ascii="Times" w:eastAsiaTheme="minorEastAsia" w:hAnsi="Times" w:cs="Arial"/>
          <w:i/>
        </w:rPr>
        <w:t xml:space="preserve"> kształtowania świadomości prawnej społeczeństwa</w:t>
      </w:r>
      <w:r w:rsidRPr="005C7C22">
        <w:rPr>
          <w:rFonts w:ascii="Times" w:eastAsiaTheme="minorEastAsia" w:hAnsi="Times" w:cs="Arial"/>
          <w:szCs w:val="21"/>
        </w:rPr>
        <w:t xml:space="preserve">.”). Przy wymierzaniu kary łącznej sąd nie może też </w:t>
      </w:r>
      <w:r w:rsidRPr="005C7C22">
        <w:rPr>
          <w:rFonts w:ascii="Times" w:eastAsiaTheme="minorEastAsia" w:hAnsi="Times" w:cs="Arial"/>
          <w:spacing w:val="-2"/>
          <w:szCs w:val="21"/>
        </w:rPr>
        <w:t>abstrahować o tego, że w naszym systemie prawnym kara pozbawienia wolności ma charakter</w:t>
      </w:r>
      <w:r w:rsidRPr="005C7C22">
        <w:rPr>
          <w:rFonts w:ascii="Times" w:eastAsiaTheme="minorEastAsia" w:hAnsi="Times" w:cs="Arial"/>
          <w:szCs w:val="21"/>
        </w:rPr>
        <w:t xml:space="preserve"> sankcji </w:t>
      </w:r>
      <w:r w:rsidRPr="005C7C22">
        <w:rPr>
          <w:rFonts w:ascii="Times" w:eastAsiaTheme="minorEastAsia" w:hAnsi="Times" w:cs="Arial"/>
          <w:bCs/>
          <w:i/>
        </w:rPr>
        <w:t>ultima ratio</w:t>
      </w:r>
      <w:r w:rsidRPr="005C7C22">
        <w:rPr>
          <w:rFonts w:ascii="Times" w:eastAsiaTheme="minorEastAsia" w:hAnsi="Times" w:cs="Arial"/>
          <w:bCs/>
        </w:rPr>
        <w:t>.</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Jeżeli chodzi natomiast o sam „przelicznik” występujący obecnie w końcowym fragmencie art. 87 § k.k., to ma on kilkudziesięcioletnią tradycję i trudno byłoby wskazać argumenty przemawiające za jego zmianą. Dlatego w projekcie został on zachowany.</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 xml:space="preserve">Niezależnie od wypełnienia postulatu maksymalnej precyzji przepisów prawa karnego, podjęcie przez ustawodawcę interwencji legislacyjnej jest uzasadnione tym, że wypowiedź Trybunału </w:t>
      </w:r>
      <w:r w:rsidRPr="005C7C22">
        <w:rPr>
          <w:rFonts w:ascii="Times" w:eastAsiaTheme="minorEastAsia" w:hAnsi="Times" w:cs="Arial"/>
          <w:bCs/>
          <w:spacing w:val="-2"/>
        </w:rPr>
        <w:t>pozbawiła jakiejkolwiek doniosłości przepis art. 87 § 2 k.k., a tym samym zarówno ta jednostka</w:t>
      </w:r>
      <w:r w:rsidRPr="005C7C22">
        <w:rPr>
          <w:rFonts w:ascii="Times" w:eastAsiaTheme="minorEastAsia" w:hAnsi="Times" w:cs="Arial"/>
          <w:bCs/>
        </w:rPr>
        <w:t xml:space="preserve"> redakcyjna, jak i odesłania do niej, jakie można znaleźć w treści art. 17a § 1 oraz art. 43lb ustawy z dnia 6 czerwca 1997 r. – Kodeks karny wykonawczy, muszą zostać derogowane jako bezprzedmiotowe (art. 2 projektowanej ustawy).</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rPr>
      </w:pPr>
      <w:r w:rsidRPr="005C7C22">
        <w:rPr>
          <w:rFonts w:ascii="Times" w:eastAsiaTheme="minorEastAsia" w:hAnsi="Times" w:cs="Arial"/>
        </w:rPr>
        <w:t xml:space="preserve">Na marginesie wypada nadmienić, że przy takim zakreśleniu kompetencji sądu, jakie </w:t>
      </w:r>
      <w:r w:rsidRPr="005C7C22">
        <w:rPr>
          <w:rFonts w:ascii="Times" w:eastAsiaTheme="minorEastAsia" w:hAnsi="Times" w:cs="Arial"/>
          <w:spacing w:val="-2"/>
        </w:rPr>
        <w:t>przewidziano w art. 1 projektu, nie doszłoby nade wszystko do przedstawienia pytań prawnych,</w:t>
      </w:r>
      <w:r w:rsidRPr="005C7C22">
        <w:rPr>
          <w:rFonts w:ascii="Times" w:eastAsiaTheme="minorEastAsia" w:hAnsi="Times" w:cs="Arial"/>
        </w:rPr>
        <w:t xml:space="preserve"> które stały się bezpośrednim impulsem dla rozstrzygnięcia TK, a które to motywowane były stwierdzeniem, iż objęcie węzłem kary łącznej kar jednostkowych pozbawienia wolności oraz </w:t>
      </w:r>
      <w:r w:rsidRPr="005C7C22">
        <w:rPr>
          <w:rFonts w:ascii="Times" w:eastAsiaTheme="minorEastAsia" w:hAnsi="Times" w:cs="Arial"/>
          <w:spacing w:val="-2"/>
        </w:rPr>
        <w:t xml:space="preserve">ograniczenia wolności będzie krzywdzące dla skazanego w stopniu negującym ogólne poczucie </w:t>
      </w:r>
      <w:r w:rsidRPr="005C7C22">
        <w:rPr>
          <w:rFonts w:ascii="Times" w:eastAsiaTheme="minorEastAsia" w:hAnsi="Times" w:cs="Arial"/>
        </w:rPr>
        <w:t xml:space="preserve">sprawiedliwości i racjonalności (w sprawie poddanej kognicji Sądu Rejonowego w Gorzowie Wielkopolskim skazanemu wymierzono kary jednostkowe 6 miesięcy pozbawienia wolności, 5 miesięcy ograniczenia wolności, 3 miesięcy pozbawienia wolności oraz roku ograniczenia wolności, a dodatkowo skazany przystąpił do wykonywania kary ograniczenia wolności zanim wszczęte zostało postępowanie prowadzące do wydania wyroku łącznego; z kolei Sąd Rejonowy w Dąbrowie Górniczej stanął przed koniecznością wydania wyroku łącznego w sprawie skazanego, któremu już wcześniej wymierzono trzy kary łączne: 2 lat i 4 miesięcy pozbawienia wolności, 6 miesięcy pozbawienia wolności oraz 2 lat ograniczenia wolności, </w:t>
      </w:r>
      <w:r w:rsidRPr="005C7C22">
        <w:rPr>
          <w:rFonts w:ascii="Times" w:eastAsiaTheme="minorEastAsia" w:hAnsi="Times" w:cs="Arial"/>
          <w:spacing w:val="-2"/>
        </w:rPr>
        <w:lastRenderedPageBreak/>
        <w:t>z tym że skazany został warunkowo przedterminowo zwolniony z odbywania kar pozbawienia</w:t>
      </w:r>
      <w:r w:rsidRPr="005C7C22">
        <w:rPr>
          <w:rFonts w:ascii="Times" w:eastAsiaTheme="minorEastAsia" w:hAnsi="Times" w:cs="Arial"/>
        </w:rPr>
        <w:t xml:space="preserve"> wolności i w związku z tym do wykonania została wdrożona kara ograniczenia wolności, którą zresztą skazany sam zaproponował w ramach procedury dobrowolnego poddania się karze mieszanej, na co uzyskał akceptację ze strony prokuratora).</w:t>
      </w:r>
    </w:p>
    <w:p w:rsidR="005C7C22" w:rsidRPr="005C7C22" w:rsidRDefault="005C7C22" w:rsidP="005C7C22">
      <w:pPr>
        <w:keepNext/>
        <w:spacing w:before="240"/>
        <w:jc w:val="both"/>
        <w:rPr>
          <w:b/>
          <w:szCs w:val="24"/>
        </w:rPr>
      </w:pPr>
      <w:r w:rsidRPr="005C7C22">
        <w:rPr>
          <w:b/>
          <w:szCs w:val="24"/>
        </w:rPr>
        <w:t>4. Konsultacje</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
          <w:szCs w:val="24"/>
        </w:rPr>
      </w:pPr>
      <w:r w:rsidRPr="005C7C22">
        <w:rPr>
          <w:rFonts w:ascii="Times" w:eastAsiaTheme="minorEastAsia" w:hAnsi="Times" w:cs="Arial"/>
        </w:rPr>
        <w:t>Nadesłane w ramach konsultacji opinie i uwagi są zamieszczone na senackiej stronie internetowej. Wyniki konsultacji przedstawiono w Ocenie Skutków Regulacji.</w:t>
      </w:r>
    </w:p>
    <w:p w:rsidR="005C7C22" w:rsidRPr="005C7C22" w:rsidRDefault="005C7C22" w:rsidP="005C7C22">
      <w:pPr>
        <w:keepNext/>
        <w:spacing w:before="240"/>
        <w:jc w:val="both"/>
        <w:rPr>
          <w:b/>
          <w:szCs w:val="24"/>
        </w:rPr>
      </w:pPr>
      <w:r w:rsidRPr="005C7C22">
        <w:rPr>
          <w:b/>
          <w:szCs w:val="24"/>
        </w:rPr>
        <w:t>5. Oświadczenie o zgodności z prawem Unii Europejskiej</w:t>
      </w:r>
    </w:p>
    <w:p w:rsidR="005C7C22" w:rsidRPr="005C7C22" w:rsidRDefault="005C7C22" w:rsidP="005C7C22">
      <w:pPr>
        <w:suppressAutoHyphens/>
        <w:autoSpaceDE w:val="0"/>
        <w:autoSpaceDN w:val="0"/>
        <w:adjustRightInd w:val="0"/>
        <w:spacing w:before="120"/>
        <w:ind w:firstLine="510"/>
        <w:jc w:val="both"/>
        <w:rPr>
          <w:rFonts w:ascii="Times" w:eastAsiaTheme="minorEastAsia" w:hAnsi="Times" w:cs="Arial"/>
          <w:bCs/>
        </w:rPr>
      </w:pPr>
      <w:r w:rsidRPr="005C7C22">
        <w:rPr>
          <w:rFonts w:ascii="Times" w:eastAsiaTheme="minorEastAsia" w:hAnsi="Times" w:cs="Arial"/>
          <w:bCs/>
        </w:rPr>
        <w:t>Zakres przedmiotowy projektowanej ustawy nie jest objęty prawem Unii Europejskiej.</w:t>
      </w:r>
    </w:p>
    <w:p w:rsidR="00940C7C" w:rsidRPr="00DF5DD7" w:rsidRDefault="00AE35AA" w:rsidP="00A254B4">
      <w:pPr>
        <w:pStyle w:val="NIEARTTEKSTtekstnieartykuowanynppreambua"/>
        <w:rPr>
          <w:rFonts w:ascii="Times New Roman" w:hAnsi="Times New Roman" w:cs="Times New Roman"/>
          <w:spacing w:val="-2"/>
        </w:rPr>
        <w:sectPr w:rsidR="00940C7C" w:rsidRPr="00DF5DD7" w:rsidSect="00DF5DD7">
          <w:headerReference w:type="default" r:id="rId8"/>
          <w:headerReference w:type="first" r:id="rId9"/>
          <w:footerReference w:type="first" r:id="rId10"/>
          <w:pgSz w:w="11906" w:h="16838"/>
          <w:pgMar w:top="1559" w:right="1435" w:bottom="1559" w:left="1418" w:header="624" w:footer="0" w:gutter="0"/>
          <w:pgNumType w:start="1"/>
          <w:cols w:space="708"/>
          <w:titlePg/>
          <w:docGrid w:linePitch="360"/>
        </w:sectPr>
      </w:pPr>
      <w:r w:rsidRPr="00DF5DD7">
        <w:rPr>
          <w:rFonts w:ascii="Times New Roman" w:hAnsi="Times New Roman" w:cs="Times New Roman"/>
          <w:spacing w:val="-2"/>
        </w:rPr>
        <w:t>.</w:t>
      </w:r>
    </w:p>
    <w:p w:rsidR="009A4937" w:rsidRDefault="009A4937" w:rsidP="009A4937">
      <w:pPr>
        <w:tabs>
          <w:tab w:val="center" w:pos="6237"/>
        </w:tabs>
        <w:spacing w:line="240" w:lineRule="auto"/>
        <w:ind w:right="-2"/>
        <w:jc w:val="both"/>
        <w:rPr>
          <w:b/>
        </w:rPr>
      </w:pPr>
      <w:bookmarkStart w:id="0" w:name="_GoBack"/>
      <w:bookmarkEnd w:id="0"/>
    </w:p>
    <w:sectPr w:rsidR="009A4937" w:rsidSect="00940C7C">
      <w:headerReference w:type="default" r:id="rId11"/>
      <w:pgSz w:w="11906" w:h="16838"/>
      <w:pgMar w:top="284" w:right="1418" w:bottom="568" w:left="1418" w:header="113"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DC0" w:rsidRDefault="000B3DC0" w:rsidP="009A4937">
      <w:pPr>
        <w:spacing w:line="240" w:lineRule="auto"/>
      </w:pPr>
      <w:r>
        <w:separator/>
      </w:r>
    </w:p>
  </w:endnote>
  <w:endnote w:type="continuationSeparator" w:id="0">
    <w:p w:rsidR="000B3DC0" w:rsidRDefault="000B3DC0" w:rsidP="009A49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E64" w:rsidRDefault="00910E6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DC0" w:rsidRDefault="000B3DC0" w:rsidP="009A4937">
      <w:pPr>
        <w:spacing w:line="240" w:lineRule="auto"/>
      </w:pPr>
      <w:r>
        <w:separator/>
      </w:r>
    </w:p>
  </w:footnote>
  <w:footnote w:type="continuationSeparator" w:id="0">
    <w:p w:rsidR="000B3DC0" w:rsidRDefault="000B3DC0" w:rsidP="009A493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C7C" w:rsidRPr="00940C7C" w:rsidRDefault="00940C7C" w:rsidP="00940C7C">
    <w:pPr>
      <w:widowControl w:val="0"/>
      <w:tabs>
        <w:tab w:val="center" w:pos="4536"/>
        <w:tab w:val="right" w:pos="9072"/>
      </w:tabs>
      <w:suppressAutoHyphens/>
      <w:jc w:val="center"/>
      <w:rPr>
        <w:rFonts w:ascii="Times" w:hAnsi="Times"/>
        <w:kern w:val="1"/>
        <w:szCs w:val="24"/>
        <w:lang w:eastAsia="ar-SA"/>
      </w:rPr>
    </w:pPr>
    <w:r w:rsidRPr="00940C7C">
      <w:rPr>
        <w:rFonts w:ascii="Times" w:hAnsi="Times"/>
        <w:kern w:val="1"/>
        <w:szCs w:val="24"/>
        <w:lang w:eastAsia="ar-SA"/>
      </w:rPr>
      <w:t xml:space="preserve">- </w:t>
    </w:r>
    <w:r w:rsidRPr="00940C7C">
      <w:rPr>
        <w:rFonts w:ascii="Times" w:hAnsi="Times"/>
        <w:kern w:val="1"/>
        <w:szCs w:val="24"/>
        <w:lang w:eastAsia="ar-SA"/>
      </w:rPr>
      <w:fldChar w:fldCharType="begin"/>
    </w:r>
    <w:r w:rsidRPr="00940C7C">
      <w:rPr>
        <w:rFonts w:ascii="Times" w:hAnsi="Times"/>
        <w:kern w:val="1"/>
        <w:szCs w:val="24"/>
        <w:lang w:eastAsia="ar-SA"/>
      </w:rPr>
      <w:instrText xml:space="preserve"> PAGE  \* MERGEFORMAT </w:instrText>
    </w:r>
    <w:r w:rsidRPr="00940C7C">
      <w:rPr>
        <w:rFonts w:ascii="Times" w:hAnsi="Times"/>
        <w:kern w:val="1"/>
        <w:szCs w:val="24"/>
        <w:lang w:eastAsia="ar-SA"/>
      </w:rPr>
      <w:fldChar w:fldCharType="separate"/>
    </w:r>
    <w:r w:rsidR="00A67194">
      <w:rPr>
        <w:rFonts w:ascii="Times" w:hAnsi="Times"/>
        <w:noProof/>
        <w:kern w:val="1"/>
        <w:szCs w:val="24"/>
        <w:lang w:eastAsia="ar-SA"/>
      </w:rPr>
      <w:t>3</w:t>
    </w:r>
    <w:r w:rsidRPr="00940C7C">
      <w:rPr>
        <w:rFonts w:ascii="Times" w:hAnsi="Times"/>
        <w:noProof/>
        <w:kern w:val="1"/>
        <w:szCs w:val="24"/>
        <w:lang w:eastAsia="ar-SA"/>
      </w:rPr>
      <w:fldChar w:fldCharType="end"/>
    </w:r>
    <w:r w:rsidRPr="00940C7C">
      <w:rPr>
        <w:rFonts w:ascii="Times" w:hAnsi="Times"/>
        <w:kern w:val="1"/>
        <w:szCs w:val="24"/>
        <w:lang w:eastAsia="ar-SA"/>
      </w:rPr>
      <w:t xml:space="preserve"> -</w:t>
    </w:r>
  </w:p>
  <w:p w:rsidR="00910E64" w:rsidRPr="00940C7C" w:rsidRDefault="00910E64" w:rsidP="00940C7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E64" w:rsidRDefault="00910E64">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0C7C" w:rsidRPr="00940C7C" w:rsidRDefault="00940C7C" w:rsidP="00940C7C">
    <w:pPr>
      <w:widowControl w:val="0"/>
      <w:tabs>
        <w:tab w:val="center" w:pos="4536"/>
        <w:tab w:val="right" w:pos="9072"/>
      </w:tabs>
      <w:suppressAutoHyphens/>
      <w:jc w:val="center"/>
      <w:rPr>
        <w:rFonts w:ascii="Times" w:hAnsi="Times"/>
        <w:kern w:val="1"/>
        <w:szCs w:val="24"/>
        <w:lang w:eastAsia="ar-SA"/>
      </w:rPr>
    </w:pPr>
  </w:p>
  <w:p w:rsidR="00940C7C" w:rsidRPr="00940C7C" w:rsidRDefault="00940C7C" w:rsidP="00940C7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F622CE"/>
    <w:multiLevelType w:val="hybridMultilevel"/>
    <w:tmpl w:val="FAE2342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62111DC"/>
    <w:multiLevelType w:val="singleLevel"/>
    <w:tmpl w:val="9D2C0646"/>
    <w:lvl w:ilvl="0">
      <w:start w:val="1"/>
      <w:numFmt w:val="bullet"/>
      <w:pStyle w:val="tiret"/>
      <w:lvlText w:val="-"/>
      <w:lvlJc w:val="left"/>
      <w:pPr>
        <w:tabs>
          <w:tab w:val="num" w:pos="1211"/>
        </w:tabs>
        <w:ind w:left="1211" w:hanging="360"/>
      </w:pPr>
      <w:rPr>
        <w:rFonts w:hint="default"/>
      </w:rPr>
    </w:lvl>
  </w:abstractNum>
  <w:abstractNum w:abstractNumId="2" w15:restartNumberingAfterBreak="0">
    <w:nsid w:val="1D3C3206"/>
    <w:multiLevelType w:val="hybridMultilevel"/>
    <w:tmpl w:val="7C9A888A"/>
    <w:lvl w:ilvl="0" w:tplc="04150001">
      <w:start w:val="1"/>
      <w:numFmt w:val="bullet"/>
      <w:lvlText w:val=""/>
      <w:lvlJc w:val="left"/>
      <w:pPr>
        <w:ind w:left="675" w:hanging="360"/>
      </w:pPr>
      <w:rPr>
        <w:rFonts w:ascii="Symbol" w:hAnsi="Symbol" w:hint="default"/>
      </w:rPr>
    </w:lvl>
    <w:lvl w:ilvl="1" w:tplc="04150003" w:tentative="1">
      <w:start w:val="1"/>
      <w:numFmt w:val="bullet"/>
      <w:lvlText w:val="o"/>
      <w:lvlJc w:val="left"/>
      <w:pPr>
        <w:ind w:left="1395" w:hanging="360"/>
      </w:pPr>
      <w:rPr>
        <w:rFonts w:ascii="Courier New" w:hAnsi="Courier New" w:cs="Courier New" w:hint="default"/>
      </w:rPr>
    </w:lvl>
    <w:lvl w:ilvl="2" w:tplc="04150005" w:tentative="1">
      <w:start w:val="1"/>
      <w:numFmt w:val="bullet"/>
      <w:lvlText w:val=""/>
      <w:lvlJc w:val="left"/>
      <w:pPr>
        <w:ind w:left="2115" w:hanging="360"/>
      </w:pPr>
      <w:rPr>
        <w:rFonts w:ascii="Wingdings" w:hAnsi="Wingdings" w:hint="default"/>
      </w:rPr>
    </w:lvl>
    <w:lvl w:ilvl="3" w:tplc="04150001" w:tentative="1">
      <w:start w:val="1"/>
      <w:numFmt w:val="bullet"/>
      <w:lvlText w:val=""/>
      <w:lvlJc w:val="left"/>
      <w:pPr>
        <w:ind w:left="2835" w:hanging="360"/>
      </w:pPr>
      <w:rPr>
        <w:rFonts w:ascii="Symbol" w:hAnsi="Symbol" w:hint="default"/>
      </w:rPr>
    </w:lvl>
    <w:lvl w:ilvl="4" w:tplc="04150003" w:tentative="1">
      <w:start w:val="1"/>
      <w:numFmt w:val="bullet"/>
      <w:lvlText w:val="o"/>
      <w:lvlJc w:val="left"/>
      <w:pPr>
        <w:ind w:left="3555" w:hanging="360"/>
      </w:pPr>
      <w:rPr>
        <w:rFonts w:ascii="Courier New" w:hAnsi="Courier New" w:cs="Courier New" w:hint="default"/>
      </w:rPr>
    </w:lvl>
    <w:lvl w:ilvl="5" w:tplc="04150005" w:tentative="1">
      <w:start w:val="1"/>
      <w:numFmt w:val="bullet"/>
      <w:lvlText w:val=""/>
      <w:lvlJc w:val="left"/>
      <w:pPr>
        <w:ind w:left="4275" w:hanging="360"/>
      </w:pPr>
      <w:rPr>
        <w:rFonts w:ascii="Wingdings" w:hAnsi="Wingdings" w:hint="default"/>
      </w:rPr>
    </w:lvl>
    <w:lvl w:ilvl="6" w:tplc="04150001" w:tentative="1">
      <w:start w:val="1"/>
      <w:numFmt w:val="bullet"/>
      <w:lvlText w:val=""/>
      <w:lvlJc w:val="left"/>
      <w:pPr>
        <w:ind w:left="4995" w:hanging="360"/>
      </w:pPr>
      <w:rPr>
        <w:rFonts w:ascii="Symbol" w:hAnsi="Symbol" w:hint="default"/>
      </w:rPr>
    </w:lvl>
    <w:lvl w:ilvl="7" w:tplc="04150003" w:tentative="1">
      <w:start w:val="1"/>
      <w:numFmt w:val="bullet"/>
      <w:lvlText w:val="o"/>
      <w:lvlJc w:val="left"/>
      <w:pPr>
        <w:ind w:left="5715" w:hanging="360"/>
      </w:pPr>
      <w:rPr>
        <w:rFonts w:ascii="Courier New" w:hAnsi="Courier New" w:cs="Courier New" w:hint="default"/>
      </w:rPr>
    </w:lvl>
    <w:lvl w:ilvl="8" w:tplc="04150005" w:tentative="1">
      <w:start w:val="1"/>
      <w:numFmt w:val="bullet"/>
      <w:lvlText w:val=""/>
      <w:lvlJc w:val="left"/>
      <w:pPr>
        <w:ind w:left="6435" w:hanging="360"/>
      </w:pPr>
      <w:rPr>
        <w:rFonts w:ascii="Wingdings" w:hAnsi="Wingdings" w:hint="default"/>
      </w:rPr>
    </w:lvl>
  </w:abstractNum>
  <w:abstractNum w:abstractNumId="3" w15:restartNumberingAfterBreak="0">
    <w:nsid w:val="1E32230F"/>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8D32FB"/>
    <w:multiLevelType w:val="hybridMultilevel"/>
    <w:tmpl w:val="E9B6A3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1684525"/>
    <w:multiLevelType w:val="singleLevel"/>
    <w:tmpl w:val="6792BDB4"/>
    <w:lvl w:ilvl="0">
      <w:start w:val="1"/>
      <w:numFmt w:val="decimal"/>
      <w:lvlText w:val="%1)"/>
      <w:lvlJc w:val="left"/>
      <w:pPr>
        <w:tabs>
          <w:tab w:val="num" w:pos="397"/>
        </w:tabs>
        <w:ind w:left="397" w:hanging="397"/>
      </w:pPr>
    </w:lvl>
  </w:abstractNum>
  <w:abstractNum w:abstractNumId="6" w15:restartNumberingAfterBreak="0">
    <w:nsid w:val="239C4525"/>
    <w:multiLevelType w:val="hybridMultilevel"/>
    <w:tmpl w:val="F7DA2FF0"/>
    <w:lvl w:ilvl="0" w:tplc="04150001">
      <w:start w:val="1"/>
      <w:numFmt w:val="bullet"/>
      <w:lvlText w:val=""/>
      <w:lvlJc w:val="left"/>
      <w:pPr>
        <w:ind w:left="1061" w:hanging="360"/>
      </w:pPr>
      <w:rPr>
        <w:rFonts w:ascii="Symbol" w:hAnsi="Symbol" w:hint="default"/>
      </w:rPr>
    </w:lvl>
    <w:lvl w:ilvl="1" w:tplc="04150003" w:tentative="1">
      <w:start w:val="1"/>
      <w:numFmt w:val="bullet"/>
      <w:lvlText w:val="o"/>
      <w:lvlJc w:val="left"/>
      <w:pPr>
        <w:ind w:left="1781" w:hanging="360"/>
      </w:pPr>
      <w:rPr>
        <w:rFonts w:ascii="Courier New" w:hAnsi="Courier New" w:cs="Courier New" w:hint="default"/>
      </w:rPr>
    </w:lvl>
    <w:lvl w:ilvl="2" w:tplc="04150005" w:tentative="1">
      <w:start w:val="1"/>
      <w:numFmt w:val="bullet"/>
      <w:lvlText w:val=""/>
      <w:lvlJc w:val="left"/>
      <w:pPr>
        <w:ind w:left="2501" w:hanging="360"/>
      </w:pPr>
      <w:rPr>
        <w:rFonts w:ascii="Wingdings" w:hAnsi="Wingdings" w:hint="default"/>
      </w:rPr>
    </w:lvl>
    <w:lvl w:ilvl="3" w:tplc="04150001" w:tentative="1">
      <w:start w:val="1"/>
      <w:numFmt w:val="bullet"/>
      <w:lvlText w:val=""/>
      <w:lvlJc w:val="left"/>
      <w:pPr>
        <w:ind w:left="3221" w:hanging="360"/>
      </w:pPr>
      <w:rPr>
        <w:rFonts w:ascii="Symbol" w:hAnsi="Symbol" w:hint="default"/>
      </w:rPr>
    </w:lvl>
    <w:lvl w:ilvl="4" w:tplc="04150003" w:tentative="1">
      <w:start w:val="1"/>
      <w:numFmt w:val="bullet"/>
      <w:lvlText w:val="o"/>
      <w:lvlJc w:val="left"/>
      <w:pPr>
        <w:ind w:left="3941" w:hanging="360"/>
      </w:pPr>
      <w:rPr>
        <w:rFonts w:ascii="Courier New" w:hAnsi="Courier New" w:cs="Courier New" w:hint="default"/>
      </w:rPr>
    </w:lvl>
    <w:lvl w:ilvl="5" w:tplc="04150005" w:tentative="1">
      <w:start w:val="1"/>
      <w:numFmt w:val="bullet"/>
      <w:lvlText w:val=""/>
      <w:lvlJc w:val="left"/>
      <w:pPr>
        <w:ind w:left="4661" w:hanging="360"/>
      </w:pPr>
      <w:rPr>
        <w:rFonts w:ascii="Wingdings" w:hAnsi="Wingdings" w:hint="default"/>
      </w:rPr>
    </w:lvl>
    <w:lvl w:ilvl="6" w:tplc="04150001" w:tentative="1">
      <w:start w:val="1"/>
      <w:numFmt w:val="bullet"/>
      <w:lvlText w:val=""/>
      <w:lvlJc w:val="left"/>
      <w:pPr>
        <w:ind w:left="5381" w:hanging="360"/>
      </w:pPr>
      <w:rPr>
        <w:rFonts w:ascii="Symbol" w:hAnsi="Symbol" w:hint="default"/>
      </w:rPr>
    </w:lvl>
    <w:lvl w:ilvl="7" w:tplc="04150003" w:tentative="1">
      <w:start w:val="1"/>
      <w:numFmt w:val="bullet"/>
      <w:lvlText w:val="o"/>
      <w:lvlJc w:val="left"/>
      <w:pPr>
        <w:ind w:left="6101" w:hanging="360"/>
      </w:pPr>
      <w:rPr>
        <w:rFonts w:ascii="Courier New" w:hAnsi="Courier New" w:cs="Courier New" w:hint="default"/>
      </w:rPr>
    </w:lvl>
    <w:lvl w:ilvl="8" w:tplc="04150005" w:tentative="1">
      <w:start w:val="1"/>
      <w:numFmt w:val="bullet"/>
      <w:lvlText w:val=""/>
      <w:lvlJc w:val="left"/>
      <w:pPr>
        <w:ind w:left="6821" w:hanging="360"/>
      </w:pPr>
      <w:rPr>
        <w:rFonts w:ascii="Wingdings" w:hAnsi="Wingdings" w:hint="default"/>
      </w:rPr>
    </w:lvl>
  </w:abstractNum>
  <w:abstractNum w:abstractNumId="7" w15:restartNumberingAfterBreak="0">
    <w:nsid w:val="27471732"/>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01C61B4"/>
    <w:multiLevelType w:val="singleLevel"/>
    <w:tmpl w:val="1ECCD4F4"/>
    <w:lvl w:ilvl="0">
      <w:start w:val="1"/>
      <w:numFmt w:val="decimal"/>
      <w:lvlText w:val="%1)"/>
      <w:lvlJc w:val="left"/>
      <w:pPr>
        <w:tabs>
          <w:tab w:val="num" w:pos="397"/>
        </w:tabs>
        <w:ind w:left="397" w:hanging="397"/>
      </w:pPr>
    </w:lvl>
  </w:abstractNum>
  <w:abstractNum w:abstractNumId="9" w15:restartNumberingAfterBreak="0">
    <w:nsid w:val="308D4468"/>
    <w:multiLevelType w:val="hybridMultilevel"/>
    <w:tmpl w:val="D4100F8A"/>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4E73566"/>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96F270E"/>
    <w:multiLevelType w:val="hybridMultilevel"/>
    <w:tmpl w:val="A77CB55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9B931C1"/>
    <w:multiLevelType w:val="hybridMultilevel"/>
    <w:tmpl w:val="54AEF948"/>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B94068"/>
    <w:multiLevelType w:val="hybridMultilevel"/>
    <w:tmpl w:val="42EE01C6"/>
    <w:lvl w:ilvl="0" w:tplc="31781DEC">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F016C30"/>
    <w:multiLevelType w:val="hybridMultilevel"/>
    <w:tmpl w:val="9CE0B724"/>
    <w:lvl w:ilvl="0" w:tplc="31781DEC">
      <w:start w:val="1"/>
      <w:numFmt w:val="decimal"/>
      <w:lvlText w:val="%1."/>
      <w:lvlJc w:val="left"/>
      <w:pPr>
        <w:ind w:left="720" w:hanging="360"/>
      </w:pPr>
      <w:rPr>
        <w:rFonts w:ascii="Times New Roman" w:eastAsia="Times New Roman" w:hAnsi="Times New Roman" w:cs="Times New Roman"/>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3A757D5"/>
    <w:multiLevelType w:val="singleLevel"/>
    <w:tmpl w:val="92B6EFF2"/>
    <w:lvl w:ilvl="0">
      <w:start w:val="1"/>
      <w:numFmt w:val="lowerLetter"/>
      <w:lvlText w:val="%1)"/>
      <w:lvlJc w:val="left"/>
      <w:pPr>
        <w:tabs>
          <w:tab w:val="num" w:pos="786"/>
        </w:tabs>
        <w:ind w:left="786" w:hanging="360"/>
      </w:pPr>
      <w:rPr>
        <w:rFonts w:hint="default"/>
      </w:rPr>
    </w:lvl>
  </w:abstractNum>
  <w:abstractNum w:abstractNumId="17" w15:restartNumberingAfterBreak="0">
    <w:nsid w:val="74663D3D"/>
    <w:multiLevelType w:val="hybridMultilevel"/>
    <w:tmpl w:val="3036FE8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6600E1C"/>
    <w:multiLevelType w:val="singleLevel"/>
    <w:tmpl w:val="917A9C24"/>
    <w:lvl w:ilvl="0">
      <w:start w:val="1"/>
      <w:numFmt w:val="decimal"/>
      <w:lvlText w:val="%1)"/>
      <w:lvlJc w:val="left"/>
      <w:pPr>
        <w:tabs>
          <w:tab w:val="num" w:pos="360"/>
        </w:tabs>
        <w:ind w:left="360" w:hanging="360"/>
      </w:pPr>
      <w:rPr>
        <w:rFonts w:hint="default"/>
      </w:rPr>
    </w:lvl>
  </w:abstractNum>
  <w:abstractNum w:abstractNumId="19" w15:restartNumberingAfterBreak="0">
    <w:nsid w:val="782E5354"/>
    <w:multiLevelType w:val="hybridMultilevel"/>
    <w:tmpl w:val="0094A6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A4F00D7"/>
    <w:multiLevelType w:val="hybridMultilevel"/>
    <w:tmpl w:val="D54EA1CA"/>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ED46462"/>
    <w:multiLevelType w:val="hybridMultilevel"/>
    <w:tmpl w:val="0D2A66B0"/>
    <w:lvl w:ilvl="0" w:tplc="F1A035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8"/>
  </w:num>
  <w:num w:numId="3">
    <w:abstractNumId w:val="5"/>
  </w:num>
  <w:num w:numId="4">
    <w:abstractNumId w:val="5"/>
  </w:num>
  <w:num w:numId="5">
    <w:abstractNumId w:val="18"/>
  </w:num>
  <w:num w:numId="6">
    <w:abstractNumId w:val="16"/>
  </w:num>
  <w:num w:numId="7">
    <w:abstractNumId w:val="18"/>
  </w:num>
  <w:num w:numId="8">
    <w:abstractNumId w:val="16"/>
  </w:num>
  <w:num w:numId="9">
    <w:abstractNumId w:val="18"/>
  </w:num>
  <w:num w:numId="10">
    <w:abstractNumId w:val="16"/>
  </w:num>
  <w:num w:numId="11">
    <w:abstractNumId w:val="1"/>
  </w:num>
  <w:num w:numId="12">
    <w:abstractNumId w:val="11"/>
  </w:num>
  <w:num w:numId="13">
    <w:abstractNumId w:val="9"/>
  </w:num>
  <w:num w:numId="14">
    <w:abstractNumId w:val="3"/>
  </w:num>
  <w:num w:numId="15">
    <w:abstractNumId w:val="17"/>
  </w:num>
  <w:num w:numId="16">
    <w:abstractNumId w:val="13"/>
  </w:num>
  <w:num w:numId="17">
    <w:abstractNumId w:val="21"/>
  </w:num>
  <w:num w:numId="18">
    <w:abstractNumId w:val="15"/>
  </w:num>
  <w:num w:numId="19">
    <w:abstractNumId w:val="14"/>
  </w:num>
  <w:num w:numId="20">
    <w:abstractNumId w:val="0"/>
  </w:num>
  <w:num w:numId="21">
    <w:abstractNumId w:val="10"/>
  </w:num>
  <w:num w:numId="22">
    <w:abstractNumId w:val="6"/>
  </w:num>
  <w:num w:numId="23">
    <w:abstractNumId w:val="7"/>
  </w:num>
  <w:num w:numId="24">
    <w:abstractNumId w:val="4"/>
  </w:num>
  <w:num w:numId="25">
    <w:abstractNumId w:val="20"/>
  </w:num>
  <w:num w:numId="26">
    <w:abstractNumId w:val="19"/>
  </w:num>
  <w:num w:numId="27">
    <w:abstractNumId w:val="2"/>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937"/>
    <w:rsid w:val="0001613E"/>
    <w:rsid w:val="000A5CE8"/>
    <w:rsid w:val="000B3DC0"/>
    <w:rsid w:val="00112B9F"/>
    <w:rsid w:val="0018049A"/>
    <w:rsid w:val="001A4397"/>
    <w:rsid w:val="002105F5"/>
    <w:rsid w:val="002942C0"/>
    <w:rsid w:val="002B0A43"/>
    <w:rsid w:val="00382AAC"/>
    <w:rsid w:val="003B7FBE"/>
    <w:rsid w:val="00474670"/>
    <w:rsid w:val="00474D5B"/>
    <w:rsid w:val="004F1121"/>
    <w:rsid w:val="00513C0A"/>
    <w:rsid w:val="00527E52"/>
    <w:rsid w:val="0056045F"/>
    <w:rsid w:val="005C7C22"/>
    <w:rsid w:val="00695AD3"/>
    <w:rsid w:val="006E58F9"/>
    <w:rsid w:val="006E73F1"/>
    <w:rsid w:val="006F026C"/>
    <w:rsid w:val="00735880"/>
    <w:rsid w:val="00777F90"/>
    <w:rsid w:val="00797396"/>
    <w:rsid w:val="008247EB"/>
    <w:rsid w:val="00874611"/>
    <w:rsid w:val="008758BB"/>
    <w:rsid w:val="008C7EE7"/>
    <w:rsid w:val="008D0E10"/>
    <w:rsid w:val="00910E64"/>
    <w:rsid w:val="00920C57"/>
    <w:rsid w:val="00940C7C"/>
    <w:rsid w:val="009A4937"/>
    <w:rsid w:val="009D2757"/>
    <w:rsid w:val="009D31AE"/>
    <w:rsid w:val="00A06AF3"/>
    <w:rsid w:val="00A67194"/>
    <w:rsid w:val="00AE35AA"/>
    <w:rsid w:val="00AF364E"/>
    <w:rsid w:val="00B5303C"/>
    <w:rsid w:val="00C43A19"/>
    <w:rsid w:val="00D37E95"/>
    <w:rsid w:val="00D829F5"/>
    <w:rsid w:val="00DF5DD7"/>
    <w:rsid w:val="00E15D93"/>
    <w:rsid w:val="00FC13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C96DEA1-C51D-4B67-9E06-D9FADFDD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35880"/>
    <w:pPr>
      <w:spacing w:line="360" w:lineRule="auto"/>
    </w:pPr>
    <w:rPr>
      <w:sz w:val="24"/>
    </w:rPr>
  </w:style>
  <w:style w:type="paragraph" w:styleId="Nagwek1">
    <w:name w:val="heading 1"/>
    <w:basedOn w:val="Normalny"/>
    <w:next w:val="Normalny"/>
    <w:link w:val="Nagwek1Znak"/>
    <w:qFormat/>
    <w:rsid w:val="00D37E95"/>
    <w:pPr>
      <w:keepNext/>
      <w:spacing w:before="240" w:after="60" w:line="240" w:lineRule="auto"/>
      <w:outlineLvl w:val="0"/>
    </w:pPr>
    <w:rPr>
      <w:rFonts w:ascii="Arial" w:hAnsi="Arial" w:cs="Arial"/>
      <w:b/>
      <w:bCs/>
      <w:kern w:val="32"/>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rsid w:val="00735880"/>
    <w:pPr>
      <w:spacing w:after="600"/>
      <w:ind w:left="5245"/>
    </w:pPr>
  </w:style>
  <w:style w:type="paragraph" w:customStyle="1" w:styleId="Podpis-A7">
    <w:name w:val="Podpis-A7"/>
    <w:basedOn w:val="Normalny"/>
    <w:rsid w:val="00735880"/>
    <w:pPr>
      <w:tabs>
        <w:tab w:val="center" w:pos="1701"/>
        <w:tab w:val="center" w:pos="6237"/>
      </w:tabs>
    </w:pPr>
  </w:style>
  <w:style w:type="paragraph" w:customStyle="1" w:styleId="pkt">
    <w:name w:val="pkt"/>
    <w:basedOn w:val="Normalny"/>
    <w:rsid w:val="00735880"/>
    <w:pPr>
      <w:ind w:left="357" w:hanging="357"/>
      <w:jc w:val="both"/>
    </w:pPr>
  </w:style>
  <w:style w:type="paragraph" w:customStyle="1" w:styleId="ppkt">
    <w:name w:val="ppkt"/>
    <w:basedOn w:val="Normalny"/>
    <w:rsid w:val="00735880"/>
    <w:pPr>
      <w:ind w:left="782" w:hanging="425"/>
      <w:jc w:val="both"/>
    </w:pPr>
  </w:style>
  <w:style w:type="paragraph" w:customStyle="1" w:styleId="akapit">
    <w:name w:val="akapit"/>
    <w:basedOn w:val="Normalny"/>
    <w:uiPriority w:val="99"/>
    <w:rsid w:val="00735880"/>
    <w:pPr>
      <w:ind w:firstLine="851"/>
      <w:jc w:val="both"/>
    </w:pPr>
  </w:style>
  <w:style w:type="paragraph" w:customStyle="1" w:styleId="art">
    <w:name w:val="art"/>
    <w:basedOn w:val="Normalny"/>
    <w:rsid w:val="00735880"/>
    <w:pPr>
      <w:tabs>
        <w:tab w:val="left" w:pos="1276"/>
      </w:tabs>
      <w:ind w:left="1276" w:hanging="992"/>
    </w:pPr>
  </w:style>
  <w:style w:type="paragraph" w:customStyle="1" w:styleId="tiret">
    <w:name w:val="tiret"/>
    <w:basedOn w:val="akapit"/>
    <w:rsid w:val="00735880"/>
    <w:pPr>
      <w:numPr>
        <w:numId w:val="11"/>
      </w:numPr>
    </w:pPr>
  </w:style>
  <w:style w:type="paragraph" w:customStyle="1" w:styleId="Senatorowie">
    <w:name w:val="Senatorowie"/>
    <w:basedOn w:val="Normalny"/>
    <w:rsid w:val="00735880"/>
  </w:style>
  <w:style w:type="paragraph" w:styleId="Nagwek">
    <w:name w:val="header"/>
    <w:basedOn w:val="Normalny"/>
    <w:link w:val="NagwekZnak"/>
    <w:uiPriority w:val="99"/>
    <w:unhideWhenUsed/>
    <w:rsid w:val="009A4937"/>
    <w:pPr>
      <w:tabs>
        <w:tab w:val="center" w:pos="4536"/>
        <w:tab w:val="right" w:pos="9072"/>
      </w:tabs>
      <w:spacing w:line="240" w:lineRule="auto"/>
    </w:pPr>
  </w:style>
  <w:style w:type="character" w:customStyle="1" w:styleId="NagwekZnak">
    <w:name w:val="Nagłówek Znak"/>
    <w:basedOn w:val="Domylnaczcionkaakapitu"/>
    <w:link w:val="Nagwek"/>
    <w:uiPriority w:val="99"/>
    <w:rsid w:val="009A4937"/>
    <w:rPr>
      <w:sz w:val="24"/>
    </w:rPr>
  </w:style>
  <w:style w:type="character" w:styleId="Odwoanieprzypisudolnego">
    <w:name w:val="footnote reference"/>
    <w:uiPriority w:val="99"/>
    <w:semiHidden/>
    <w:rsid w:val="009A4937"/>
    <w:rPr>
      <w:rFonts w:cs="Times New Roman"/>
      <w:vertAlign w:val="superscript"/>
    </w:rPr>
  </w:style>
  <w:style w:type="paragraph" w:customStyle="1" w:styleId="ODNONIKtreodnonika">
    <w:name w:val="ODNOŚNIK – treść odnośnika"/>
    <w:uiPriority w:val="19"/>
    <w:qFormat/>
    <w:rsid w:val="009A4937"/>
    <w:pPr>
      <w:ind w:left="284" w:hanging="284"/>
      <w:jc w:val="both"/>
    </w:pPr>
    <w:rPr>
      <w:rFonts w:eastAsiaTheme="minorEastAsia" w:cs="Arial"/>
    </w:rPr>
  </w:style>
  <w:style w:type="character" w:customStyle="1" w:styleId="IGindeksgrny">
    <w:name w:val="_IG_ – indeks górny"/>
    <w:basedOn w:val="Domylnaczcionkaakapitu"/>
    <w:uiPriority w:val="2"/>
    <w:qFormat/>
    <w:rsid w:val="009A4937"/>
    <w:rPr>
      <w:b w:val="0"/>
      <w:i w:val="0"/>
      <w:vanish w:val="0"/>
      <w:spacing w:val="0"/>
      <w:vertAlign w:val="superscript"/>
    </w:rPr>
  </w:style>
  <w:style w:type="paragraph" w:styleId="Stopka">
    <w:name w:val="footer"/>
    <w:basedOn w:val="Normalny"/>
    <w:link w:val="StopkaZnak"/>
    <w:uiPriority w:val="99"/>
    <w:unhideWhenUsed/>
    <w:rsid w:val="009A4937"/>
    <w:pPr>
      <w:tabs>
        <w:tab w:val="center" w:pos="4536"/>
        <w:tab w:val="right" w:pos="9072"/>
      </w:tabs>
      <w:spacing w:line="240" w:lineRule="auto"/>
    </w:pPr>
  </w:style>
  <w:style w:type="character" w:customStyle="1" w:styleId="StopkaZnak">
    <w:name w:val="Stopka Znak"/>
    <w:basedOn w:val="Domylnaczcionkaakapitu"/>
    <w:link w:val="Stopka"/>
    <w:uiPriority w:val="99"/>
    <w:rsid w:val="009A4937"/>
    <w:rPr>
      <w:sz w:val="24"/>
    </w:rPr>
  </w:style>
  <w:style w:type="character" w:customStyle="1" w:styleId="Nagwek1Znak">
    <w:name w:val="Nagłówek 1 Znak"/>
    <w:basedOn w:val="Domylnaczcionkaakapitu"/>
    <w:link w:val="Nagwek1"/>
    <w:rsid w:val="00D37E95"/>
    <w:rPr>
      <w:rFonts w:ascii="Arial" w:hAnsi="Arial" w:cs="Arial"/>
      <w:b/>
      <w:bCs/>
      <w:kern w:val="32"/>
      <w:sz w:val="32"/>
      <w:szCs w:val="32"/>
    </w:rPr>
  </w:style>
  <w:style w:type="paragraph" w:customStyle="1" w:styleId="NIEARTTEKSTtekstnieartykuowanynppodstprawnarozplubpreambua">
    <w:name w:val="NIEART_TEKST – tekst nieartykułowany (np. podst. prawna rozp. lub preambuła)"/>
    <w:basedOn w:val="Normalny"/>
    <w:next w:val="Normalny"/>
    <w:uiPriority w:val="7"/>
    <w:qFormat/>
    <w:rsid w:val="00D37E95"/>
    <w:pPr>
      <w:suppressAutoHyphens/>
      <w:autoSpaceDE w:val="0"/>
      <w:autoSpaceDN w:val="0"/>
      <w:adjustRightInd w:val="0"/>
      <w:spacing w:before="120"/>
      <w:ind w:firstLine="510"/>
      <w:jc w:val="both"/>
    </w:pPr>
    <w:rPr>
      <w:rFonts w:ascii="Times" w:hAnsi="Times" w:cs="Arial"/>
      <w:bCs/>
    </w:rPr>
  </w:style>
  <w:style w:type="paragraph" w:styleId="Tekstdymka">
    <w:name w:val="Balloon Text"/>
    <w:basedOn w:val="Normalny"/>
    <w:link w:val="TekstdymkaZnak"/>
    <w:uiPriority w:val="99"/>
    <w:semiHidden/>
    <w:unhideWhenUsed/>
    <w:rsid w:val="00D37E95"/>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37E95"/>
    <w:rPr>
      <w:rFonts w:ascii="Tahoma" w:hAnsi="Tahoma" w:cs="Tahoma"/>
      <w:sz w:val="16"/>
      <w:szCs w:val="16"/>
    </w:rPr>
  </w:style>
  <w:style w:type="paragraph" w:customStyle="1" w:styleId="ARTartustawynprozporzdzenia">
    <w:name w:val="ART(§) – art. ustawy (§ np. rozporządzenia)"/>
    <w:link w:val="ARTartustawynprozporzdzeniaZnak"/>
    <w:uiPriority w:val="11"/>
    <w:qFormat/>
    <w:rsid w:val="0018049A"/>
    <w:pPr>
      <w:suppressAutoHyphens/>
      <w:autoSpaceDE w:val="0"/>
      <w:autoSpaceDN w:val="0"/>
      <w:adjustRightInd w:val="0"/>
      <w:spacing w:before="120" w:line="360" w:lineRule="auto"/>
      <w:ind w:firstLine="510"/>
      <w:jc w:val="both"/>
    </w:pPr>
    <w:rPr>
      <w:rFonts w:ascii="Times" w:eastAsiaTheme="minorEastAsia" w:hAnsi="Times" w:cs="Arial"/>
      <w:sz w:val="24"/>
    </w:rPr>
  </w:style>
  <w:style w:type="paragraph" w:customStyle="1" w:styleId="DATAAKTUdatauchwalenialubwydaniaaktu">
    <w:name w:val="DATA_AKTU – data uchwalenia lub wydania aktu"/>
    <w:next w:val="TYTUAKTUprzedmiotregulacjiustawylubrozporzdzenia"/>
    <w:uiPriority w:val="6"/>
    <w:qFormat/>
    <w:rsid w:val="0018049A"/>
    <w:pPr>
      <w:keepNext/>
      <w:suppressAutoHyphens/>
      <w:spacing w:before="120" w:after="120" w:line="360" w:lineRule="auto"/>
      <w:jc w:val="center"/>
    </w:pPr>
    <w:rPr>
      <w:rFonts w:ascii="Times" w:eastAsiaTheme="minorEastAsia" w:hAnsi="Time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18049A"/>
    <w:pPr>
      <w:keepNext/>
      <w:suppressAutoHyphens/>
      <w:spacing w:before="120" w:after="360" w:line="360" w:lineRule="auto"/>
      <w:jc w:val="center"/>
    </w:pPr>
    <w:rPr>
      <w:rFonts w:ascii="Times" w:eastAsiaTheme="minorEastAsia" w:hAnsi="Times" w:cs="Arial"/>
      <w:b/>
      <w:bCs/>
      <w:sz w:val="24"/>
      <w:szCs w:val="24"/>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18049A"/>
    <w:pPr>
      <w:keepNext/>
      <w:suppressAutoHyphens/>
      <w:spacing w:after="120" w:line="360" w:lineRule="auto"/>
      <w:jc w:val="center"/>
    </w:pPr>
    <w:rPr>
      <w:rFonts w:ascii="Times" w:hAnsi="Times"/>
      <w:b/>
      <w:bCs/>
      <w:caps/>
      <w:spacing w:val="54"/>
      <w:kern w:val="24"/>
      <w:sz w:val="24"/>
      <w:szCs w:val="24"/>
    </w:rPr>
  </w:style>
  <w:style w:type="paragraph" w:customStyle="1" w:styleId="USTustnpkodeksu">
    <w:name w:val="UST(§) – ust. (§ np. kodeksu)"/>
    <w:basedOn w:val="ARTartustawynprozporzdzenia"/>
    <w:uiPriority w:val="12"/>
    <w:qFormat/>
    <w:rsid w:val="0018049A"/>
    <w:pPr>
      <w:spacing w:before="0"/>
    </w:pPr>
    <w:rPr>
      <w:bCs/>
    </w:rPr>
  </w:style>
  <w:style w:type="paragraph" w:customStyle="1" w:styleId="ZUSTzmustartykuempunktem">
    <w:name w:val="Z/UST(§) – zm. ust. (§) artykułem (punktem)"/>
    <w:basedOn w:val="Normalny"/>
    <w:uiPriority w:val="30"/>
    <w:qFormat/>
    <w:rsid w:val="0018049A"/>
    <w:pPr>
      <w:suppressAutoHyphens/>
      <w:autoSpaceDE w:val="0"/>
      <w:autoSpaceDN w:val="0"/>
      <w:adjustRightInd w:val="0"/>
      <w:ind w:left="510" w:firstLine="510"/>
      <w:jc w:val="both"/>
    </w:pPr>
    <w:rPr>
      <w:rFonts w:ascii="Times" w:eastAsiaTheme="minorEastAsia" w:hAnsi="Times" w:cs="Arial"/>
    </w:rPr>
  </w:style>
  <w:style w:type="paragraph" w:customStyle="1" w:styleId="OZNPROJEKTUwskazaniedatylubwersjiprojektu">
    <w:name w:val="OZN_PROJEKTU – wskazanie daty lub wersji projektu"/>
    <w:next w:val="OZNRODZAKTUtznustawalubrozporzdzenieiorganwydajcy"/>
    <w:qFormat/>
    <w:rsid w:val="0018049A"/>
    <w:pPr>
      <w:spacing w:line="360" w:lineRule="auto"/>
      <w:jc w:val="right"/>
    </w:pPr>
    <w:rPr>
      <w:rFonts w:eastAsiaTheme="minorEastAsia" w:cs="Arial"/>
      <w:sz w:val="24"/>
      <w:u w:val="single"/>
    </w:rPr>
  </w:style>
  <w:style w:type="character" w:customStyle="1" w:styleId="Ppogrubienie">
    <w:name w:val="_P_ – pogrubienie"/>
    <w:basedOn w:val="Domylnaczcionkaakapitu"/>
    <w:uiPriority w:val="1"/>
    <w:qFormat/>
    <w:rsid w:val="0018049A"/>
    <w:rPr>
      <w:b/>
    </w:rPr>
  </w:style>
  <w:style w:type="character" w:customStyle="1" w:styleId="ARTartustawynprozporzdzeniaZnak">
    <w:name w:val="ART(§) – art. ustawy (§ np. rozporządzenia) Znak"/>
    <w:basedOn w:val="Domylnaczcionkaakapitu"/>
    <w:link w:val="ARTartustawynprozporzdzenia"/>
    <w:uiPriority w:val="11"/>
    <w:locked/>
    <w:rsid w:val="0018049A"/>
    <w:rPr>
      <w:rFonts w:ascii="Times" w:eastAsiaTheme="minorEastAsia" w:hAnsi="Times" w:cs="Arial"/>
      <w:sz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99"/>
    <w:qFormat/>
    <w:rsid w:val="0018049A"/>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99"/>
    <w:rsid w:val="0018049A"/>
    <w:rPr>
      <w:rFonts w:ascii="Times" w:eastAsiaTheme="minorEastAsia" w:hAnsi="Times" w:cs="Arial"/>
      <w:bCs/>
      <w:sz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18049A"/>
    <w:rPr>
      <w:rFonts w:ascii="Times" w:hAnsi="Times"/>
      <w:b/>
      <w:bCs/>
      <w:caps/>
      <w:spacing w:val="54"/>
      <w:kern w:val="24"/>
      <w:sz w:val="24"/>
      <w:szCs w:val="24"/>
    </w:rPr>
  </w:style>
  <w:style w:type="paragraph" w:styleId="Tekstpodstawowy">
    <w:name w:val="Body Text"/>
    <w:basedOn w:val="Normalny"/>
    <w:link w:val="TekstpodstawowyZnak"/>
    <w:uiPriority w:val="99"/>
    <w:semiHidden/>
    <w:rsid w:val="0018049A"/>
    <w:pPr>
      <w:widowControl w:val="0"/>
      <w:autoSpaceDE w:val="0"/>
      <w:autoSpaceDN w:val="0"/>
      <w:adjustRightInd w:val="0"/>
      <w:spacing w:after="120"/>
      <w:jc w:val="both"/>
    </w:pPr>
    <w:rPr>
      <w:rFonts w:eastAsiaTheme="minorEastAsia" w:cs="Arial"/>
    </w:rPr>
  </w:style>
  <w:style w:type="character" w:customStyle="1" w:styleId="TekstpodstawowyZnak">
    <w:name w:val="Tekst podstawowy Znak"/>
    <w:basedOn w:val="Domylnaczcionkaakapitu"/>
    <w:link w:val="Tekstpodstawowy"/>
    <w:uiPriority w:val="99"/>
    <w:semiHidden/>
    <w:rsid w:val="0018049A"/>
    <w:rPr>
      <w:rFonts w:eastAsiaTheme="minorEastAsia" w:cs="Arial"/>
      <w:sz w:val="24"/>
    </w:rPr>
  </w:style>
  <w:style w:type="paragraph" w:styleId="Akapitzlist">
    <w:name w:val="List Paragraph"/>
    <w:basedOn w:val="Normalny"/>
    <w:uiPriority w:val="34"/>
    <w:qFormat/>
    <w:rsid w:val="006E73F1"/>
    <w:pPr>
      <w:spacing w:line="276" w:lineRule="auto"/>
      <w:ind w:left="720"/>
      <w:contextualSpacing/>
    </w:pPr>
    <w:rPr>
      <w:rFonts w:ascii="Calibri" w:eastAsia="Calibri" w:hAnsi="Calibri"/>
      <w:sz w:val="22"/>
      <w:szCs w:val="22"/>
      <w:lang w:eastAsia="en-US"/>
    </w:rPr>
  </w:style>
  <w:style w:type="paragraph" w:customStyle="1" w:styleId="ZARTzmartartykuempunktem">
    <w:name w:val="Z/ART(§) – zm. art. (§) artykułem (punktem)"/>
    <w:basedOn w:val="ARTartustawynprozporzdzenia"/>
    <w:uiPriority w:val="30"/>
    <w:qFormat/>
    <w:rsid w:val="00AE35AA"/>
    <w:pPr>
      <w:spacing w:before="0"/>
      <w:ind w:left="510"/>
    </w:pPr>
  </w:style>
  <w:style w:type="paragraph" w:customStyle="1" w:styleId="PKTpunkt">
    <w:name w:val="PKT – punkt"/>
    <w:uiPriority w:val="13"/>
    <w:qFormat/>
    <w:rsid w:val="00AE35AA"/>
    <w:pPr>
      <w:spacing w:line="360" w:lineRule="auto"/>
      <w:ind w:left="510" w:hanging="510"/>
      <w:jc w:val="both"/>
    </w:pPr>
    <w:rPr>
      <w:rFonts w:ascii="Times" w:eastAsiaTheme="minorEastAsia" w:hAnsi="Times" w:cs="Arial"/>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3938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BF652-78A8-43E5-94C5-F7F6566DE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1545</Words>
  <Characters>9270</Characters>
  <Application>Microsoft Office Word</Application>
  <DocSecurity>0</DocSecurity>
  <Lines>77</Lines>
  <Paragraphs>21</Paragraphs>
  <ScaleCrop>false</ScaleCrop>
  <HeadingPairs>
    <vt:vector size="2" baseType="variant">
      <vt:variant>
        <vt:lpstr>Tytuł</vt:lpstr>
      </vt:variant>
      <vt:variant>
        <vt:i4>1</vt:i4>
      </vt:variant>
    </vt:vector>
  </HeadingPairs>
  <TitlesOfParts>
    <vt:vector size="1" baseType="lpstr">
      <vt:lpstr/>
    </vt:vector>
  </TitlesOfParts>
  <Company>Kancelaria Senatu</Company>
  <LinksUpToDate>false</LinksUpToDate>
  <CharactersWithSpaces>10794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dc:creator>
  <cp:lastModifiedBy>Grzegorz Molesztak</cp:lastModifiedBy>
  <cp:revision>10</cp:revision>
  <cp:lastPrinted>2020-08-14T11:10:00Z</cp:lastPrinted>
  <dcterms:created xsi:type="dcterms:W3CDTF">2020-08-14T07:50:00Z</dcterms:created>
  <dcterms:modified xsi:type="dcterms:W3CDTF">2020-09-04T11:05:00Z</dcterms:modified>
</cp:coreProperties>
</file>