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07BA" w:rsidRPr="00AD07BA" w:rsidRDefault="00AD07BA" w:rsidP="00AD07BA">
      <w:pPr>
        <w:jc w:val="right"/>
        <w:rPr>
          <w:rFonts w:eastAsiaTheme="minorEastAsia" w:cs="Arial"/>
          <w:u w:val="single"/>
        </w:rPr>
      </w:pPr>
      <w:r w:rsidRPr="00AD07BA">
        <w:rPr>
          <w:rFonts w:eastAsiaTheme="minorEastAsia" w:cs="Arial"/>
          <w:u w:val="single"/>
        </w:rPr>
        <w:t>projekt</w:t>
      </w:r>
    </w:p>
    <w:p w:rsidR="00AD07BA" w:rsidRPr="00AD07BA" w:rsidRDefault="00AD07BA" w:rsidP="00AD07BA">
      <w:pPr>
        <w:keepNext/>
        <w:suppressAutoHyphens/>
        <w:spacing w:after="120"/>
        <w:jc w:val="center"/>
        <w:rPr>
          <w:rFonts w:ascii="Times" w:hAnsi="Times"/>
          <w:b/>
          <w:bCs/>
          <w:caps/>
          <w:spacing w:val="54"/>
          <w:kern w:val="24"/>
          <w:szCs w:val="24"/>
        </w:rPr>
      </w:pPr>
      <w:r w:rsidRPr="00AD07BA">
        <w:rPr>
          <w:rFonts w:ascii="Times" w:hAnsi="Times"/>
          <w:b/>
          <w:bCs/>
          <w:caps/>
          <w:spacing w:val="54"/>
          <w:kern w:val="24"/>
          <w:szCs w:val="24"/>
        </w:rPr>
        <w:t>ustawa</w:t>
      </w:r>
    </w:p>
    <w:p w:rsidR="00AD07BA" w:rsidRPr="00AD07BA" w:rsidRDefault="00AD07BA" w:rsidP="00AD07BA">
      <w:pPr>
        <w:keepNext/>
        <w:suppressAutoHyphens/>
        <w:spacing w:before="120" w:after="120"/>
        <w:jc w:val="center"/>
        <w:rPr>
          <w:rFonts w:ascii="Times" w:eastAsiaTheme="minorEastAsia" w:hAnsi="Times" w:cs="Arial"/>
          <w:bCs/>
          <w:szCs w:val="24"/>
        </w:rPr>
      </w:pPr>
      <w:r w:rsidRPr="00AD07BA">
        <w:rPr>
          <w:rFonts w:ascii="Times" w:eastAsiaTheme="minorEastAsia" w:hAnsi="Times" w:cs="Arial"/>
          <w:bCs/>
          <w:szCs w:val="24"/>
        </w:rPr>
        <w:t xml:space="preserve">z dnia </w:t>
      </w:r>
    </w:p>
    <w:p w:rsidR="00AD07BA" w:rsidRPr="00AD07BA" w:rsidRDefault="00AD07BA" w:rsidP="00AD07BA">
      <w:pPr>
        <w:keepNext/>
        <w:suppressAutoHyphens/>
        <w:spacing w:before="120" w:after="360"/>
        <w:jc w:val="center"/>
        <w:rPr>
          <w:rFonts w:ascii="Times" w:eastAsiaTheme="minorEastAsia" w:hAnsi="Times" w:cs="Arial"/>
          <w:b/>
          <w:bCs/>
          <w:szCs w:val="24"/>
          <w:vertAlign w:val="superscript"/>
        </w:rPr>
      </w:pPr>
      <w:r w:rsidRPr="00AD07BA">
        <w:rPr>
          <w:rFonts w:ascii="Times" w:eastAsiaTheme="minorEastAsia" w:hAnsi="Times" w:cs="Arial"/>
          <w:b/>
          <w:bCs/>
          <w:szCs w:val="24"/>
        </w:rPr>
        <w:t>o zmianie ustawy – Kodeks postępowania cywilnego</w:t>
      </w:r>
      <w:r w:rsidRPr="00AD07BA">
        <w:rPr>
          <w:rFonts w:ascii="Times" w:eastAsiaTheme="minorEastAsia" w:hAnsi="Times" w:cs="Arial"/>
          <w:b/>
          <w:bCs/>
          <w:szCs w:val="24"/>
        </w:rPr>
        <w:br/>
        <w:t>oraz niektórych innych ustaw</w:t>
      </w:r>
      <w:r w:rsidRPr="00AD07BA">
        <w:rPr>
          <w:rFonts w:ascii="Times" w:eastAsiaTheme="minorEastAsia" w:hAnsi="Times"/>
          <w:b/>
          <w:bCs/>
          <w:szCs w:val="24"/>
          <w:vertAlign w:val="superscript"/>
        </w:rPr>
        <w:footnoteReference w:id="1"/>
      </w:r>
      <w:r w:rsidRPr="00AD07BA">
        <w:rPr>
          <w:rFonts w:ascii="Times" w:eastAsiaTheme="minorEastAsia" w:hAnsi="Times" w:cs="Arial"/>
          <w:b/>
          <w:bCs/>
          <w:szCs w:val="24"/>
          <w:vertAlign w:val="superscript"/>
        </w:rPr>
        <w:t>)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  <w:b/>
        </w:rPr>
        <w:t xml:space="preserve">Art. 1. </w:t>
      </w:r>
      <w:r w:rsidRPr="00AD07BA">
        <w:rPr>
          <w:rFonts w:ascii="Times" w:eastAsiaTheme="minorEastAsia" w:hAnsi="Times" w:cs="Arial"/>
        </w:rPr>
        <w:t>W ustawie z dnia 17 listopada 1964 r. – Kodeks postępowania cywilnego (Dz. U. z 2019 r. poz. 1460, z późn. zm.</w:t>
      </w:r>
      <w:r w:rsidRPr="00AD07BA">
        <w:rPr>
          <w:rFonts w:ascii="Times" w:eastAsiaTheme="minorEastAsia" w:hAnsi="Times"/>
          <w:vertAlign w:val="superscript"/>
        </w:rPr>
        <w:footnoteReference w:id="2"/>
      </w:r>
      <w:r w:rsidRPr="00AD07BA">
        <w:rPr>
          <w:rFonts w:ascii="Times" w:eastAsiaTheme="minorEastAsia" w:hAnsi="Times" w:cs="Arial"/>
          <w:vertAlign w:val="superscript"/>
        </w:rPr>
        <w:t>)</w:t>
      </w:r>
      <w:r w:rsidRPr="00AD07BA">
        <w:rPr>
          <w:rFonts w:ascii="Times" w:eastAsiaTheme="minorEastAsia" w:hAnsi="Times" w:cs="Arial"/>
        </w:rPr>
        <w:t>) wprowadza się następujące zmiany: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1)</w:t>
      </w:r>
      <w:r w:rsidRPr="00AD07BA">
        <w:rPr>
          <w:rFonts w:ascii="Times" w:eastAsiaTheme="minorEastAsia" w:hAnsi="Times" w:cs="Arial"/>
          <w:bCs/>
        </w:rPr>
        <w:tab/>
        <w:t>w części pierwszej w księdze drugiej w tytule II tytuł działu Ia otrzymuje brzmienie:</w:t>
      </w:r>
    </w:p>
    <w:p w:rsidR="00AD07BA" w:rsidRPr="00AD07BA" w:rsidRDefault="00AD07BA" w:rsidP="00AD07BA">
      <w:pPr>
        <w:keepNext/>
        <w:suppressAutoHyphens/>
        <w:ind w:left="510"/>
        <w:jc w:val="center"/>
        <w:rPr>
          <w:rFonts w:ascii="Times" w:hAnsi="Times"/>
          <w:szCs w:val="26"/>
        </w:rPr>
      </w:pPr>
      <w:r w:rsidRPr="00AD07BA">
        <w:rPr>
          <w:rFonts w:ascii="Times" w:hAnsi="Times"/>
          <w:szCs w:val="26"/>
        </w:rPr>
        <w:t>„Sprawy z zakresu przeciwdziałania przemocy w rodzinie”;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2)</w:t>
      </w:r>
      <w:r w:rsidRPr="00AD07BA">
        <w:rPr>
          <w:rFonts w:ascii="Times" w:eastAsiaTheme="minorEastAsia" w:hAnsi="Times" w:cs="Arial"/>
          <w:bCs/>
        </w:rPr>
        <w:tab/>
        <w:t>art. 560</w:t>
      </w:r>
      <w:r w:rsidRPr="00AD07BA">
        <w:rPr>
          <w:rFonts w:ascii="Times" w:eastAsiaTheme="minorEastAsia" w:hAnsi="Times" w:cs="Arial"/>
          <w:bCs/>
          <w:vertAlign w:val="superscript"/>
        </w:rPr>
        <w:t>2</w:t>
      </w:r>
      <w:r w:rsidRPr="00AD07BA">
        <w:rPr>
          <w:rFonts w:ascii="Times" w:eastAsiaTheme="minorEastAsia" w:hAnsi="Times" w:cs="Arial"/>
          <w:bCs/>
        </w:rPr>
        <w:t xml:space="preserve">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„Art. 560</w:t>
      </w:r>
      <w:r w:rsidRPr="00AD07BA">
        <w:rPr>
          <w:rFonts w:ascii="Times" w:eastAsiaTheme="minorEastAsia" w:hAnsi="Times" w:cs="Arial"/>
          <w:vertAlign w:val="superscript"/>
        </w:rPr>
        <w:t>2</w:t>
      </w:r>
      <w:r w:rsidRPr="00AD07BA">
        <w:rPr>
          <w:rFonts w:ascii="Times" w:eastAsiaTheme="minorEastAsia" w:hAnsi="Times" w:cs="Arial"/>
        </w:rPr>
        <w:t>. Przepisy zawarte w niniejszym dziale stosuje się w sprawach, o których mowa w art. 11a i art. 11aa ustawy z dnia 29 lipca 2005 r. o przeciwdziałaniu przemocy w rodzinie (Dz. U. z 2020 r. poz. 218 i 956).”;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3)</w:t>
      </w:r>
      <w:r w:rsidRPr="00AD07BA">
        <w:rPr>
          <w:rFonts w:ascii="Times" w:eastAsiaTheme="minorEastAsia" w:hAnsi="Times" w:cs="Arial"/>
          <w:bCs/>
        </w:rPr>
        <w:tab/>
        <w:t>w art. 560</w:t>
      </w:r>
      <w:r w:rsidRPr="00AD07BA">
        <w:rPr>
          <w:rFonts w:ascii="Times" w:eastAsiaTheme="minorEastAsia" w:hAnsi="Times" w:cs="Arial"/>
          <w:bCs/>
          <w:vertAlign w:val="superscript"/>
        </w:rPr>
        <w:t>3</w:t>
      </w:r>
      <w:r w:rsidRPr="00AD07BA">
        <w:rPr>
          <w:rFonts w:ascii="Times" w:eastAsiaTheme="minorEastAsia" w:hAnsi="Times" w:cs="Arial"/>
          <w:bCs/>
        </w:rPr>
        <w:t xml:space="preserve"> § 1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„§ 1. Wniosek o zobowiązanie osoby stosującej przemoc w rodzinie do opuszczenia wspólnie zajmowanego mieszkania i jego bezpośredniego otoczenia lub zakazanie zbliżania się do mieszkania i jego bezpośredniego otoczenia, lub zakazanie zbliżania się do osoby dotkniętej przemocą w rodzinie może być złożony na urzędowym formularzu.”;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4)</w:t>
      </w:r>
      <w:r w:rsidRPr="00AD07BA">
        <w:rPr>
          <w:rFonts w:ascii="Times" w:eastAsiaTheme="minorEastAsia" w:hAnsi="Times" w:cs="Arial"/>
          <w:bCs/>
        </w:rPr>
        <w:tab/>
        <w:t>w art. 560</w:t>
      </w:r>
      <w:r w:rsidRPr="00AD07BA">
        <w:rPr>
          <w:rFonts w:ascii="Times" w:eastAsiaTheme="minorEastAsia" w:hAnsi="Times" w:cs="Arial"/>
          <w:bCs/>
          <w:vertAlign w:val="superscript"/>
        </w:rPr>
        <w:t>7</w:t>
      </w:r>
      <w:r w:rsidRPr="00AD07BA">
        <w:rPr>
          <w:rFonts w:ascii="Times" w:eastAsiaTheme="minorEastAsia" w:hAnsi="Times" w:cs="Arial"/>
          <w:bCs/>
        </w:rPr>
        <w:t>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§ 1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 xml:space="preserve">„§ 1. Sąd w postanowieniu o zobowiązaniu osoby stosującej przemoc w rodzinie do opuszczenia wspólnie zajmowanego mieszkania i jego bezpośredniego otoczenia lub zakazaniu zbliżania się do mieszkania i jego bezpośredniego otoczenia, lub zakazaniu zbliżania się do osoby dotkniętej przemocą w rodzinie wskazuje obszar lub odległość od wspólnie zajmowanego </w:t>
      </w:r>
      <w:r w:rsidRPr="00AD07BA">
        <w:rPr>
          <w:rFonts w:ascii="Times" w:eastAsiaTheme="minorEastAsia" w:hAnsi="Times" w:cs="Arial"/>
          <w:bCs/>
        </w:rPr>
        <w:lastRenderedPageBreak/>
        <w:t>mieszkania lub od osoby dotkniętej przemocą w rodzinie, którą osoba stosująca przemoc w rodzinie jest obowiązana zachować.”,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w § 2 zdanie pierwsze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„Postanowienie o zobowiązaniu osoby stosującej przemoc w rodzinie do opuszczenia wspólnie zajmowanego mieszkania i jego bezpośredniego otoczenia lub zakazaniu zbliżania się do mieszkania i jego bezpośredniego otoczenia, lub zakazaniu zbliżania się do osoby dotkniętej przemocą w rodzinie jest skuteczne i wykonalne z chwilą ogłoszenia.”;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5)</w:t>
      </w:r>
      <w:r w:rsidRPr="00AD07BA">
        <w:rPr>
          <w:rFonts w:ascii="Times" w:eastAsiaTheme="minorEastAsia" w:hAnsi="Times" w:cs="Arial"/>
          <w:bCs/>
        </w:rPr>
        <w:tab/>
        <w:t>art. 560</w:t>
      </w:r>
      <w:r w:rsidRPr="00AD07BA">
        <w:rPr>
          <w:rFonts w:ascii="Times" w:eastAsiaTheme="minorEastAsia" w:hAnsi="Times" w:cs="Arial"/>
          <w:bCs/>
          <w:vertAlign w:val="superscript"/>
        </w:rPr>
        <w:t>8</w:t>
      </w:r>
      <w:r w:rsidRPr="00AD07BA">
        <w:rPr>
          <w:rFonts w:ascii="Times" w:eastAsiaTheme="minorEastAsia" w:hAnsi="Times" w:cs="Arial"/>
          <w:bCs/>
        </w:rPr>
        <w:t xml:space="preserve">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„Art. 560</w:t>
      </w:r>
      <w:r w:rsidRPr="00AD07BA">
        <w:rPr>
          <w:rFonts w:ascii="Times" w:eastAsiaTheme="minorEastAsia" w:hAnsi="Times" w:cs="Arial"/>
          <w:vertAlign w:val="superscript"/>
        </w:rPr>
        <w:t>8</w:t>
      </w:r>
      <w:r w:rsidRPr="00AD07BA">
        <w:rPr>
          <w:rFonts w:ascii="Times" w:eastAsiaTheme="minorEastAsia" w:hAnsi="Times" w:cs="Arial"/>
        </w:rPr>
        <w:t>. Sąd w postanowieniu w przedmiocie zobowiązania osoby stosującej przemoc w rodzinie do opuszczenia wspólnie zajmowanego mieszkania i jego bezpośredniego otoczenia lub zakazania zbliżania się do mieszkania i jego bezpośredniego otoczenia, lub zakazania zbliżania się do osoby dotkniętej przemocą w rodzinie rozstrzyga również o zabezpieczeniu, jeżeli było udzielone.”;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6)</w:t>
      </w:r>
      <w:r w:rsidRPr="00AD07BA">
        <w:rPr>
          <w:rFonts w:ascii="Times" w:eastAsiaTheme="minorEastAsia" w:hAnsi="Times" w:cs="Arial"/>
          <w:bCs/>
        </w:rPr>
        <w:tab/>
        <w:t>w art. 755</w:t>
      </w:r>
      <w:r w:rsidRPr="00AD07BA">
        <w:rPr>
          <w:rFonts w:ascii="Times" w:eastAsiaTheme="minorEastAsia" w:hAnsi="Times" w:cs="Arial"/>
          <w:bCs/>
          <w:vertAlign w:val="superscript"/>
        </w:rPr>
        <w:t>2</w:t>
      </w:r>
      <w:r w:rsidRPr="00AD07BA">
        <w:rPr>
          <w:rFonts w:ascii="Times" w:eastAsiaTheme="minorEastAsia" w:hAnsi="Times" w:cs="Arial"/>
          <w:bCs/>
        </w:rPr>
        <w:t xml:space="preserve"> § 1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„§ 1. W sprawach o zobowiązanie osoby stosującej przemoc w rodzinie do opuszczenia wspólnie zajmowanego mieszkania i jego bezpośredniego otoczenia lub zakazanie zbliżania się do mieszkania i jego bezpośredniego otoczenia lub zakazanie zbliżania się do osoby dotkniętej przemocą w rodzinie sąd może udzielić zabezpieczenia również przez przedłużenie obowiązywania nakazu lub zakazu, o których mowa w art. 15aa ust. 1 ustawy z dnia 6 kwietnia 1990 r. o Policji (Dz. U. z</w:t>
      </w:r>
      <w:r w:rsidRPr="00AD07BA">
        <w:rPr>
          <w:rFonts w:ascii="Times" w:eastAsiaTheme="minorEastAsia" w:hAnsi="Times" w:cs="Arial"/>
          <w:vertAlign w:val="superscript"/>
        </w:rPr>
        <w:t xml:space="preserve"> </w:t>
      </w:r>
      <w:r w:rsidRPr="00AD07BA">
        <w:rPr>
          <w:rFonts w:ascii="Times" w:eastAsiaTheme="minorEastAsia" w:hAnsi="Times" w:cs="Arial"/>
        </w:rPr>
        <w:t>2020 r. poz. 360 i 956), zwanej dalej „ustawą o Policji”, lub art. 18a ust. 1 ustawy z dnia 24 sierpnia 2001 r. o Żandarmerii Wojskowej i wojskowych organach porządkowych (Dz. U. z 2020 r. poz. 431 i 956), zwanej dalej „ustawą o Żandarmerii Wojskowej”. Sąd może zmienić wskazane w nakazie lub zakazie obszar lub odległość od wspólnie zajmowanego mieszkania lub od osoby dotkniętej przemocą w rodzinie, które osoba stosująca przemoc w rodzinie jest obowiązana zachować.”;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7)</w:t>
      </w:r>
      <w:r w:rsidRPr="00AD07BA">
        <w:rPr>
          <w:rFonts w:ascii="Times" w:eastAsiaTheme="minorEastAsia" w:hAnsi="Times" w:cs="Arial"/>
          <w:bCs/>
        </w:rPr>
        <w:tab/>
        <w:t>art. 755</w:t>
      </w:r>
      <w:r w:rsidRPr="00AD07BA">
        <w:rPr>
          <w:rFonts w:ascii="Times" w:eastAsiaTheme="minorEastAsia" w:hAnsi="Times" w:cs="Arial"/>
          <w:bCs/>
          <w:vertAlign w:val="superscript"/>
        </w:rPr>
        <w:t>3</w:t>
      </w:r>
      <w:r w:rsidRPr="00AD07BA">
        <w:rPr>
          <w:rFonts w:ascii="Times" w:eastAsiaTheme="minorEastAsia" w:hAnsi="Times" w:cs="Arial"/>
          <w:bCs/>
        </w:rPr>
        <w:t xml:space="preserve">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  <w:b/>
        </w:rPr>
      </w:pPr>
      <w:r w:rsidRPr="00AD07BA">
        <w:rPr>
          <w:rFonts w:ascii="Times" w:eastAsiaTheme="minorEastAsia" w:hAnsi="Times" w:cs="Arial"/>
        </w:rPr>
        <w:t>„Art. 755</w:t>
      </w:r>
      <w:r w:rsidRPr="00AD07BA">
        <w:rPr>
          <w:rFonts w:ascii="Times" w:eastAsiaTheme="minorEastAsia" w:hAnsi="Times" w:cs="Arial"/>
          <w:vertAlign w:val="superscript"/>
        </w:rPr>
        <w:t>3</w:t>
      </w:r>
      <w:r w:rsidRPr="00AD07BA">
        <w:rPr>
          <w:rFonts w:ascii="Times" w:eastAsiaTheme="minorEastAsia" w:hAnsi="Times" w:cs="Arial"/>
        </w:rPr>
        <w:t>. W sprawach o zobowiązanie osoby stosującej przemoc w rodzinie do opuszczenia wspólnie zajmowanego mieszkania i jego bezpośredniego otoczenia lub zakazanie zbliżania się do mieszkania i jego bezpośredniego otoczenia, lub zakazanie zbliżania się do osoby dotkniętej przemocą w rodzinie sąd, udzielając zabezpieczenia, wskazuje w postanowieniu czas jego trwania.”.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  <w:b/>
        </w:rPr>
        <w:lastRenderedPageBreak/>
        <w:t>Art. 2.</w:t>
      </w:r>
      <w:r w:rsidRPr="00AD07BA">
        <w:rPr>
          <w:rFonts w:ascii="Times" w:eastAsiaTheme="minorEastAsia" w:hAnsi="Times" w:cs="Arial"/>
        </w:rPr>
        <w:t xml:space="preserve"> W ustawie z dnia 20 maja 1971 r. – Kodeks wykroczeń (Dz. U. z 2019 r. poz. 821 i 1238 oraz z 2020 r. 568, 956 i 1086) w art. 66b: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1)</w:t>
      </w:r>
      <w:r w:rsidRPr="00AD07BA">
        <w:rPr>
          <w:rFonts w:ascii="Times" w:eastAsiaTheme="minorEastAsia" w:hAnsi="Times" w:cs="Arial"/>
          <w:bCs/>
        </w:rPr>
        <w:tab/>
        <w:t>pkt 1 i 2 otrzymują brzmienie:</w:t>
      </w:r>
    </w:p>
    <w:p w:rsidR="00AD07BA" w:rsidRPr="00AD07BA" w:rsidRDefault="00AD07BA" w:rsidP="00AD07BA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„1)</w:t>
      </w:r>
      <w:r w:rsidRPr="00AD07BA">
        <w:rPr>
          <w:rFonts w:ascii="Times" w:eastAsiaTheme="minorEastAsia" w:hAnsi="Times" w:cs="Arial"/>
          <w:bCs/>
        </w:rPr>
        <w:tab/>
        <w:t>wydanego przez Policję, na podstawie art. 15aa ust. 1 ustawy z dnia 6 kwietnia 1990 r. o Policji (Dz. U. z 2020 r. poz. 360 i 956), lub Żandarmerię Wojskową, na podstawie art. 18a ust. 1 ustawy z dnia 24 sierpnia 2001 r. o Żandarmerii Wojskowej i wojskowych organach porządkowych (Dz. U. z 2020 r. poz. 431 i 956), nakazu natychmiastowego opuszczenia wspólnie zajmowanego mieszkania i jego bezpośredniego otoczenia lub zakazu zbliżania się do mieszkania i jego bezpośredniego otoczenia, lub zbliżania się do osoby dotkniętej przemocą w rodzinie,</w:t>
      </w:r>
    </w:p>
    <w:p w:rsidR="00AD07BA" w:rsidRPr="00AD07BA" w:rsidRDefault="00AD07BA" w:rsidP="00AD07BA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2)</w:t>
      </w:r>
      <w:r w:rsidRPr="00AD07BA">
        <w:rPr>
          <w:rFonts w:ascii="Times" w:eastAsiaTheme="minorEastAsia" w:hAnsi="Times" w:cs="Arial"/>
          <w:bCs/>
        </w:rPr>
        <w:tab/>
        <w:t>postanowienia sądu o udzieleniu zabezpieczenia w sprawach o zobowiązanie osoby stosującej przemoc w rodzinie do opuszczenia wspólnie zajmowanego mieszkania i jego bezpośredniego otoczenia lub zakazanie zbliżania się do mieszkania i jego bezpośredniego otoczenia, lub zakazanie zbliżania się do osoby dotkniętej przemocą w rodzinie, w tym postanowienia, którym nakaz lub zakaz, o których mowa w pkt 1, został przedłużony,”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2)</w:t>
      </w:r>
      <w:r w:rsidRPr="00AD07BA">
        <w:rPr>
          <w:rFonts w:ascii="Times" w:eastAsiaTheme="minorEastAsia" w:hAnsi="Times" w:cs="Arial"/>
          <w:bCs/>
        </w:rPr>
        <w:tab/>
        <w:t>w pkt 3 na końcu dodaje się przecinek i dodaje się pkt 4 w brzmieniu:</w:t>
      </w:r>
    </w:p>
    <w:p w:rsidR="00AD07BA" w:rsidRPr="00AD07BA" w:rsidRDefault="00AD07BA" w:rsidP="00AD07BA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„4)</w:t>
      </w:r>
      <w:r w:rsidRPr="00AD07BA">
        <w:rPr>
          <w:rFonts w:ascii="Times" w:eastAsiaTheme="minorEastAsia" w:hAnsi="Times" w:cs="Arial"/>
          <w:bCs/>
        </w:rPr>
        <w:tab/>
        <w:t>postanowienia sądu o zakazaniu osobie stosującej przemoc w rodzinie zbliżania się do osoby dotkniętej przemocą w rodzinie, wydanego na podstawie art. 11aa ustawy z dnia 29 lipca 2005 r. o przeciwdziałaniu przemocy w rodzinie”.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  <w:b/>
        </w:rPr>
        <w:t>Art. 3.</w:t>
      </w:r>
      <w:r w:rsidRPr="00AD07BA">
        <w:rPr>
          <w:rFonts w:ascii="Times" w:eastAsiaTheme="minorEastAsia" w:hAnsi="Times" w:cs="Arial"/>
        </w:rPr>
        <w:t xml:space="preserve"> W ustawie z dnia 6 kwietnia 1990 r. o Policji (Dz. U. z 2020 r. poz. 360 i 956) wprowadza się następujące zmiany: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1)</w:t>
      </w:r>
      <w:r w:rsidRPr="00AD07BA">
        <w:rPr>
          <w:rFonts w:ascii="Times" w:eastAsiaTheme="minorEastAsia" w:hAnsi="Times" w:cs="Arial"/>
          <w:bCs/>
        </w:rPr>
        <w:tab/>
        <w:t>w art. 15aa: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ust. 1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„1. Policjant ma prawo wydać wobec osoby</w:t>
      </w:r>
      <w:r w:rsidRPr="00AD07BA">
        <w:rPr>
          <w:rFonts w:ascii="Times" w:eastAsiaTheme="minorEastAsia" w:hAnsi="Times" w:cs="Arial"/>
          <w:bCs/>
          <w:vertAlign w:val="superscript"/>
        </w:rPr>
        <w:t xml:space="preserve"> </w:t>
      </w:r>
      <w:r w:rsidRPr="00AD07BA">
        <w:rPr>
          <w:rFonts w:ascii="Times" w:eastAsiaTheme="minorEastAsia" w:hAnsi="Times" w:cs="Arial"/>
          <w:bCs/>
        </w:rPr>
        <w:t>stosującej przemoc w rodzinie w rozumieniu przepisów ustawy o przeciwdziałaniu przemocy w rodzinie, stwarzającej zagrożenie dla życia lub zdrowia osoby dotkniętej tą przemocą:</w:t>
      </w:r>
    </w:p>
    <w:p w:rsidR="00AD07BA" w:rsidRPr="00AD07BA" w:rsidRDefault="00AD07BA" w:rsidP="00AD07BA">
      <w:pPr>
        <w:ind w:left="1497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1)</w:t>
      </w:r>
      <w:r w:rsidRPr="00AD07BA">
        <w:rPr>
          <w:rFonts w:ascii="Times" w:eastAsiaTheme="minorEastAsia" w:hAnsi="Times" w:cs="Arial"/>
          <w:bCs/>
        </w:rPr>
        <w:tab/>
        <w:t>nakaz natychmiastowego opuszczenia wspólnie zajmowanego mieszkania i jego bezpośredniego otoczenia, zwany dalej „nakazem” lub</w:t>
      </w:r>
    </w:p>
    <w:p w:rsidR="00AD07BA" w:rsidRPr="00AD07BA" w:rsidRDefault="00AD07BA" w:rsidP="00AD07BA">
      <w:pPr>
        <w:ind w:left="1497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2)</w:t>
      </w:r>
      <w:r w:rsidRPr="00AD07BA">
        <w:rPr>
          <w:rFonts w:ascii="Times" w:eastAsiaTheme="minorEastAsia" w:hAnsi="Times" w:cs="Arial"/>
          <w:bCs/>
        </w:rPr>
        <w:tab/>
        <w:t>zakaz:</w:t>
      </w:r>
    </w:p>
    <w:p w:rsidR="00AD07BA" w:rsidRPr="00AD07BA" w:rsidRDefault="00AD07BA" w:rsidP="00AD07BA">
      <w:pPr>
        <w:ind w:left="1463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zbliżania się do mieszkania i jego bezpośredniego otoczenia lub</w:t>
      </w:r>
    </w:p>
    <w:p w:rsidR="00AD07BA" w:rsidRPr="00AD07BA" w:rsidRDefault="00AD07BA" w:rsidP="00AD07BA">
      <w:pPr>
        <w:ind w:left="1463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zbliżania się do osoby dotkniętej przemocą w rodzinie</w:t>
      </w:r>
    </w:p>
    <w:p w:rsidR="00AD07BA" w:rsidRPr="00AD07BA" w:rsidRDefault="00AD07BA" w:rsidP="00AD07BA">
      <w:pPr>
        <w:ind w:left="987"/>
        <w:jc w:val="both"/>
        <w:rPr>
          <w:rFonts w:ascii="Times" w:eastAsiaTheme="minorEastAsia" w:hAnsi="Times" w:cs="Arial"/>
          <w:bCs/>
          <w:szCs w:val="24"/>
        </w:rPr>
      </w:pPr>
      <w:r w:rsidRPr="00AD07BA">
        <w:rPr>
          <w:rFonts w:ascii="Times" w:eastAsiaTheme="minorEastAsia" w:hAnsi="Times" w:cs="Arial"/>
          <w:bCs/>
          <w:szCs w:val="24"/>
        </w:rPr>
        <w:lastRenderedPageBreak/>
        <w:t>–</w:t>
      </w:r>
      <w:r w:rsidRPr="00AD07BA">
        <w:rPr>
          <w:rFonts w:ascii="Times" w:eastAsiaTheme="minorEastAsia" w:hAnsi="Times" w:cs="Arial"/>
          <w:bCs/>
          <w:szCs w:val="24"/>
        </w:rPr>
        <w:tab/>
        <w:t>zwany dalej „zakazem”.”,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ust. 5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„5. Policjant w nakazie lub zakazie wskazuje obszar lub odległość od wspólnie zajmowanego mieszkania lub od osoby dotkniętej przemocą w rodzinie, którą osoba stosująca przemoc w rodzinie jest obowiązana zachować.”;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2)</w:t>
      </w:r>
      <w:r w:rsidRPr="00AD07BA">
        <w:rPr>
          <w:rFonts w:ascii="Times" w:eastAsiaTheme="minorEastAsia" w:hAnsi="Times" w:cs="Arial"/>
          <w:bCs/>
        </w:rPr>
        <w:tab/>
        <w:t>w art. 15ab: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w ust. 4 zdanie drugie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„Policja w celu ustalenia, czy zachodzą przesłanki, o których mowa w art. 15aa ust. 1, oraz w celu wskazania obszaru lub odległości od wspólnie zajmowanego mieszkania lub od osoby dotkniętej przemocą w rodzinie, którą osoba stosująca przemoc w rodzinie jest obowiązana zachować, może przesłuchać w charakterze świadków również inne osoby, w szczególności wszystkie dotknięte tą przemocą osoby pełnoletnie wspólnie zajmujące mieszkanie.”,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po ust. 5 dodaje się ust. 5a: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„5a. W przypadku gdy należy się obawiać, że obecność osoby stosującej przemoc w rodzinie będzie oddziaływać krępująco na świadka, Policja może nakazać tej osobie, aby na czas przesłuchania świadka opuściła miejsce przesłuchania.”,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c)</w:t>
      </w:r>
      <w:r w:rsidRPr="00AD07BA">
        <w:rPr>
          <w:rFonts w:ascii="Times" w:eastAsiaTheme="minorEastAsia" w:hAnsi="Times" w:cs="Arial"/>
          <w:bCs/>
        </w:rPr>
        <w:tab/>
        <w:t>w ust. 9 dodaje się zdanie drugie w brzmieniu: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„W przypadku gdy osobie stosującej przemoc w rodzinie nakazano opuszczenie miejsca przesłuchania świadka, przed przystąpieniem do wysłuchania Policja informuje osobę stosującą przemoc w rodzinie o treści zeznań złożonych w czasie jej nieobecności oraz umożliwia jej odniesienie się do tych zeznań.”;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3)</w:t>
      </w:r>
      <w:r w:rsidRPr="00AD07BA">
        <w:rPr>
          <w:rFonts w:ascii="Times" w:eastAsiaTheme="minorEastAsia" w:hAnsi="Times" w:cs="Arial"/>
          <w:bCs/>
        </w:rPr>
        <w:tab/>
        <w:t>w art. 15ad: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w ust. 1 zdanie drugie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„W razie niemożności doręczenia nakazu lub zakazu osobie stosującej przemoc w rodzinie, doręczenie uważa się za dokonane przez umieszczenie na drzwiach wspólnie zajmowanego mieszkania zawiadomienia o ich wydaniu oraz dokonanie wzmianki o tym fakcie w nakazie lub zakazie wraz ze wskazaniem przyczyny umieszczenia zawiadomienia o wydaniu nakazu lub zakazu.”,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ust. 3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 xml:space="preserve">„3. Zawiadomienie, o którym mowa w ust. 1, zawiera imię i nazwisko osoby stosującej przemoc w rodzinie oraz wezwanie do niezwłocznego kontaktu </w:t>
      </w:r>
      <w:r w:rsidRPr="00AD07BA">
        <w:rPr>
          <w:rFonts w:ascii="Times" w:eastAsiaTheme="minorEastAsia" w:hAnsi="Times" w:cs="Arial"/>
          <w:bCs/>
        </w:rPr>
        <w:lastRenderedPageBreak/>
        <w:t>z właściwą jednostką organizacyjną Policji, a ponadto dostępne po otwarciu zawiadomienia informacje o wydaniu nakazu lub zakazu, podstawie prawnej, miejscu ich odebrania, a także zasadach zabrania ze wspólnie zajmowanego mieszkania lub jego bezpośredniego otoczenia przedmiotów osobistego użytku i służących do świadczenia pracy oraz będących własnością osoby stosującej przemoc w rodzinie zwierząt domowych.”,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c)</w:t>
      </w:r>
      <w:r w:rsidRPr="00AD07BA">
        <w:rPr>
          <w:rFonts w:ascii="Times" w:eastAsiaTheme="minorEastAsia" w:hAnsi="Times" w:cs="Arial"/>
          <w:bCs/>
        </w:rPr>
        <w:tab/>
        <w:t>ust. 5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„5. Minister właściwy do spraw wewnętrznych określi, w drodze rozporządzenia, wzór zawiadomienia, o którym mowa w ust. 1, umieszczanego na drzwiach mieszkania wobec niemożności doręczenia nakazu lub zakazu, mając na uwadze konieczność zrozumienia zawiadomienia również przez osoby niekorzystające z profesjonalnej pomocy prawnej.”;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4)</w:t>
      </w:r>
      <w:r w:rsidRPr="00AD07BA">
        <w:rPr>
          <w:rFonts w:ascii="Times" w:eastAsiaTheme="minorEastAsia" w:hAnsi="Times" w:cs="Arial"/>
          <w:bCs/>
        </w:rPr>
        <w:tab/>
        <w:t>w art. 15ae: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ust. 1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„1. Czynność opuszczenia wspólnie zajmowanego mieszkania i jego bezpośredniego otoczenia przez osobę stosującą przemoc w rodzinie, wobec której wydano nakaz lub zakaz, wymaga sporządzenia protokołu, który podpisuje ta osoba oraz pełnoletnia osoba dotknięta przemocą w rodzinie uczestnicząca w czynności lub inna pełnoletnia osoba, jeżeli została upoważniona przez osobę dotkniętą przemocą w rodzinie i uczestniczyła w czynności opuszczenia wspólnie zajmowanego mieszkania i jego bezpośredniego otoczenia.”,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w ust. 2 pkt 7 otrzymuje brzmienie:</w:t>
      </w:r>
    </w:p>
    <w:p w:rsidR="00AD07BA" w:rsidRPr="00AD07BA" w:rsidRDefault="00AD07BA" w:rsidP="00AD07BA">
      <w:pPr>
        <w:ind w:left="1497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„7)</w:t>
      </w:r>
      <w:r w:rsidRPr="00AD07BA">
        <w:rPr>
          <w:rFonts w:ascii="Times" w:eastAsiaTheme="minorEastAsia" w:hAnsi="Times" w:cs="Arial"/>
          <w:bCs/>
        </w:rPr>
        <w:tab/>
        <w:t>w miarę potrzeby stwierdzenie innych okoliczności dotyczących przebiegu czynności, w szczególności wskazanie zabranych ze wspólnie zajmowanego mieszkania lub jego bezpośredniego otoczenia przedmiotów osobistego użytku i służących do świadczenia pracy lub zwierząt domowych oraz opis pozostawionego mienia, które według twierdzeń osoby stosującej przemoc w rodzinie, wobec której wydano nakaz lub zakaz, stanowi jej własność.”,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c)</w:t>
      </w:r>
      <w:r w:rsidRPr="00AD07BA">
        <w:rPr>
          <w:rFonts w:ascii="Times" w:eastAsiaTheme="minorEastAsia" w:hAnsi="Times" w:cs="Arial"/>
          <w:bCs/>
        </w:rPr>
        <w:tab/>
        <w:t>w ust. 4 zdanie pierwsze i drugie otrzymują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 xml:space="preserve">„Osoba stosująca przemoc w rodzinie, wobec której wydano nakaz lub zakaz, ma prawo zabrać ze wspólnie zajmowanego mieszkania lub jego bezpośredniego otoczenia przedmioty osobistego użytku i służące do świadczenia pracy lub będące jej własnością zwierzęta domowe. W przypadku sprzeciwu osób wspólnie </w:t>
      </w:r>
      <w:r w:rsidRPr="00AD07BA">
        <w:rPr>
          <w:rFonts w:eastAsiaTheme="minorEastAsia" w:cs="Arial"/>
          <w:bCs/>
        </w:rPr>
        <w:lastRenderedPageBreak/>
        <w:t>zajmujących mieszkanie przedmioty te lub zwierzęta domowe pozostawia się we wspólnie zajmowanym mieszkaniu lub jego bezpośrednim otoczeniu.”,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d)</w:t>
      </w:r>
      <w:r w:rsidRPr="00AD07BA">
        <w:rPr>
          <w:rFonts w:ascii="Times" w:eastAsiaTheme="minorEastAsia" w:hAnsi="Times" w:cs="Arial"/>
          <w:bCs/>
        </w:rPr>
        <w:tab/>
        <w:t>w ust. 5 zdanie pierwsze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„Jeżeli w okresie obowiązywania nakazu lub zakazu zajdzie potrzeba zabrania przez osobę stosującą przemoc w rodzinie mienia stanowiącego jej własność, w szczególności niezabranych uprzednio przedmiotów osobistego użytku i służących do świadczenia pracy lub zwierząt domowych, ze wspólnie zajmowanego mieszkania lub jego bezpośredniego otoczenia, może się to odbyć jeden raz, wyłącznie w obecności policjanta, po wcześniejszym uzgodnieniu przez nich terminu z osobą dotkniętą tą przemocą.”;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5)</w:t>
      </w:r>
      <w:r w:rsidRPr="00AD07BA">
        <w:rPr>
          <w:rFonts w:ascii="Times" w:eastAsiaTheme="minorEastAsia" w:hAnsi="Times" w:cs="Arial"/>
          <w:bCs/>
        </w:rPr>
        <w:tab/>
        <w:t>w art. 15af ust. 4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„4. Minister właściwy do spraw wewnętrznych określi, w drodze rozporządzenia, wzór zawiadomienia osoby stosującej przemoc w rodzinie, wobec której został wydany nakaz lub zakaz, pozostawionego wobec niemożności doręczenia korespondencji, mając na uwadze konieczność zrozumienia zawiadomienia również przez osoby niekorzystające z profesjonalnej pomocy prawnej.”;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6)</w:t>
      </w:r>
      <w:r w:rsidRPr="00AD07BA">
        <w:rPr>
          <w:rFonts w:ascii="Times" w:eastAsiaTheme="minorEastAsia" w:hAnsi="Times" w:cs="Arial"/>
          <w:bCs/>
        </w:rPr>
        <w:tab/>
        <w:t>w art. 15ag: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w ust. 1:</w:t>
      </w:r>
    </w:p>
    <w:p w:rsidR="00AD07BA" w:rsidRPr="00AD07BA" w:rsidRDefault="00AD07BA" w:rsidP="00AD07BA">
      <w:pPr>
        <w:ind w:left="1384" w:hanging="397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–</w:t>
      </w:r>
      <w:r w:rsidRPr="00AD07BA">
        <w:rPr>
          <w:rFonts w:ascii="Times" w:eastAsiaTheme="minorEastAsia" w:hAnsi="Times" w:cs="Arial"/>
          <w:bCs/>
        </w:rPr>
        <w:tab/>
        <w:t>pkt 1 otrzymuje brzmienie:</w:t>
      </w:r>
    </w:p>
    <w:p w:rsidR="00AD07BA" w:rsidRPr="00AD07BA" w:rsidRDefault="00AD07BA" w:rsidP="00AD07BA">
      <w:pPr>
        <w:ind w:left="1893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„1)</w:t>
      </w:r>
      <w:r w:rsidRPr="00AD07BA">
        <w:rPr>
          <w:rFonts w:ascii="Times" w:eastAsiaTheme="minorEastAsia" w:hAnsi="Times" w:cs="Arial"/>
          <w:bCs/>
        </w:rPr>
        <w:tab/>
        <w:t>możliwości i sposobie złożenia żądania, aby sąd zobowiązał osobę stosującą przemoc w rodzinie do opuszczenia wspólnie zajmowanego mieszkania i jego bezpośredniego otoczenia lub zakazał zbliżania się do mieszkania i jego bezpośredniego otoczenia, lub zakazał zbliżania się do osoby dotkniętej przemocą w rodzinie,”,</w:t>
      </w:r>
    </w:p>
    <w:p w:rsidR="00AD07BA" w:rsidRPr="00AD07BA" w:rsidRDefault="00AD07BA" w:rsidP="00AD07BA">
      <w:pPr>
        <w:ind w:left="1384" w:hanging="397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–</w:t>
      </w:r>
      <w:r w:rsidRPr="00AD07BA">
        <w:rPr>
          <w:rFonts w:ascii="Times" w:eastAsiaTheme="minorEastAsia" w:hAnsi="Times" w:cs="Arial"/>
          <w:bCs/>
        </w:rPr>
        <w:tab/>
        <w:t>pkt 5 otrzymuje brzmienie:</w:t>
      </w:r>
    </w:p>
    <w:p w:rsidR="00AD07BA" w:rsidRPr="00AD07BA" w:rsidRDefault="00AD07BA" w:rsidP="00AD07BA">
      <w:pPr>
        <w:ind w:left="1893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„5)</w:t>
      </w:r>
      <w:r w:rsidRPr="00AD07BA">
        <w:rPr>
          <w:rFonts w:ascii="Times" w:eastAsiaTheme="minorEastAsia" w:hAnsi="Times" w:cs="Arial"/>
          <w:bCs/>
        </w:rPr>
        <w:tab/>
        <w:t>możliwości uzyskania pomocy udzielanej przez podmioty, które otrzymały dotacje z Funduszu Pomocy Pokrzywdzonym oraz Pomocy Postpenitencjarnej, o którym mowa w przepisach Kodeksu karnego wykonawczego, oraz danych teleadresowych, najbliższych miejscowo dla osoby dotkniętej przemocą w rodzinie, siedzib tych podmiotów i innych niezbędnych danych kontaktowych tych podmiotów.”,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ust. 2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lastRenderedPageBreak/>
        <w:t>„2. Policjant, w przypadku wydania nakazu lub zakazu, informuje osobę dotkniętą przemocą w rodzinie o możliwości przekazania jej danych osobowych najbliższemu miejscowo podmiotowi, o którym mowa w ust. 1 pkt 5, w celu udzielenia pomocy, chyba że osoba ta nie wyrazi zgody.”;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7)</w:t>
      </w:r>
      <w:r w:rsidRPr="00AD07BA">
        <w:rPr>
          <w:rFonts w:ascii="Times" w:eastAsiaTheme="minorEastAsia" w:hAnsi="Times" w:cs="Arial"/>
          <w:bCs/>
        </w:rPr>
        <w:tab/>
        <w:t>w art. 15aj ust. 2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„2. Sąd rozpoznaje zażalenie niezwłocznie, nie później jednak niż w ciągu 48 godzin od chwili wpływu zażalenia do sądu.”;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8)</w:t>
      </w:r>
      <w:r w:rsidRPr="00AD07BA">
        <w:rPr>
          <w:rFonts w:ascii="Times" w:eastAsiaTheme="minorEastAsia" w:hAnsi="Times" w:cs="Arial"/>
          <w:bCs/>
        </w:rPr>
        <w:tab/>
        <w:t>w art. 15ak: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ust. 1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„1. Nakaz lub zakaz tracą moc po upływie czternastu dni od dnia ich wydania, chyba że sąd udzielił zabezpieczenia w sprawach o zobowiązanie osoby stosującej przemoc w rodzinie do opuszczenia wspólnie zajmowanego mieszkania i jego bezpośredniego otoczenia lub zakazanie zbliżania się do mieszkania i jego bezpośredniego otoczenia, lub zakazanie zbliżania się do osoby dotkniętej przemocą w rodzinie, którym nakaz lub zakaz zostały przedłużone.”,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w ust. 2 dodaje się zdanie drugie w brzmieniu: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„Zakaz zbliżania się do osoby dotkniętej przemocą w rodzinie nie traci jednak mocy w razie zastosowania środka zapobiegawczego w postaci nakazania okresowego opuszczenia lokalu zajmowanego wspólnie z pokrzywdzonym.”,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c)</w:t>
      </w:r>
      <w:r w:rsidRPr="00AD07BA">
        <w:rPr>
          <w:rFonts w:ascii="Times" w:eastAsiaTheme="minorEastAsia" w:hAnsi="Times" w:cs="Arial"/>
          <w:bCs/>
        </w:rPr>
        <w:tab/>
        <w:t>ust. 3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„3. W przypadku, o którym mowa w ust. 2, prokurator zawiadamia osobę dotkniętą przemocą w rodzinie oraz właściwą jednostkę Policji.”;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9)</w:t>
      </w:r>
      <w:r w:rsidRPr="00AD07BA">
        <w:rPr>
          <w:rFonts w:ascii="Times" w:eastAsiaTheme="minorEastAsia" w:hAnsi="Times" w:cs="Arial"/>
          <w:bCs/>
        </w:rPr>
        <w:tab/>
        <w:t>po art. 15ak dodaje się art. 15al w brzmieniu: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„Art. 15al. Minister właściwy do spraw wewnętrznych składa Sejmowi i Senatowi, w terminie do dnia 30 czerwca, informację o liczbie nakazów lub zakazów wydanych w poprzednim roku kalendarzowym, w tym nakazów lub zakazów uchylonych następnie na podstawie art. 15aj ust. 3.”.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  <w:b/>
        </w:rPr>
        <w:t>Art. 4.</w:t>
      </w:r>
      <w:r w:rsidRPr="00AD07BA">
        <w:rPr>
          <w:rFonts w:ascii="Times" w:eastAsiaTheme="minorEastAsia" w:hAnsi="Times" w:cs="Arial"/>
        </w:rPr>
        <w:t xml:space="preserve"> W ustawie z dnia 24 sierpnia 2001 r. o Żandarmerii Wojskowej i wojskowych organach porządkowych (Dz. U. z 2020 r. poz. 431 i 956) wprowadza się następujące zmiany: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1)</w:t>
      </w:r>
      <w:r w:rsidRPr="00AD07BA">
        <w:rPr>
          <w:rFonts w:ascii="Times" w:eastAsiaTheme="minorEastAsia" w:hAnsi="Times" w:cs="Arial"/>
          <w:bCs/>
        </w:rPr>
        <w:tab/>
        <w:t>w art. 17 w ust. 1 pkt 4 otrzymuje brzmienie:</w:t>
      </w:r>
    </w:p>
    <w:p w:rsidR="00AD07BA" w:rsidRPr="00AD07BA" w:rsidRDefault="00AD07BA" w:rsidP="00AD07BA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„4)</w:t>
      </w:r>
      <w:r w:rsidRPr="00AD07BA">
        <w:rPr>
          <w:rFonts w:ascii="Times" w:eastAsiaTheme="minorEastAsia" w:hAnsi="Times" w:cs="Arial"/>
          <w:bCs/>
        </w:rPr>
        <w:tab/>
        <w:t>zatrzymania w przypadkach określonych w art. 18 ust. 1 i 2 oraz w przepisach innych ustaw;”;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2)</w:t>
      </w:r>
      <w:r w:rsidRPr="00AD07BA">
        <w:rPr>
          <w:rFonts w:ascii="Times" w:eastAsiaTheme="minorEastAsia" w:hAnsi="Times" w:cs="Arial"/>
          <w:bCs/>
        </w:rPr>
        <w:tab/>
        <w:t>w art. 18 w ust. 3 wprowadzenie do wyliczenia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/>
        <w:jc w:val="both"/>
        <w:rPr>
          <w:rFonts w:eastAsiaTheme="minorEastAsia" w:cs="Arial"/>
        </w:rPr>
      </w:pPr>
      <w:r w:rsidRPr="00AD07BA">
        <w:rPr>
          <w:rFonts w:eastAsiaTheme="minorEastAsia" w:cs="Arial"/>
        </w:rPr>
        <w:lastRenderedPageBreak/>
        <w:t>„Żołnierz Żandarmerii Wojskowej w celu stwierdzenia zasadności zatrzymania, o którym mowa w ust. 2, ocenia ryzyko bezpośredniego zagrożenia dla życia lub zdrowia ludzkiego, odrębnie dla osoby dorosłej i dziecka, biorąc pod uwagę w szczególności:”;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3)</w:t>
      </w:r>
      <w:r w:rsidRPr="00AD07BA">
        <w:rPr>
          <w:rFonts w:ascii="Times" w:eastAsiaTheme="minorEastAsia" w:hAnsi="Times" w:cs="Arial"/>
          <w:bCs/>
        </w:rPr>
        <w:tab/>
        <w:t>w art. 18a: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ust. 1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„1. Żołnierz Żandarmerii Wojskowej ma prawo wydać wobec żołnierza pełniącego czynną służbę wojskową,</w:t>
      </w:r>
      <w:r w:rsidRPr="00AD07BA">
        <w:rPr>
          <w:rFonts w:ascii="Times" w:eastAsiaTheme="minorEastAsia" w:hAnsi="Times" w:cs="Arial"/>
          <w:bCs/>
          <w:vertAlign w:val="superscript"/>
        </w:rPr>
        <w:t xml:space="preserve"> </w:t>
      </w:r>
      <w:r w:rsidRPr="00AD07BA">
        <w:rPr>
          <w:rFonts w:ascii="Times" w:eastAsiaTheme="minorEastAsia" w:hAnsi="Times" w:cs="Arial"/>
          <w:bCs/>
        </w:rPr>
        <w:t>stosującego przemoc w rodzinie w rozumieniu przepisów ustawy o przeciwdziałaniu przemocy w rodzinie, stwarzającej zagrożenie dla życia lub zdrowia osoby dotkniętej tą przemocą:</w:t>
      </w:r>
    </w:p>
    <w:p w:rsidR="00AD07BA" w:rsidRPr="00AD07BA" w:rsidRDefault="00AD07BA" w:rsidP="00AD07BA">
      <w:pPr>
        <w:ind w:left="1497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1)</w:t>
      </w:r>
      <w:r w:rsidRPr="00AD07BA">
        <w:rPr>
          <w:rFonts w:ascii="Times" w:eastAsiaTheme="minorEastAsia" w:hAnsi="Times" w:cs="Arial"/>
          <w:bCs/>
        </w:rPr>
        <w:tab/>
        <w:t>nakaz natychmiastowego opuszczenia wspólnie zajmowanego mieszkania i jego bezpośredniego otoczenia, zwany dalej „nakazem” lub</w:t>
      </w:r>
    </w:p>
    <w:p w:rsidR="00AD07BA" w:rsidRPr="00AD07BA" w:rsidRDefault="00AD07BA" w:rsidP="00AD07BA">
      <w:pPr>
        <w:ind w:left="1497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2)</w:t>
      </w:r>
      <w:r w:rsidRPr="00AD07BA">
        <w:rPr>
          <w:rFonts w:ascii="Times" w:eastAsiaTheme="minorEastAsia" w:hAnsi="Times" w:cs="Arial"/>
          <w:bCs/>
        </w:rPr>
        <w:tab/>
        <w:t>zakaz:</w:t>
      </w:r>
    </w:p>
    <w:p w:rsidR="00AD07BA" w:rsidRPr="00AD07BA" w:rsidRDefault="00AD07BA" w:rsidP="00AD07BA">
      <w:pPr>
        <w:ind w:left="1463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zbliżania się do mieszkania i jego bezpośredniego otoczenia lub</w:t>
      </w:r>
    </w:p>
    <w:p w:rsidR="00AD07BA" w:rsidRPr="00AD07BA" w:rsidRDefault="00AD07BA" w:rsidP="00AD07BA">
      <w:pPr>
        <w:ind w:left="1463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zbliżania się do osoby dotkniętej przemocą w rodzinie</w:t>
      </w:r>
    </w:p>
    <w:p w:rsidR="00AD07BA" w:rsidRPr="00AD07BA" w:rsidRDefault="00AD07BA" w:rsidP="00AD07BA">
      <w:pPr>
        <w:ind w:left="987"/>
        <w:jc w:val="both"/>
        <w:rPr>
          <w:rFonts w:ascii="Times" w:eastAsiaTheme="minorEastAsia" w:hAnsi="Times" w:cs="Arial"/>
          <w:bCs/>
          <w:szCs w:val="24"/>
        </w:rPr>
      </w:pPr>
      <w:r w:rsidRPr="00AD07BA">
        <w:rPr>
          <w:rFonts w:ascii="Times" w:eastAsiaTheme="minorEastAsia" w:hAnsi="Times" w:cs="Arial"/>
          <w:bCs/>
          <w:szCs w:val="24"/>
        </w:rPr>
        <w:t>–</w:t>
      </w:r>
      <w:r w:rsidRPr="00AD07BA">
        <w:rPr>
          <w:rFonts w:ascii="Times" w:eastAsiaTheme="minorEastAsia" w:hAnsi="Times" w:cs="Arial"/>
          <w:bCs/>
          <w:szCs w:val="24"/>
        </w:rPr>
        <w:tab/>
        <w:t>zwany dalej „zakazem”.”,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ust. 5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„5. Żołnierz Żandarmerii Wojskowej w nakazie lub zakazie wskazuje obszar lub odległość od wspólnie zajmowanego mieszkania lub od osoby dotkniętej przemocą w rodzinie, którą osoba stosująca przemoc w rodzinie jest obowiązana zachować.”;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4)</w:t>
      </w:r>
      <w:r w:rsidRPr="00AD07BA">
        <w:rPr>
          <w:rFonts w:ascii="Times" w:eastAsiaTheme="minorEastAsia" w:hAnsi="Times" w:cs="Arial"/>
          <w:bCs/>
        </w:rPr>
        <w:tab/>
        <w:t>w art. 18b: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w ust. 4 zdanie drugie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„Żandarmeria Wojskowa w celu ustalenia, czy zachodzą przesłanki, o których mowa w art. 18a ust. 1, oraz w celu wskazania obszaru lub odległości od wspólnie zajmowanego mieszkania lub od osoby dotkniętej przemocą w rodzinie, którą osoba stosująca przemoc w rodzinie jest obowiązana zachować, może przesłuchać w charakterze świadków również inne osoby, w szczególności wszystkie dotknięte tą przemocą osoby pełnoletnie wspólnie zajmujące mieszkanie.”,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po ust. 5 dodaje się ust. 5a w brzmieniu: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 xml:space="preserve">„5a. W przypadku gdy należy się obawiać, że obecność osoby stosującej przemoc w rodzinie będzie oddziaływać krępująco na świadka, Żandarmeria </w:t>
      </w:r>
      <w:r w:rsidRPr="00AD07BA">
        <w:rPr>
          <w:rFonts w:ascii="Times" w:eastAsiaTheme="minorEastAsia" w:hAnsi="Times" w:cs="Arial"/>
          <w:bCs/>
        </w:rPr>
        <w:lastRenderedPageBreak/>
        <w:t>Wojskowa może nakazać tej osobie, aby na czas przesłuchania świadka opuściła miejsce przesłuchania.”,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c)</w:t>
      </w:r>
      <w:r w:rsidRPr="00AD07BA">
        <w:rPr>
          <w:rFonts w:ascii="Times" w:eastAsiaTheme="minorEastAsia" w:hAnsi="Times" w:cs="Arial"/>
          <w:bCs/>
        </w:rPr>
        <w:tab/>
        <w:t>w ust. 9 dodaje się zdanie drugie w brzmieniu: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„W przypadku gdy osobie stosującej przemoc w rodzinie nakazano opuszczenie miejsca przesłuchania świadka, przed przystąpieniem do wysłuchania Żandarmeria Wojskowa informuje osobę stosującą przemoc w rodzinie o treści zeznań złożonych w czasie jej nieobecności oraz umożliwia jej odniesienie się do tych zeznań.”;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5)</w:t>
      </w:r>
      <w:r w:rsidRPr="00AD07BA">
        <w:rPr>
          <w:rFonts w:ascii="Times" w:eastAsiaTheme="minorEastAsia" w:hAnsi="Times" w:cs="Arial"/>
          <w:bCs/>
        </w:rPr>
        <w:tab/>
        <w:t>w art. 18d: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w ust. 1 zdanie drugie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„W razie niemożności doręczenia nakazu lub zakazu osobie stosującej przemoc w rodzinie, doręczenie uważa się za dokonane przez umieszczenie na drzwiach wspólnie zajmowanego mieszkania zawiadomienia o ich wydaniu oraz dokonanie wzmianki o tym fakcie w nakazie lub zakazie wraz ze wskazaniem przyczyny umieszczenia zawiadomienia o wydaniu nakazu lub zakazu.”,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ust. 3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„3. Zawiadomienie, o którym mowa w ust. 1, zawiera imię i nazwisko osoby stosującej przemoc w rodzinie oraz wezwanie do niezwłocznego kontaktu z właściwą jednostką organizacyjną Żandarmerii Wojskowej, a ponadto dostępne po otwarciu zawiadomienia informacje o wydaniu nakazu lub zakazu, podstawie prawnej, miejscu ich odebrania, a także zasadach zabrania ze wspólnie zajmowanego mieszkania lub jego bezpośredniego otoczenia przedmiotów osobistego użytku i służących do świadczenia pracy oraz będących własnością osoby stosującej przemoc w rodzinie zwierząt domowych.”,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c)</w:t>
      </w:r>
      <w:r w:rsidRPr="00AD07BA">
        <w:rPr>
          <w:rFonts w:ascii="Times" w:eastAsiaTheme="minorEastAsia" w:hAnsi="Times" w:cs="Arial"/>
          <w:bCs/>
        </w:rPr>
        <w:tab/>
        <w:t>ust. 5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„5. Minister Obrony Narodowej określi, w drodze rozporządzenia, wzór zawiadomienia, o którym mowa w ust. 1, umieszczanego na drzwiach mieszkania wobec niemożności doręczenia nakazu lub zakazu, mając na uwadze konieczność zrozumienia zawiadomienia również przez osoby niekorzystające z profesjonalnej pomocy prawnej.”;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6)</w:t>
      </w:r>
      <w:r w:rsidRPr="00AD07BA">
        <w:rPr>
          <w:rFonts w:ascii="Times" w:eastAsiaTheme="minorEastAsia" w:hAnsi="Times" w:cs="Arial"/>
          <w:bCs/>
        </w:rPr>
        <w:tab/>
        <w:t>w art. 18e: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ust. 1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lastRenderedPageBreak/>
        <w:t>„1. Czynność opuszczenia wspólnie zajmowanego mieszkania i jego bezpośredniego otoczenia przez osobę stosującą przemoc w rodzinie, wobec której wydano nakaz lub zakaz, wymaga sporządzenia protokołu, który podpisuje ta osoba oraz pełnoletnia osoba dotknięta przemocą w rodzinie uczestnicząca w czynności lub inna pełnoletnia osoba, jeżeli została upoważniona przez osobę dotkniętą przemocą w rodzinie i uczestniczyła w czynności opuszczenia wspólnie zajmowanego mieszkania i jego bezpośredniego otoczenia.”,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w ust. 2 pkt 7 otrzymuje brzmienie:</w:t>
      </w:r>
    </w:p>
    <w:p w:rsidR="00AD07BA" w:rsidRPr="00AD07BA" w:rsidRDefault="00AD07BA" w:rsidP="00AD07BA">
      <w:pPr>
        <w:ind w:left="1497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„7)</w:t>
      </w:r>
      <w:r w:rsidRPr="00AD07BA">
        <w:rPr>
          <w:rFonts w:ascii="Times" w:eastAsiaTheme="minorEastAsia" w:hAnsi="Times" w:cs="Arial"/>
          <w:bCs/>
        </w:rPr>
        <w:tab/>
        <w:t>w miarę potrzeby stwierdzenie innych okoliczności dotyczących przebiegu czynności, w szczególności wskazanie zabranych ze wspólnie zajmowanego mieszkania lub jego bezpośredniego otoczenia przedmiotów osobistego użytku i służących do świadczenia pracy lub zwierząt domowych oraz opis pozostawionego mienia, które według twierdzeń osoby stosującej przemoc w rodzinie, wobec której wydano nakaz lub zakaz, stanowi jej własność.”,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c)</w:t>
      </w:r>
      <w:r w:rsidRPr="00AD07BA">
        <w:rPr>
          <w:rFonts w:ascii="Times" w:eastAsiaTheme="minorEastAsia" w:hAnsi="Times" w:cs="Arial"/>
          <w:bCs/>
        </w:rPr>
        <w:tab/>
        <w:t>w ust. 4 zdanie pierwsze i drugie otrzymują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„Osoba stosująca przemoc w rodzinie, wobec której wydano nakaz lub zakaz, ma prawo zabrać ze wspólnie zajmowanego mieszkania lub jego bezpośredniego otoczenia przedmioty osobistego użytku i służące do świadczenia pracy lub będące jej własnością zwierzęta domowe. W przypadku sprzeciwu osób wspólnie zajmujących mieszkanie przedmioty te lub zwierzęta domowe pozostawia się we wspólnie zajmowanym mieszkaniu lub jego bezpośrednim otoczeniu.”,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d)</w:t>
      </w:r>
      <w:r w:rsidRPr="00AD07BA">
        <w:rPr>
          <w:rFonts w:ascii="Times" w:eastAsiaTheme="minorEastAsia" w:hAnsi="Times" w:cs="Arial"/>
          <w:bCs/>
        </w:rPr>
        <w:tab/>
        <w:t>w ust. 5 zdanie pierwsze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„Jeżeli w okresie obowiązywania nakazu lub zakazu zajdzie potrzeba zabrania przez osobę stosującą przemoc w rodzinie mienia stanowiącego jej własność, w szczególności niezabranych uprzednio przedmiotów osobistego użytku i służących do świadczenia pracy lub zwierząt domowych, ze wspólnie zajmowanego mieszkania lub jego bezpośredniego otoczenia, może się to odbyć jeden raz, wyłącznie w obecności żołnierza Żandarmerii Wojskowej, po wcześniejszym uzgodnieniu przez nich terminu z osobą dotkniętą tą przemocą.”;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7)</w:t>
      </w:r>
      <w:r w:rsidRPr="00AD07BA">
        <w:rPr>
          <w:rFonts w:ascii="Times" w:eastAsiaTheme="minorEastAsia" w:hAnsi="Times" w:cs="Arial"/>
          <w:bCs/>
        </w:rPr>
        <w:tab/>
        <w:t>w art. 18f ust. 4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 xml:space="preserve">„4. Minister Obrony Narodowej określi, w drodze rozporządzenia, wzór zawiadomienia osoby stosującej przemoc w rodzinie, wobec której został wydany nakaz lub zakaz, pozostawionego wobec niemożności doręczenia korespondencji, mając na </w:t>
      </w:r>
      <w:r w:rsidRPr="00AD07BA">
        <w:rPr>
          <w:rFonts w:ascii="Times" w:eastAsiaTheme="minorEastAsia" w:hAnsi="Times" w:cs="Arial"/>
        </w:rPr>
        <w:lastRenderedPageBreak/>
        <w:t>uwadze konieczność zrozumienia zawiadomienia również przez osoby niekorzystające z profesjonalnej pomocy prawnej.”;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8)</w:t>
      </w:r>
      <w:r w:rsidRPr="00AD07BA">
        <w:rPr>
          <w:rFonts w:ascii="Times" w:eastAsiaTheme="minorEastAsia" w:hAnsi="Times" w:cs="Arial"/>
          <w:bCs/>
        </w:rPr>
        <w:tab/>
        <w:t>w art. 18g: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w ust. 1:</w:t>
      </w:r>
    </w:p>
    <w:p w:rsidR="00AD07BA" w:rsidRPr="00AD07BA" w:rsidRDefault="00AD07BA" w:rsidP="00AD07BA">
      <w:pPr>
        <w:ind w:left="1384" w:hanging="397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–</w:t>
      </w:r>
      <w:r w:rsidRPr="00AD07BA">
        <w:rPr>
          <w:rFonts w:ascii="Times" w:eastAsiaTheme="minorEastAsia" w:hAnsi="Times" w:cs="Arial"/>
          <w:bCs/>
        </w:rPr>
        <w:tab/>
        <w:t>pkt 1 otrzymuje brzmienie:</w:t>
      </w:r>
    </w:p>
    <w:p w:rsidR="00AD07BA" w:rsidRPr="00AD07BA" w:rsidRDefault="00AD07BA" w:rsidP="00AD07BA">
      <w:pPr>
        <w:ind w:left="1893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„1)</w:t>
      </w:r>
      <w:r w:rsidRPr="00AD07BA">
        <w:rPr>
          <w:rFonts w:ascii="Times" w:eastAsiaTheme="minorEastAsia" w:hAnsi="Times" w:cs="Arial"/>
          <w:bCs/>
        </w:rPr>
        <w:tab/>
        <w:t>możliwości i sposobie złożenia żądania, aby sąd zobowiązał osobę stosującą przemoc w rodzinie do opuszczenia wspólnie zajmowanego mieszkania i jego bezpośredniego otoczenia lub zakazał zbliżania się do mieszkania i jego bezpośredniego otoczenia, lub zakazał zbliżania się do osoby dotkniętej przemocą w rodzinie,”,</w:t>
      </w:r>
    </w:p>
    <w:p w:rsidR="00AD07BA" w:rsidRPr="00AD07BA" w:rsidRDefault="00AD07BA" w:rsidP="00AD07BA">
      <w:pPr>
        <w:ind w:left="1384" w:hanging="397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–</w:t>
      </w:r>
      <w:r w:rsidRPr="00AD07BA">
        <w:rPr>
          <w:rFonts w:ascii="Times" w:eastAsiaTheme="minorEastAsia" w:hAnsi="Times" w:cs="Arial"/>
          <w:bCs/>
        </w:rPr>
        <w:tab/>
        <w:t>pkt 5 otrzymuje brzmienie:</w:t>
      </w:r>
    </w:p>
    <w:p w:rsidR="00AD07BA" w:rsidRPr="00AD07BA" w:rsidRDefault="00AD07BA" w:rsidP="00AD07BA">
      <w:pPr>
        <w:ind w:left="1893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„5)</w:t>
      </w:r>
      <w:r w:rsidRPr="00AD07BA">
        <w:rPr>
          <w:rFonts w:ascii="Times" w:eastAsiaTheme="minorEastAsia" w:hAnsi="Times" w:cs="Arial"/>
          <w:bCs/>
        </w:rPr>
        <w:tab/>
        <w:t>możliwości uzyskania pomocy udzielanej przez podmioty, które otrzymały dotacje z Funduszu Pomocy Pokrzywdzonym oraz Pomocy Postpenitencjarnej, o którym mowa w przepisach Kodeksu karnego wykonawczego, oraz danych teleadresowych, najbliższych miejscowo dla osoby dotkniętej przemocą w rodzinie, siedzib tych podmiotów i innych niezbędnych danych kontaktowych tych podmiotów.”,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ust. 2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„2. Żołnierz Żandarmerii Wojskowej, w przypadku wydania nakazu lub zakazu, informuje osobę dotkniętą przemocą w rodzinie o możliwości przekazania jej danych osobowych najbliższemu miejscowo podmiotowi, o którym mowa w ust. 1 pkt 5, w celu udzielenia pomocy, chyba że osoba ta nie wyrazi zgody.”;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9)</w:t>
      </w:r>
      <w:r w:rsidRPr="00AD07BA">
        <w:rPr>
          <w:rFonts w:ascii="Times" w:eastAsiaTheme="minorEastAsia" w:hAnsi="Times" w:cs="Arial"/>
          <w:bCs/>
        </w:rPr>
        <w:tab/>
        <w:t>w art. 18j ust. 2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„2. Sąd rozpoznaje zażalenie niezwłocznie, nie później jednak niż w ciągu 48 godzin od chwili wpływu zażalenia do sądu.”;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10)</w:t>
      </w:r>
      <w:r w:rsidRPr="00AD07BA">
        <w:rPr>
          <w:rFonts w:ascii="Times" w:eastAsiaTheme="minorEastAsia" w:hAnsi="Times" w:cs="Arial"/>
          <w:bCs/>
        </w:rPr>
        <w:tab/>
        <w:t>w art. 18k: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ust. 1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„1. Nakaz lub zakaz tracą moc po upływie czternastu dni od dnia ich wydania, chyba że sąd udzielił zabezpieczenia w sprawach o zobowiązanie osoby stosującej przemoc w rodzinie do opuszczenia wspólnie zajmowanego mieszkania i jego bezpośredniego otoczenia lub zakazanie zbliżania się do mieszkania i jego bezpośredniego otoczenia, lub zakazanie zbliżania się do osoby dotkniętej przemocą w rodzinie, którym nakaz lub zakaz zostały przedłużone.”,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lastRenderedPageBreak/>
        <w:t>b)</w:t>
      </w:r>
      <w:r w:rsidRPr="00AD07BA">
        <w:rPr>
          <w:rFonts w:ascii="Times" w:eastAsiaTheme="minorEastAsia" w:hAnsi="Times" w:cs="Arial"/>
          <w:bCs/>
        </w:rPr>
        <w:tab/>
        <w:t>w ust. 2 dodaje się zdanie drugie w brzmieniu: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„Zakaz zbliżania się do osoby dotkniętej przemocą w rodzinie nie traci jednak mocy w razie zastosowania środka zapobiegawczego w postaci nakazania okresowego opuszczenia lokalu zajmowanego wspólnie z pokrzywdzonym.”,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c)</w:t>
      </w:r>
      <w:r w:rsidRPr="00AD07BA">
        <w:rPr>
          <w:rFonts w:ascii="Times" w:eastAsiaTheme="minorEastAsia" w:hAnsi="Times" w:cs="Arial"/>
          <w:bCs/>
        </w:rPr>
        <w:tab/>
        <w:t>ust. 3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 w:firstLine="510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„3. W przypadku, o którym mowa w ust. 2, prokurator zawiadamia osobę dotkniętą przemocą w rodzinie oraz właściwą jednostkę organizacyjną Żandarmerii Wojskowej.”;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11)</w:t>
      </w:r>
      <w:r w:rsidRPr="00AD07BA">
        <w:rPr>
          <w:rFonts w:ascii="Times" w:eastAsiaTheme="minorEastAsia" w:hAnsi="Times" w:cs="Arial"/>
          <w:bCs/>
        </w:rPr>
        <w:tab/>
        <w:t>po art. 18k dodaje się art. 18l w brzmieniu: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„Art. 18l. Minister Obrony Narodowej składa Sejmowi i Senatowi, w terminie do dnia 30 czerwca, informację o liczbie nakazów lub zakazów wydanych w poprzednim roku kalendarzowym, w tym nakazów lub zakazów uchylonych następnie na podstawie art. 18j ust. 3.”;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12)</w:t>
      </w:r>
      <w:r w:rsidRPr="00AD07BA">
        <w:rPr>
          <w:rFonts w:ascii="Times" w:eastAsiaTheme="minorEastAsia" w:hAnsi="Times" w:cs="Arial"/>
          <w:bCs/>
        </w:rPr>
        <w:tab/>
        <w:t>w art. 30d w ust. 1: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a)</w:t>
      </w:r>
      <w:r w:rsidRPr="00AD07BA">
        <w:rPr>
          <w:rFonts w:ascii="Times" w:eastAsiaTheme="minorEastAsia" w:hAnsi="Times" w:cs="Arial"/>
          <w:bCs/>
        </w:rPr>
        <w:tab/>
        <w:t>wprowadzenie do wyliczenia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</w:rPr>
      </w:pPr>
      <w:r w:rsidRPr="00AD07BA">
        <w:rPr>
          <w:rFonts w:eastAsiaTheme="minorEastAsia" w:cs="Arial"/>
          <w:bCs/>
        </w:rPr>
        <w:t>„Żandarmeria Wojskowa, w celu realizacji zadań ustawowych związanych z przeciwdziałaniem przemocy w rodzinie, może przetwarzać informacje, w tym dane osobowe, o osobach dotkniętych przemocą w rodzinie oraz osobach stosujących tę przemoc, wobec których:”,</w:t>
      </w:r>
    </w:p>
    <w:p w:rsidR="00AD07BA" w:rsidRPr="00AD07BA" w:rsidRDefault="00AD07BA" w:rsidP="00AD07BA">
      <w:pPr>
        <w:ind w:left="986" w:hanging="476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b)</w:t>
      </w:r>
      <w:r w:rsidRPr="00AD07BA">
        <w:rPr>
          <w:rFonts w:ascii="Times" w:eastAsiaTheme="minorEastAsia" w:hAnsi="Times" w:cs="Arial"/>
          <w:bCs/>
        </w:rPr>
        <w:tab/>
        <w:t>pkt 4 otrzymuje brzmienie:</w:t>
      </w:r>
    </w:p>
    <w:p w:rsidR="00AD07BA" w:rsidRPr="00AD07BA" w:rsidRDefault="00AD07BA" w:rsidP="00AD07BA">
      <w:pPr>
        <w:ind w:left="1497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„4)</w:t>
      </w:r>
      <w:r w:rsidRPr="00AD07BA">
        <w:rPr>
          <w:rFonts w:ascii="Times" w:eastAsiaTheme="minorEastAsia" w:hAnsi="Times" w:cs="Arial"/>
          <w:bCs/>
        </w:rPr>
        <w:tab/>
        <w:t>orzeczono o zobowiązaniu osoby stosującej przemoc w rodzinie do opuszczenia wspólnie zajmowanego mieszkania i jego bezpośredniego otoczenia lub zakazanie zbliżania się do mieszkania i jego bezpośredniego otoczenia na podstawie art. 11a ustawy o przeciwdziałaniu przemocy w rodzinie, lub orzeczono zakazanie zbliżania się do osoby dotkniętej przemocą w rodzinie na podstawie art. 11aa ustawy o przeciwdziałaniu przemocy w rodzinie, w tym przez udzielenie zabezpieczenia w tym przedmiocie.”.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  <w:b/>
        </w:rPr>
        <w:t>Art. 5.</w:t>
      </w:r>
      <w:r w:rsidRPr="00AD07BA">
        <w:rPr>
          <w:rFonts w:ascii="Times" w:eastAsiaTheme="minorEastAsia" w:hAnsi="Times" w:cs="Arial"/>
        </w:rPr>
        <w:t xml:space="preserve"> W ustawie z dnia 28 lipca 2005 r. o kosztach sądowych w sprawach cywilnych (Dz. U. z 2020 r. poz. 755, 807 i 956) w art. 96 w ust. 1 pkt 15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  <w:b/>
        </w:rPr>
      </w:pPr>
      <w:r w:rsidRPr="00AD07BA">
        <w:rPr>
          <w:rFonts w:ascii="Times" w:eastAsiaTheme="minorEastAsia" w:hAnsi="Times" w:cs="Arial"/>
        </w:rPr>
        <w:t>„15)</w:t>
      </w:r>
      <w:r w:rsidRPr="00AD07BA">
        <w:rPr>
          <w:rFonts w:ascii="Times" w:eastAsiaTheme="minorEastAsia" w:hAnsi="Times" w:cs="Arial"/>
        </w:rPr>
        <w:tab/>
        <w:t xml:space="preserve">osoba dotknięta przemocą w rodzinie w sprawach o zobowiązanie osoby stosującej przemoc w rodzinie do opuszczenia wspólnie zajmowanego mieszkania </w:t>
      </w:r>
      <w:r w:rsidRPr="00AD07BA">
        <w:rPr>
          <w:rFonts w:ascii="Times" w:eastAsiaTheme="minorEastAsia" w:hAnsi="Times" w:cs="Arial"/>
        </w:rPr>
        <w:lastRenderedPageBreak/>
        <w:t>i jego bezpośredniego otoczenia lub zakazanie zbliżania się do tego mieszkania i jego bezpośredniego otoczenia, lub zakazanie zbliżania się do niej.”.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  <w:b/>
        </w:rPr>
        <w:t xml:space="preserve">Art. 6. </w:t>
      </w:r>
      <w:r w:rsidRPr="00AD07BA">
        <w:rPr>
          <w:rFonts w:ascii="Times" w:eastAsiaTheme="minorEastAsia" w:hAnsi="Times" w:cs="Arial"/>
        </w:rPr>
        <w:t>W ustawie z dnia 29 lipca 2005 r. o przeciwdziałaniu przemocy w rodzinie (Dz. U. z 2020 r. poz. 218 i 956) wprowadza się następujące zmiany: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1)</w:t>
      </w:r>
      <w:r w:rsidRPr="00AD07BA">
        <w:rPr>
          <w:rFonts w:ascii="Times" w:eastAsiaTheme="minorEastAsia" w:hAnsi="Times" w:cs="Arial"/>
          <w:bCs/>
        </w:rPr>
        <w:tab/>
        <w:t>w art. 9d ust. 2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„2. Procedura „Niebieskie Karty” obejmuje ogół czynności podejmowanych i realizowanych przez przedstawicieli jednostek organizacyjnych pomocy społecznej, gminnych komisji rozwiązywania problemów alkoholowych, Policji, Żandarmerii Wojskowej, oświaty i ochrony zdrowia, w związku z uzasadnionym podejrzeniem zaistnienia przemocy w rodzinie.”;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2)</w:t>
      </w:r>
      <w:r w:rsidRPr="00AD07BA">
        <w:rPr>
          <w:rFonts w:ascii="Times" w:eastAsiaTheme="minorEastAsia" w:hAnsi="Times" w:cs="Arial"/>
          <w:bCs/>
        </w:rPr>
        <w:tab/>
        <w:t>po art. 11a dodaje się art. 11aa w brzmieniu: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</w:rPr>
        <w:t>„Art. 11aa. Jeżeli osoba dotknięta przemocą w rodzinie obawia się, że członek rodziny, o którym mowa w art. 11a ust. 1, będzie stosował wobec niej przemoc poza wspólnie zajmowanym mieszkaniem i jego bezpośrednim otoczeniem, może żądać, aby sąd, właściwy według przepisów ustawy z dnia 17 listopada 1964 r. – Kodeks postępowania cywilnego o postępowaniu nieprocesowym, zakazał mu zbliżania się do niej.”;</w:t>
      </w:r>
    </w:p>
    <w:p w:rsidR="00AD07BA" w:rsidRPr="00AD07BA" w:rsidRDefault="00AD07BA" w:rsidP="00AD07BA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AD07BA">
        <w:rPr>
          <w:rFonts w:ascii="Times" w:eastAsiaTheme="minorEastAsia" w:hAnsi="Times" w:cs="Arial"/>
          <w:bCs/>
        </w:rPr>
        <w:t>3)</w:t>
      </w:r>
      <w:r w:rsidRPr="00AD07BA">
        <w:rPr>
          <w:rFonts w:ascii="Times" w:eastAsiaTheme="minorEastAsia" w:hAnsi="Times" w:cs="Arial"/>
          <w:bCs/>
        </w:rPr>
        <w:tab/>
        <w:t>w art. 12b w ust. 3 zdanie pierwsze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/>
        <w:jc w:val="both"/>
        <w:rPr>
          <w:rFonts w:eastAsiaTheme="minorEastAsia" w:cs="Arial"/>
        </w:rPr>
      </w:pPr>
      <w:r w:rsidRPr="00AD07BA">
        <w:rPr>
          <w:rFonts w:eastAsiaTheme="minorEastAsia" w:cs="Arial"/>
        </w:rPr>
        <w:t>„Sąd rozpoznaje zażalenie niezwłocznie, nie później jednak niż w ciągu 24 godzin od chwili wpływu zażalenia do sądu.”.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  <w:b/>
        </w:rPr>
        <w:t xml:space="preserve">Art. 7. </w:t>
      </w:r>
      <w:r w:rsidRPr="00AD07BA">
        <w:rPr>
          <w:rFonts w:ascii="Times" w:eastAsiaTheme="minorEastAsia" w:hAnsi="Times" w:cs="Arial"/>
        </w:rPr>
        <w:t>W ustawie z dnia 30 kwietnia 2020 r. o zmianie ustawy – Kodeks postępowania cywilnego oraz niektórych innych ustaw (Dz. U. poz. 956) w art. 3 w pkt 5 polecenie nowelizacyjne otrzymuje brzmienie:</w:t>
      </w:r>
    </w:p>
    <w:p w:rsidR="00AD07BA" w:rsidRPr="00AD07BA" w:rsidRDefault="00AD07BA" w:rsidP="00AD07BA">
      <w:pPr>
        <w:suppressAutoHyphens/>
        <w:autoSpaceDE w:val="0"/>
        <w:autoSpaceDN w:val="0"/>
        <w:adjustRightInd w:val="0"/>
        <w:ind w:left="510"/>
        <w:jc w:val="both"/>
        <w:rPr>
          <w:rFonts w:eastAsiaTheme="minorEastAsia" w:cs="Arial"/>
        </w:rPr>
      </w:pPr>
      <w:r w:rsidRPr="00AD07BA">
        <w:rPr>
          <w:rFonts w:eastAsiaTheme="minorEastAsia" w:cs="Arial"/>
        </w:rPr>
        <w:t>„w art. 55 w ust. 1 pkt 1 i 2 otrzymują brzmienie:”.</w:t>
      </w:r>
    </w:p>
    <w:p w:rsidR="00AD07BA" w:rsidRDefault="00AD07BA" w:rsidP="00AD07BA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AD07BA">
        <w:rPr>
          <w:rFonts w:ascii="Times" w:eastAsiaTheme="minorEastAsia" w:hAnsi="Times" w:cs="Arial"/>
          <w:b/>
        </w:rPr>
        <w:t xml:space="preserve">Art. 8. </w:t>
      </w:r>
      <w:r w:rsidRPr="00AD07BA">
        <w:rPr>
          <w:rFonts w:ascii="Times" w:eastAsiaTheme="minorEastAsia" w:hAnsi="Times" w:cs="Arial"/>
        </w:rPr>
        <w:t>Ustawa wchodzi w życie z dniem 30 listopada 2020 r.</w:t>
      </w:r>
    </w:p>
    <w:p w:rsidR="009A4937" w:rsidRDefault="009A4937" w:rsidP="007063CE">
      <w:pPr>
        <w:keepNext/>
        <w:suppressAutoHyphens/>
        <w:spacing w:after="360"/>
        <w:jc w:val="center"/>
        <w:rPr>
          <w:b/>
        </w:rPr>
      </w:pPr>
      <w:bookmarkStart w:id="0" w:name="_GoBack"/>
      <w:bookmarkEnd w:id="0"/>
    </w:p>
    <w:sectPr w:rsidR="009A4937" w:rsidSect="007063CE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F79" w:rsidRDefault="00160F79" w:rsidP="009A4937">
      <w:pPr>
        <w:spacing w:line="240" w:lineRule="auto"/>
      </w:pPr>
      <w:r>
        <w:separator/>
      </w:r>
    </w:p>
  </w:endnote>
  <w:endnote w:type="continuationSeparator" w:id="0">
    <w:p w:rsidR="00160F79" w:rsidRDefault="00160F79" w:rsidP="009A4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F79" w:rsidRDefault="00160F79" w:rsidP="009A4937">
      <w:pPr>
        <w:spacing w:line="240" w:lineRule="auto"/>
      </w:pPr>
      <w:r>
        <w:separator/>
      </w:r>
    </w:p>
  </w:footnote>
  <w:footnote w:type="continuationSeparator" w:id="0">
    <w:p w:rsidR="00160F79" w:rsidRDefault="00160F79" w:rsidP="009A4937">
      <w:pPr>
        <w:spacing w:line="240" w:lineRule="auto"/>
      </w:pPr>
      <w:r>
        <w:continuationSeparator/>
      </w:r>
    </w:p>
  </w:footnote>
  <w:footnote w:id="1">
    <w:p w:rsidR="00AD07BA" w:rsidRDefault="00AD07BA" w:rsidP="00AD07B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</w:t>
      </w:r>
      <w:r w:rsidRPr="004B0774">
        <w:t>ustaw</w:t>
      </w:r>
      <w:r>
        <w:t>ę</w:t>
      </w:r>
      <w:r w:rsidRPr="004B0774">
        <w:t xml:space="preserve"> z dnia 20 maja 1971 r. – Kodeks wykroczeń</w:t>
      </w:r>
      <w:r>
        <w:t>, ustawę z dnia 6 </w:t>
      </w:r>
      <w:r w:rsidRPr="002C225A">
        <w:t>kwietnia 1990 r.</w:t>
      </w:r>
      <w:r>
        <w:t xml:space="preserve"> o Policji, ustawę z dnia 24 </w:t>
      </w:r>
      <w:r w:rsidRPr="00FC46A5">
        <w:t>sierpnia 2001 r. o Żandarmerii Wojskowej i</w:t>
      </w:r>
      <w:r>
        <w:t xml:space="preserve"> </w:t>
      </w:r>
      <w:r w:rsidRPr="00FC46A5">
        <w:t>wojskowych organach porządkowy</w:t>
      </w:r>
      <w:r>
        <w:t xml:space="preserve">ch, ustawę z dnia </w:t>
      </w:r>
      <w:r w:rsidRPr="00FC46A5">
        <w:t>28 lipca 2005 r. o kosztach sądowych w sprawach cywilnych</w:t>
      </w:r>
      <w:r>
        <w:t>,</w:t>
      </w:r>
      <w:r w:rsidRPr="004B0774">
        <w:t xml:space="preserve"> </w:t>
      </w:r>
      <w:r>
        <w:t>ustawę z dnia 29 lipca 2005 r. o przeciwdziałaniu przemocy w rodzinie</w:t>
      </w:r>
      <w:r w:rsidRPr="00923D4C">
        <w:t xml:space="preserve"> </w:t>
      </w:r>
      <w:r>
        <w:t>oraz ustawę</w:t>
      </w:r>
      <w:r w:rsidRPr="000D39E4">
        <w:t xml:space="preserve"> </w:t>
      </w:r>
      <w:r w:rsidRPr="00923D4C">
        <w:t xml:space="preserve">z dnia 30 kwietnia </w:t>
      </w:r>
      <w:r>
        <w:t>2020 r. o zmianie ustawy – Kodeks postępowania cywilnego oraz niektórych innych ustaw.</w:t>
      </w:r>
    </w:p>
  </w:footnote>
  <w:footnote w:id="2">
    <w:p w:rsidR="00AD07BA" w:rsidRDefault="00AD07BA" w:rsidP="00AD07BA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2019 r. poz. 1469, 1495, 1649, 1655, 1798, 1802, 1818, 2070, 2089, 2128 i 2217 oraz z 2020 r. poz. 288, 462, 875, 956, 1017 i 1086.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07BA" w:rsidRPr="00704BFF" w:rsidRDefault="00AD07BA" w:rsidP="00704B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622CE"/>
    <w:multiLevelType w:val="hybridMultilevel"/>
    <w:tmpl w:val="FAE2342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D9636AF"/>
    <w:multiLevelType w:val="hybridMultilevel"/>
    <w:tmpl w:val="37A08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2230F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D32FB"/>
    <w:multiLevelType w:val="hybridMultilevel"/>
    <w:tmpl w:val="E9B6A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6" w15:restartNumberingAfterBreak="0">
    <w:nsid w:val="239C4525"/>
    <w:multiLevelType w:val="hybridMultilevel"/>
    <w:tmpl w:val="F7DA2FF0"/>
    <w:lvl w:ilvl="0" w:tplc="04150001">
      <w:start w:val="1"/>
      <w:numFmt w:val="bullet"/>
      <w:lvlText w:val=""/>
      <w:lvlJc w:val="left"/>
      <w:pPr>
        <w:ind w:left="10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7" w15:restartNumberingAfterBreak="0">
    <w:nsid w:val="27471732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9" w15:restartNumberingAfterBreak="0">
    <w:nsid w:val="308D4468"/>
    <w:multiLevelType w:val="hybridMultilevel"/>
    <w:tmpl w:val="D4100F8A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E73566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B931C1"/>
    <w:multiLevelType w:val="hybridMultilevel"/>
    <w:tmpl w:val="54AEF948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94068"/>
    <w:multiLevelType w:val="hybridMultilevel"/>
    <w:tmpl w:val="42EE01C6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AE628D"/>
    <w:multiLevelType w:val="hybridMultilevel"/>
    <w:tmpl w:val="558C611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51D1231"/>
    <w:multiLevelType w:val="hybridMultilevel"/>
    <w:tmpl w:val="11CAB3E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7E232E"/>
    <w:multiLevelType w:val="hybridMultilevel"/>
    <w:tmpl w:val="D62C1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016C30"/>
    <w:multiLevelType w:val="hybridMultilevel"/>
    <w:tmpl w:val="9CE0B724"/>
    <w:lvl w:ilvl="0" w:tplc="31781D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9" w15:restartNumberingAfterBreak="0">
    <w:nsid w:val="74663D3D"/>
    <w:multiLevelType w:val="hybridMultilevel"/>
    <w:tmpl w:val="3036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77012A1F"/>
    <w:multiLevelType w:val="hybridMultilevel"/>
    <w:tmpl w:val="72161E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82E5354"/>
    <w:multiLevelType w:val="hybridMultilevel"/>
    <w:tmpl w:val="0094A6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4F00D7"/>
    <w:multiLevelType w:val="hybridMultilevel"/>
    <w:tmpl w:val="D54EA1CA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D46462"/>
    <w:multiLevelType w:val="hybridMultilevel"/>
    <w:tmpl w:val="0D2A66B0"/>
    <w:lvl w:ilvl="0" w:tplc="F1A035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5"/>
  </w:num>
  <w:num w:numId="4">
    <w:abstractNumId w:val="5"/>
  </w:num>
  <w:num w:numId="5">
    <w:abstractNumId w:val="20"/>
  </w:num>
  <w:num w:numId="6">
    <w:abstractNumId w:val="18"/>
  </w:num>
  <w:num w:numId="7">
    <w:abstractNumId w:val="20"/>
  </w:num>
  <w:num w:numId="8">
    <w:abstractNumId w:val="18"/>
  </w:num>
  <w:num w:numId="9">
    <w:abstractNumId w:val="20"/>
  </w:num>
  <w:num w:numId="10">
    <w:abstractNumId w:val="18"/>
  </w:num>
  <w:num w:numId="11">
    <w:abstractNumId w:val="1"/>
  </w:num>
  <w:num w:numId="12">
    <w:abstractNumId w:val="11"/>
  </w:num>
  <w:num w:numId="13">
    <w:abstractNumId w:val="9"/>
  </w:num>
  <w:num w:numId="14">
    <w:abstractNumId w:val="3"/>
  </w:num>
  <w:num w:numId="15">
    <w:abstractNumId w:val="19"/>
  </w:num>
  <w:num w:numId="16">
    <w:abstractNumId w:val="12"/>
  </w:num>
  <w:num w:numId="17">
    <w:abstractNumId w:val="24"/>
  </w:num>
  <w:num w:numId="18">
    <w:abstractNumId w:val="17"/>
  </w:num>
  <w:num w:numId="19">
    <w:abstractNumId w:val="13"/>
  </w:num>
  <w:num w:numId="20">
    <w:abstractNumId w:val="0"/>
  </w:num>
  <w:num w:numId="21">
    <w:abstractNumId w:val="10"/>
  </w:num>
  <w:num w:numId="22">
    <w:abstractNumId w:val="6"/>
  </w:num>
  <w:num w:numId="23">
    <w:abstractNumId w:val="7"/>
  </w:num>
  <w:num w:numId="24">
    <w:abstractNumId w:val="4"/>
  </w:num>
  <w:num w:numId="25">
    <w:abstractNumId w:val="23"/>
  </w:num>
  <w:num w:numId="26">
    <w:abstractNumId w:val="22"/>
  </w:num>
  <w:num w:numId="27">
    <w:abstractNumId w:val="15"/>
  </w:num>
  <w:num w:numId="28">
    <w:abstractNumId w:val="14"/>
  </w:num>
  <w:num w:numId="29">
    <w:abstractNumId w:val="2"/>
  </w:num>
  <w:num w:numId="30">
    <w:abstractNumId w:val="21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937"/>
    <w:rsid w:val="0001613E"/>
    <w:rsid w:val="000A5CE8"/>
    <w:rsid w:val="00160F79"/>
    <w:rsid w:val="0018049A"/>
    <w:rsid w:val="001A4397"/>
    <w:rsid w:val="002B0A43"/>
    <w:rsid w:val="00382AAC"/>
    <w:rsid w:val="003B7FBE"/>
    <w:rsid w:val="00474670"/>
    <w:rsid w:val="004F1121"/>
    <w:rsid w:val="00527E52"/>
    <w:rsid w:val="0056045F"/>
    <w:rsid w:val="00695AD3"/>
    <w:rsid w:val="006E58F9"/>
    <w:rsid w:val="006E73F1"/>
    <w:rsid w:val="006F026C"/>
    <w:rsid w:val="00704BFF"/>
    <w:rsid w:val="007063CE"/>
    <w:rsid w:val="00735880"/>
    <w:rsid w:val="00777F90"/>
    <w:rsid w:val="00874611"/>
    <w:rsid w:val="008758BB"/>
    <w:rsid w:val="008C7EE7"/>
    <w:rsid w:val="009A4937"/>
    <w:rsid w:val="009D2757"/>
    <w:rsid w:val="00A06AF3"/>
    <w:rsid w:val="00AD07BA"/>
    <w:rsid w:val="00AF364E"/>
    <w:rsid w:val="00B5303C"/>
    <w:rsid w:val="00D37E95"/>
    <w:rsid w:val="00D829F5"/>
    <w:rsid w:val="00E15D93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C30EFB-1C04-4500-975B-9B9BE446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qFormat/>
    <w:rsid w:val="00D37E95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4">
    <w:name w:val="heading 4"/>
    <w:basedOn w:val="Normalny"/>
    <w:next w:val="Normalny"/>
    <w:link w:val="Nagwek4Znak"/>
    <w:unhideWhenUsed/>
    <w:qFormat/>
    <w:rsid w:val="00AD07B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uiPriority w:val="99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Nagwek">
    <w:name w:val="header"/>
    <w:basedOn w:val="Normalny"/>
    <w:link w:val="Nagwek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937"/>
    <w:rPr>
      <w:sz w:val="24"/>
    </w:rPr>
  </w:style>
  <w:style w:type="character" w:styleId="Odwoanieprzypisudolnego">
    <w:name w:val="footnote reference"/>
    <w:uiPriority w:val="99"/>
    <w:semiHidden/>
    <w:rsid w:val="009A49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9A4937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9A4937"/>
    <w:rPr>
      <w:b w:val="0"/>
      <w:i w:val="0"/>
      <w:vanish w:val="0"/>
      <w:spacing w:val="0"/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A49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937"/>
    <w:rPr>
      <w:sz w:val="24"/>
    </w:rPr>
  </w:style>
  <w:style w:type="character" w:customStyle="1" w:styleId="Nagwek1Znak">
    <w:name w:val="Nagłówek 1 Znak"/>
    <w:basedOn w:val="Domylnaczcionkaakapitu"/>
    <w:link w:val="Nagwek1"/>
    <w:rsid w:val="00D37E95"/>
    <w:rPr>
      <w:rFonts w:ascii="Arial" w:hAnsi="Arial" w:cs="Arial"/>
      <w:b/>
      <w:bCs/>
      <w:kern w:val="32"/>
      <w:sz w:val="32"/>
      <w:szCs w:val="32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D37E95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hAnsi="Times" w:cs="Arial"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E9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E95"/>
    <w:rPr>
      <w:rFonts w:ascii="Tahoma" w:hAnsi="Tahoma" w:cs="Tahoma"/>
      <w:sz w:val="16"/>
      <w:szCs w:val="16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18049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18049A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18049A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1"/>
    <w:qFormat/>
    <w:rsid w:val="0018049A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18049A"/>
    <w:pPr>
      <w:spacing w:before="0"/>
    </w:pPr>
    <w:rPr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18049A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18049A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character" w:customStyle="1" w:styleId="Ppogrubienie">
    <w:name w:val="_P_ – pogrubienie"/>
    <w:basedOn w:val="Domylnaczcionkaakapitu"/>
    <w:uiPriority w:val="1"/>
    <w:qFormat/>
    <w:rsid w:val="0018049A"/>
    <w:rPr>
      <w:b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1"/>
    <w:locked/>
    <w:rsid w:val="0018049A"/>
    <w:rPr>
      <w:rFonts w:ascii="Times" w:eastAsiaTheme="minorEastAsia" w:hAnsi="Times" w:cs="Arial"/>
      <w:sz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99"/>
    <w:qFormat/>
    <w:rsid w:val="0018049A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99"/>
    <w:rsid w:val="0018049A"/>
    <w:rPr>
      <w:rFonts w:ascii="Times" w:eastAsiaTheme="minorEastAsia" w:hAnsi="Times" w:cs="Arial"/>
      <w:bCs/>
      <w:sz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18049A"/>
    <w:rPr>
      <w:rFonts w:ascii="Times" w:hAnsi="Times"/>
      <w:b/>
      <w:bCs/>
      <w:caps/>
      <w:spacing w:val="54"/>
      <w:kern w:val="24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rsid w:val="0018049A"/>
    <w:pPr>
      <w:widowControl w:val="0"/>
      <w:autoSpaceDE w:val="0"/>
      <w:autoSpaceDN w:val="0"/>
      <w:adjustRightInd w:val="0"/>
      <w:spacing w:after="120"/>
      <w:jc w:val="both"/>
    </w:pPr>
    <w:rPr>
      <w:rFonts w:eastAsiaTheme="minorEastAsia" w:cs="Aria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18049A"/>
    <w:rPr>
      <w:rFonts w:eastAsiaTheme="minorEastAsia" w:cs="Arial"/>
      <w:sz w:val="24"/>
    </w:rPr>
  </w:style>
  <w:style w:type="paragraph" w:styleId="Akapitzlist">
    <w:name w:val="List Paragraph"/>
    <w:basedOn w:val="Normalny"/>
    <w:uiPriority w:val="34"/>
    <w:qFormat/>
    <w:rsid w:val="006E73F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4Znak">
    <w:name w:val="Nagłówek 4 Znak"/>
    <w:basedOn w:val="Domylnaczcionkaakapitu"/>
    <w:link w:val="Nagwek4"/>
    <w:rsid w:val="00AD07BA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07BA"/>
    <w:pPr>
      <w:spacing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07BA"/>
    <w:rPr>
      <w:rFonts w:ascii="Calibri" w:eastAsia="Calibri" w:hAnsi="Calibri"/>
      <w:lang w:eastAsia="en-US"/>
    </w:rPr>
  </w:style>
  <w:style w:type="character" w:styleId="Hipercze">
    <w:name w:val="Hyperlink"/>
    <w:uiPriority w:val="99"/>
    <w:unhideWhenUsed/>
    <w:rsid w:val="00AD07BA"/>
    <w:rPr>
      <w:color w:val="0000FF"/>
      <w:u w:val="single"/>
    </w:rPr>
  </w:style>
  <w:style w:type="paragraph" w:customStyle="1" w:styleId="tresc">
    <w:name w:val="tresc"/>
    <w:basedOn w:val="Normalny"/>
    <w:rsid w:val="00AD07BA"/>
    <w:pPr>
      <w:spacing w:after="300" w:line="240" w:lineRule="auto"/>
    </w:pPr>
    <w:rPr>
      <w:rFonts w:ascii="inherit" w:hAnsi="inherit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9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3F0CE0-C5AF-4609-922D-9891938A7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3631</Words>
  <Characters>21792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25373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5</cp:revision>
  <dcterms:created xsi:type="dcterms:W3CDTF">2020-08-13T09:27:00Z</dcterms:created>
  <dcterms:modified xsi:type="dcterms:W3CDTF">2020-09-04T10:32:00Z</dcterms:modified>
</cp:coreProperties>
</file>