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7BA" w:rsidRPr="00AD07BA" w:rsidRDefault="00AD07BA" w:rsidP="00AD07BA">
      <w:pPr>
        <w:keepNext/>
        <w:suppressAutoHyphens/>
        <w:spacing w:after="360"/>
        <w:jc w:val="center"/>
        <w:rPr>
          <w:rFonts w:ascii="Times" w:hAnsi="Times"/>
          <w:b/>
          <w:bCs/>
          <w:caps/>
          <w:spacing w:val="54"/>
          <w:kern w:val="24"/>
          <w:szCs w:val="24"/>
        </w:rPr>
      </w:pPr>
      <w:r w:rsidRPr="00AD07BA">
        <w:rPr>
          <w:rFonts w:ascii="Times" w:hAnsi="Times"/>
          <w:b/>
          <w:bCs/>
          <w:caps/>
          <w:spacing w:val="54"/>
          <w:kern w:val="24"/>
          <w:szCs w:val="24"/>
        </w:rPr>
        <w:t>UZASADNIENIE</w:t>
      </w:r>
    </w:p>
    <w:p w:rsidR="00AD07BA" w:rsidRPr="00AD07BA" w:rsidRDefault="00AD07BA" w:rsidP="00AD07BA">
      <w:pPr>
        <w:keepNext/>
        <w:widowControl w:val="0"/>
        <w:autoSpaceDE w:val="0"/>
        <w:autoSpaceDN w:val="0"/>
        <w:adjustRightInd w:val="0"/>
        <w:spacing w:before="360"/>
        <w:jc w:val="both"/>
        <w:rPr>
          <w:rFonts w:eastAsiaTheme="minorEastAsia" w:cs="Arial"/>
          <w:b/>
          <w:szCs w:val="24"/>
        </w:rPr>
      </w:pPr>
      <w:r w:rsidRPr="00AD07BA">
        <w:rPr>
          <w:rFonts w:eastAsiaTheme="minorEastAsia" w:cs="Arial"/>
          <w:b/>
          <w:szCs w:val="24"/>
        </w:rPr>
        <w:t>1. Cel projektowanej ustawy</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bCs/>
        </w:rPr>
      </w:pPr>
      <w:r w:rsidRPr="00AD07BA">
        <w:rPr>
          <w:rFonts w:ascii="Times" w:eastAsiaTheme="minorEastAsia" w:hAnsi="Times" w:cs="Arial"/>
          <w:bCs/>
        </w:rPr>
        <w:t xml:space="preserve">W trakcie prac nad ustawą z dnia 30 kwietnia 2020 r. o zmianie ustawy – Kodeks postępowania cywilnego oraz niektórych innych ustaw (dalej także jako nowela z 30 kwietnia 2020 r.) większość senacka dostrzegła jej mankamenty legislacyjne, niemniej wsłuchując się </w:t>
      </w:r>
      <w:r w:rsidRPr="00AD07BA">
        <w:rPr>
          <w:rFonts w:ascii="Times" w:eastAsiaTheme="minorEastAsia" w:hAnsi="Times" w:cs="Arial"/>
          <w:bCs/>
          <w:spacing w:val="-2"/>
        </w:rPr>
        <w:t xml:space="preserve">w apele środowisk zaangażowanych w zwalczanie zjawiska przemocy domowej oraz udzielanie </w:t>
      </w:r>
      <w:r w:rsidRPr="00AD07BA">
        <w:rPr>
          <w:rFonts w:ascii="Times" w:eastAsiaTheme="minorEastAsia" w:hAnsi="Times" w:cs="Arial"/>
          <w:bCs/>
        </w:rPr>
        <w:t>pomocy ofiarom takiej przemocy, uznała, że priorytetem jest przyjęcie ustawy bez poprawek, bo tylko wtedy zostanie niezwłocznie przekazana Prezydentowi Rzeczypospolitej Polskiej i będzie można żywić nadzieję, że w krótkim czasie zostanie podpisana, a następnie ogłoszona. Senatorowie wciąż jednak uważają, że zachodzi potrzeba wprowadzenia korekt w nowych przepisach i dlatego zdecydowali się na złożenie niniejszej inicjatywy ustawodawczej, która wyeliminuje ewidentne wady i niedostatki noweli z 30 kwietnia 2020 r. Senat pragnie w ten sposób zrealizować powierzone mu zadanie polegające na dbaniu o jakość stanowionego prawa.</w:t>
      </w:r>
    </w:p>
    <w:p w:rsidR="00AD07BA" w:rsidRPr="00AD07BA" w:rsidRDefault="00AD07BA" w:rsidP="00AD07BA">
      <w:pPr>
        <w:keepNext/>
        <w:widowControl w:val="0"/>
        <w:autoSpaceDE w:val="0"/>
        <w:autoSpaceDN w:val="0"/>
        <w:adjustRightInd w:val="0"/>
        <w:spacing w:before="360"/>
        <w:jc w:val="both"/>
        <w:rPr>
          <w:rFonts w:eastAsiaTheme="minorEastAsia" w:cs="Arial"/>
          <w:b/>
          <w:szCs w:val="24"/>
        </w:rPr>
      </w:pPr>
      <w:r w:rsidRPr="00AD07BA">
        <w:rPr>
          <w:rFonts w:eastAsiaTheme="minorEastAsia" w:cs="Arial"/>
          <w:b/>
          <w:szCs w:val="24"/>
        </w:rPr>
        <w:t>2. Różnice między dotychczasowym a projektowanym stanem prawnym</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Najważniejszym problemem, który – zdaniem Senatu – wymaga ponownej refleksji, jest brak możliwości izolowania osoby stosującej przemoc w rodzinie od osoby dotkniętej taką przemocą poza wspólnie zajmowanym mieszkaniem lub jego bezpośrednim otoczeniem. W  pracach nad projektem pojawiły się opinie wskazujące, iż pożądane jest rozszerzenie zakresu przedmiotowego nowych przepisów o instytucję zakazu zbliżania się. Podkreślenia wymaga przy tym, że tego typu zakaz będzie komplementarnym instrumentem służącym ochronie osób doznających przemocy domowej w sytuacji, gdy z jakichkolwiek powodów nie dojdzie do wszczęcia lub zakończenia postępowania karnego i zastosowania wobec sprawcy środków właściwych temu postępowaniu, nie wyłączając skazania i orzeczenia środka, o którym mowa w art. 39 pkt 2b ustawy z dnia z dnia 6 czerwca 1997 r. – Kodeks karny (chodzi o środek karny zakazu kontaktowania się z określonymi osobami lub zbliżania się do określonych osób) bądź art. 72 § 1 pkt 7a (środek probacyjny powstrzymania się od kontaktowania się z pokrzywdzonym lub innymi osobami w określony sposób lub zbliżania się do pokrzywdzonego lub innych osób). Trudno też uznać, że zasadne jest wyposażenie Policji i Żandarmerii Wojskowej li tylko w możliwość wydania nakazu opuszczenia wspólnie zajmowanego mieszkania i jego bezpośredniego otoczenia lub zakazu zbliżania się do tego </w:t>
      </w:r>
      <w:r w:rsidRPr="00AD07BA">
        <w:rPr>
          <w:rFonts w:ascii="Times" w:eastAsiaTheme="minorEastAsia" w:hAnsi="Times" w:cs="Arial"/>
        </w:rPr>
        <w:lastRenderedPageBreak/>
        <w:t xml:space="preserve">mieszkania i jego bezpośredniego otoczenia, skoro istotą wprowadzanych regulacji nie jest ochrona konkretnego miejsca, lecz ochrona osoby dotkniętej przemocą w rodzinie. Wreszcie, za uzupełnieniem mechanizmów objętych ustawą z dnia 30 kwietnia 2020 r. o zmianie ustawy – Kodeks postępowania cywilnego oraz niektórych innych ustaw i oddaniem do dyspozycji zarówno wymienionym formacjom mundurowym, jak i sądom powszechnym orzekającym na podstawie przepisów procedury cywilnej środka prawnego w postaci zakazu zbliżania się do osoby dotkniętej przemocą w rodzinie przemawia silnie okoliczność, że zgodnie z art. 52 Konwencji Rady Europy o zapobieganiu i zwalczaniu przemocy wobec kobiet i przemocy domowej na stronach–sygnatariuszach tej konwencji spoczywa obowiązek przyjęcia koniecznych środków ustawodawczych lub innych środków umożliwiających właściwym władzom „nakazanie sprawcy przemocy domowej, w sytuacjach bezpośredniego zagrożenia, opuszczenia miejsca zamieszkania ofiary lub osoby zagrożonej, na odpowiedni okres oraz zakazania sprawcy wchodzenia do lokalu zajmowanego przez ofiarę lub osobę zagrożoną lub  </w:t>
      </w:r>
      <w:r w:rsidRPr="00AD07BA">
        <w:rPr>
          <w:rFonts w:ascii="Times" w:eastAsiaTheme="minorEastAsia" w:hAnsi="Times" w:cs="Arial"/>
          <w:spacing w:val="60"/>
        </w:rPr>
        <w:t>kontaktowania się z ofiarą lub osobą zagrożon</w:t>
      </w:r>
      <w:r w:rsidRPr="00AD07BA">
        <w:rPr>
          <w:rFonts w:ascii="Times" w:eastAsiaTheme="minorEastAsia" w:hAnsi="Times" w:cs="Arial"/>
        </w:rPr>
        <w:t xml:space="preserve">ą” (por. też Raport wyjaśniający do Konwencji Rady Europy o zapobieganiu i zwalczaniu przemocy wobec kobiet i przemocy domowej, opublikowany w Stambule 11 maja 2011 r., pkt 264, s. 44 – </w:t>
      </w:r>
      <w:hyperlink r:id="rId8" w:history="1">
        <w:r w:rsidRPr="00AD07BA">
          <w:rPr>
            <w:rFonts w:ascii="Times" w:eastAsiaTheme="minorEastAsia" w:hAnsi="Times" w:cs="Arial"/>
          </w:rPr>
          <w:t>https://rm.coe.int/16800d383a</w:t>
        </w:r>
      </w:hyperlink>
      <w:r w:rsidRPr="00AD07BA">
        <w:rPr>
          <w:rFonts w:ascii="Times" w:eastAsiaTheme="minorEastAsia" w:hAnsi="Times" w:cs="Arial"/>
        </w:rPr>
        <w:t>).</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i/>
        </w:rPr>
        <w:t>Notabene</w:t>
      </w:r>
      <w:r w:rsidRPr="00AD07BA">
        <w:rPr>
          <w:rFonts w:ascii="Times" w:eastAsiaTheme="minorEastAsia" w:hAnsi="Times" w:cs="Arial"/>
        </w:rPr>
        <w:t xml:space="preserve"> nie powinno być żadnych wątpliwości, że przy ważeniu dóbr, jakimi są z  jednej strony życie i zdrowie (w tym zdrowie psychiczne osoby dotkniętej przemocą w  rodzinie), a z drugiej – prawo osoby stosującej przemoc w rodzinie do swobodnego przemieszczania się czy przebywania w miejscach, do których prawo nie ogranicza dostępu, prymat muszą mieć te pierwsze. Swoją drogą podobnie wygląda relacja konkurencyjnych wartości w postaci ochrony życia lub zdrowia jednostki oraz zapewnienia możliwości korzystania innej osobie z jej własności bądź innych praw majątkowych, o których można mówić w przypadku wydania nakazu natychmiastowego opuszczenia wspólnie zajmowanego mieszkania i jego bezpośredniego otoczenia lub zakazu zbliżania się do tego mieszkania i jego bezpośredniego otoczenia.</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Powyższą ideę pełnej ochrony osoby doświadczającej przemocy domowej realizują przede wszystkim zmiany ujęte w art. 1, art. 3 pkt 1 i art. 4 pkt 3 projektowanej ustawy, zaś ich konsekwencje można znaleźć m.in. w art. 2, art. 5 oraz art. 6 pkt 2 projektu.</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W tym miejscu należy zwrócić uwagę, na dodatkową korektę brzmienia art. 66b pkt 2 </w:t>
      </w:r>
      <w:r w:rsidRPr="00AD07BA">
        <w:rPr>
          <w:rFonts w:ascii="Times" w:eastAsiaTheme="minorEastAsia" w:hAnsi="Times" w:cs="Arial"/>
          <w:i/>
        </w:rPr>
        <w:t>in fine</w:t>
      </w:r>
      <w:r w:rsidRPr="00AD07BA">
        <w:rPr>
          <w:rFonts w:ascii="Times" w:eastAsiaTheme="minorEastAsia" w:hAnsi="Times" w:cs="Arial"/>
        </w:rPr>
        <w:t xml:space="preserve"> ustawy z dnia 20 maja 1971 r. – Kodeks wykroczeń (art. 2 pkt 1 projektowanej ustawy). </w:t>
      </w:r>
      <w:r w:rsidRPr="00AD07BA">
        <w:rPr>
          <w:rFonts w:ascii="Times" w:eastAsiaTheme="minorEastAsia" w:hAnsi="Times" w:cs="Arial"/>
        </w:rPr>
        <w:lastRenderedPageBreak/>
        <w:t>Pomijając już samą kwestię zakazu zbliżania się do osoby, wedle literalnego brzmienia tego przepisu naruszenie zabezpieczenia udzielonego przez sąd nie stanowiłoby bowiem czynu podlegającego ukaraniu w reżimie wykroczeniowym, gdyby postanowienie o zabezpieczeniu zapadło, mimo iż wcześniej nie doszło do wydania nakazu lub zakazu na podstawie art. 15aa ust. 1 ustawy z dnia 6 kwietnia 1990 r. o Policji albo art. 18a ust. 1 ustawy z dnia 24 sierpnia 2001 r. o Żandarmerii Wojskowej i wojskowych organach porządkowych, bądź też w sytuacji gdyby wydany uprzednio nakaz lub zakaz utracił moc stosownie do art. 15ak ust. 1 ustawy z dnia 6 kwietnia 1990 r. o Policji albo art. 18k ust. 1 ustawy z dnia 24 sierpnia 2001 r. o Żandarmerii Wojskowej i wojskowych organach porządkowych.</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Niezależnie od tego interwencji ustawodawcy wymaga brzmienie art. 3 pkt 5 ustawy z dnia </w:t>
      </w:r>
      <w:r w:rsidRPr="00AD07BA">
        <w:rPr>
          <w:rFonts w:ascii="Times" w:eastAsiaTheme="minorEastAsia" w:hAnsi="Times" w:cs="Arial"/>
          <w:spacing w:val="-2"/>
        </w:rPr>
        <w:t>30 kwietnia 2020 r. o zmianie ustawy – Kodeks postępowania cywilnego oraz niektórych</w:t>
      </w:r>
      <w:r w:rsidRPr="00AD07BA">
        <w:rPr>
          <w:rFonts w:ascii="Times" w:eastAsiaTheme="minorEastAsia" w:hAnsi="Times" w:cs="Arial"/>
        </w:rPr>
        <w:t xml:space="preserve"> innych ustaw, ponieważ w polecenie nowelizacyjne wkradła się oczywista omyłka (zamiast art. 55 ust. 1 pkt 1 i 2, wskazano art. 55 ust. 3 pkt 1 i 2), która nie pozwoli na osiągnięcie zamierzonego celu legislacyjnego. Stąd też w projekcie zamieszczono zmianę naprawiającą omawiany błąd – zob. art. 7 pkt 1.</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spacing w:val="-2"/>
        </w:rPr>
      </w:pPr>
      <w:r w:rsidRPr="00AD07BA">
        <w:rPr>
          <w:rFonts w:ascii="Times" w:eastAsiaTheme="minorEastAsia" w:hAnsi="Times" w:cs="Arial"/>
        </w:rPr>
        <w:t xml:space="preserve">Ponadto Senat uznał, że w związku z postanowieniem art. 4 pkt 1 noweli z 30 kwietnia 2020 r. zasadne będzie doprecyzowanie odesłania, które znajduje się </w:t>
      </w:r>
      <w:r w:rsidRPr="00AD07BA">
        <w:rPr>
          <w:rFonts w:ascii="Times" w:eastAsiaTheme="minorEastAsia" w:hAnsi="Times" w:cs="Arial"/>
          <w:spacing w:val="-2"/>
        </w:rPr>
        <w:t>w art. 17 ust. 1 pkt 4 ustawy z dnia 24 sierpnia 2001 r. o Żandarmerii Wojskowej i wojskowych</w:t>
      </w:r>
      <w:r w:rsidRPr="00AD07BA">
        <w:rPr>
          <w:rFonts w:ascii="Times" w:eastAsiaTheme="minorEastAsia" w:hAnsi="Times" w:cs="Arial"/>
        </w:rPr>
        <w:t xml:space="preserve"> organach porządkowych. Otóż, w obowiązującym brzmieniu przepis ten odnosi się do zatrzymania uregulowanego w art. 18. Tymczasem po nowelizacji art. 18 zostanie podzielony na jednostki redakcyjne niższego stopnia, a podstawy prawne zatrzymania żołnierza będą ujęte tak w ust. 1, jak i w ust. 2. Wobec tego w art. 4 w pkt 1 projektowanej ustawy proponuje się zmianę wymienionego przepisu ustawy </w:t>
      </w:r>
      <w:r w:rsidRPr="00AD07BA">
        <w:rPr>
          <w:rFonts w:ascii="Times" w:eastAsiaTheme="minorEastAsia" w:hAnsi="Times" w:cs="Arial"/>
          <w:spacing w:val="-2"/>
        </w:rPr>
        <w:t>z dnia 24 sierpnia 2001 r. o Żandarmerii Wojskowej i wojskowych</w:t>
      </w:r>
      <w:r w:rsidRPr="00AD07BA">
        <w:rPr>
          <w:rFonts w:ascii="Times" w:eastAsiaTheme="minorEastAsia" w:hAnsi="Times" w:cs="Arial"/>
        </w:rPr>
        <w:t xml:space="preserve"> organach porządkowych</w:t>
      </w:r>
      <w:r w:rsidRPr="00AD07BA">
        <w:rPr>
          <w:rFonts w:ascii="Times" w:eastAsiaTheme="minorEastAsia" w:hAnsi="Times" w:cs="Arial"/>
          <w:spacing w:val="-2"/>
        </w:rPr>
        <w:t>.</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spacing w:val="-2"/>
        </w:rPr>
      </w:pPr>
      <w:r w:rsidRPr="00AD07BA">
        <w:rPr>
          <w:rFonts w:ascii="Times" w:eastAsiaTheme="minorEastAsia" w:hAnsi="Times" w:cs="Arial"/>
          <w:spacing w:val="-2"/>
        </w:rPr>
        <w:t>Doprecyzowania wymaga także brzmienie art. 18 ust. 3 ustawy z dnia 24 sierpnia 2001 r. o Żandarmerii Wojskowej i wojskowych</w:t>
      </w:r>
      <w:r w:rsidRPr="00AD07BA">
        <w:rPr>
          <w:rFonts w:ascii="Times" w:eastAsiaTheme="minorEastAsia" w:hAnsi="Times" w:cs="Arial"/>
        </w:rPr>
        <w:t xml:space="preserve"> organach porządkowych, dodawanego na mocy art. 4 pkt 1</w:t>
      </w:r>
      <w:r w:rsidRPr="00AD07BA">
        <w:rPr>
          <w:rFonts w:ascii="Times" w:eastAsiaTheme="minorEastAsia" w:hAnsi="Times" w:cs="Arial"/>
          <w:spacing w:val="-2"/>
        </w:rPr>
        <w:t xml:space="preserve"> ustawy </w:t>
      </w:r>
      <w:r w:rsidRPr="00AD07BA">
        <w:rPr>
          <w:rFonts w:ascii="Times" w:eastAsiaTheme="minorEastAsia" w:hAnsi="Times" w:cs="Arial"/>
        </w:rPr>
        <w:t xml:space="preserve">z dnia </w:t>
      </w:r>
      <w:r w:rsidRPr="00AD07BA">
        <w:rPr>
          <w:rFonts w:ascii="Times" w:eastAsiaTheme="minorEastAsia" w:hAnsi="Times" w:cs="Arial"/>
          <w:spacing w:val="-2"/>
        </w:rPr>
        <w:t>30 kwietnia 2020 r. o zmianie ustawy – Kodeks postępowania cywilnego oraz niektórych innych ustaw. Z uwagi na powiązanie przesłanek zawartych w tej jednostce redakcyjnej wyłącznie z zatrzymaniem przewidzianym w art. 18 ust. 2, niezbędne staje się odzwierciedlenie tej zależności poprzez wprowadzenie stosownego odesłania. Rozwiązanie to jest ujęte w art. 4 pkt 2 projektu.</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spacing w:val="-2"/>
        </w:rPr>
      </w:pPr>
      <w:r w:rsidRPr="00AD07BA">
        <w:rPr>
          <w:rFonts w:ascii="Times" w:eastAsiaTheme="minorEastAsia" w:hAnsi="Times" w:cs="Arial"/>
          <w:spacing w:val="-2"/>
        </w:rPr>
        <w:lastRenderedPageBreak/>
        <w:t>Innym błędem, który należy wyeliminować, jest dwukrotne zastrzeżenie w art. 30d ust. 1 dodawanym w ustawie z dnia 24 sierpnia 2001 r.</w:t>
      </w:r>
      <w:r w:rsidRPr="00AD07BA">
        <w:rPr>
          <w:rFonts w:ascii="Times" w:eastAsiaTheme="minorEastAsia" w:hAnsi="Times" w:cs="Arial"/>
        </w:rPr>
        <w:t xml:space="preserve"> </w:t>
      </w:r>
      <w:r w:rsidRPr="00AD07BA">
        <w:rPr>
          <w:rFonts w:ascii="Times" w:eastAsiaTheme="minorEastAsia" w:hAnsi="Times" w:cs="Arial"/>
          <w:spacing w:val="-2"/>
        </w:rPr>
        <w:t xml:space="preserve">o Żandarmerii Wojskowej i wojskowych organach porządkowych, że przetwarzanie danych osobowych przez Żandarmerię Wojskową może odbywać się „także bez (…) wiedzy i zgody” osób dotkniętych przemocą w rodzinie oraz osób stosujących tę przemoc. Na potrzebę dostosowania dyspozycji tego przepisu do </w:t>
      </w:r>
      <w:r w:rsidRPr="00AD07BA">
        <w:rPr>
          <w:rFonts w:ascii="Times" w:eastAsiaTheme="minorEastAsia" w:hAnsi="Times" w:cs="Arial"/>
        </w:rPr>
        <w:t xml:space="preserve">regulacji zawartej w art. 23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zwracał uwagę </w:t>
      </w:r>
      <w:r w:rsidRPr="00AD07BA">
        <w:rPr>
          <w:rFonts w:ascii="Times" w:eastAsiaTheme="minorEastAsia" w:hAnsi="Times" w:cs="Arial"/>
          <w:spacing w:val="-4"/>
        </w:rPr>
        <w:t>Prezes Urzędu Ochrony Danych Osobowych w opinii przedłożonej do druku sejmowego nr 279. Projektodawcy proponują zatem pominięcie w treści powołanego przepisu, a konkretnie we wprowadzeniu do wyliczenia, przytoczonej formuły i jednocześnie poprawienie interpunkcji w tej części art. 30d ust. 1 (wydzielenie wyrazów „w tym dane osobowe” przecinkami) – art. 4 pkt 12 lit. a projektu.</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Do redakcyjnych usterek przepisów dodawanych ustawą z dnia 30 kwietnia 2020 r. o zmianie ustawy – Kodeks postępowania cywilnego oraz niektórych innych ustaw należy zaliczyć również pojawiający się w nich dwukrotnie dodatek w postaci określenia „Fundusz Sprawiedliwości”, jaki towarzyszy nazwie „Fundusz Pomocy Pokrzywdzonym oraz Pomocy Postpenitencjarnej”. W tym miejscu warto przypomnieć, że podstawę utworzenia Funduszu Pomocy Pokrzywdzonym oraz Pomocy Postpenitencjarnej stanowi art. 43 § 1 ustawy z dnia 6 czerwca 1997 r. – Kodeks karny wykonawczy i to w istocie ten przepis powinien być punktem odniesienia dla terminologii stosowanej w innych aktach normatywnych. Co prawda w art. 43 § 1a przywołanego </w:t>
      </w:r>
      <w:r w:rsidRPr="00AD07BA">
        <w:rPr>
          <w:rFonts w:ascii="Times" w:eastAsiaTheme="minorEastAsia" w:hAnsi="Times" w:cs="Arial"/>
          <w:spacing w:val="-2"/>
        </w:rPr>
        <w:t>Kodeksu ustawodawca zezwolił na posługiwanie się określeniem „Fundusz Sprawiedliwości”,</w:t>
      </w:r>
      <w:r w:rsidRPr="00AD07BA">
        <w:rPr>
          <w:rFonts w:ascii="Times" w:eastAsiaTheme="minorEastAsia" w:hAnsi="Times" w:cs="Arial"/>
        </w:rPr>
        <w:t xml:space="preserve"> ale jako skrótem nazwy, nie zaś jej uzupełnieniem. W związku z tym w art. 3 pkt 6 lit. a tiret drugim oraz art. 4 pkt 8 lit. a tiret drugim projektowanej ustawy proponuje się ustalenie brzmienia odpowiednich przepisów bez powyższego dodatku.</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spacing w:val="-2"/>
        </w:rPr>
      </w:pPr>
      <w:r w:rsidRPr="00AD07BA">
        <w:rPr>
          <w:rFonts w:ascii="Times" w:eastAsiaTheme="minorEastAsia" w:hAnsi="Times" w:cs="Arial"/>
        </w:rPr>
        <w:t xml:space="preserve">W tych samych art. 3 pkt 6 lit. a i art. 4 pkt 8 lit. a projektu zawarte zostały zmiany polegające m.in. na wykreśleniu formuły „, o którym mowa w przepisach ustawy o </w:t>
      </w:r>
      <w:r w:rsidRPr="00AD07BA">
        <w:rPr>
          <w:rFonts w:ascii="Times" w:eastAsiaTheme="minorEastAsia" w:hAnsi="Times" w:cs="Arial"/>
          <w:spacing w:val="-2"/>
        </w:rPr>
        <w:t xml:space="preserve">przeciwdziałaniu przemocy w rodzinie”. Żądanie, z jakim osoba dotknięta przemocą w rodzinie może zwrócić się do sądu, zostało </w:t>
      </w:r>
      <w:r w:rsidRPr="00AD07BA">
        <w:rPr>
          <w:rFonts w:ascii="Times" w:eastAsiaTheme="minorEastAsia" w:hAnsi="Times" w:cs="Arial"/>
          <w:spacing w:val="-3"/>
        </w:rPr>
        <w:t>wystarczająco zidentyfikowane</w:t>
      </w:r>
      <w:r w:rsidRPr="00AD07BA">
        <w:rPr>
          <w:rFonts w:ascii="Times" w:eastAsiaTheme="minorEastAsia" w:hAnsi="Times" w:cs="Arial"/>
          <w:spacing w:val="-2"/>
        </w:rPr>
        <w:t xml:space="preserve"> w przepisach art. 15ag ust. 1 pkt 1 i art. 18g ust. 1 pkt 1, dodawanych odpowiednio w ustawie z dnia </w:t>
      </w:r>
      <w:r w:rsidRPr="00AD07BA">
        <w:rPr>
          <w:rFonts w:ascii="Times" w:eastAsiaTheme="minorEastAsia" w:hAnsi="Times" w:cs="Arial"/>
        </w:rPr>
        <w:t xml:space="preserve">6 kwietnia 1990 r. o Policji oraz ustawie z dnia 24 sierpnia 2001 r. o </w:t>
      </w:r>
      <w:r w:rsidRPr="00AD07BA">
        <w:rPr>
          <w:rFonts w:ascii="Times" w:eastAsiaTheme="minorEastAsia" w:hAnsi="Times" w:cs="Arial"/>
          <w:spacing w:val="-3"/>
        </w:rPr>
        <w:t>Żandarmerii Wojskowej i wojskowych organach porządkowych,</w:t>
      </w:r>
      <w:r w:rsidRPr="00AD07BA">
        <w:rPr>
          <w:rFonts w:ascii="Times" w:eastAsiaTheme="minorEastAsia" w:hAnsi="Times" w:cs="Arial"/>
          <w:spacing w:val="-2"/>
        </w:rPr>
        <w:t xml:space="preserve"> wobec czego ogólne odesłanie do ustawy z dnia 29 lipca 2005 r. o </w:t>
      </w:r>
      <w:r w:rsidRPr="00AD07BA">
        <w:rPr>
          <w:rFonts w:ascii="Times" w:eastAsiaTheme="minorEastAsia" w:hAnsi="Times" w:cs="Arial"/>
          <w:spacing w:val="-2"/>
        </w:rPr>
        <w:lastRenderedPageBreak/>
        <w:t xml:space="preserve">przeciwdziałaniu przemocy w rodzinie nie ma </w:t>
      </w:r>
      <w:r w:rsidRPr="00AD07BA">
        <w:rPr>
          <w:rFonts w:ascii="Times" w:eastAsiaTheme="minorEastAsia" w:hAnsi="Times" w:cs="Arial"/>
        </w:rPr>
        <w:t xml:space="preserve">w tym przypadku żadnego waloru. Osobną sprawą jest to, że z punktu widzenia osoby uprawnionej ważne będzie pozyskanie informacji co do tego, że w ogóle ma prawo wystąpić do sądu z żądaniem o zobowiązanie osoby stosującej przemoc w rodzinie do </w:t>
      </w:r>
      <w:r w:rsidRPr="00AD07BA">
        <w:rPr>
          <w:rFonts w:ascii="Times" w:eastAsiaTheme="minorEastAsia" w:hAnsi="Times" w:cs="Arial"/>
          <w:spacing w:val="-4"/>
        </w:rPr>
        <w:t>opuszczenia wspólnie zajmowanego mieszkania i jego bezpośredniego otoczenia lub o zakazanie</w:t>
      </w:r>
      <w:r w:rsidRPr="00AD07BA">
        <w:rPr>
          <w:rFonts w:ascii="Times" w:eastAsiaTheme="minorEastAsia" w:hAnsi="Times" w:cs="Arial"/>
        </w:rPr>
        <w:t xml:space="preserve"> tej osobie zbliżania się do mieszkania i jego bezpośredniego otoczenia, bądź też zakazanie osobie stosującej przemoc w rodzinie zbliżania się do niej, a ponadto także informacji odnośnie do sposobu złożenia wniosku w tym przedmiocie, a nie informacji na temat podstawy prawnej takiego roszczenia. Zgodnie bowiem z przyjętą zasadą </w:t>
      </w:r>
      <w:r w:rsidRPr="00AD07BA">
        <w:rPr>
          <w:rFonts w:ascii="Times" w:eastAsiaTheme="minorEastAsia" w:hAnsi="Times" w:cs="Arial"/>
          <w:i/>
        </w:rPr>
        <w:t xml:space="preserve">facta probantur, iura </w:t>
      </w:r>
      <w:r w:rsidRPr="00AD07BA">
        <w:rPr>
          <w:rFonts w:ascii="Times" w:eastAsiaTheme="minorEastAsia" w:hAnsi="Times" w:cs="Arial"/>
          <w:i/>
          <w:iCs/>
        </w:rPr>
        <w:t xml:space="preserve">novit curia, </w:t>
      </w:r>
      <w:r w:rsidRPr="00AD07BA">
        <w:rPr>
          <w:rFonts w:ascii="Times" w:eastAsiaTheme="minorEastAsia" w:hAnsi="Times" w:cs="Arial"/>
          <w:iCs/>
        </w:rPr>
        <w:t>wnioskodawca nie ma obowiązku oznaczania w swym piśmie podstawy prawnej zgłaszanego żądania.</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spacing w:val="-2"/>
        </w:rPr>
      </w:pPr>
      <w:r w:rsidRPr="00AD07BA">
        <w:rPr>
          <w:rFonts w:ascii="Times" w:eastAsiaTheme="minorEastAsia" w:hAnsi="Times" w:cs="Arial"/>
          <w:iCs/>
        </w:rPr>
        <w:t xml:space="preserve">Swoistą niekonsekwencją na gruncie </w:t>
      </w:r>
      <w:r w:rsidRPr="00AD07BA">
        <w:rPr>
          <w:rFonts w:ascii="Times" w:eastAsiaTheme="minorEastAsia" w:hAnsi="Times" w:cs="Arial"/>
          <w:spacing w:val="-2"/>
        </w:rPr>
        <w:t>nowych przepisów</w:t>
      </w:r>
      <w:r w:rsidRPr="00AD07BA">
        <w:rPr>
          <w:rFonts w:ascii="Times" w:eastAsiaTheme="minorEastAsia" w:hAnsi="Times" w:cs="Arial"/>
        </w:rPr>
        <w:t xml:space="preserve"> jest umożliwienie osobie stosującej przemoc zabrania przedmiotów osobistego użytku i służących do świadczenia </w:t>
      </w:r>
      <w:r w:rsidRPr="00AD07BA">
        <w:rPr>
          <w:rFonts w:ascii="Times" w:eastAsiaTheme="minorEastAsia" w:hAnsi="Times" w:cs="Arial"/>
          <w:spacing w:val="-3"/>
        </w:rPr>
        <w:t>pracy lub będących własnością tej osoby zwierząt domowych jedynie ze wspólnie zajmowanego</w:t>
      </w:r>
      <w:r w:rsidRPr="00AD07BA">
        <w:rPr>
          <w:rFonts w:ascii="Times" w:eastAsiaTheme="minorEastAsia" w:hAnsi="Times" w:cs="Arial"/>
        </w:rPr>
        <w:t xml:space="preserve"> mieszkania, pod</w:t>
      </w:r>
      <w:r w:rsidRPr="00AD07BA">
        <w:rPr>
          <w:rFonts w:ascii="Times" w:eastAsiaTheme="minorEastAsia" w:hAnsi="Times" w:cs="Arial"/>
          <w:iCs/>
        </w:rPr>
        <w:t>czas gdy wydawany wobec takiej osoby nakaz lub zakaz ma obejmować również bezpośrednie otoczenie wspólnie zajmowanego mieszkania. Nie da się przecież wykluczyć</w:t>
      </w:r>
      <w:r w:rsidRPr="00AD07BA">
        <w:rPr>
          <w:rFonts w:ascii="Times" w:eastAsiaTheme="minorEastAsia" w:hAnsi="Times" w:cs="Arial"/>
          <w:i/>
          <w:iCs/>
        </w:rPr>
        <w:t xml:space="preserve"> a priori</w:t>
      </w:r>
      <w:r w:rsidRPr="00AD07BA">
        <w:rPr>
          <w:rFonts w:ascii="Times" w:eastAsiaTheme="minorEastAsia" w:hAnsi="Times" w:cs="Arial"/>
          <w:iCs/>
        </w:rPr>
        <w:t xml:space="preserve">, że potrzebne obowiązanemu przedmioty lub należące do niego zwierzęta będą znajdowały się nie we wspólnie zajmowanym mieszkaniu, lecz właśnie w przestrzeni będącej – jak to określił ustawodawca – jego bezpośrednim otoczeniem. Należy więc odpowiednio skorygować brzmienie art. 15ae ust. 4 i ust. 5 oraz </w:t>
      </w:r>
      <w:r w:rsidRPr="00AD07BA">
        <w:rPr>
          <w:rFonts w:ascii="Times" w:eastAsiaTheme="minorEastAsia" w:hAnsi="Times" w:cs="Arial"/>
          <w:spacing w:val="-3"/>
        </w:rPr>
        <w:t xml:space="preserve">art. 18e ust. 4 i ust. 5, a w ślad za tym także </w:t>
      </w:r>
      <w:r w:rsidRPr="00AD07BA">
        <w:rPr>
          <w:rFonts w:ascii="Times" w:eastAsiaTheme="minorEastAsia" w:hAnsi="Times" w:cs="Arial"/>
          <w:iCs/>
        </w:rPr>
        <w:t xml:space="preserve">art. 15ad ust. 3 i art. 15ae ust. 2 pkt 7 oraz </w:t>
      </w:r>
      <w:r w:rsidRPr="00AD07BA">
        <w:rPr>
          <w:rFonts w:ascii="Times" w:eastAsiaTheme="minorEastAsia" w:hAnsi="Times" w:cs="Arial"/>
          <w:spacing w:val="-3"/>
        </w:rPr>
        <w:t>art. 18d ust. 3 oraz art. 18e ust. 2 pkt 7</w:t>
      </w:r>
      <w:r w:rsidRPr="00AD07BA">
        <w:rPr>
          <w:rFonts w:ascii="Times" w:eastAsiaTheme="minorEastAsia" w:hAnsi="Times" w:cs="Arial"/>
          <w:spacing w:val="-2"/>
        </w:rPr>
        <w:t xml:space="preserve"> (patrz art. 3 pkt 3 lit. b i pkt 4 lit. b–d oraz art. 4 pkt 5 lit. b i pkt 6 lit. b–d projektu).</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spacing w:val="-2"/>
        </w:rPr>
        <w:t xml:space="preserve">Z kolei </w:t>
      </w:r>
      <w:r w:rsidRPr="00AD07BA">
        <w:rPr>
          <w:rFonts w:ascii="Times" w:eastAsiaTheme="minorEastAsia" w:hAnsi="Times" w:cs="Arial"/>
        </w:rPr>
        <w:t xml:space="preserve">aby z jednej strony usunąć wątpliwości co do tego, czy osoba stosująca przemoc w rodzinie może być obecna przy przesłuchaniu przeprowadzanym w trybie nowego art. 15ab ust. 4 </w:t>
      </w:r>
      <w:r w:rsidRPr="00AD07BA">
        <w:rPr>
          <w:rFonts w:ascii="Times" w:eastAsiaTheme="minorEastAsia" w:hAnsi="Times" w:cs="Arial"/>
          <w:spacing w:val="-2"/>
        </w:rPr>
        <w:t>ustawy z dnia 6 kwietnia 1990 r. o Policji albo art. 18b ust. 4 ustawy z dnia 24 sierpnia 2001 r.</w:t>
      </w:r>
      <w:r w:rsidRPr="00AD07BA">
        <w:rPr>
          <w:rFonts w:ascii="Times" w:eastAsiaTheme="minorEastAsia" w:hAnsi="Times" w:cs="Arial"/>
        </w:rPr>
        <w:t xml:space="preserve"> </w:t>
      </w:r>
      <w:r w:rsidRPr="00AD07BA">
        <w:rPr>
          <w:rFonts w:ascii="Times" w:eastAsiaTheme="minorEastAsia" w:hAnsi="Times" w:cs="Arial"/>
          <w:spacing w:val="-2"/>
        </w:rPr>
        <w:t>o Żandarmerii Wojskowej i wojskowych organach porządkowych, z drugiej zaś – aby zapewnić swobodę wypowiedzi świadkowi (zwłaszcza jeżeli należy do kręgu osób dotkniętych przemocą w rodzinie) proponuje się wyartykułowanie tej kwestii w sposób nawiązujący do rozwiązania przyjętego na gruncie art. 390 § 2 w związku z art. 375 § 2 ustawy z dnia 6 czerwca 1997 r. – Kodeks postępowania karnego</w:t>
      </w:r>
      <w:r w:rsidRPr="00AD07BA">
        <w:rPr>
          <w:rFonts w:ascii="Times" w:eastAsiaTheme="minorEastAsia" w:hAnsi="Times" w:cs="Arial"/>
        </w:rPr>
        <w:t xml:space="preserve"> – por. art. 3 pkt 2 lit. b i c oraz art. 4 pkt 4 lit. b i c projektowanej ustawy. W opinii Izby, jednoznaczne określenie zasad w tej mierze może mieć duże znaczenie tak w kontekście zastrzeżenia uczynionego w art. 15ab ust. 7 zdanie trzecie i art. 18b ust. 7 zdanie trzecie, a zarazem użycia przez ustawodawcę w art. 15ab </w:t>
      </w:r>
      <w:r w:rsidRPr="00AD07BA">
        <w:rPr>
          <w:rFonts w:ascii="Times" w:eastAsiaTheme="minorEastAsia" w:hAnsi="Times" w:cs="Arial"/>
        </w:rPr>
        <w:lastRenderedPageBreak/>
        <w:t xml:space="preserve">ust. 9 i art. 18b ust. 9 wyrazu „wysłuchać” (sugerującego, iż na etapie wydawania nakazu lub zakazu osobie stosującej przemoc w rodzinie nie przysługuje status świadka i tym samym nie stosuje się do niej ograniczenia z art. 264 zdanie drugie ustawy z dnia 17 listopada 1964 r. –  Kodeks postępowania cywilnego w związku z art. 15ab ust. 5 ustawy z dnia </w:t>
      </w:r>
      <w:r w:rsidRPr="00AD07BA">
        <w:rPr>
          <w:rFonts w:ascii="Times" w:eastAsiaTheme="minorEastAsia" w:hAnsi="Times" w:cs="Arial"/>
          <w:spacing w:val="-2"/>
        </w:rPr>
        <w:t xml:space="preserve">6 kwietnia 1990 r. o Policji albo </w:t>
      </w:r>
      <w:r w:rsidRPr="00AD07BA">
        <w:rPr>
          <w:rFonts w:ascii="Times" w:eastAsiaTheme="minorEastAsia" w:hAnsi="Times" w:cs="Arial"/>
        </w:rPr>
        <w:t xml:space="preserve">art. 18b ust. 5 </w:t>
      </w:r>
      <w:r w:rsidRPr="00AD07BA">
        <w:rPr>
          <w:rFonts w:ascii="Times" w:eastAsiaTheme="minorEastAsia" w:hAnsi="Times" w:cs="Arial"/>
          <w:spacing w:val="-2"/>
        </w:rPr>
        <w:t>ustawy z dnia 24 sierpnia 2001 r.</w:t>
      </w:r>
      <w:r w:rsidRPr="00AD07BA">
        <w:rPr>
          <w:rFonts w:ascii="Times" w:eastAsiaTheme="minorEastAsia" w:hAnsi="Times" w:cs="Arial"/>
        </w:rPr>
        <w:t xml:space="preserve"> </w:t>
      </w:r>
      <w:r w:rsidRPr="00AD07BA">
        <w:rPr>
          <w:rFonts w:ascii="Times" w:eastAsiaTheme="minorEastAsia" w:hAnsi="Times" w:cs="Arial"/>
          <w:spacing w:val="-2"/>
        </w:rPr>
        <w:t>o Żandarmerii Wojskowej i wojskowych organach porządkowych</w:t>
      </w:r>
      <w:r w:rsidRPr="00AD07BA">
        <w:rPr>
          <w:rFonts w:ascii="Times" w:eastAsiaTheme="minorEastAsia" w:hAnsi="Times" w:cs="Arial"/>
        </w:rPr>
        <w:t>), jak i w kontekście zasady równości broni obowiązującej w postępowaniu cywilnym, które to może być następnym etapem po wydaniu nakazu lub zakazu przez Policję tudzież Żandarmerię Wojskową.</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Przy okazji warto też uszczegółowić wytyczne z art. 15ad ust. 5 i art. 15af ust. 4 oraz art. 18d ust. 5 i art. 18f ust. 4 (odpowiednio art. 3 pkt 3 lit. c i pkt 5 oraz art. 4 pkt 5 lit. c i pkt 7 projektu). Wymóg, aby zawiadomienia kierowane do osób stosujących przemoc w rodzinie były zrozumiałe dla kogoś, kto nie korzysta z pomocy pełnomocnika, ma zapewne zagwarantować możliwie prosty, jasny język owych zawiadomień. Niemniej trzeba mieć na względzie, że nowe przepisy odsyłają do stosowania przepisów procedury cywilnej również wtedy, gdy chodzi o wniesienie zażalenia od wydanego nakazu lub zakazu, czyli </w:t>
      </w:r>
      <w:r w:rsidRPr="00AD07BA">
        <w:rPr>
          <w:rFonts w:ascii="Times" w:eastAsiaTheme="minorEastAsia" w:hAnsi="Times" w:cs="Arial"/>
          <w:i/>
        </w:rPr>
        <w:t>de facto</w:t>
      </w:r>
      <w:r w:rsidRPr="00AD07BA">
        <w:rPr>
          <w:rFonts w:ascii="Times" w:eastAsiaTheme="minorEastAsia" w:hAnsi="Times" w:cs="Arial"/>
        </w:rPr>
        <w:t xml:space="preserve"> dokonanie czynności, która może nastąpić bezpośrednio pod odebraniu zawiadomienia (zob. art. 15aj ust. 1 dodawany w </w:t>
      </w:r>
      <w:r w:rsidRPr="00AD07BA">
        <w:rPr>
          <w:rFonts w:ascii="Times" w:eastAsiaTheme="minorEastAsia" w:hAnsi="Times" w:cs="Arial"/>
          <w:spacing w:val="-2"/>
        </w:rPr>
        <w:t xml:space="preserve">ustawie z dnia 6 kwietnia 1990 r. o Policji oraz </w:t>
      </w:r>
      <w:r w:rsidRPr="00AD07BA">
        <w:rPr>
          <w:rFonts w:ascii="Times" w:eastAsiaTheme="minorEastAsia" w:hAnsi="Times" w:cs="Arial"/>
        </w:rPr>
        <w:t xml:space="preserve">art. 18j ust. 1 dodawany w </w:t>
      </w:r>
      <w:r w:rsidRPr="00AD07BA">
        <w:rPr>
          <w:rFonts w:ascii="Times" w:eastAsiaTheme="minorEastAsia" w:hAnsi="Times" w:cs="Arial"/>
          <w:spacing w:val="-2"/>
        </w:rPr>
        <w:t>ustawie z dnia 24 sierpnia 2001 r.</w:t>
      </w:r>
      <w:r w:rsidRPr="00AD07BA">
        <w:rPr>
          <w:rFonts w:ascii="Times" w:eastAsiaTheme="minorEastAsia" w:hAnsi="Times" w:cs="Arial"/>
        </w:rPr>
        <w:t xml:space="preserve"> </w:t>
      </w:r>
      <w:r w:rsidRPr="00AD07BA">
        <w:rPr>
          <w:rFonts w:ascii="Times" w:eastAsiaTheme="minorEastAsia" w:hAnsi="Times" w:cs="Arial"/>
          <w:spacing w:val="-2"/>
        </w:rPr>
        <w:t>o Żandarmerii Wojskowej i wojskowych organach porządkowych</w:t>
      </w:r>
      <w:r w:rsidRPr="00AD07BA">
        <w:rPr>
          <w:rFonts w:ascii="Times" w:eastAsiaTheme="minorEastAsia" w:hAnsi="Times" w:cs="Arial"/>
        </w:rPr>
        <w:t>). W myśl natomiast art. 87 § 1 ustawy z dnia 17 listopada 1964 r. – Kodeks postępowania cywilnego, pełnomocnikiem strony może być nie tylko adwokat lub radca prawny, tzn. osoba dysponująca fachową wiedzą prawniczą, ale także małżonek, rodzeństwo, zstępni lub wstępni strony oraz osoby pozostające ze stroną w stosunku przysposobienia. Bardziej precyzyjne będzie zatem wskazanie ministrom upoważnionym do wydania rozporządzeń, że zawiadomienie powinno być zrozumiałe dla osób, które nie korzystają z „profesjonalnej pomocy prawnej”.</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Zmiany proponowane w odniesieniu do art. 15ad ust. 1 zdanie drugie i art. 18d ust. 1 zdanie drugie mają głównie charakter redakcyjny (eliminują błąd składniowy polegający na niepoprawnym zastosowaniu imiesłowowego równoważnika zdania), aczkolwiek dodatkowo modyfikacja brzmienia powołanych przepisów przywróci im wewnętrzną spójność – domniemanie doręczenia, zakodowane w słowach „doręczenie uważa się za dokonane”, nie będzie pozostawać w sprzeczności z końcowym fragmentem regulacji, gdzie aktualnie jest </w:t>
      </w:r>
      <w:r w:rsidRPr="00AD07BA">
        <w:rPr>
          <w:rFonts w:ascii="Times" w:eastAsiaTheme="minorEastAsia" w:hAnsi="Times" w:cs="Arial"/>
        </w:rPr>
        <w:lastRenderedPageBreak/>
        <w:t>mowa o „braku doręczenia”. Propozycję Senatu w tym zakresie zawiera art. 3 pkt 3 lit. a i art. 4 pkt 5 lit. a projektowanej ustawy.</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spacing w:val="-2"/>
        </w:rPr>
        <w:t>Odrębnym zagadnieniem jest to, czy w treści art. 15ag ust. 2 i art. 18g ust. 2 ustawodawca</w:t>
      </w:r>
      <w:r w:rsidRPr="00AD07BA">
        <w:rPr>
          <w:rFonts w:ascii="Times" w:eastAsiaTheme="minorEastAsia" w:hAnsi="Times" w:cs="Arial"/>
        </w:rPr>
        <w:t xml:space="preserve"> prawidłowo posłużył się czasownikiem </w:t>
      </w:r>
      <w:r w:rsidRPr="00AD07BA">
        <w:rPr>
          <w:rFonts w:ascii="Times" w:eastAsiaTheme="minorEastAsia" w:hAnsi="Times" w:cs="Arial"/>
          <w:spacing w:val="-2"/>
        </w:rPr>
        <w:t>„pouczać”, w szczególności że żadne ze słownikowych</w:t>
      </w:r>
      <w:r w:rsidRPr="00AD07BA">
        <w:rPr>
          <w:rFonts w:ascii="Times" w:eastAsiaTheme="minorEastAsia" w:hAnsi="Times" w:cs="Arial"/>
        </w:rPr>
        <w:t xml:space="preserve"> znaczeń tego wyrazu nie pasuje do kontekstu wypowiedzi legislacyjnej. Według bowiem Słownika języka polskiego PWN pouczać to m.in. 1. poinformować kogoś, jak należy się zachować lub co trzeba zrobić w jakiejś sytuacji; 2. zwrócić komuś uwagę. Tymczasem w wymienionych przepisach chodzi o uświadomienie danej osobie, iż jej dane mogą zostać przekazane określonemu podmiotowi i tym samym o stworzenie mu przestrzeni dla podjęcia decyzji, czy akceptuje tego typu działanie. Nie mamy tu więc do czynienia z władczym działaniem Policji czy też Żandarmerii Wojskowej, a intencją stojącą za analizowanym uregulowaniem było w rzeczy samej upodmiotowienie osoby dotkniętej przemocą w rodzinie i jednocześnie stworzenie mechanizmu ułatwiającego dotarcie do niej z pomocą. Ponadto nie można pominąć tego, że początkowy fragment analizowanych przepisów, z którego można by wnosić o dokonaniu czynności przekazania danych („poucza (..) o przekazaniu jej danych”), nie współgra z końcowym fragmentem, gdzie jest mowa wprost, iż osoba dotknięta przemocą w rodzinie ma prawo nie wyrazić zgody na takie przekazanie. Biorąc to pod uwagę, w art. 3 pkt 6 lit. b i art. 4 pkt 8 lit. b projektu proponuje się dookreślenie, że rolą funkcjonariusza </w:t>
      </w:r>
      <w:r w:rsidRPr="00AD07BA">
        <w:rPr>
          <w:rFonts w:ascii="Times" w:eastAsiaTheme="minorEastAsia" w:hAnsi="Times" w:cs="Arial"/>
          <w:spacing w:val="-2"/>
        </w:rPr>
        <w:t>Policji bądź żołnierza Żandarmerii Wojskowej jest poinformowanie o możliwości przekazania</w:t>
      </w:r>
      <w:r w:rsidRPr="00AD07BA">
        <w:rPr>
          <w:rFonts w:ascii="Times" w:eastAsiaTheme="minorEastAsia" w:hAnsi="Times" w:cs="Arial"/>
        </w:rPr>
        <w:t xml:space="preserve"> danych osobowych.</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Zastrzeżenia co do zastosowanej terminologii (tym razem odnośnie do wskazanych </w:t>
      </w:r>
      <w:r w:rsidRPr="00AD07BA">
        <w:rPr>
          <w:rFonts w:ascii="Times" w:eastAsiaTheme="minorEastAsia" w:hAnsi="Times" w:cs="Arial"/>
          <w:i/>
        </w:rPr>
        <w:t>expressis verbis</w:t>
      </w:r>
      <w:r w:rsidRPr="00AD07BA">
        <w:rPr>
          <w:rFonts w:ascii="Times" w:eastAsiaTheme="minorEastAsia" w:hAnsi="Times" w:cs="Arial"/>
        </w:rPr>
        <w:t xml:space="preserve"> podmiotów) można mieć też na gruncie dodawanych przepisów art. 15ak </w:t>
      </w:r>
      <w:r w:rsidRPr="00AD07BA">
        <w:rPr>
          <w:rFonts w:ascii="Times" w:eastAsiaTheme="minorEastAsia" w:hAnsi="Times" w:cs="Arial"/>
          <w:spacing w:val="-2"/>
        </w:rPr>
        <w:t>ust. 3 i art. 18k ust. 3. W ocenie Senatu rozróżnienie dwóch kategorii osób, tj. pokrzywdzonego</w:t>
      </w:r>
      <w:r w:rsidRPr="00AD07BA">
        <w:rPr>
          <w:rFonts w:ascii="Times" w:eastAsiaTheme="minorEastAsia" w:hAnsi="Times" w:cs="Arial"/>
        </w:rPr>
        <w:t xml:space="preserve"> oraz osoby dotkniętej przemocą w rodzinie, ani nie jest potrzebne w świetle celu tych przepisów, ani nie znajduje uzasadnienia w treści art. 15ak ust. 2 oraz art. 18k ust. 2. Chodzi bowiem o to, by osoba dotknięta przemocą w rodzinie uzyskała informację, że zamiast tymczasowego instrumentu przewidzianego w przepisach normujących uprawnienia Policji oraz Żandarmerii Wojskowej (por. art. 15ak ust. 1 i art. 18k ust. 1), w stosunku do osoby stosującej przemoc rodzinie zastosowanie znalazł izolacyjny środek zapobiegawczy, jakim jest tymczasowe aresztowanie, albo środek zapobiegawczy określony w art. 275a § 1 ustawy z dnia 6 czerwca 1997 r. – Kodeks postępowania karnego. To czy osoba dotknięta przemocą w rodzinie (kategoria szersza) korzysta ze statusu pokrzywdzonego w toczącym się </w:t>
      </w:r>
      <w:r w:rsidRPr="00AD07BA">
        <w:rPr>
          <w:rFonts w:ascii="Times" w:eastAsiaTheme="minorEastAsia" w:hAnsi="Times" w:cs="Arial"/>
        </w:rPr>
        <w:lastRenderedPageBreak/>
        <w:t xml:space="preserve">postępowaniu przygotowawczym (kategoria węższa) jest w takiej sytuacji zupełnie obojętne, a już nie trzeba chyba wspominać o tym, że ustawa z dnia </w:t>
      </w:r>
      <w:r w:rsidRPr="00AD07BA">
        <w:rPr>
          <w:rFonts w:ascii="Times" w:eastAsiaTheme="minorEastAsia" w:hAnsi="Times" w:cs="Arial"/>
          <w:spacing w:val="-2"/>
        </w:rPr>
        <w:t xml:space="preserve">6 kwietnia 1990 r. o Policji oraz </w:t>
      </w:r>
      <w:r w:rsidRPr="00AD07BA">
        <w:rPr>
          <w:rFonts w:ascii="Times" w:eastAsiaTheme="minorEastAsia" w:hAnsi="Times" w:cs="Arial"/>
        </w:rPr>
        <w:t>ustawa</w:t>
      </w:r>
      <w:r w:rsidRPr="00AD07BA">
        <w:rPr>
          <w:rFonts w:ascii="Times" w:eastAsiaTheme="minorEastAsia" w:hAnsi="Times" w:cs="Arial"/>
          <w:spacing w:val="-2"/>
        </w:rPr>
        <w:t xml:space="preserve"> z dnia 24 sierpnia 2001 r.</w:t>
      </w:r>
      <w:r w:rsidRPr="00AD07BA">
        <w:rPr>
          <w:rFonts w:ascii="Times" w:eastAsiaTheme="minorEastAsia" w:hAnsi="Times" w:cs="Arial"/>
        </w:rPr>
        <w:t xml:space="preserve"> </w:t>
      </w:r>
      <w:r w:rsidRPr="00AD07BA">
        <w:rPr>
          <w:rFonts w:ascii="Times" w:eastAsiaTheme="minorEastAsia" w:hAnsi="Times" w:cs="Arial"/>
          <w:spacing w:val="-2"/>
        </w:rPr>
        <w:t>o Żandarmerii Wojskowej i wojskowych organach porządkowych</w:t>
      </w:r>
      <w:r w:rsidRPr="00AD07BA">
        <w:rPr>
          <w:rFonts w:ascii="Times" w:eastAsiaTheme="minorEastAsia" w:hAnsi="Times" w:cs="Arial"/>
        </w:rPr>
        <w:t xml:space="preserve"> nie są aktami normatywnymi, które powinny regulować kwestię uprawnień pokrzywdzonych czy też obowiązków, jakie mają wobec nich organy postępowania karnego. W konsekwencji w projektowanych art. 3 pkt 8 lit. c i art. 4 pkt 10 lit. c proponuje się nadanie przepisom oznaczonym jako ust. 3 innego brzmienia, w którym z jednej strony zostaną pominięte osoby określone mianem „pokrzywdzonego”, a z drugiej – podmiot uprawniony do otrzymania od prokuratora stosownego zawiadomienia zostanie określony pełną nazwą, czyli jako „osoba dotknięta przemocą w rodzinie”.</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W tym miejscu wypada nadmienić, że potrzeba wprowadzenia zmian objętych treścią art. 3 pkt 8 lit. b i art. 4 pkt 10 lit. b projektu wynika z tego, że o ile tymczasowe aresztowanie osoby stosującej przemoc w rodzinie albo nakazanie tej osobie na zasadzie art. 275a § 1 ustawy z dnia 6 czerwca 1997 r. – Kodeks postępowania karnego </w:t>
      </w:r>
      <w:r w:rsidRPr="00AD07BA">
        <w:rPr>
          <w:rFonts w:ascii="Times" w:eastAsiaTheme="minorEastAsia" w:hAnsi="Times" w:cs="Arial"/>
          <w:spacing w:val="-2"/>
        </w:rPr>
        <w:t>okresowego opuszczenia lokalu zajmowanego wspólnie z pokrzywdzonym „konsumowałyby”</w:t>
      </w:r>
      <w:r w:rsidRPr="00AD07BA">
        <w:rPr>
          <w:rFonts w:ascii="Times" w:eastAsiaTheme="minorEastAsia" w:hAnsi="Times" w:cs="Arial"/>
        </w:rPr>
        <w:t xml:space="preserve"> ewentualny nakaz i zakaz wydanie na podstawie już uchwalonego brzmienia art. 15aa ust. 1 ustawy z dnia </w:t>
      </w:r>
      <w:r w:rsidRPr="00AD07BA">
        <w:rPr>
          <w:rFonts w:ascii="Times" w:eastAsiaTheme="minorEastAsia" w:hAnsi="Times" w:cs="Arial"/>
          <w:spacing w:val="-2"/>
        </w:rPr>
        <w:t>6 kwietnia 1990 r. o Policji albo art. 18a ust. 1 ustawy z dnia 24 sierpnia 2001 r.</w:t>
      </w:r>
      <w:r w:rsidRPr="00AD07BA">
        <w:rPr>
          <w:rFonts w:ascii="Times" w:eastAsiaTheme="minorEastAsia" w:hAnsi="Times" w:cs="Arial"/>
        </w:rPr>
        <w:t xml:space="preserve"> </w:t>
      </w:r>
      <w:r w:rsidRPr="00AD07BA">
        <w:rPr>
          <w:rFonts w:ascii="Times" w:eastAsiaTheme="minorEastAsia" w:hAnsi="Times" w:cs="Arial"/>
          <w:spacing w:val="-2"/>
        </w:rPr>
        <w:t xml:space="preserve">o Żandarmerii Wojskowej i wojskowych organach porządkowych, o tyle w razie wprowadzenia instytucji zakazu zbliżania się do osoby dotkniętej przemocą w rodzinie upadek tego typu ochrony byłby nieuzasadniony, gdyby w grę wchodziło wyłącznie zastosowanie drugiego ze wskazanych wyżej środków zapobiegawczych. W takim przypadku wydany przez Policję lub Żandarmerię Wojskową zakaz powinien zostać utrzymany.  </w:t>
      </w:r>
      <w:r w:rsidRPr="00AD07BA">
        <w:rPr>
          <w:rFonts w:ascii="Times" w:eastAsiaTheme="minorEastAsia" w:hAnsi="Times" w:cs="Arial"/>
        </w:rPr>
        <w:t xml:space="preserve">  </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 xml:space="preserve">Dodatkowo projektodawcy proponują zmianę brzmienia art. 15ae ust. 1 ustawy </w:t>
      </w:r>
      <w:r w:rsidRPr="00AD07BA">
        <w:rPr>
          <w:rFonts w:ascii="Times" w:eastAsiaTheme="minorEastAsia" w:hAnsi="Times" w:cs="Arial"/>
          <w:spacing w:val="-2"/>
        </w:rPr>
        <w:t>z dnia 6 kwietnia 1990 r. o Policji oraz art. 18e ust. 1 ustawy z dnia 24 sierpnia 2001 r.</w:t>
      </w:r>
      <w:r w:rsidRPr="00AD07BA">
        <w:rPr>
          <w:rFonts w:ascii="Times" w:eastAsiaTheme="minorEastAsia" w:hAnsi="Times" w:cs="Arial"/>
        </w:rPr>
        <w:t xml:space="preserve"> </w:t>
      </w:r>
      <w:r w:rsidRPr="00AD07BA">
        <w:rPr>
          <w:rFonts w:ascii="Times" w:eastAsiaTheme="minorEastAsia" w:hAnsi="Times" w:cs="Arial"/>
          <w:spacing w:val="-2"/>
        </w:rPr>
        <w:t xml:space="preserve">o Żandarmerii Wojskowej i wojskowych organach porządkowych (art. 3 pkt 4 lit. a i art. 4 pkt 6 lit. a projektu). </w:t>
      </w:r>
      <w:r w:rsidRPr="00AD07BA">
        <w:rPr>
          <w:rFonts w:ascii="Times" w:eastAsiaTheme="minorEastAsia" w:hAnsi="Times" w:cs="Arial"/>
        </w:rPr>
        <w:t xml:space="preserve">Intencją stojącą za tą propozycją jest takie ukształtowanie regulacji dotyczącej sporządzania protokołu z czynności opuszczenia wspólnie zajmowanego mieszkania i jego bezpośredniego otoczenia przez osobę, wobec której wydano nakaz lub zakaz, aby poza tą ostatnią osobą obowiązkiem złożenia podpisu na protokole objęta była nie każda osoba pełnoletnia, która przebywa w owym wspólnym mieszkaniu, lecz dorosła osoba dotknięta przemocą w rodzinie albo inna osoba dorosła upoważniona przez osobę dotkniętą przemocą w rodzinie i to tylko wówczas, gdy uczestniczy w protokołowanej czynności. Taka formuła </w:t>
      </w:r>
      <w:r w:rsidRPr="00AD07BA">
        <w:rPr>
          <w:rFonts w:ascii="Times" w:eastAsiaTheme="minorEastAsia" w:hAnsi="Times" w:cs="Arial"/>
        </w:rPr>
        <w:lastRenderedPageBreak/>
        <w:t>minimalizuje liczbę osób, które będą „uwikłane” w zdarzenia mające miejsce po wydaniu nakazu lub zakazu i tym samym eliminuje źródło możliwych zarzutów (np. co do braku wymaganego podpisu), zbędnych emocji czy wręcz traumy wynikających chociażby z wciągania osób postronnych w sprawy związane z przemocą w danej rodzinie.</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spacing w:val="-2"/>
        </w:rPr>
      </w:pPr>
      <w:r w:rsidRPr="00AD07BA">
        <w:rPr>
          <w:rFonts w:ascii="Times" w:eastAsiaTheme="minorEastAsia" w:hAnsi="Times" w:cs="Arial"/>
          <w:spacing w:val="-2"/>
        </w:rPr>
        <w:t>W projektowanej ustawie znajdują się jeszcze dwie zmiany o charakterze merytorycznym. Po pierwsze, zdaniem</w:t>
      </w:r>
      <w:r w:rsidRPr="00AD07BA">
        <w:rPr>
          <w:rFonts w:ascii="Times" w:eastAsiaTheme="minorEastAsia" w:hAnsi="Times" w:cs="Arial"/>
        </w:rPr>
        <w:t xml:space="preserve"> projektodawców termin na rozpatrzenie zażalenia wniesionego przez obowiązanego, wyznaczony sądowi w art. 15aj ust. 2 </w:t>
      </w:r>
      <w:r w:rsidRPr="00AD07BA">
        <w:rPr>
          <w:rFonts w:ascii="Times" w:eastAsiaTheme="minorEastAsia" w:hAnsi="Times" w:cs="Arial"/>
          <w:spacing w:val="-2"/>
        </w:rPr>
        <w:t xml:space="preserve">oraz w lustrzanym przepisie art. 18j ust. 2, jest za długi, zwłaszcza jeżeli weźmie się pod uwagę istotę nakazu lub zakazu wydawanego przez Policję czy Żandarmerię Wojskową. W tym aspekcie projektodawcy widzą konieczność lepszego zabezpieczenia praw osób obowiązanych, a tym samym szybszego korygowania pomyłek, które mogą się zdarzyć choćby tylko ze względu na to, że interwencje kończące się wydaniem nakazu lub zakazu niechybnie będą przeprowadzane w stanach faktycznych cechujących się dużą dynamiką i ładunkiem emocjonalnym. Dlatego według senatorów przywołany termin powinien wynosić maksymalnie 48 godzin. Nawiasem mówiąc, termin przewidziany w art. 12b ust. 3 ustawy z dnia 29 lipca 2005 r. o przeciwdziałaniu przemocy w rodzinie na rozpoznanie zażalenia na odebranie dziecka jest jeszcze krótszy i wynosi jedynie 24 godziny. Omawianą zmianę ujęto w art. 3 pkt 7 i art. 4 pkt 9 projektu, przy czym w końcowym fragmencie projektowanych przepisów przesądzono, że termin na rozpoznanie zażalenia biegnie od chwili wpływu zażalenia do sądu. W celu zagwarantowania pełnej spójności systemowej zasadne jest też dodanie analogicznego zastrzeżenia we wspomnianym art. 12b ust. 3 zdanie pierwsze ustawy z dnia 29 lipca 2005 r. o przeciwdziałaniu przemocy w rodzinie (art. 6 pkt 3 projektowanej ustawy).   </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spacing w:val="-2"/>
        </w:rPr>
        <w:t xml:space="preserve">Po drugie, w projekcie dodano zmianę art. 9d ust. 2 ustawy z dnia 29 lipca 2005 r. o przeciwdziałaniu przemocy w rodzinie, której nie przewidywała </w:t>
      </w:r>
      <w:r w:rsidRPr="00AD07BA">
        <w:rPr>
          <w:rFonts w:ascii="Times" w:eastAsiaTheme="minorEastAsia" w:hAnsi="Times" w:cs="Arial"/>
        </w:rPr>
        <w:t>nowela z 30 kwietnia 2020 r.</w:t>
      </w:r>
      <w:r w:rsidRPr="00AD07BA">
        <w:rPr>
          <w:rFonts w:ascii="Times" w:eastAsiaTheme="minorEastAsia" w:hAnsi="Times" w:cs="Arial"/>
          <w:spacing w:val="-2"/>
        </w:rPr>
        <w:t xml:space="preserve"> Niemniej takie pominięcie legislacyjne nie wydaje się być trafne. Wskazany przepis dotyczy procedury „Niebieskie Karty”, a wśród podmiotów, które powołane są do jej realizowania, wymienia przedstawicieli </w:t>
      </w:r>
      <w:r w:rsidRPr="00AD07BA">
        <w:rPr>
          <w:rFonts w:ascii="Times" w:eastAsiaTheme="minorEastAsia" w:hAnsi="Times" w:cs="Arial"/>
        </w:rPr>
        <w:t xml:space="preserve">jednostek organizacyjnych pomocy społecznej, gminnych komisji rozwiązywania problemów alkoholowych, Policji, oświaty i ochrony zdrowia. Skoro jednak również Żandarmeria Wojskowa ma być formacją aktywnie działającą w ramach struktur zwalczających tę przemoc oraz udzielających pomocy ofiarom przemocy w rodzinie, czego dowodem jest nie tylko oddanie jej do dyspozycji narzędzia prawnego w postaci nakazu lub </w:t>
      </w:r>
      <w:r w:rsidRPr="00AD07BA">
        <w:rPr>
          <w:rFonts w:ascii="Times" w:eastAsiaTheme="minorEastAsia" w:hAnsi="Times" w:cs="Arial"/>
          <w:spacing w:val="-2"/>
        </w:rPr>
        <w:t>zakazu, ale także decyzja ustawodawcy o włączeniu (aczkolwiek na zasadzie fakultatywności)</w:t>
      </w:r>
      <w:r w:rsidRPr="00AD07BA">
        <w:rPr>
          <w:rFonts w:ascii="Times" w:eastAsiaTheme="minorEastAsia" w:hAnsi="Times" w:cs="Arial"/>
        </w:rPr>
        <w:t xml:space="preserve"> </w:t>
      </w:r>
      <w:r w:rsidRPr="00AD07BA">
        <w:rPr>
          <w:rFonts w:ascii="Times" w:eastAsiaTheme="minorEastAsia" w:hAnsi="Times" w:cs="Arial"/>
          <w:spacing w:val="-2"/>
        </w:rPr>
        <w:lastRenderedPageBreak/>
        <w:t>przedstawicieli Żandarmerii Wojskowej w prace zarówno tzw. zespołów interdyscyplinarnych,</w:t>
      </w:r>
      <w:r w:rsidRPr="00AD07BA">
        <w:rPr>
          <w:rFonts w:ascii="Times" w:eastAsiaTheme="minorEastAsia" w:hAnsi="Times" w:cs="Arial"/>
        </w:rPr>
        <w:t xml:space="preserve"> jak i grup roboczych (zob. art. 7 pkt 1 lit. a i c ustawy z dnia 30 kwietnia 2020 r. o zmianie ustawy – Kodeks postępowania cywilnego oraz niektórych innych ustaw), to uwzględnienie tej służby w mechanizmie „Niebieskie Karty” stanowi w istocie postawienie przysłowiowej kropki nad „i”. Taką funkcję pełni właśnie art. 6 pkt 1 projektu.</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r w:rsidRPr="00AD07BA">
        <w:rPr>
          <w:rFonts w:ascii="Times" w:eastAsiaTheme="minorEastAsia" w:hAnsi="Times" w:cs="Arial"/>
        </w:rPr>
        <w:t>Proponuje się, aby projektowana ustawa weszła w życie z dniem 30 listopada 2020 r., a zatem w tej samej dacie, w której wejdzie w życie nowela z 30 kwietnia 2020 r.</w:t>
      </w:r>
    </w:p>
    <w:p w:rsidR="00AD07BA" w:rsidRPr="00AD07BA" w:rsidRDefault="00AD07BA" w:rsidP="00AD07BA">
      <w:pPr>
        <w:keepNext/>
        <w:spacing w:before="240"/>
        <w:jc w:val="both"/>
        <w:rPr>
          <w:b/>
          <w:szCs w:val="24"/>
        </w:rPr>
      </w:pPr>
      <w:r w:rsidRPr="00AD07BA">
        <w:rPr>
          <w:b/>
          <w:szCs w:val="24"/>
        </w:rPr>
        <w:t>3. Konsultacje</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b/>
          <w:bCs/>
          <w:szCs w:val="24"/>
        </w:rPr>
      </w:pPr>
      <w:r w:rsidRPr="00AD07BA">
        <w:rPr>
          <w:rFonts w:ascii="Times" w:eastAsiaTheme="minorEastAsia" w:hAnsi="Times" w:cs="Arial"/>
          <w:bCs/>
        </w:rPr>
        <w:t>Nadesłane w ramach konsultacji opinie i uwagi są zamieszczone na senackiej stronie internetowej. Wyniki konsultacji przedstawiono w Ocenie Skutków Regulacji.</w:t>
      </w:r>
    </w:p>
    <w:p w:rsidR="00AD07BA" w:rsidRPr="00AD07BA" w:rsidRDefault="00AD07BA" w:rsidP="00AD07BA">
      <w:pPr>
        <w:keepNext/>
        <w:spacing w:before="240"/>
        <w:jc w:val="both"/>
        <w:rPr>
          <w:b/>
          <w:szCs w:val="24"/>
        </w:rPr>
      </w:pPr>
      <w:r w:rsidRPr="00AD07BA">
        <w:rPr>
          <w:b/>
          <w:szCs w:val="24"/>
        </w:rPr>
        <w:t>4. Oświadczenie o zgodności z prawem Unii Europejskiej</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bCs/>
        </w:rPr>
      </w:pPr>
      <w:r w:rsidRPr="00AD07BA">
        <w:rPr>
          <w:rFonts w:ascii="Times" w:eastAsiaTheme="minorEastAsia" w:hAnsi="Times" w:cs="Arial"/>
          <w:bCs/>
        </w:rPr>
        <w:t>Zakres przedmiotowy projektu nie jest objęty prawem Unii Europejskiej.</w:t>
      </w:r>
    </w:p>
    <w:p w:rsidR="00AD07BA" w:rsidRPr="00AD07BA" w:rsidRDefault="00AD07BA" w:rsidP="00AD07BA">
      <w:pPr>
        <w:suppressAutoHyphens/>
        <w:autoSpaceDE w:val="0"/>
        <w:autoSpaceDN w:val="0"/>
        <w:adjustRightInd w:val="0"/>
        <w:spacing w:before="120"/>
        <w:ind w:firstLine="510"/>
        <w:jc w:val="both"/>
        <w:rPr>
          <w:rFonts w:ascii="Times" w:eastAsiaTheme="minorEastAsia" w:hAnsi="Times" w:cs="Arial"/>
        </w:rPr>
      </w:pPr>
    </w:p>
    <w:p w:rsidR="00AD07BA" w:rsidRDefault="00AD07BA" w:rsidP="009A4937">
      <w:pPr>
        <w:tabs>
          <w:tab w:val="center" w:pos="6237"/>
        </w:tabs>
        <w:spacing w:line="240" w:lineRule="auto"/>
        <w:ind w:right="-2"/>
        <w:jc w:val="both"/>
        <w:rPr>
          <w:b/>
        </w:rPr>
        <w:sectPr w:rsidR="00AD07BA" w:rsidSect="00AD07BA">
          <w:headerReference w:type="default" r:id="rId9"/>
          <w:headerReference w:type="first" r:id="rId10"/>
          <w:footnotePr>
            <w:numRestart w:val="eachSect"/>
          </w:footnotePr>
          <w:pgSz w:w="11906" w:h="16838"/>
          <w:pgMar w:top="1560" w:right="1434" w:bottom="1560" w:left="1418" w:header="709" w:footer="709" w:gutter="0"/>
          <w:pgNumType w:start="1"/>
          <w:cols w:space="708"/>
          <w:titlePg/>
          <w:docGrid w:linePitch="254"/>
        </w:sectPr>
      </w:pPr>
      <w:bookmarkStart w:id="0" w:name="_GoBack"/>
      <w:bookmarkEnd w:id="0"/>
    </w:p>
    <w:p w:rsidR="009A4937" w:rsidRDefault="009A4937" w:rsidP="009A4937">
      <w:pPr>
        <w:tabs>
          <w:tab w:val="center" w:pos="6237"/>
        </w:tabs>
        <w:spacing w:line="240" w:lineRule="auto"/>
        <w:ind w:right="-2"/>
        <w:jc w:val="both"/>
        <w:rPr>
          <w:b/>
        </w:rPr>
      </w:pPr>
    </w:p>
    <w:sectPr w:rsidR="009A4937" w:rsidSect="00704BFF">
      <w:headerReference w:type="default" r:id="rId11"/>
      <w:pgSz w:w="11906" w:h="16838"/>
      <w:pgMar w:top="142" w:right="709" w:bottom="567" w:left="720" w:header="227" w:footer="2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B66" w:rsidRDefault="00427B66" w:rsidP="009A4937">
      <w:pPr>
        <w:spacing w:line="240" w:lineRule="auto"/>
      </w:pPr>
      <w:r>
        <w:separator/>
      </w:r>
    </w:p>
  </w:endnote>
  <w:endnote w:type="continuationSeparator" w:id="0">
    <w:p w:rsidR="00427B66" w:rsidRDefault="00427B66"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B66" w:rsidRDefault="00427B66" w:rsidP="009A4937">
      <w:pPr>
        <w:spacing w:line="240" w:lineRule="auto"/>
      </w:pPr>
      <w:r>
        <w:separator/>
      </w:r>
    </w:p>
  </w:footnote>
  <w:footnote w:type="continuationSeparator" w:id="0">
    <w:p w:rsidR="00427B66" w:rsidRDefault="00427B66" w:rsidP="009A49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7BA" w:rsidRPr="00B371CC" w:rsidRDefault="00AD07BA" w:rsidP="00AD07BA">
    <w:pPr>
      <w:pStyle w:val="Nagwek"/>
      <w:jc w:val="center"/>
    </w:pPr>
    <w:r>
      <w:t xml:space="preserve">– </w:t>
    </w:r>
    <w:r>
      <w:fldChar w:fldCharType="begin"/>
    </w:r>
    <w:r>
      <w:instrText xml:space="preserve"> PAGE  \* MERGEFORMAT </w:instrText>
    </w:r>
    <w:r>
      <w:fldChar w:fldCharType="separate"/>
    </w:r>
    <w:r w:rsidR="005F1814">
      <w:rPr>
        <w:noProof/>
      </w:rPr>
      <w:t>6</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7BA" w:rsidRDefault="00AD07B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7BA" w:rsidRPr="00704BFF" w:rsidRDefault="00AD07BA" w:rsidP="00704BF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622CE"/>
    <w:multiLevelType w:val="hybridMultilevel"/>
    <w:tmpl w:val="FAE2342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2" w15:restartNumberingAfterBreak="0">
    <w:nsid w:val="1D9636AF"/>
    <w:multiLevelType w:val="hybridMultilevel"/>
    <w:tmpl w:val="37A080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32230F"/>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8D32FB"/>
    <w:multiLevelType w:val="hybridMultilevel"/>
    <w:tmpl w:val="E9B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6" w15:restartNumberingAfterBreak="0">
    <w:nsid w:val="239C4525"/>
    <w:multiLevelType w:val="hybridMultilevel"/>
    <w:tmpl w:val="F7DA2FF0"/>
    <w:lvl w:ilvl="0" w:tplc="04150001">
      <w:start w:val="1"/>
      <w:numFmt w:val="bullet"/>
      <w:lvlText w:val=""/>
      <w:lvlJc w:val="left"/>
      <w:pPr>
        <w:ind w:left="1061" w:hanging="360"/>
      </w:pPr>
      <w:rPr>
        <w:rFonts w:ascii="Symbol" w:hAnsi="Symbol"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7" w15:restartNumberingAfterBreak="0">
    <w:nsid w:val="27471732"/>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9" w15:restartNumberingAfterBreak="0">
    <w:nsid w:val="308D4468"/>
    <w:multiLevelType w:val="hybridMultilevel"/>
    <w:tmpl w:val="D4100F8A"/>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4E73566"/>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9B931C1"/>
    <w:multiLevelType w:val="hybridMultilevel"/>
    <w:tmpl w:val="54AEF948"/>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B94068"/>
    <w:multiLevelType w:val="hybridMultilevel"/>
    <w:tmpl w:val="42EE01C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CAE628D"/>
    <w:multiLevelType w:val="hybridMultilevel"/>
    <w:tmpl w:val="558C611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551D1231"/>
    <w:multiLevelType w:val="hybridMultilevel"/>
    <w:tmpl w:val="11CAB3E6"/>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87E232E"/>
    <w:multiLevelType w:val="hybridMultilevel"/>
    <w:tmpl w:val="D62C14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F016C30"/>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19" w15:restartNumberingAfterBreak="0">
    <w:nsid w:val="74663D3D"/>
    <w:multiLevelType w:val="hybridMultilevel"/>
    <w:tmpl w:val="3036FE8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abstractNum w:abstractNumId="21" w15:restartNumberingAfterBreak="0">
    <w:nsid w:val="77012A1F"/>
    <w:multiLevelType w:val="hybridMultilevel"/>
    <w:tmpl w:val="72161E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782E5354"/>
    <w:multiLevelType w:val="hybridMultilevel"/>
    <w:tmpl w:val="0094A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A4F00D7"/>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ED46462"/>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8"/>
  </w:num>
  <w:num w:numId="3">
    <w:abstractNumId w:val="5"/>
  </w:num>
  <w:num w:numId="4">
    <w:abstractNumId w:val="5"/>
  </w:num>
  <w:num w:numId="5">
    <w:abstractNumId w:val="20"/>
  </w:num>
  <w:num w:numId="6">
    <w:abstractNumId w:val="18"/>
  </w:num>
  <w:num w:numId="7">
    <w:abstractNumId w:val="20"/>
  </w:num>
  <w:num w:numId="8">
    <w:abstractNumId w:val="18"/>
  </w:num>
  <w:num w:numId="9">
    <w:abstractNumId w:val="20"/>
  </w:num>
  <w:num w:numId="10">
    <w:abstractNumId w:val="18"/>
  </w:num>
  <w:num w:numId="11">
    <w:abstractNumId w:val="1"/>
  </w:num>
  <w:num w:numId="12">
    <w:abstractNumId w:val="11"/>
  </w:num>
  <w:num w:numId="13">
    <w:abstractNumId w:val="9"/>
  </w:num>
  <w:num w:numId="14">
    <w:abstractNumId w:val="3"/>
  </w:num>
  <w:num w:numId="15">
    <w:abstractNumId w:val="19"/>
  </w:num>
  <w:num w:numId="16">
    <w:abstractNumId w:val="12"/>
  </w:num>
  <w:num w:numId="17">
    <w:abstractNumId w:val="24"/>
  </w:num>
  <w:num w:numId="18">
    <w:abstractNumId w:val="17"/>
  </w:num>
  <w:num w:numId="19">
    <w:abstractNumId w:val="13"/>
  </w:num>
  <w:num w:numId="20">
    <w:abstractNumId w:val="0"/>
  </w:num>
  <w:num w:numId="21">
    <w:abstractNumId w:val="10"/>
  </w:num>
  <w:num w:numId="22">
    <w:abstractNumId w:val="6"/>
  </w:num>
  <w:num w:numId="23">
    <w:abstractNumId w:val="7"/>
  </w:num>
  <w:num w:numId="24">
    <w:abstractNumId w:val="4"/>
  </w:num>
  <w:num w:numId="25">
    <w:abstractNumId w:val="23"/>
  </w:num>
  <w:num w:numId="26">
    <w:abstractNumId w:val="22"/>
  </w:num>
  <w:num w:numId="27">
    <w:abstractNumId w:val="15"/>
  </w:num>
  <w:num w:numId="28">
    <w:abstractNumId w:val="14"/>
  </w:num>
  <w:num w:numId="29">
    <w:abstractNumId w:val="2"/>
  </w:num>
  <w:num w:numId="30">
    <w:abstractNumId w:val="2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1613E"/>
    <w:rsid w:val="000A5CE8"/>
    <w:rsid w:val="0018049A"/>
    <w:rsid w:val="001A4397"/>
    <w:rsid w:val="002B0A43"/>
    <w:rsid w:val="00382AAC"/>
    <w:rsid w:val="003B7FBE"/>
    <w:rsid w:val="00427B66"/>
    <w:rsid w:val="00474670"/>
    <w:rsid w:val="004F1121"/>
    <w:rsid w:val="00527E52"/>
    <w:rsid w:val="0056045F"/>
    <w:rsid w:val="005F1814"/>
    <w:rsid w:val="00695AD3"/>
    <w:rsid w:val="006E58F9"/>
    <w:rsid w:val="006E73F1"/>
    <w:rsid w:val="006F026C"/>
    <w:rsid w:val="00704BFF"/>
    <w:rsid w:val="00735880"/>
    <w:rsid w:val="00777F90"/>
    <w:rsid w:val="00874611"/>
    <w:rsid w:val="008758BB"/>
    <w:rsid w:val="008C7EE7"/>
    <w:rsid w:val="009A4937"/>
    <w:rsid w:val="009D2757"/>
    <w:rsid w:val="00A06AF3"/>
    <w:rsid w:val="00AD07BA"/>
    <w:rsid w:val="00AF364E"/>
    <w:rsid w:val="00B5303C"/>
    <w:rsid w:val="00D37E95"/>
    <w:rsid w:val="00D829F5"/>
    <w:rsid w:val="00E15D93"/>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900C51-CA68-4331-BE36-39A4DD0D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5880"/>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paragraph" w:styleId="Nagwek4">
    <w:name w:val="heading 4"/>
    <w:basedOn w:val="Normalny"/>
    <w:next w:val="Normalny"/>
    <w:link w:val="Nagwek4Znak"/>
    <w:unhideWhenUsed/>
    <w:qFormat/>
    <w:rsid w:val="00AD07BA"/>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uiPriority w:val="99"/>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19"/>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link w:val="ARTartustawynprozporzdzeniaZnak"/>
    <w:uiPriority w:val="11"/>
    <w:qFormat/>
    <w:rsid w:val="0018049A"/>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DATAAKTUdatauchwalenialubwydaniaaktu">
    <w:name w:val="DATA_AKTU – data uchwalenia lub wydania aktu"/>
    <w:next w:val="TYTUAKTUprzedmiotregulacjiustawylubrozporzdzenia"/>
    <w:uiPriority w:val="6"/>
    <w:qFormat/>
    <w:rsid w:val="0018049A"/>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18049A"/>
    <w:pPr>
      <w:keepNext/>
      <w:suppressAutoHyphens/>
      <w:spacing w:before="120" w:after="360" w:line="360" w:lineRule="auto"/>
      <w:jc w:val="center"/>
    </w:pPr>
    <w:rPr>
      <w:rFonts w:ascii="Times" w:eastAsiaTheme="minorEastAsia"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18049A"/>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18049A"/>
    <w:pPr>
      <w:spacing w:before="0"/>
    </w:pPr>
    <w:rPr>
      <w:bCs/>
    </w:rPr>
  </w:style>
  <w:style w:type="paragraph" w:customStyle="1" w:styleId="ZUSTzmustartykuempunktem">
    <w:name w:val="Z/UST(§) – zm. ust. (§) artykułem (punktem)"/>
    <w:basedOn w:val="Normalny"/>
    <w:uiPriority w:val="30"/>
    <w:qFormat/>
    <w:rsid w:val="0018049A"/>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18049A"/>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18049A"/>
    <w:rPr>
      <w:b/>
    </w:rPr>
  </w:style>
  <w:style w:type="character" w:customStyle="1" w:styleId="ARTartustawynprozporzdzeniaZnak">
    <w:name w:val="ART(§) – art. ustawy (§ np. rozporządzenia) Znak"/>
    <w:basedOn w:val="Domylnaczcionkaakapitu"/>
    <w:link w:val="ARTartustawynprozporzdzenia"/>
    <w:uiPriority w:val="11"/>
    <w:locked/>
    <w:rsid w:val="0018049A"/>
    <w:rPr>
      <w:rFonts w:ascii="Times" w:eastAsiaTheme="minorEastAsia" w:hAnsi="Times" w:cs="Arial"/>
      <w:sz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18049A"/>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18049A"/>
    <w:rPr>
      <w:rFonts w:ascii="Times" w:eastAsiaTheme="minorEastAsia" w:hAnsi="Times" w:cs="Arial"/>
      <w:bCs/>
      <w:sz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18049A"/>
    <w:rPr>
      <w:rFonts w:ascii="Times" w:hAnsi="Times"/>
      <w:b/>
      <w:bCs/>
      <w:caps/>
      <w:spacing w:val="54"/>
      <w:kern w:val="24"/>
      <w:sz w:val="24"/>
      <w:szCs w:val="24"/>
    </w:rPr>
  </w:style>
  <w:style w:type="paragraph" w:styleId="Tekstpodstawowy">
    <w:name w:val="Body Text"/>
    <w:basedOn w:val="Normalny"/>
    <w:link w:val="TekstpodstawowyZnak"/>
    <w:uiPriority w:val="99"/>
    <w:semiHidden/>
    <w:rsid w:val="0018049A"/>
    <w:pPr>
      <w:widowControl w:val="0"/>
      <w:autoSpaceDE w:val="0"/>
      <w:autoSpaceDN w:val="0"/>
      <w:adjustRightInd w:val="0"/>
      <w:spacing w:after="120"/>
      <w:jc w:val="both"/>
    </w:pPr>
    <w:rPr>
      <w:rFonts w:eastAsiaTheme="minorEastAsia" w:cs="Arial"/>
    </w:rPr>
  </w:style>
  <w:style w:type="character" w:customStyle="1" w:styleId="TekstpodstawowyZnak">
    <w:name w:val="Tekst podstawowy Znak"/>
    <w:basedOn w:val="Domylnaczcionkaakapitu"/>
    <w:link w:val="Tekstpodstawowy"/>
    <w:uiPriority w:val="99"/>
    <w:semiHidden/>
    <w:rsid w:val="0018049A"/>
    <w:rPr>
      <w:rFonts w:eastAsiaTheme="minorEastAsia" w:cs="Arial"/>
      <w:sz w:val="24"/>
    </w:rPr>
  </w:style>
  <w:style w:type="paragraph" w:styleId="Akapitzlist">
    <w:name w:val="List Paragraph"/>
    <w:basedOn w:val="Normalny"/>
    <w:uiPriority w:val="34"/>
    <w:qFormat/>
    <w:rsid w:val="006E73F1"/>
    <w:pPr>
      <w:spacing w:line="276" w:lineRule="auto"/>
      <w:ind w:left="720"/>
      <w:contextualSpacing/>
    </w:pPr>
    <w:rPr>
      <w:rFonts w:ascii="Calibri" w:eastAsia="Calibri" w:hAnsi="Calibri"/>
      <w:sz w:val="22"/>
      <w:szCs w:val="22"/>
      <w:lang w:eastAsia="en-US"/>
    </w:rPr>
  </w:style>
  <w:style w:type="character" w:customStyle="1" w:styleId="Nagwek4Znak">
    <w:name w:val="Nagłówek 4 Znak"/>
    <w:basedOn w:val="Domylnaczcionkaakapitu"/>
    <w:link w:val="Nagwek4"/>
    <w:rsid w:val="00AD07BA"/>
    <w:rPr>
      <w:rFonts w:asciiTheme="majorHAnsi" w:eastAsiaTheme="majorEastAsia" w:hAnsiTheme="majorHAnsi" w:cstheme="majorBidi"/>
      <w:b/>
      <w:bCs/>
      <w:i/>
      <w:iCs/>
      <w:color w:val="4F81BD" w:themeColor="accent1"/>
      <w:sz w:val="22"/>
      <w:szCs w:val="22"/>
      <w:lang w:eastAsia="en-US"/>
    </w:rPr>
  </w:style>
  <w:style w:type="paragraph" w:styleId="Tekstprzypisudolnego">
    <w:name w:val="footnote text"/>
    <w:basedOn w:val="Normalny"/>
    <w:link w:val="TekstprzypisudolnegoZnak"/>
    <w:uiPriority w:val="99"/>
    <w:semiHidden/>
    <w:unhideWhenUsed/>
    <w:rsid w:val="00AD07BA"/>
    <w:pPr>
      <w:spacing w:line="276" w:lineRule="auto"/>
    </w:pPr>
    <w:rPr>
      <w:rFonts w:ascii="Calibri" w:eastAsia="Calibri" w:hAnsi="Calibri"/>
      <w:sz w:val="20"/>
      <w:lang w:eastAsia="en-US"/>
    </w:rPr>
  </w:style>
  <w:style w:type="character" w:customStyle="1" w:styleId="TekstprzypisudolnegoZnak">
    <w:name w:val="Tekst przypisu dolnego Znak"/>
    <w:basedOn w:val="Domylnaczcionkaakapitu"/>
    <w:link w:val="Tekstprzypisudolnego"/>
    <w:uiPriority w:val="99"/>
    <w:semiHidden/>
    <w:rsid w:val="00AD07BA"/>
    <w:rPr>
      <w:rFonts w:ascii="Calibri" w:eastAsia="Calibri" w:hAnsi="Calibri"/>
      <w:lang w:eastAsia="en-US"/>
    </w:rPr>
  </w:style>
  <w:style w:type="character" w:styleId="Hipercze">
    <w:name w:val="Hyperlink"/>
    <w:uiPriority w:val="99"/>
    <w:unhideWhenUsed/>
    <w:rsid w:val="00AD07BA"/>
    <w:rPr>
      <w:color w:val="0000FF"/>
      <w:u w:val="single"/>
    </w:rPr>
  </w:style>
  <w:style w:type="paragraph" w:customStyle="1" w:styleId="tresc">
    <w:name w:val="tresc"/>
    <w:basedOn w:val="Normalny"/>
    <w:rsid w:val="00AD07BA"/>
    <w:pPr>
      <w:spacing w:after="300" w:line="240" w:lineRule="auto"/>
    </w:pPr>
    <w:rPr>
      <w:rFonts w:ascii="inherit" w:hAnsi="inherit"/>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m.coe.int/16800d383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1F01B-AE71-49AB-BF64-37A32E1B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3558</Words>
  <Characters>21351</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24860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5</cp:revision>
  <dcterms:created xsi:type="dcterms:W3CDTF">2020-08-13T09:27:00Z</dcterms:created>
  <dcterms:modified xsi:type="dcterms:W3CDTF">2020-09-04T10:33:00Z</dcterms:modified>
</cp:coreProperties>
</file>