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0B6" w:rsidRPr="00391CA2" w:rsidRDefault="006204BC" w:rsidP="00D30E5E">
      <w:pPr>
        <w:tabs>
          <w:tab w:val="center" w:pos="4674"/>
          <w:tab w:val="left" w:pos="5820"/>
        </w:tabs>
        <w:spacing w:after="240" w:line="360" w:lineRule="auto"/>
        <w:jc w:val="center"/>
        <w:rPr>
          <w:rFonts w:ascii="Times New Roman" w:hAnsi="Times New Roman"/>
        </w:rPr>
      </w:pPr>
      <w:r w:rsidRPr="00391CA2">
        <w:rPr>
          <w:rFonts w:ascii="Times New Roman" w:hAnsi="Times New Roman"/>
        </w:rPr>
        <w:t>UZASAD</w:t>
      </w:r>
      <w:bookmarkStart w:id="0" w:name="_GoBack"/>
      <w:bookmarkEnd w:id="0"/>
      <w:r w:rsidRPr="00391CA2">
        <w:rPr>
          <w:rFonts w:ascii="Times New Roman" w:hAnsi="Times New Roman"/>
        </w:rPr>
        <w:t>NIENIE</w:t>
      </w:r>
    </w:p>
    <w:p w:rsidR="00CC09E9" w:rsidRPr="00391CA2" w:rsidRDefault="001F17F3" w:rsidP="00D30E5E">
      <w:pPr>
        <w:spacing w:after="120" w:line="360" w:lineRule="auto"/>
        <w:jc w:val="both"/>
        <w:rPr>
          <w:rFonts w:ascii="Times New Roman" w:hAnsi="Times New Roman"/>
        </w:rPr>
      </w:pPr>
      <w:r w:rsidRPr="00391CA2">
        <w:rPr>
          <w:rFonts w:ascii="Times New Roman" w:hAnsi="Times New Roman"/>
        </w:rPr>
        <w:t>Sytuacja związana z rozprzestrzen</w:t>
      </w:r>
      <w:r w:rsidR="00B04435">
        <w:rPr>
          <w:rFonts w:ascii="Times New Roman" w:hAnsi="Times New Roman"/>
        </w:rPr>
        <w:t>ianiem się zakażeń wirusem SARS-</w:t>
      </w:r>
      <w:r w:rsidRPr="00391CA2">
        <w:rPr>
          <w:rFonts w:ascii="Times New Roman" w:hAnsi="Times New Roman"/>
        </w:rPr>
        <w:t xml:space="preserve">CoV-2 </w:t>
      </w:r>
      <w:r w:rsidR="00CC09E9" w:rsidRPr="00391CA2">
        <w:rPr>
          <w:rFonts w:ascii="Times New Roman" w:hAnsi="Times New Roman"/>
        </w:rPr>
        <w:t xml:space="preserve">i wywołanej nim choroby COVID-19 </w:t>
      </w:r>
      <w:r w:rsidR="00D80E29" w:rsidRPr="00391CA2">
        <w:rPr>
          <w:rFonts w:ascii="Times New Roman" w:hAnsi="Times New Roman"/>
        </w:rPr>
        <w:t xml:space="preserve">spowodowała </w:t>
      </w:r>
      <w:r w:rsidRPr="00391CA2">
        <w:rPr>
          <w:rFonts w:ascii="Times New Roman" w:hAnsi="Times New Roman"/>
        </w:rPr>
        <w:t>potężne perturbacje gospodarcze</w:t>
      </w:r>
      <w:r w:rsidR="000514FB" w:rsidRPr="00391CA2">
        <w:rPr>
          <w:rFonts w:ascii="Times New Roman" w:hAnsi="Times New Roman"/>
        </w:rPr>
        <w:t xml:space="preserve"> </w:t>
      </w:r>
      <w:r w:rsidR="00CC09E9" w:rsidRPr="00391CA2">
        <w:rPr>
          <w:rFonts w:ascii="Times New Roman" w:hAnsi="Times New Roman"/>
        </w:rPr>
        <w:t xml:space="preserve">i wywołała nieodwracalne skutki społeczno-gospodarcze. </w:t>
      </w:r>
    </w:p>
    <w:p w:rsidR="00A86592" w:rsidRPr="00391CA2" w:rsidRDefault="00CC09E9" w:rsidP="00D30E5E">
      <w:pPr>
        <w:spacing w:after="120" w:line="360" w:lineRule="auto"/>
        <w:jc w:val="both"/>
        <w:rPr>
          <w:rFonts w:ascii="Times New Roman" w:hAnsi="Times New Roman"/>
        </w:rPr>
      </w:pPr>
      <w:r w:rsidRPr="00391CA2">
        <w:rPr>
          <w:rFonts w:ascii="Times New Roman" w:hAnsi="Times New Roman"/>
        </w:rPr>
        <w:t>W </w:t>
      </w:r>
      <w:r w:rsidR="001F17F3" w:rsidRPr="00391CA2">
        <w:rPr>
          <w:rFonts w:ascii="Times New Roman" w:hAnsi="Times New Roman"/>
        </w:rPr>
        <w:t xml:space="preserve">celu </w:t>
      </w:r>
      <w:r w:rsidRPr="00391CA2">
        <w:rPr>
          <w:rFonts w:ascii="Times New Roman" w:hAnsi="Times New Roman"/>
        </w:rPr>
        <w:t>z</w:t>
      </w:r>
      <w:r w:rsidR="001F17F3" w:rsidRPr="00391CA2">
        <w:rPr>
          <w:rFonts w:ascii="Times New Roman" w:hAnsi="Times New Roman"/>
        </w:rPr>
        <w:t xml:space="preserve">minimalizowania </w:t>
      </w:r>
      <w:r w:rsidRPr="00391CA2">
        <w:rPr>
          <w:rFonts w:ascii="Times New Roman" w:hAnsi="Times New Roman"/>
        </w:rPr>
        <w:t>tych</w:t>
      </w:r>
      <w:r w:rsidR="001F17F3" w:rsidRPr="00391CA2">
        <w:rPr>
          <w:rFonts w:ascii="Times New Roman" w:hAnsi="Times New Roman"/>
        </w:rPr>
        <w:t xml:space="preserve"> skutków pandemii niezwykle istotn</w:t>
      </w:r>
      <w:r w:rsidRPr="00391CA2">
        <w:rPr>
          <w:rFonts w:ascii="Times New Roman" w:hAnsi="Times New Roman"/>
        </w:rPr>
        <w:t>e</w:t>
      </w:r>
      <w:r w:rsidR="000514FB" w:rsidRPr="00391CA2">
        <w:rPr>
          <w:rFonts w:ascii="Times New Roman" w:hAnsi="Times New Roman"/>
        </w:rPr>
        <w:t xml:space="preserve"> jest podejmowanie szybkich i </w:t>
      </w:r>
      <w:r w:rsidR="001F17F3" w:rsidRPr="00391CA2">
        <w:rPr>
          <w:rFonts w:ascii="Times New Roman" w:hAnsi="Times New Roman"/>
        </w:rPr>
        <w:t xml:space="preserve">adekwatnych działań </w:t>
      </w:r>
      <w:r w:rsidRPr="00391CA2">
        <w:rPr>
          <w:rFonts w:ascii="Times New Roman" w:hAnsi="Times New Roman"/>
        </w:rPr>
        <w:t xml:space="preserve">przez państwo, mających na celu </w:t>
      </w:r>
      <w:r w:rsidR="00D80E29" w:rsidRPr="00391CA2">
        <w:rPr>
          <w:rFonts w:ascii="Times New Roman" w:hAnsi="Times New Roman"/>
        </w:rPr>
        <w:t>z</w:t>
      </w:r>
      <w:r w:rsidR="001F17F3" w:rsidRPr="00391CA2">
        <w:rPr>
          <w:rFonts w:ascii="Times New Roman" w:hAnsi="Times New Roman"/>
        </w:rPr>
        <w:t>minimaliz</w:t>
      </w:r>
      <w:r w:rsidRPr="00391CA2">
        <w:rPr>
          <w:rFonts w:ascii="Times New Roman" w:hAnsi="Times New Roman"/>
        </w:rPr>
        <w:t>owanie</w:t>
      </w:r>
      <w:r w:rsidR="001F17F3" w:rsidRPr="00391CA2">
        <w:rPr>
          <w:rFonts w:ascii="Times New Roman" w:hAnsi="Times New Roman"/>
        </w:rPr>
        <w:t xml:space="preserve"> </w:t>
      </w:r>
      <w:r w:rsidRPr="00391CA2">
        <w:rPr>
          <w:rFonts w:ascii="Times New Roman" w:hAnsi="Times New Roman"/>
        </w:rPr>
        <w:t>zagrożeń związanych ze sprawnym realizowaniem poszczególnych zadań, wynikających ze spowolnienia gospodarczego.</w:t>
      </w:r>
      <w:r w:rsidR="003B3C54" w:rsidRPr="00391CA2">
        <w:rPr>
          <w:rFonts w:ascii="Times New Roman" w:hAnsi="Times New Roman"/>
        </w:rPr>
        <w:t xml:space="preserve"> </w:t>
      </w:r>
    </w:p>
    <w:p w:rsidR="00284F04" w:rsidRPr="00391CA2" w:rsidRDefault="003B3C54" w:rsidP="00D30E5E">
      <w:pPr>
        <w:spacing w:after="120" w:line="360" w:lineRule="auto"/>
        <w:jc w:val="both"/>
        <w:rPr>
          <w:rFonts w:ascii="Times New Roman" w:hAnsi="Times New Roman"/>
        </w:rPr>
      </w:pPr>
      <w:r w:rsidRPr="00391CA2">
        <w:rPr>
          <w:rFonts w:ascii="Times New Roman" w:hAnsi="Times New Roman"/>
        </w:rPr>
        <w:t>Celowi temu ma służ</w:t>
      </w:r>
      <w:r w:rsidR="005D1B8D">
        <w:rPr>
          <w:rFonts w:ascii="Times New Roman" w:hAnsi="Times New Roman"/>
        </w:rPr>
        <w:t xml:space="preserve">yć wprowadzenie proponowanych w </w:t>
      </w:r>
      <w:r w:rsidRPr="00391CA2">
        <w:rPr>
          <w:rFonts w:ascii="Times New Roman" w:hAnsi="Times New Roman"/>
        </w:rPr>
        <w:t>ustawie</w:t>
      </w:r>
      <w:r w:rsidR="00A86592" w:rsidRPr="00391CA2">
        <w:rPr>
          <w:rFonts w:ascii="Times New Roman" w:eastAsiaTheme="minorEastAsia" w:hAnsi="Times New Roman"/>
          <w:b/>
          <w:bCs/>
          <w:lang w:eastAsia="pl-PL"/>
        </w:rPr>
        <w:t xml:space="preserve"> </w:t>
      </w:r>
      <w:r w:rsidR="00A86592" w:rsidRPr="00391CA2">
        <w:rPr>
          <w:rFonts w:ascii="Times New Roman" w:hAnsi="Times New Roman"/>
          <w:bCs/>
        </w:rPr>
        <w:t>o zmianie niektórych ustaw w celu przeciwdziałania społeczno-gospodarczym skutkom COVID-19</w:t>
      </w:r>
      <w:r w:rsidRPr="00391CA2">
        <w:rPr>
          <w:rFonts w:ascii="Times New Roman" w:hAnsi="Times New Roman"/>
        </w:rPr>
        <w:t xml:space="preserve"> zmian</w:t>
      </w:r>
      <w:r w:rsidR="00284F04" w:rsidRPr="00391CA2">
        <w:rPr>
          <w:rFonts w:ascii="Times New Roman" w:hAnsi="Times New Roman"/>
        </w:rPr>
        <w:t xml:space="preserve">, mających na celu umożliwienie finansowania istotnych zadań publicznych, związanych z realizacją polityki </w:t>
      </w:r>
      <w:r w:rsidR="00325638">
        <w:rPr>
          <w:rFonts w:ascii="Times New Roman" w:hAnsi="Times New Roman"/>
        </w:rPr>
        <w:t>r</w:t>
      </w:r>
      <w:r w:rsidR="00284F04" w:rsidRPr="00391CA2">
        <w:rPr>
          <w:rFonts w:ascii="Times New Roman" w:hAnsi="Times New Roman"/>
        </w:rPr>
        <w:t>ządu, służących przeciwdziałaniu społeczno-gospodarczym skutkom COVID-19.</w:t>
      </w:r>
    </w:p>
    <w:p w:rsidR="00511D11" w:rsidRPr="00391CA2" w:rsidRDefault="003B3C54" w:rsidP="00D30E5E">
      <w:pPr>
        <w:spacing w:after="120" w:line="360" w:lineRule="auto"/>
        <w:jc w:val="both"/>
        <w:rPr>
          <w:rFonts w:ascii="Times New Roman" w:hAnsi="Times New Roman"/>
        </w:rPr>
      </w:pPr>
      <w:r w:rsidRPr="00391CA2">
        <w:rPr>
          <w:rFonts w:ascii="Times New Roman" w:hAnsi="Times New Roman"/>
        </w:rPr>
        <w:t xml:space="preserve">Zmiany zaproponowane </w:t>
      </w:r>
      <w:r w:rsidRPr="00391CA2">
        <w:rPr>
          <w:rFonts w:ascii="Times New Roman" w:hAnsi="Times New Roman"/>
          <w:u w:val="single"/>
        </w:rPr>
        <w:t xml:space="preserve">w </w:t>
      </w:r>
      <w:r w:rsidR="00511D11" w:rsidRPr="00391CA2">
        <w:rPr>
          <w:rFonts w:ascii="Times New Roman" w:hAnsi="Times New Roman"/>
          <w:u w:val="single"/>
        </w:rPr>
        <w:t xml:space="preserve">art. 1 </w:t>
      </w:r>
      <w:r w:rsidR="00D156B7" w:rsidRPr="00391CA2">
        <w:rPr>
          <w:rFonts w:ascii="Times New Roman" w:hAnsi="Times New Roman"/>
          <w:u w:val="single"/>
        </w:rPr>
        <w:t xml:space="preserve">projektu </w:t>
      </w:r>
      <w:r w:rsidRPr="00391CA2">
        <w:rPr>
          <w:rFonts w:ascii="Times New Roman" w:hAnsi="Times New Roman"/>
          <w:u w:val="single"/>
        </w:rPr>
        <w:t>ustaw</w:t>
      </w:r>
      <w:r w:rsidR="00511D11" w:rsidRPr="00391CA2">
        <w:rPr>
          <w:rFonts w:ascii="Times New Roman" w:hAnsi="Times New Roman"/>
          <w:u w:val="single"/>
        </w:rPr>
        <w:t>y</w:t>
      </w:r>
      <w:r w:rsidR="00511D11" w:rsidRPr="00391CA2">
        <w:rPr>
          <w:rFonts w:ascii="Times New Roman" w:hAnsi="Times New Roman"/>
        </w:rPr>
        <w:t xml:space="preserve"> </w:t>
      </w:r>
      <w:r w:rsidRPr="00391CA2">
        <w:rPr>
          <w:rFonts w:ascii="Times New Roman" w:hAnsi="Times New Roman"/>
        </w:rPr>
        <w:t>pol</w:t>
      </w:r>
      <w:r w:rsidR="00511D11" w:rsidRPr="00391CA2">
        <w:rPr>
          <w:rFonts w:ascii="Times New Roman" w:hAnsi="Times New Roman"/>
        </w:rPr>
        <w:t>egają na wprowadzeniu do ustawy</w:t>
      </w:r>
      <w:r w:rsidRPr="00391CA2">
        <w:rPr>
          <w:rFonts w:ascii="Times New Roman" w:hAnsi="Times New Roman"/>
        </w:rPr>
        <w:t xml:space="preserve"> </w:t>
      </w:r>
      <w:r w:rsidR="00511D11" w:rsidRPr="00391CA2">
        <w:rPr>
          <w:rFonts w:ascii="Times New Roman" w:hAnsi="Times New Roman"/>
        </w:rPr>
        <w:t>z dn</w:t>
      </w:r>
      <w:r w:rsidR="00C56A19">
        <w:rPr>
          <w:rFonts w:ascii="Times New Roman" w:hAnsi="Times New Roman"/>
        </w:rPr>
        <w:t>ia 8 </w:t>
      </w:r>
      <w:r w:rsidR="00511D11" w:rsidRPr="00391CA2">
        <w:rPr>
          <w:rFonts w:ascii="Times New Roman" w:hAnsi="Times New Roman"/>
        </w:rPr>
        <w:t xml:space="preserve">września 2000 r. o komercjalizacji i restrukturyzacji przedsiębiorstwa państwowego „Polskie Koleje Państwowe” (Dz. U. z 2020 r. poz. 292, </w:t>
      </w:r>
      <w:r w:rsidR="003D6D6F" w:rsidRPr="00391CA2">
        <w:rPr>
          <w:rFonts w:ascii="Times New Roman" w:hAnsi="Times New Roman"/>
        </w:rPr>
        <w:t>z późn.</w:t>
      </w:r>
      <w:r w:rsidR="00325638">
        <w:rPr>
          <w:rFonts w:ascii="Times New Roman" w:hAnsi="Times New Roman"/>
        </w:rPr>
        <w:t xml:space="preserve"> </w:t>
      </w:r>
      <w:r w:rsidR="003D6D6F" w:rsidRPr="00391CA2">
        <w:rPr>
          <w:rFonts w:ascii="Times New Roman" w:hAnsi="Times New Roman"/>
        </w:rPr>
        <w:t>zm.</w:t>
      </w:r>
      <w:r w:rsidR="00511D11" w:rsidRPr="00391CA2">
        <w:rPr>
          <w:rFonts w:ascii="Times New Roman" w:hAnsi="Times New Roman"/>
        </w:rPr>
        <w:t xml:space="preserve">) </w:t>
      </w:r>
      <w:r w:rsidRPr="00391CA2">
        <w:rPr>
          <w:rFonts w:ascii="Times New Roman" w:hAnsi="Times New Roman"/>
        </w:rPr>
        <w:t>nowego rozdziału umożliwiającego przekazywanie PKP PLK S.A. środków budżetu państwa na podwyższenie kapitału zakładowego PLK SA z przeznaczeniem na inwestycje kapitałowe oraz cele związane z budową, modernizacją przystanków kolejowych.</w:t>
      </w:r>
    </w:p>
    <w:p w:rsidR="00511D11" w:rsidRPr="00391CA2" w:rsidRDefault="003B3C54" w:rsidP="00D30E5E">
      <w:pPr>
        <w:spacing w:after="120" w:line="360" w:lineRule="auto"/>
        <w:jc w:val="both"/>
        <w:rPr>
          <w:rFonts w:ascii="Times New Roman" w:hAnsi="Times New Roman"/>
        </w:rPr>
      </w:pPr>
      <w:r w:rsidRPr="00391CA2">
        <w:rPr>
          <w:rFonts w:ascii="Times New Roman" w:hAnsi="Times New Roman"/>
        </w:rPr>
        <w:t xml:space="preserve">Należy podkreślić, że PKP Polskie Linie Kolejowe S.A. jest zarządcą narodowej sieci linii kolejowych, do której zadań należy: zarządzanie infrastrukturą kolejową, w tym m.in. udostępnianie linii kolejowych i obiektów infrastruktury usługowej, utrzymywanie infrastruktury kolejowej w stanie zapewniającym bezpieczny ruch kolejowy, budowa, rozwój i modernizacja sieci. Spółka zarządza 18,5 tys. km linii kolejowych, co stanowi 95,9% eksploatowanej sieci kolejowej w kraju. Ponadto Spółka realizuje obecnie największy program inwestycyjny w historii polskiego kolejnictwa </w:t>
      </w:r>
      <w:r w:rsidR="00A86592" w:rsidRPr="00391CA2">
        <w:rPr>
          <w:rFonts w:ascii="Times New Roman" w:hAnsi="Times New Roman"/>
        </w:rPr>
        <w:t xml:space="preserve">o </w:t>
      </w:r>
      <w:r w:rsidRPr="00391CA2">
        <w:rPr>
          <w:rFonts w:ascii="Times New Roman" w:hAnsi="Times New Roman"/>
        </w:rPr>
        <w:t>wartości ok</w:t>
      </w:r>
      <w:r w:rsidR="00C355FA">
        <w:rPr>
          <w:rFonts w:ascii="Times New Roman" w:hAnsi="Times New Roman"/>
        </w:rPr>
        <w:t>.</w:t>
      </w:r>
      <w:r w:rsidRPr="00391CA2">
        <w:rPr>
          <w:rFonts w:ascii="Times New Roman" w:hAnsi="Times New Roman"/>
        </w:rPr>
        <w:t xml:space="preserve"> 75 mld zł. </w:t>
      </w:r>
    </w:p>
    <w:p w:rsidR="00FF09B5" w:rsidRPr="00391CA2" w:rsidRDefault="003B3C54" w:rsidP="00D30E5E">
      <w:pPr>
        <w:spacing w:after="120" w:line="360" w:lineRule="auto"/>
        <w:jc w:val="both"/>
        <w:rPr>
          <w:rFonts w:ascii="Times New Roman" w:hAnsi="Times New Roman"/>
        </w:rPr>
      </w:pPr>
      <w:r w:rsidRPr="00391CA2">
        <w:rPr>
          <w:rFonts w:ascii="Times New Roman" w:hAnsi="Times New Roman"/>
        </w:rPr>
        <w:t>Obecna sytuacja epidemiczna kraju dokonała zdecydowanego spowolnienia gospodarczego, co może się w sposób zdecydowanie negatywny odbić na rynk</w:t>
      </w:r>
      <w:r w:rsidR="00A86592" w:rsidRPr="00391CA2">
        <w:rPr>
          <w:rFonts w:ascii="Times New Roman" w:hAnsi="Times New Roman"/>
        </w:rPr>
        <w:t xml:space="preserve">u usług budowlanych, ponieważ </w:t>
      </w:r>
      <w:r w:rsidR="00C355FA">
        <w:rPr>
          <w:rFonts w:ascii="Times New Roman" w:hAnsi="Times New Roman"/>
        </w:rPr>
        <w:t>obecnie</w:t>
      </w:r>
      <w:r w:rsidRPr="00391CA2">
        <w:rPr>
          <w:rFonts w:ascii="Times New Roman" w:hAnsi="Times New Roman"/>
        </w:rPr>
        <w:t xml:space="preserve"> uruchomionych jest wiele publicznych programów inwestycyjnych. Firmy budowlane realizujące kluczowe inwestycje infrastrukturalne, w szczególności </w:t>
      </w:r>
      <w:r w:rsidR="00A86592" w:rsidRPr="00391CA2">
        <w:rPr>
          <w:rFonts w:ascii="Times New Roman" w:hAnsi="Times New Roman"/>
        </w:rPr>
        <w:t>w zakresie dróg i </w:t>
      </w:r>
      <w:r w:rsidRPr="00391CA2">
        <w:rPr>
          <w:rFonts w:ascii="Times New Roman" w:hAnsi="Times New Roman"/>
        </w:rPr>
        <w:t>kolei, zaczynają mieć poważne problemy związane z właściwym i terminowym dotrzymaniem umów. Biorąc pod uwagę konieczność realizacji inwestycji kolejowych na taką skalę oraz problemy z dostępnością firm wykonawczych na rynku, ni</w:t>
      </w:r>
      <w:r w:rsidR="00511D11" w:rsidRPr="00391CA2">
        <w:rPr>
          <w:rFonts w:ascii="Times New Roman" w:hAnsi="Times New Roman"/>
        </w:rPr>
        <w:t xml:space="preserve">ezbędnym jest podjęcie działań </w:t>
      </w:r>
      <w:r w:rsidRPr="00391CA2">
        <w:rPr>
          <w:rFonts w:ascii="Times New Roman" w:hAnsi="Times New Roman"/>
        </w:rPr>
        <w:t>mających na celu znaczące pobudzenie tego sektora gospodarki poprzez wprowadzenie możliwości rozwoju i wykorzystania potencjału polskich rodzimych firm wykonawczych na rynku kolejowym i pełne wykorzystanie ich potencjału i zasobów.</w:t>
      </w:r>
      <w:r w:rsidR="00FF09B5" w:rsidRPr="00391CA2">
        <w:rPr>
          <w:rFonts w:ascii="Times New Roman" w:hAnsi="Times New Roman"/>
        </w:rPr>
        <w:t xml:space="preserve"> </w:t>
      </w:r>
    </w:p>
    <w:p w:rsidR="008D6B27" w:rsidRPr="00391CA2" w:rsidRDefault="003B3C54" w:rsidP="00D30E5E">
      <w:pPr>
        <w:spacing w:after="120" w:line="360" w:lineRule="auto"/>
        <w:jc w:val="both"/>
        <w:rPr>
          <w:rFonts w:ascii="Times New Roman" w:hAnsi="Times New Roman"/>
        </w:rPr>
      </w:pPr>
      <w:r w:rsidRPr="00391CA2">
        <w:rPr>
          <w:rFonts w:ascii="Times New Roman" w:hAnsi="Times New Roman"/>
        </w:rPr>
        <w:t xml:space="preserve">Propozycja zawarta w </w:t>
      </w:r>
      <w:r w:rsidR="00FF09B5" w:rsidRPr="00391CA2">
        <w:rPr>
          <w:rFonts w:ascii="Times New Roman" w:hAnsi="Times New Roman"/>
        </w:rPr>
        <w:t xml:space="preserve">projektowanym </w:t>
      </w:r>
      <w:r w:rsidRPr="00391CA2">
        <w:rPr>
          <w:rFonts w:ascii="Times New Roman" w:hAnsi="Times New Roman"/>
        </w:rPr>
        <w:t xml:space="preserve">art. 33za przewiduje, że w 2020 r. minister właściwy do spraw aktywów państwowych </w:t>
      </w:r>
      <w:r w:rsidR="00B04435" w:rsidRPr="00391CA2">
        <w:rPr>
          <w:rFonts w:ascii="Times New Roman" w:hAnsi="Times New Roman"/>
        </w:rPr>
        <w:t>–</w:t>
      </w:r>
      <w:r w:rsidRPr="00391CA2">
        <w:rPr>
          <w:rFonts w:ascii="Times New Roman" w:hAnsi="Times New Roman"/>
        </w:rPr>
        <w:t xml:space="preserve"> na wniosek ministra właściwego d</w:t>
      </w:r>
      <w:r w:rsidR="00B04435">
        <w:rPr>
          <w:rFonts w:ascii="Times New Roman" w:hAnsi="Times New Roman"/>
        </w:rPr>
        <w:t xml:space="preserve">o spraw transportu </w:t>
      </w:r>
      <w:r w:rsidR="00B04435" w:rsidRPr="00391CA2">
        <w:rPr>
          <w:rFonts w:ascii="Times New Roman" w:hAnsi="Times New Roman"/>
        </w:rPr>
        <w:t>–</w:t>
      </w:r>
      <w:r w:rsidR="00A86592" w:rsidRPr="00391CA2">
        <w:rPr>
          <w:rFonts w:ascii="Times New Roman" w:hAnsi="Times New Roman"/>
        </w:rPr>
        <w:t xml:space="preserve"> przekaże z </w:t>
      </w:r>
      <w:r w:rsidRPr="00391CA2">
        <w:rPr>
          <w:rFonts w:ascii="Times New Roman" w:hAnsi="Times New Roman"/>
        </w:rPr>
        <w:t>budżetu państwa środki w wysokości 850 000 tys. zł, z przeznaczeniem na podwyższenie kapitału zakładowego PKP PLK S</w:t>
      </w:r>
      <w:r w:rsidR="00B75B5F">
        <w:rPr>
          <w:rFonts w:ascii="Times New Roman" w:hAnsi="Times New Roman"/>
        </w:rPr>
        <w:t>.</w:t>
      </w:r>
      <w:r w:rsidRPr="00391CA2">
        <w:rPr>
          <w:rFonts w:ascii="Times New Roman" w:hAnsi="Times New Roman"/>
        </w:rPr>
        <w:t xml:space="preserve">A. </w:t>
      </w:r>
      <w:r w:rsidR="00B75B5F">
        <w:rPr>
          <w:rFonts w:ascii="Times New Roman" w:hAnsi="Times New Roman"/>
        </w:rPr>
        <w:t>Obecnie</w:t>
      </w:r>
      <w:r w:rsidRPr="00391CA2">
        <w:rPr>
          <w:rFonts w:ascii="Times New Roman" w:hAnsi="Times New Roman"/>
        </w:rPr>
        <w:t xml:space="preserve"> PKP PLK S.A. posiada 4 spółki zależne, które wykonują roboty utrzymaniowe i inwestycyjne jako podwykonawcy, a których potencjał wykonawczy można by było zwiększyć tak</w:t>
      </w:r>
      <w:r w:rsidR="00B75B5F">
        <w:rPr>
          <w:rFonts w:ascii="Times New Roman" w:hAnsi="Times New Roman"/>
        </w:rPr>
        <w:t>,</w:t>
      </w:r>
      <w:r w:rsidRPr="00391CA2">
        <w:rPr>
          <w:rFonts w:ascii="Times New Roman" w:hAnsi="Times New Roman"/>
        </w:rPr>
        <w:t xml:space="preserve"> aby mogli być atrakcyjnym partnerem przy realizacji kontraktów inwestycyjnych. Środki uzyskane z budżetu państwa na podwyższenie kapitału zakładowego PKP PLK S.A. zobowiązana będzie przeznaczyć wyłącznie na inwestycje kapitałowe, polegające na podwyższeniu kapitału zakładowego spółek</w:t>
      </w:r>
      <w:r w:rsidR="00A86592" w:rsidRPr="00391CA2">
        <w:rPr>
          <w:rFonts w:ascii="Times New Roman" w:hAnsi="Times New Roman"/>
        </w:rPr>
        <w:t xml:space="preserve"> zależnych PLK SA i </w:t>
      </w:r>
      <w:r w:rsidRPr="00391CA2">
        <w:rPr>
          <w:rFonts w:ascii="Times New Roman" w:hAnsi="Times New Roman"/>
        </w:rPr>
        <w:t xml:space="preserve">objęciu przez PLK SA nowo utworzonych udziałów w podwyższonym kapitale zakładowym. Natomiast spółki zależne PLK SA zobowiązane są do wykorzystania otrzymanych środków na zakup środków trwałych w postaci maszyn i urządzeń lub nieruchomości w celu zwiększenia potencjału realizowanych przez nie inwestycji. Takie działania inwestycyjne pozwolą na zwiększenie możliwości wykonawczych spółek zależnych dwukrotnie. Wyspecjalizowane spółki zależne będą również atrakcyjnym partnerem </w:t>
      </w:r>
      <w:r w:rsidR="00DE06D3" w:rsidRPr="00391CA2">
        <w:rPr>
          <w:rFonts w:ascii="Times New Roman" w:hAnsi="Times New Roman"/>
        </w:rPr>
        <w:t>w</w:t>
      </w:r>
      <w:r w:rsidRPr="00391CA2">
        <w:rPr>
          <w:rFonts w:ascii="Times New Roman" w:hAnsi="Times New Roman"/>
        </w:rPr>
        <w:t xml:space="preserve"> dużych kontraktach lub samodzielnym podmiotem przy mniejszych inwestycjach. </w:t>
      </w:r>
    </w:p>
    <w:p w:rsidR="008D6B27" w:rsidRPr="00391CA2" w:rsidRDefault="003B3C54" w:rsidP="00D30E5E">
      <w:pPr>
        <w:spacing w:after="120" w:line="360" w:lineRule="auto"/>
        <w:jc w:val="both"/>
        <w:rPr>
          <w:rFonts w:ascii="Times New Roman" w:hAnsi="Times New Roman"/>
        </w:rPr>
      </w:pPr>
      <w:r w:rsidRPr="00391CA2">
        <w:rPr>
          <w:rFonts w:ascii="Times New Roman" w:hAnsi="Times New Roman"/>
        </w:rPr>
        <w:t xml:space="preserve">Jednocześnie, co istotne, nastąpi poprawa struktury właścicielskiej narodowego zarządcy infrastruktury kolejowej </w:t>
      </w:r>
      <w:r w:rsidR="00B04435" w:rsidRPr="00391CA2">
        <w:rPr>
          <w:rFonts w:ascii="Times New Roman" w:hAnsi="Times New Roman"/>
        </w:rPr>
        <w:t>–</w:t>
      </w:r>
      <w:r w:rsidRPr="00391CA2">
        <w:rPr>
          <w:rFonts w:ascii="Times New Roman" w:hAnsi="Times New Roman"/>
        </w:rPr>
        <w:t xml:space="preserve"> PKP PLK S.A. i utworzenie silnej grupy kapitałowej na bazie PKP PLK S.A. dysponującej ogromnym potencjałem wykonawczym na rynku robót budowlanych. Wzmocniona pozycja i potencjał polskich firm realizujących inwestycje kolejowe i utrzymujących linie kolejowe zapewni gotowość realizacji projektów w ramach przewidywanej dużej puli środków na inwestycje kolejowe w nowej perspektyw</w:t>
      </w:r>
      <w:r w:rsidR="00AD6168" w:rsidRPr="00391CA2">
        <w:rPr>
          <w:rFonts w:ascii="Times New Roman" w:hAnsi="Times New Roman"/>
        </w:rPr>
        <w:t>ie</w:t>
      </w:r>
      <w:r w:rsidRPr="00391CA2">
        <w:rPr>
          <w:rFonts w:ascii="Times New Roman" w:hAnsi="Times New Roman"/>
        </w:rPr>
        <w:t xml:space="preserve"> finansowej UE w latach 2021</w:t>
      </w:r>
      <w:r w:rsidR="00B04435" w:rsidRPr="00391CA2">
        <w:rPr>
          <w:rFonts w:ascii="Times New Roman" w:hAnsi="Times New Roman"/>
        </w:rPr>
        <w:t>–</w:t>
      </w:r>
      <w:r w:rsidRPr="00391CA2">
        <w:rPr>
          <w:rFonts w:ascii="Times New Roman" w:hAnsi="Times New Roman"/>
        </w:rPr>
        <w:t xml:space="preserve">2027. Dodatkowo wzmocniona Spółka PKP PLK S.A. będzie mieć większy potencjał do realizacji kolejnych programów rządowych takich jak Kolej + czy też projektowany program CPK oraz program przystankowy. </w:t>
      </w:r>
    </w:p>
    <w:p w:rsidR="00D156B7" w:rsidRPr="00391CA2" w:rsidRDefault="008D6B27" w:rsidP="00D30E5E">
      <w:pPr>
        <w:spacing w:after="120" w:line="360" w:lineRule="auto"/>
        <w:jc w:val="both"/>
        <w:rPr>
          <w:rFonts w:ascii="Times New Roman" w:hAnsi="Times New Roman"/>
        </w:rPr>
      </w:pPr>
      <w:r w:rsidRPr="00391CA2">
        <w:rPr>
          <w:rFonts w:ascii="Times New Roman" w:hAnsi="Times New Roman"/>
        </w:rPr>
        <w:t>Z kolei p</w:t>
      </w:r>
      <w:r w:rsidR="003B3C54" w:rsidRPr="00391CA2">
        <w:rPr>
          <w:rFonts w:ascii="Times New Roman" w:hAnsi="Times New Roman"/>
        </w:rPr>
        <w:t xml:space="preserve">ropozycja zawarta w art. 33zb przewiduje, że w 2020 r. minister właściwy do spraw aktywów państwowych </w:t>
      </w:r>
      <w:r w:rsidR="00B04435" w:rsidRPr="00391CA2">
        <w:rPr>
          <w:rFonts w:ascii="Times New Roman" w:hAnsi="Times New Roman"/>
        </w:rPr>
        <w:t>–</w:t>
      </w:r>
      <w:r w:rsidR="003B3C54" w:rsidRPr="00391CA2">
        <w:rPr>
          <w:rFonts w:ascii="Times New Roman" w:hAnsi="Times New Roman"/>
        </w:rPr>
        <w:t xml:space="preserve"> na wniosek ministra właściwego d</w:t>
      </w:r>
      <w:r w:rsidR="00A86592" w:rsidRPr="00391CA2">
        <w:rPr>
          <w:rFonts w:ascii="Times New Roman" w:hAnsi="Times New Roman"/>
        </w:rPr>
        <w:t xml:space="preserve">o spraw transportu </w:t>
      </w:r>
      <w:r w:rsidR="00B04435" w:rsidRPr="00391CA2">
        <w:rPr>
          <w:rFonts w:ascii="Times New Roman" w:hAnsi="Times New Roman"/>
        </w:rPr>
        <w:t>–</w:t>
      </w:r>
      <w:r w:rsidR="00A86592" w:rsidRPr="00391CA2">
        <w:rPr>
          <w:rFonts w:ascii="Times New Roman" w:hAnsi="Times New Roman"/>
        </w:rPr>
        <w:t xml:space="preserve"> przekaże z </w:t>
      </w:r>
      <w:r w:rsidR="003B3C54" w:rsidRPr="00391CA2">
        <w:rPr>
          <w:rFonts w:ascii="Times New Roman" w:hAnsi="Times New Roman"/>
        </w:rPr>
        <w:t xml:space="preserve">budżetu państwa środki w wysokości 1 000 000 tys. zł, z przeznaczeniem na podwyższenie kapitału zakładowego PLK SA. Akcje w podwyższonym kapitale zakładowym PLK SA zostaną objęte przez Skarb Państwa, a środki pochodzące z podwyższenia kapitału zakładowego zostaną przeznaczone na zadania w zakresie budowy, przebudowy, rozbudowy lub modernizacji przystanków kolejowych oraz infrastruktury towarzyszącej realizowane w ramach programów wieloletnich, o których mowa w przepisach ustawy z dnia 27 sierpnia 2009 </w:t>
      </w:r>
      <w:r w:rsidR="00E649E6">
        <w:rPr>
          <w:rFonts w:ascii="Times New Roman" w:hAnsi="Times New Roman"/>
        </w:rPr>
        <w:t xml:space="preserve">r. </w:t>
      </w:r>
      <w:r w:rsidR="003B3C54" w:rsidRPr="00391CA2">
        <w:rPr>
          <w:rFonts w:ascii="Times New Roman" w:hAnsi="Times New Roman"/>
        </w:rPr>
        <w:t>o finansach publicznych. Przedmiotowy przepis umożliwi realizację zapowiadanego programu pn. Program budowy/modernizacji przy</w:t>
      </w:r>
      <w:r w:rsidR="00B04435">
        <w:rPr>
          <w:rFonts w:ascii="Times New Roman" w:hAnsi="Times New Roman"/>
        </w:rPr>
        <w:t>stanków kolejowych na lata 2020</w:t>
      </w:r>
      <w:r w:rsidR="00B04435" w:rsidRPr="00391CA2">
        <w:rPr>
          <w:rFonts w:ascii="Times New Roman" w:hAnsi="Times New Roman"/>
        </w:rPr>
        <w:t>–</w:t>
      </w:r>
      <w:r w:rsidR="003B3C54" w:rsidRPr="00391CA2">
        <w:rPr>
          <w:rFonts w:ascii="Times New Roman" w:hAnsi="Times New Roman"/>
        </w:rPr>
        <w:t>2025, którego wykonawcą będzie PKP PLK S.A.</w:t>
      </w:r>
      <w:r w:rsidR="003C6A1E">
        <w:rPr>
          <w:rFonts w:ascii="Times New Roman" w:hAnsi="Times New Roman"/>
        </w:rPr>
        <w:t>,</w:t>
      </w:r>
      <w:r w:rsidR="003B3C54" w:rsidRPr="00391CA2">
        <w:rPr>
          <w:rFonts w:ascii="Times New Roman" w:hAnsi="Times New Roman"/>
        </w:rPr>
        <w:t xml:space="preserve"> a nadzór będzie sprawował minister właściwy do spraw transportu. Nie dość, że efektem realizacji programu przystankowego będzie zwiększenie mobilności społeczeństwa, przeciwdziałanie wykluczeniu komunikacyjnemu, promowanie ekologicznych form transportu</w:t>
      </w:r>
      <w:r w:rsidRPr="00391CA2">
        <w:rPr>
          <w:rFonts w:ascii="Times New Roman" w:hAnsi="Times New Roman"/>
        </w:rPr>
        <w:t>,</w:t>
      </w:r>
      <w:r w:rsidR="003B3C54" w:rsidRPr="00391CA2">
        <w:rPr>
          <w:rFonts w:ascii="Times New Roman" w:hAnsi="Times New Roman"/>
        </w:rPr>
        <w:t xml:space="preserve"> to przede wszystkim realizacja programu umożliwi po</w:t>
      </w:r>
      <w:r w:rsidR="00D156B7" w:rsidRPr="00391CA2">
        <w:rPr>
          <w:rFonts w:ascii="Times New Roman" w:hAnsi="Times New Roman"/>
        </w:rPr>
        <w:t>lskim firmom budowlanym start w post</w:t>
      </w:r>
      <w:r w:rsidR="00FA0CE9" w:rsidRPr="00391CA2">
        <w:rPr>
          <w:rFonts w:ascii="Times New Roman" w:hAnsi="Times New Roman"/>
        </w:rPr>
        <w:t>ę</w:t>
      </w:r>
      <w:r w:rsidR="00D156B7" w:rsidRPr="00391CA2">
        <w:rPr>
          <w:rFonts w:ascii="Times New Roman" w:hAnsi="Times New Roman"/>
        </w:rPr>
        <w:t>powaniach przetargowych, co</w:t>
      </w:r>
      <w:r w:rsidR="003B3C54" w:rsidRPr="00391CA2">
        <w:rPr>
          <w:rFonts w:ascii="Times New Roman" w:hAnsi="Times New Roman"/>
        </w:rPr>
        <w:t xml:space="preserve"> </w:t>
      </w:r>
      <w:r w:rsidR="00D156B7" w:rsidRPr="00391CA2">
        <w:rPr>
          <w:rFonts w:ascii="Times New Roman" w:hAnsi="Times New Roman"/>
        </w:rPr>
        <w:t>w</w:t>
      </w:r>
      <w:r w:rsidR="003B3C54" w:rsidRPr="00391CA2">
        <w:rPr>
          <w:rFonts w:ascii="Times New Roman" w:hAnsi="Times New Roman"/>
        </w:rPr>
        <w:t>p</w:t>
      </w:r>
      <w:r w:rsidR="00D156B7" w:rsidRPr="00391CA2">
        <w:rPr>
          <w:rFonts w:ascii="Times New Roman" w:hAnsi="Times New Roman"/>
        </w:rPr>
        <w:t xml:space="preserve">isuje się </w:t>
      </w:r>
      <w:r w:rsidR="003B3C54" w:rsidRPr="00391CA2">
        <w:rPr>
          <w:rFonts w:ascii="Times New Roman" w:hAnsi="Times New Roman"/>
        </w:rPr>
        <w:t xml:space="preserve">w proces odmrażania polskiej gospodarki, </w:t>
      </w:r>
      <w:r w:rsidR="003B3C54" w:rsidRPr="00391CA2">
        <w:rPr>
          <w:rFonts w:ascii="Times New Roman" w:hAnsi="Times New Roman"/>
        </w:rPr>
        <w:lastRenderedPageBreak/>
        <w:t>ponieważ inwestycje publiczne są od lat kołem za</w:t>
      </w:r>
      <w:r w:rsidR="00A53378" w:rsidRPr="00391CA2">
        <w:rPr>
          <w:rFonts w:ascii="Times New Roman" w:hAnsi="Times New Roman"/>
        </w:rPr>
        <w:t>machowym</w:t>
      </w:r>
      <w:r w:rsidR="003B3C54" w:rsidRPr="00391CA2">
        <w:rPr>
          <w:rFonts w:ascii="Times New Roman" w:hAnsi="Times New Roman"/>
        </w:rPr>
        <w:t xml:space="preserve"> gosp</w:t>
      </w:r>
      <w:r w:rsidR="00D156B7" w:rsidRPr="00391CA2">
        <w:rPr>
          <w:rFonts w:ascii="Times New Roman" w:hAnsi="Times New Roman"/>
        </w:rPr>
        <w:t>odarki oraz lekiem na wyjście z </w:t>
      </w:r>
      <w:r w:rsidR="003B3C54" w:rsidRPr="00391CA2">
        <w:rPr>
          <w:rFonts w:ascii="Times New Roman" w:hAnsi="Times New Roman"/>
        </w:rPr>
        <w:t xml:space="preserve">kryzysu. </w:t>
      </w:r>
    </w:p>
    <w:p w:rsidR="008D6B27" w:rsidRPr="00391CA2" w:rsidRDefault="003B3C54" w:rsidP="00D30E5E">
      <w:pPr>
        <w:spacing w:after="120" w:line="360" w:lineRule="auto"/>
        <w:jc w:val="both"/>
        <w:rPr>
          <w:rFonts w:ascii="Times New Roman" w:hAnsi="Times New Roman"/>
        </w:rPr>
      </w:pPr>
      <w:r w:rsidRPr="00391CA2">
        <w:rPr>
          <w:rFonts w:ascii="Times New Roman" w:hAnsi="Times New Roman"/>
        </w:rPr>
        <w:t xml:space="preserve">Należy stwierdzić, że w obecnej sytuacji gospodarczej kraju związanej z walką </w:t>
      </w:r>
      <w:r w:rsidR="003F3CD8">
        <w:rPr>
          <w:rFonts w:ascii="Times New Roman" w:hAnsi="Times New Roman"/>
        </w:rPr>
        <w:t>z epidemią zakażeń wirusem SARS-</w:t>
      </w:r>
      <w:r w:rsidRPr="00391CA2">
        <w:rPr>
          <w:rFonts w:ascii="Times New Roman" w:hAnsi="Times New Roman"/>
        </w:rPr>
        <w:t>CoV-2 wszelkie działania zmierzające do pobudzenia polskiej gospodarki powinny skupiać się wokół wsparcia na różnych płaszczyznach polskich firm wykonawczych na rynku kolejowym oraz pełnym wykorzystaniu ich potencjału i zasobów.</w:t>
      </w:r>
    </w:p>
    <w:p w:rsidR="008D6B27" w:rsidRPr="00391CA2" w:rsidRDefault="008D6B27" w:rsidP="00D30E5E">
      <w:pPr>
        <w:spacing w:after="120" w:line="360" w:lineRule="auto"/>
        <w:jc w:val="both"/>
        <w:rPr>
          <w:rFonts w:ascii="Times New Roman" w:hAnsi="Times New Roman"/>
        </w:rPr>
      </w:pPr>
      <w:r w:rsidRPr="00391CA2">
        <w:rPr>
          <w:rFonts w:ascii="Times New Roman" w:hAnsi="Times New Roman"/>
        </w:rPr>
        <w:t xml:space="preserve">W </w:t>
      </w:r>
      <w:r w:rsidRPr="00391CA2">
        <w:rPr>
          <w:rFonts w:ascii="Times New Roman" w:hAnsi="Times New Roman"/>
          <w:u w:val="single"/>
        </w:rPr>
        <w:t>a</w:t>
      </w:r>
      <w:r w:rsidR="008733F1" w:rsidRPr="00391CA2">
        <w:rPr>
          <w:rFonts w:ascii="Times New Roman" w:hAnsi="Times New Roman"/>
          <w:u w:val="single"/>
        </w:rPr>
        <w:t xml:space="preserve">rt. 2 </w:t>
      </w:r>
      <w:r w:rsidRPr="00391CA2">
        <w:rPr>
          <w:rFonts w:ascii="Times New Roman" w:hAnsi="Times New Roman"/>
          <w:u w:val="single"/>
        </w:rPr>
        <w:t>p</w:t>
      </w:r>
      <w:r w:rsidR="008733F1" w:rsidRPr="00391CA2">
        <w:rPr>
          <w:rFonts w:ascii="Times New Roman" w:hAnsi="Times New Roman"/>
          <w:u w:val="single"/>
        </w:rPr>
        <w:t>rojekt ustaw</w:t>
      </w:r>
      <w:r w:rsidRPr="00391CA2">
        <w:rPr>
          <w:rFonts w:ascii="Times New Roman" w:hAnsi="Times New Roman"/>
          <w:u w:val="single"/>
        </w:rPr>
        <w:t>y</w:t>
      </w:r>
      <w:r w:rsidR="008733F1" w:rsidRPr="00391CA2">
        <w:rPr>
          <w:rFonts w:ascii="Times New Roman" w:hAnsi="Times New Roman"/>
        </w:rPr>
        <w:t xml:space="preserve"> przewiduje wprowadzenie zmian do przepisów ustawy z dnia 11 marca 2004 r. o podatku od towarów i usług (Dz. U. z 2020 r. poz. 106, z późn. zm.) – dalej: „ustawa o VAT”, które mają na celu skorelowanie poziomu stawek tego podatku ze stanem finansów publicznych, a więc i z ogólną kondycją gospodarki, w związku z trwającym obecnie stanem epidemii.</w:t>
      </w:r>
      <w:r w:rsidRPr="00391CA2">
        <w:rPr>
          <w:rFonts w:ascii="Times New Roman" w:hAnsi="Times New Roman"/>
        </w:rPr>
        <w:t xml:space="preserve"> </w:t>
      </w:r>
    </w:p>
    <w:p w:rsidR="008D6B27" w:rsidRPr="00391CA2" w:rsidRDefault="008733F1" w:rsidP="00D30E5E">
      <w:pPr>
        <w:spacing w:after="120" w:line="360" w:lineRule="auto"/>
        <w:jc w:val="both"/>
        <w:rPr>
          <w:rFonts w:ascii="Times New Roman" w:hAnsi="Times New Roman"/>
        </w:rPr>
      </w:pPr>
      <w:r w:rsidRPr="00391CA2">
        <w:rPr>
          <w:rFonts w:ascii="Times New Roman" w:hAnsi="Times New Roman"/>
        </w:rPr>
        <w:t>Zgodnie z obecnie obowiązującymi przepisami (art. 146aa ustawy o VAT) podwyższone o 1 punkt procentowy stawki podatku VAT obowiązują do końca roku następującego po roku, w którym zostały spełnione określone warunki makroekonomiczne.</w:t>
      </w:r>
    </w:p>
    <w:p w:rsidR="00D156B7" w:rsidRPr="00391CA2" w:rsidRDefault="008733F1" w:rsidP="00D30E5E">
      <w:pPr>
        <w:spacing w:after="120" w:line="360" w:lineRule="auto"/>
        <w:jc w:val="both"/>
        <w:rPr>
          <w:rFonts w:ascii="Times New Roman" w:hAnsi="Times New Roman"/>
        </w:rPr>
      </w:pPr>
      <w:r w:rsidRPr="00391CA2">
        <w:rPr>
          <w:rFonts w:ascii="Times New Roman" w:hAnsi="Times New Roman"/>
        </w:rPr>
        <w:t xml:space="preserve">Wybuch epidemii COVID-19 i jej szybkie rozprzestrzenianie się na całym świecie postawił nowe wyzwania przed polską polityką fiskalną. Muszą zostać zapewnione środki na walkę z pandemią i wspieranie ożywienia gospodarczego, przy równoczesnym zachowaniu stabilności fiskalnej. Połączony efekt działań dyskrecjonalnych mających na celu powstrzymanie epidemii, leczenie chorych, ochronę miejsc pracy i dochodów pracowników oraz zapewnienie wsparcia płynnościowego firmom, a także utrata dochodów podatkowych w wyniku kryzysu doprowadzi do znacznego wzrostu deficytu i długu publicznego. Zgodnie </w:t>
      </w:r>
      <w:r w:rsidR="00D156B7" w:rsidRPr="00391CA2">
        <w:rPr>
          <w:rFonts w:ascii="Times New Roman" w:hAnsi="Times New Roman"/>
        </w:rPr>
        <w:t>z szacunkami zaprezentowanymi w </w:t>
      </w:r>
      <w:r w:rsidRPr="00391CA2">
        <w:rPr>
          <w:rFonts w:ascii="Times New Roman" w:hAnsi="Times New Roman"/>
        </w:rPr>
        <w:t xml:space="preserve">Programie konwergencji. Aktualizacja 2020 działania dyskrecjonalne </w:t>
      </w:r>
      <w:r w:rsidR="008D63E5">
        <w:rPr>
          <w:rFonts w:ascii="Times New Roman" w:hAnsi="Times New Roman"/>
        </w:rPr>
        <w:t>r</w:t>
      </w:r>
      <w:r w:rsidR="00D156B7" w:rsidRPr="00391CA2">
        <w:rPr>
          <w:rFonts w:ascii="Times New Roman" w:hAnsi="Times New Roman"/>
        </w:rPr>
        <w:t>ządu związane z </w:t>
      </w:r>
      <w:r w:rsidRPr="00391CA2">
        <w:rPr>
          <w:rFonts w:ascii="Times New Roman" w:hAnsi="Times New Roman"/>
        </w:rPr>
        <w:t>epidemią</w:t>
      </w:r>
      <w:r w:rsidR="00D156B7" w:rsidRPr="00391CA2">
        <w:rPr>
          <w:rFonts w:ascii="Times New Roman" w:hAnsi="Times New Roman"/>
        </w:rPr>
        <w:t>,</w:t>
      </w:r>
      <w:r w:rsidRPr="00391CA2">
        <w:rPr>
          <w:rFonts w:ascii="Times New Roman" w:hAnsi="Times New Roman"/>
        </w:rPr>
        <w:t xml:space="preserve"> a także niższe dochody podatkowe doprowadzą do wzrostu deficytu sektora instytucji rządowych i samorządowych z 0,7% PKB w 2019 r. do 8,4% PKB w 2020 r. Dług sektora instytucji rządowych i samorządowych wzrośnie z kolei do 55,2% PKB.</w:t>
      </w:r>
      <w:r w:rsidR="008D6B27" w:rsidRPr="00391CA2">
        <w:rPr>
          <w:rFonts w:ascii="Times New Roman" w:hAnsi="Times New Roman"/>
        </w:rPr>
        <w:t xml:space="preserve"> </w:t>
      </w:r>
    </w:p>
    <w:p w:rsidR="008D6B27" w:rsidRPr="00391CA2" w:rsidRDefault="008733F1" w:rsidP="00D30E5E">
      <w:pPr>
        <w:spacing w:after="120" w:line="360" w:lineRule="auto"/>
        <w:jc w:val="both"/>
        <w:rPr>
          <w:rFonts w:ascii="Times New Roman" w:hAnsi="Times New Roman"/>
        </w:rPr>
      </w:pPr>
      <w:r w:rsidRPr="00391CA2">
        <w:rPr>
          <w:rFonts w:ascii="Times New Roman" w:hAnsi="Times New Roman"/>
        </w:rPr>
        <w:t xml:space="preserve">Intencją ustawodawcy wprowadzającego art. 146aa do ustawy o </w:t>
      </w:r>
      <w:r w:rsidR="00D16722" w:rsidRPr="00391CA2">
        <w:rPr>
          <w:rFonts w:ascii="Times New Roman" w:hAnsi="Times New Roman"/>
        </w:rPr>
        <w:t>VAT</w:t>
      </w:r>
      <w:r w:rsidRPr="00391CA2">
        <w:rPr>
          <w:rFonts w:ascii="Times New Roman" w:hAnsi="Times New Roman"/>
        </w:rPr>
        <w:t xml:space="preserve"> było powiązanie poziomu stawek tego podatku ze stanem finansów publicznych i z ogólną kondycją gospodarki. Na podstawie danych za rok 2019 r., </w:t>
      </w:r>
      <w:r w:rsidR="00F03B27" w:rsidRPr="00391CA2">
        <w:rPr>
          <w:rFonts w:ascii="Times New Roman" w:hAnsi="Times New Roman"/>
        </w:rPr>
        <w:t>p</w:t>
      </w:r>
      <w:r w:rsidRPr="00391CA2">
        <w:rPr>
          <w:rFonts w:ascii="Times New Roman" w:hAnsi="Times New Roman"/>
        </w:rPr>
        <w:t xml:space="preserve">olska gospodarka spełniła ww. określone warunki, co oznaczałoby powrócenie do niższych stawek VAT </w:t>
      </w:r>
      <w:r w:rsidR="00D156B7" w:rsidRPr="00391CA2">
        <w:rPr>
          <w:rFonts w:ascii="Times New Roman" w:hAnsi="Times New Roman"/>
        </w:rPr>
        <w:t>od 2021 r. Jednak warunki te, z </w:t>
      </w:r>
      <w:r w:rsidRPr="00391CA2">
        <w:rPr>
          <w:rFonts w:ascii="Times New Roman" w:hAnsi="Times New Roman"/>
        </w:rPr>
        <w:t xml:space="preserve">uwagi na epidemię COVID-19, nie zostały spełnione w sposób trwały. Ze względu na obowiązujący stan epidemii oraz konieczność odbudowy gospodarki obniżka stawek VAT nie byłaby obecnie działaniem uzasadnionym. Pomniejszyłaby ona dochody budżetowe oraz przestrzeń fiskalną umożliwiającą sfinansowanie działań służących odbudowie gospodarki po kryzysie, m.in. inwestycji publicznych. Zaprojektowany wcześniej mechanizm z art. 146aa </w:t>
      </w:r>
      <w:r w:rsidR="002817F9">
        <w:rPr>
          <w:rFonts w:ascii="Times New Roman" w:hAnsi="Times New Roman"/>
        </w:rPr>
        <w:t>ustawy o VAT</w:t>
      </w:r>
      <w:r w:rsidR="00917E09">
        <w:rPr>
          <w:rFonts w:ascii="Times New Roman" w:hAnsi="Times New Roman"/>
        </w:rPr>
        <w:t xml:space="preserve"> </w:t>
      </w:r>
      <w:r w:rsidRPr="00391CA2">
        <w:rPr>
          <w:rFonts w:ascii="Times New Roman" w:hAnsi="Times New Roman"/>
        </w:rPr>
        <w:t>nie uwzględniał sytuacji</w:t>
      </w:r>
      <w:r w:rsidR="00D156B7" w:rsidRPr="00391CA2">
        <w:rPr>
          <w:rFonts w:ascii="Times New Roman" w:hAnsi="Times New Roman"/>
        </w:rPr>
        <w:t>,</w:t>
      </w:r>
      <w:r w:rsidRPr="00391CA2">
        <w:rPr>
          <w:rFonts w:ascii="Times New Roman" w:hAnsi="Times New Roman"/>
        </w:rPr>
        <w:t xml:space="preserve"> o których mowa w art.</w:t>
      </w:r>
      <w:r w:rsidR="00D156B7" w:rsidRPr="00391CA2">
        <w:rPr>
          <w:rFonts w:ascii="Times New Roman" w:hAnsi="Times New Roman"/>
        </w:rPr>
        <w:t xml:space="preserve"> </w:t>
      </w:r>
      <w:r w:rsidRPr="00391CA2">
        <w:rPr>
          <w:rFonts w:ascii="Times New Roman" w:hAnsi="Times New Roman"/>
        </w:rPr>
        <w:t xml:space="preserve">112d </w:t>
      </w:r>
      <w:r w:rsidR="00A91CA0">
        <w:rPr>
          <w:rFonts w:ascii="Times New Roman" w:hAnsi="Times New Roman"/>
        </w:rPr>
        <w:t xml:space="preserve">ustawy </w:t>
      </w:r>
      <w:r w:rsidR="00A91CA0" w:rsidRPr="00391CA2">
        <w:rPr>
          <w:rFonts w:ascii="Times New Roman" w:hAnsi="Times New Roman"/>
        </w:rPr>
        <w:t xml:space="preserve">z dnia 27 sierpnia 2009 </w:t>
      </w:r>
      <w:r w:rsidR="00A91CA0">
        <w:rPr>
          <w:rFonts w:ascii="Times New Roman" w:hAnsi="Times New Roman"/>
        </w:rPr>
        <w:t xml:space="preserve">r. </w:t>
      </w:r>
      <w:r w:rsidRPr="00391CA2">
        <w:rPr>
          <w:rFonts w:ascii="Times New Roman" w:hAnsi="Times New Roman"/>
        </w:rPr>
        <w:t>o finansach publicznych, co uzupełnia zaproponowana nowelizacja. Pozostawia ona wcześniejsze warunki makroekonomiczno-fiskalne</w:t>
      </w:r>
      <w:r w:rsidR="00A91CA0">
        <w:rPr>
          <w:rFonts w:ascii="Times New Roman" w:hAnsi="Times New Roman"/>
        </w:rPr>
        <w:t>,</w:t>
      </w:r>
      <w:r w:rsidRPr="00391CA2">
        <w:rPr>
          <w:rFonts w:ascii="Times New Roman" w:hAnsi="Times New Roman"/>
        </w:rPr>
        <w:t xml:space="preserve"> zastrzegając jednak, że powrót do niższych stawek VAT może mieć miejsce jedynie podczas stabilnej sytuacji gospodarczej, a więc podczas stosowania pierwotnej formuły sta</w:t>
      </w:r>
      <w:r w:rsidR="00C56A19">
        <w:rPr>
          <w:rFonts w:ascii="Times New Roman" w:hAnsi="Times New Roman"/>
        </w:rPr>
        <w:t>bilizującej reguły wydatkowej z </w:t>
      </w:r>
      <w:r w:rsidRPr="00391CA2">
        <w:rPr>
          <w:rFonts w:ascii="Times New Roman" w:hAnsi="Times New Roman"/>
        </w:rPr>
        <w:t xml:space="preserve">art. 112aa ustawy </w:t>
      </w:r>
      <w:r w:rsidR="007F6E84" w:rsidRPr="00391CA2">
        <w:rPr>
          <w:rFonts w:ascii="Times New Roman" w:hAnsi="Times New Roman"/>
        </w:rPr>
        <w:t xml:space="preserve">z dnia 27 sierpnia 2009 </w:t>
      </w:r>
      <w:r w:rsidR="007F6E84">
        <w:rPr>
          <w:rFonts w:ascii="Times New Roman" w:hAnsi="Times New Roman"/>
        </w:rPr>
        <w:t xml:space="preserve">r. </w:t>
      </w:r>
      <w:r w:rsidRPr="00391CA2">
        <w:rPr>
          <w:rFonts w:ascii="Times New Roman" w:hAnsi="Times New Roman"/>
        </w:rPr>
        <w:t>o finansach publicznych.</w:t>
      </w:r>
      <w:r w:rsidR="008D6B27" w:rsidRPr="00391CA2">
        <w:rPr>
          <w:rFonts w:ascii="Times New Roman" w:hAnsi="Times New Roman"/>
        </w:rPr>
        <w:t xml:space="preserve"> </w:t>
      </w:r>
    </w:p>
    <w:p w:rsidR="008D6B27" w:rsidRPr="00391CA2" w:rsidRDefault="008733F1" w:rsidP="00D30E5E">
      <w:pPr>
        <w:spacing w:after="120" w:line="360" w:lineRule="auto"/>
        <w:jc w:val="both"/>
        <w:rPr>
          <w:rFonts w:ascii="Times New Roman" w:hAnsi="Times New Roman"/>
        </w:rPr>
      </w:pPr>
      <w:r w:rsidRPr="00391CA2">
        <w:rPr>
          <w:rFonts w:ascii="Times New Roman" w:hAnsi="Times New Roman"/>
        </w:rPr>
        <w:t>Art.</w:t>
      </w:r>
      <w:r w:rsidR="00D156B7" w:rsidRPr="00391CA2">
        <w:rPr>
          <w:rFonts w:ascii="Times New Roman" w:hAnsi="Times New Roman"/>
        </w:rPr>
        <w:t xml:space="preserve"> </w:t>
      </w:r>
      <w:r w:rsidRPr="00391CA2">
        <w:rPr>
          <w:rFonts w:ascii="Times New Roman" w:hAnsi="Times New Roman"/>
        </w:rPr>
        <w:t xml:space="preserve">112d ustawy </w:t>
      </w:r>
      <w:r w:rsidR="00FD013D" w:rsidRPr="00391CA2">
        <w:rPr>
          <w:rFonts w:ascii="Times New Roman" w:hAnsi="Times New Roman"/>
        </w:rPr>
        <w:t xml:space="preserve">z dnia 27 sierpnia 2009 </w:t>
      </w:r>
      <w:r w:rsidR="00FD013D">
        <w:rPr>
          <w:rFonts w:ascii="Times New Roman" w:hAnsi="Times New Roman"/>
        </w:rPr>
        <w:t xml:space="preserve">r. </w:t>
      </w:r>
      <w:r w:rsidRPr="00391CA2">
        <w:rPr>
          <w:rFonts w:ascii="Times New Roman" w:hAnsi="Times New Roman"/>
        </w:rPr>
        <w:t xml:space="preserve">o finansach publicznych umożliwia wyłączenie stosowania stabilizującej reguły wydatkowej w wyjątkowych sytuacjach, w szczególności w sytuacji stanu wojennego, stanu wyjątkowego, klęski żywiołowej lub właśnie stanu epidemii, ogłoszonego na całym obszarze Rzeczypospolitej Polskiej oraz jeżeli spełnione zostaną określone parametry makroekonomiczne. </w:t>
      </w:r>
    </w:p>
    <w:p w:rsidR="008D6B27" w:rsidRPr="00391CA2" w:rsidRDefault="008733F1" w:rsidP="00D30E5E">
      <w:pPr>
        <w:spacing w:after="120" w:line="360" w:lineRule="auto"/>
        <w:jc w:val="both"/>
        <w:rPr>
          <w:rFonts w:ascii="Times New Roman" w:hAnsi="Times New Roman"/>
        </w:rPr>
      </w:pPr>
      <w:r w:rsidRPr="00391CA2">
        <w:rPr>
          <w:rFonts w:ascii="Times New Roman" w:hAnsi="Times New Roman"/>
        </w:rPr>
        <w:t>Mając na uwadze aktualne prognozy makroekonomiczne, zakłada się, że powrót do stosowania stabilizującej reguły wydatkowej</w:t>
      </w:r>
      <w:r w:rsidR="000A43CD">
        <w:rPr>
          <w:rFonts w:ascii="Times New Roman" w:hAnsi="Times New Roman"/>
        </w:rPr>
        <w:t>,</w:t>
      </w:r>
      <w:r w:rsidRPr="00391CA2">
        <w:rPr>
          <w:rFonts w:ascii="Times New Roman" w:hAnsi="Times New Roman"/>
        </w:rPr>
        <w:t xml:space="preserve"> zgodnie z formułą zawartą w art. 112aa </w:t>
      </w:r>
      <w:r w:rsidR="00CE3A4B" w:rsidRPr="00391CA2">
        <w:rPr>
          <w:rFonts w:ascii="Times New Roman" w:hAnsi="Times New Roman"/>
        </w:rPr>
        <w:t xml:space="preserve">ustawy </w:t>
      </w:r>
      <w:r w:rsidR="002E60A9">
        <w:rPr>
          <w:rFonts w:ascii="Times New Roman" w:hAnsi="Times New Roman"/>
        </w:rPr>
        <w:t>z dnia 27 </w:t>
      </w:r>
      <w:r w:rsidR="00CE3A4B" w:rsidRPr="00391CA2">
        <w:rPr>
          <w:rFonts w:ascii="Times New Roman" w:hAnsi="Times New Roman"/>
        </w:rPr>
        <w:t xml:space="preserve">sierpnia 2009 </w:t>
      </w:r>
      <w:r w:rsidR="00CE3A4B">
        <w:rPr>
          <w:rFonts w:ascii="Times New Roman" w:hAnsi="Times New Roman"/>
        </w:rPr>
        <w:t xml:space="preserve">r. </w:t>
      </w:r>
      <w:r w:rsidR="00CE3A4B" w:rsidRPr="00391CA2">
        <w:rPr>
          <w:rFonts w:ascii="Times New Roman" w:hAnsi="Times New Roman"/>
        </w:rPr>
        <w:t>o finansach publicznych</w:t>
      </w:r>
      <w:r w:rsidR="000A43CD">
        <w:rPr>
          <w:rFonts w:ascii="Times New Roman" w:hAnsi="Times New Roman"/>
        </w:rPr>
        <w:t>,</w:t>
      </w:r>
      <w:r w:rsidR="00CE3A4B" w:rsidRPr="00391CA2">
        <w:rPr>
          <w:rFonts w:ascii="Times New Roman" w:hAnsi="Times New Roman"/>
        </w:rPr>
        <w:t xml:space="preserve"> </w:t>
      </w:r>
      <w:r w:rsidRPr="00391CA2">
        <w:rPr>
          <w:rFonts w:ascii="Times New Roman" w:hAnsi="Times New Roman"/>
        </w:rPr>
        <w:t>nastąpi w ciągu 2 lat</w:t>
      </w:r>
      <w:r w:rsidR="00FD013D">
        <w:rPr>
          <w:rFonts w:ascii="Times New Roman" w:hAnsi="Times New Roman"/>
        </w:rPr>
        <w:t>,</w:t>
      </w:r>
      <w:r w:rsidRPr="00391CA2">
        <w:rPr>
          <w:rFonts w:ascii="Times New Roman" w:hAnsi="Times New Roman"/>
        </w:rPr>
        <w:t xml:space="preserve"> czyli w projekcie ustawy budżetowej na </w:t>
      </w:r>
      <w:r w:rsidR="008D6B27" w:rsidRPr="00391CA2">
        <w:rPr>
          <w:rFonts w:ascii="Times New Roman" w:hAnsi="Times New Roman"/>
        </w:rPr>
        <w:t xml:space="preserve">rok </w:t>
      </w:r>
      <w:r w:rsidRPr="00391CA2">
        <w:rPr>
          <w:rFonts w:ascii="Times New Roman" w:hAnsi="Times New Roman"/>
        </w:rPr>
        <w:t xml:space="preserve">2022. </w:t>
      </w:r>
    </w:p>
    <w:p w:rsidR="008D6B27" w:rsidRPr="00391CA2" w:rsidRDefault="008733F1" w:rsidP="00D30E5E">
      <w:pPr>
        <w:spacing w:after="120" w:line="360" w:lineRule="auto"/>
        <w:jc w:val="both"/>
        <w:rPr>
          <w:rFonts w:ascii="Times New Roman" w:hAnsi="Times New Roman"/>
        </w:rPr>
      </w:pPr>
      <w:r w:rsidRPr="00391CA2">
        <w:rPr>
          <w:rFonts w:ascii="Times New Roman" w:hAnsi="Times New Roman"/>
        </w:rPr>
        <w:t>Nowa konstrukcja projektowanego przepisu art. 146aa ust. 1a</w:t>
      </w:r>
      <w:r w:rsidR="00686A4A" w:rsidRPr="00391CA2">
        <w:rPr>
          <w:rFonts w:ascii="Times New Roman" w:hAnsi="Times New Roman"/>
        </w:rPr>
        <w:t xml:space="preserve"> odracza powrót do stawek VAT w </w:t>
      </w:r>
      <w:r w:rsidRPr="00391CA2">
        <w:rPr>
          <w:rFonts w:ascii="Times New Roman" w:hAnsi="Times New Roman"/>
        </w:rPr>
        <w:t>wysokości 22% i 7% i przewiduje, że powrót ten nastąpi</w:t>
      </w:r>
      <w:r w:rsidR="00686A4A" w:rsidRPr="00391CA2">
        <w:rPr>
          <w:rFonts w:ascii="Times New Roman" w:hAnsi="Times New Roman"/>
        </w:rPr>
        <w:t xml:space="preserve"> w roku następującym po roku, w </w:t>
      </w:r>
      <w:r w:rsidRPr="00391CA2">
        <w:rPr>
          <w:rFonts w:ascii="Times New Roman" w:hAnsi="Times New Roman"/>
        </w:rPr>
        <w:t>którym łącznie zostaną spełnione następujące warunki:</w:t>
      </w:r>
    </w:p>
    <w:p w:rsidR="008D6B27" w:rsidRPr="00D30E5E" w:rsidRDefault="008733F1" w:rsidP="00D30E5E">
      <w:pPr>
        <w:pStyle w:val="Akapitzlist"/>
        <w:numPr>
          <w:ilvl w:val="0"/>
          <w:numId w:val="12"/>
        </w:numPr>
        <w:spacing w:after="120" w:line="360" w:lineRule="auto"/>
        <w:ind w:left="426"/>
        <w:jc w:val="both"/>
        <w:rPr>
          <w:rFonts w:ascii="Times New Roman" w:hAnsi="Times New Roman"/>
        </w:rPr>
      </w:pPr>
      <w:r w:rsidRPr="00D30E5E">
        <w:rPr>
          <w:rFonts w:ascii="Times New Roman" w:hAnsi="Times New Roman"/>
        </w:rPr>
        <w:t>jest stosowana stabilizująca reguła wydatkowa,</w:t>
      </w:r>
    </w:p>
    <w:p w:rsidR="008D6B27" w:rsidRPr="00D30E5E" w:rsidRDefault="008733F1" w:rsidP="00D30E5E">
      <w:pPr>
        <w:pStyle w:val="Akapitzlist"/>
        <w:numPr>
          <w:ilvl w:val="0"/>
          <w:numId w:val="12"/>
        </w:numPr>
        <w:spacing w:after="120" w:line="360" w:lineRule="auto"/>
        <w:ind w:left="426"/>
        <w:jc w:val="both"/>
        <w:rPr>
          <w:rFonts w:ascii="Times New Roman" w:hAnsi="Times New Roman"/>
        </w:rPr>
      </w:pPr>
      <w:r w:rsidRPr="00D30E5E">
        <w:rPr>
          <w:rFonts w:ascii="Times New Roman" w:hAnsi="Times New Roman"/>
        </w:rPr>
        <w:t>osiągnięte zostaną wartości wskaźników, o których mowa w ust. 1 tego przepisu.</w:t>
      </w:r>
    </w:p>
    <w:p w:rsidR="008D6B27" w:rsidRPr="00391CA2" w:rsidRDefault="008733F1" w:rsidP="00D30E5E">
      <w:pPr>
        <w:spacing w:after="120" w:line="360" w:lineRule="auto"/>
        <w:jc w:val="both"/>
        <w:rPr>
          <w:rFonts w:ascii="Times New Roman" w:hAnsi="Times New Roman"/>
        </w:rPr>
      </w:pPr>
      <w:r w:rsidRPr="00391CA2">
        <w:rPr>
          <w:rFonts w:ascii="Times New Roman" w:hAnsi="Times New Roman"/>
        </w:rPr>
        <w:t>Obniżenie stawek VAT będzie zatem powiązane z trwale dobrą kondycją budżetu, co jest uzasadnione faktem, że wpływy z VAT stanowią główne źródło dochodów Skarbu Państwa.</w:t>
      </w:r>
    </w:p>
    <w:p w:rsidR="001F17F3" w:rsidRPr="00391CA2" w:rsidRDefault="008D6B27" w:rsidP="00D30E5E">
      <w:pPr>
        <w:spacing w:after="120" w:line="360" w:lineRule="auto"/>
        <w:jc w:val="both"/>
        <w:rPr>
          <w:rFonts w:ascii="Times New Roman" w:hAnsi="Times New Roman"/>
        </w:rPr>
      </w:pPr>
      <w:r w:rsidRPr="00391CA2">
        <w:rPr>
          <w:rFonts w:ascii="Times New Roman" w:hAnsi="Times New Roman"/>
        </w:rPr>
        <w:t xml:space="preserve">Odnosząc się z kolei do przepisu </w:t>
      </w:r>
      <w:r w:rsidRPr="00391CA2">
        <w:rPr>
          <w:rFonts w:ascii="Times New Roman" w:hAnsi="Times New Roman"/>
          <w:u w:val="single"/>
        </w:rPr>
        <w:t>art. 3</w:t>
      </w:r>
      <w:r w:rsidR="00686A4A" w:rsidRPr="00391CA2">
        <w:rPr>
          <w:rFonts w:ascii="Times New Roman" w:hAnsi="Times New Roman"/>
          <w:u w:val="single"/>
        </w:rPr>
        <w:t xml:space="preserve"> projektu ustawy</w:t>
      </w:r>
      <w:r w:rsidR="00E3210C">
        <w:rPr>
          <w:rFonts w:ascii="Times New Roman" w:hAnsi="Times New Roman"/>
          <w:u w:val="single"/>
        </w:rPr>
        <w:t>,</w:t>
      </w:r>
      <w:r w:rsidR="00686A4A" w:rsidRPr="00391CA2">
        <w:rPr>
          <w:rFonts w:ascii="Times New Roman" w:hAnsi="Times New Roman"/>
        </w:rPr>
        <w:t xml:space="preserve"> </w:t>
      </w:r>
      <w:r w:rsidRPr="00391CA2">
        <w:rPr>
          <w:rFonts w:ascii="Times New Roman" w:hAnsi="Times New Roman"/>
        </w:rPr>
        <w:t xml:space="preserve">należy wskazać, że </w:t>
      </w:r>
      <w:r w:rsidR="00BB2FD5" w:rsidRPr="00391CA2">
        <w:rPr>
          <w:rFonts w:ascii="Times New Roman" w:hAnsi="Times New Roman"/>
        </w:rPr>
        <w:t>w celu przeciwdziałania ekonomicznym skutkom pandemii niezwykle istotnym jest podejmowanie szybkich i adekwatnych działań minimalizujących zagrożenie sprawnej realizacji wszelkich działań budow</w:t>
      </w:r>
      <w:r w:rsidR="00A74A91">
        <w:rPr>
          <w:rFonts w:ascii="Times New Roman" w:hAnsi="Times New Roman"/>
        </w:rPr>
        <w:t>la</w:t>
      </w:r>
      <w:r w:rsidR="00BB2FD5" w:rsidRPr="00391CA2">
        <w:rPr>
          <w:rFonts w:ascii="Times New Roman" w:hAnsi="Times New Roman"/>
        </w:rPr>
        <w:t xml:space="preserve">nych w sektorze infrastruktury </w:t>
      </w:r>
      <w:r w:rsidR="001F17F3" w:rsidRPr="00391CA2">
        <w:rPr>
          <w:rFonts w:ascii="Times New Roman" w:hAnsi="Times New Roman"/>
        </w:rPr>
        <w:t>transportowej oraz wprowadzanie szczególnych rozwiązań, umożliwiających stymulację procesów inwestycyjnych, przeciwdziałających negatywny</w:t>
      </w:r>
      <w:r w:rsidR="00A74A91">
        <w:rPr>
          <w:rFonts w:ascii="Times New Roman" w:hAnsi="Times New Roman"/>
        </w:rPr>
        <w:t>m</w:t>
      </w:r>
      <w:r w:rsidR="001F17F3" w:rsidRPr="00391CA2">
        <w:rPr>
          <w:rFonts w:ascii="Times New Roman" w:hAnsi="Times New Roman"/>
        </w:rPr>
        <w:t xml:space="preserve"> skutkom pandemii. Sektor gospodarki</w:t>
      </w:r>
      <w:r w:rsidR="00D45EE6">
        <w:rPr>
          <w:rFonts w:ascii="Times New Roman" w:hAnsi="Times New Roman"/>
        </w:rPr>
        <w:t>,</w:t>
      </w:r>
      <w:r w:rsidR="001F17F3" w:rsidRPr="00391CA2">
        <w:rPr>
          <w:rFonts w:ascii="Times New Roman" w:hAnsi="Times New Roman"/>
        </w:rPr>
        <w:t xml:space="preserve"> jakim jest infrastruktura transportowa</w:t>
      </w:r>
      <w:r w:rsidR="00D45EE6">
        <w:rPr>
          <w:rFonts w:ascii="Times New Roman" w:hAnsi="Times New Roman"/>
        </w:rPr>
        <w:t>,</w:t>
      </w:r>
      <w:r w:rsidR="001F17F3" w:rsidRPr="00391CA2">
        <w:rPr>
          <w:rFonts w:ascii="Times New Roman" w:hAnsi="Times New Roman"/>
        </w:rPr>
        <w:t xml:space="preserve"> jest jednym z głównych filarów w obecnej polityce rządu, który w ostatnich latach prężnie się rozwija m.in. poprzez realizację wielomiliardowych inwestycji, z</w:t>
      </w:r>
      <w:r w:rsidR="00C56A19">
        <w:rPr>
          <w:rFonts w:ascii="Times New Roman" w:hAnsi="Times New Roman"/>
        </w:rPr>
        <w:t>arówno na rynku drogowym, jak i </w:t>
      </w:r>
      <w:r w:rsidR="001F17F3" w:rsidRPr="00391CA2">
        <w:rPr>
          <w:rFonts w:ascii="Times New Roman" w:hAnsi="Times New Roman"/>
        </w:rPr>
        <w:t>kolejowym. Dlatego istotna jest elastyczność i możliwość przyspieszenia przewidzianych wstępnie na rok 2021 wydatków</w:t>
      </w:r>
      <w:r w:rsidR="00BB2FD5" w:rsidRPr="00391CA2">
        <w:rPr>
          <w:rFonts w:ascii="Times New Roman" w:hAnsi="Times New Roman"/>
        </w:rPr>
        <w:t>.</w:t>
      </w:r>
    </w:p>
    <w:p w:rsidR="00BB2FD5" w:rsidRPr="00391CA2" w:rsidRDefault="00A74A91" w:rsidP="00D30E5E">
      <w:pPr>
        <w:spacing w:after="120" w:line="360" w:lineRule="auto"/>
        <w:jc w:val="both"/>
        <w:rPr>
          <w:rFonts w:ascii="Times New Roman" w:hAnsi="Times New Roman"/>
        </w:rPr>
      </w:pPr>
      <w:r>
        <w:rPr>
          <w:rFonts w:ascii="Times New Roman" w:hAnsi="Times New Roman"/>
        </w:rPr>
        <w:t>W celu</w:t>
      </w:r>
      <w:r w:rsidRPr="00391CA2">
        <w:rPr>
          <w:rFonts w:ascii="Times New Roman" w:hAnsi="Times New Roman"/>
        </w:rPr>
        <w:t xml:space="preserve"> </w:t>
      </w:r>
      <w:r w:rsidR="001F17F3" w:rsidRPr="00391CA2">
        <w:rPr>
          <w:rFonts w:ascii="Times New Roman" w:hAnsi="Times New Roman"/>
        </w:rPr>
        <w:t>pobudzenia i dalszego utrzymania dynamicznego rozwoju gospodarczego kraju zasadne jest przyspieszenie wydatkowania środków, a w efekcie znaczące zwiększenie jeszcze w 2020 r. nakładów z budżetu państwa na realizację zadań inwestycyjnych w obszarze infrastruktury transportu lądowego.</w:t>
      </w:r>
    </w:p>
    <w:p w:rsidR="00BB2FD5" w:rsidRPr="00391CA2" w:rsidRDefault="00BB2FD5" w:rsidP="00D30E5E">
      <w:pPr>
        <w:spacing w:after="120" w:line="360" w:lineRule="auto"/>
        <w:jc w:val="both"/>
        <w:rPr>
          <w:rFonts w:ascii="Times New Roman" w:hAnsi="Times New Roman"/>
        </w:rPr>
      </w:pPr>
      <w:r w:rsidRPr="00391CA2">
        <w:rPr>
          <w:rFonts w:ascii="Times New Roman" w:hAnsi="Times New Roman"/>
        </w:rPr>
        <w:t xml:space="preserve">Projekt </w:t>
      </w:r>
      <w:r w:rsidRPr="00391CA2">
        <w:rPr>
          <w:rFonts w:ascii="Times New Roman" w:hAnsi="Times New Roman"/>
          <w:u w:val="single"/>
        </w:rPr>
        <w:t xml:space="preserve">w art. 4 </w:t>
      </w:r>
      <w:r w:rsidR="00567A66" w:rsidRPr="00391CA2">
        <w:rPr>
          <w:rFonts w:ascii="Times New Roman" w:hAnsi="Times New Roman"/>
          <w:u w:val="single"/>
        </w:rPr>
        <w:t>projektu ustawy</w:t>
      </w:r>
      <w:r w:rsidR="00567A66" w:rsidRPr="00391CA2">
        <w:rPr>
          <w:rFonts w:ascii="Times New Roman" w:hAnsi="Times New Roman"/>
        </w:rPr>
        <w:t xml:space="preserve"> </w:t>
      </w:r>
      <w:r w:rsidRPr="00391CA2">
        <w:rPr>
          <w:rFonts w:ascii="Times New Roman" w:hAnsi="Times New Roman"/>
        </w:rPr>
        <w:t>zawiera zmiany w ustawie z dnia 4 lutego 2011 r. o opiece nad dziećmi w wieku do lat 3 (Dz. U. z 2020 r. poz. 326</w:t>
      </w:r>
      <w:r w:rsidR="003D6D6F" w:rsidRPr="00391CA2">
        <w:rPr>
          <w:rFonts w:ascii="Times New Roman" w:hAnsi="Times New Roman"/>
        </w:rPr>
        <w:t>, z późn.</w:t>
      </w:r>
      <w:r w:rsidR="00D45EE6">
        <w:rPr>
          <w:rFonts w:ascii="Times New Roman" w:hAnsi="Times New Roman"/>
        </w:rPr>
        <w:t xml:space="preserve"> </w:t>
      </w:r>
      <w:r w:rsidR="003D6D6F" w:rsidRPr="00391CA2">
        <w:rPr>
          <w:rFonts w:ascii="Times New Roman" w:hAnsi="Times New Roman"/>
        </w:rPr>
        <w:t>zm.</w:t>
      </w:r>
      <w:r w:rsidRPr="00391CA2">
        <w:rPr>
          <w:rFonts w:ascii="Times New Roman" w:hAnsi="Times New Roman"/>
        </w:rPr>
        <w:t xml:space="preserve">). </w:t>
      </w:r>
      <w:r w:rsidR="008733F1" w:rsidRPr="00391CA2">
        <w:rPr>
          <w:rFonts w:ascii="Times New Roman" w:hAnsi="Times New Roman"/>
        </w:rPr>
        <w:t>Środki przyznawane na tworzenie nowych miejsc opieki w ramach Programu Maluch+ pochodzą z dotacji budżetu państwa oraz Funduszu Pracy. Beneficjentem programu może być jednostka samorządu terytorialnego każdego szczebla oraz podmiot niepubliczny. W świetle obowiązujących przepisów zadanie, na które otrzymano dotacje celowe w ramach ww. Programu, mus</w:t>
      </w:r>
      <w:r w:rsidR="009A7363" w:rsidRPr="00391CA2">
        <w:rPr>
          <w:rFonts w:ascii="Times New Roman" w:hAnsi="Times New Roman"/>
        </w:rPr>
        <w:t>i zostać zrealizowane łącznie z </w:t>
      </w:r>
      <w:r w:rsidR="008733F1" w:rsidRPr="00391CA2">
        <w:rPr>
          <w:rFonts w:ascii="Times New Roman" w:hAnsi="Times New Roman"/>
        </w:rPr>
        <w:t>wydatkowaniem środków w tym samym roku budżetowym.</w:t>
      </w:r>
      <w:r w:rsidRPr="00391CA2">
        <w:rPr>
          <w:rFonts w:ascii="Times New Roman" w:hAnsi="Times New Roman"/>
        </w:rPr>
        <w:t xml:space="preserve"> </w:t>
      </w:r>
    </w:p>
    <w:p w:rsidR="00BB2FD5" w:rsidRPr="00391CA2" w:rsidRDefault="008733F1" w:rsidP="00D30E5E">
      <w:pPr>
        <w:spacing w:after="120" w:line="360" w:lineRule="auto"/>
        <w:jc w:val="both"/>
        <w:rPr>
          <w:rFonts w:ascii="Times New Roman" w:hAnsi="Times New Roman"/>
        </w:rPr>
      </w:pPr>
      <w:r w:rsidRPr="00391CA2">
        <w:rPr>
          <w:rFonts w:ascii="Times New Roman" w:hAnsi="Times New Roman"/>
        </w:rPr>
        <w:t>Trwający stan epidemii COVID-19 w 2020 r. spowodował znaczne trudności w realizacji zadań dofinansowanych w ramach tegorocznej edycji Programu. W związku z powyższym realizacja ww. zadań przez jednostki samorządu terytorialnego oraz podmioty niepubliczne nie jest możliwa do przeprowadzenia w okresie ok. pół roku (czas od momentu podpisania umowy pomiędzy wojewodą a beneficjentem a końcem roku).</w:t>
      </w:r>
    </w:p>
    <w:p w:rsidR="00BB2FD5" w:rsidRPr="00391CA2" w:rsidRDefault="008733F1" w:rsidP="00D30E5E">
      <w:pPr>
        <w:spacing w:after="120" w:line="360" w:lineRule="auto"/>
        <w:jc w:val="both"/>
        <w:rPr>
          <w:rFonts w:ascii="Times New Roman" w:hAnsi="Times New Roman"/>
        </w:rPr>
      </w:pPr>
      <w:r w:rsidRPr="00391CA2">
        <w:rPr>
          <w:rFonts w:ascii="Times New Roman" w:hAnsi="Times New Roman"/>
        </w:rPr>
        <w:t xml:space="preserve">Celem umożliwienia dokończenia w 2021 r. rozpoczętych zadań dofinansowanych w ramach programu Maluch+ w roku 2020 proponuje się wprowadzenie przepisów umożliwiających wydatkowanie ww. środków, pochodzących z Funduszu Pracy, do </w:t>
      </w:r>
      <w:r w:rsidR="00737D9E" w:rsidRPr="00391CA2">
        <w:rPr>
          <w:rFonts w:ascii="Times New Roman" w:hAnsi="Times New Roman"/>
        </w:rPr>
        <w:t xml:space="preserve">dnia </w:t>
      </w:r>
      <w:r w:rsidRPr="00391CA2">
        <w:rPr>
          <w:rFonts w:ascii="Times New Roman" w:hAnsi="Times New Roman"/>
        </w:rPr>
        <w:t>30 listopada 2021 r</w:t>
      </w:r>
      <w:r w:rsidR="00BB2FD5" w:rsidRPr="00391CA2">
        <w:rPr>
          <w:rFonts w:ascii="Times New Roman" w:hAnsi="Times New Roman"/>
        </w:rPr>
        <w:t>.</w:t>
      </w:r>
      <w:r w:rsidRPr="00391CA2">
        <w:rPr>
          <w:rFonts w:ascii="Times New Roman" w:hAnsi="Times New Roman"/>
        </w:rPr>
        <w:t>, a nie do końca 2020 r</w:t>
      </w:r>
      <w:r w:rsidR="00BB2FD5" w:rsidRPr="00391CA2">
        <w:rPr>
          <w:rFonts w:ascii="Times New Roman" w:hAnsi="Times New Roman"/>
        </w:rPr>
        <w:t>.</w:t>
      </w:r>
      <w:r w:rsidR="00033DDD" w:rsidRPr="00391CA2">
        <w:rPr>
          <w:rFonts w:ascii="Times New Roman" w:hAnsi="Times New Roman"/>
        </w:rPr>
        <w:t xml:space="preserve"> </w:t>
      </w:r>
      <w:r w:rsidRPr="00391CA2">
        <w:rPr>
          <w:rFonts w:ascii="Times New Roman" w:hAnsi="Times New Roman"/>
        </w:rPr>
        <w:t>Przedłużenie terminu realizacji zadań wymusza zmianę art. 62 ust. 6 pkt 4 ustawy – usunięcie ograniczenia czasowego obejmie zawarte już umowy. Pozostawienie końcowej daty realizacji programu może powodować wątpliwości interpretacyjn</w:t>
      </w:r>
      <w:r w:rsidR="00BB2FD5" w:rsidRPr="00391CA2">
        <w:rPr>
          <w:rFonts w:ascii="Times New Roman" w:hAnsi="Times New Roman"/>
        </w:rPr>
        <w:t>e.</w:t>
      </w:r>
    </w:p>
    <w:p w:rsidR="00BB2FD5" w:rsidRPr="00391CA2" w:rsidRDefault="00BB2FD5" w:rsidP="00D30E5E">
      <w:pPr>
        <w:spacing w:after="120" w:line="360" w:lineRule="auto"/>
        <w:jc w:val="both"/>
        <w:rPr>
          <w:rFonts w:ascii="Times New Roman" w:hAnsi="Times New Roman"/>
        </w:rPr>
      </w:pPr>
      <w:r w:rsidRPr="00391CA2">
        <w:rPr>
          <w:rFonts w:ascii="Times New Roman" w:hAnsi="Times New Roman"/>
          <w:u w:val="single"/>
        </w:rPr>
        <w:t xml:space="preserve">Art. </w:t>
      </w:r>
      <w:r w:rsidR="002F00B4" w:rsidRPr="00391CA2">
        <w:rPr>
          <w:rFonts w:ascii="Times New Roman" w:hAnsi="Times New Roman"/>
          <w:u w:val="single"/>
        </w:rPr>
        <w:t xml:space="preserve">5 </w:t>
      </w:r>
      <w:r w:rsidR="00033DDD" w:rsidRPr="00391CA2">
        <w:rPr>
          <w:rFonts w:ascii="Times New Roman" w:hAnsi="Times New Roman"/>
          <w:u w:val="single"/>
        </w:rPr>
        <w:t>projektu ustawy</w:t>
      </w:r>
      <w:r w:rsidR="00033DDD" w:rsidRPr="00391CA2">
        <w:rPr>
          <w:rFonts w:ascii="Times New Roman" w:hAnsi="Times New Roman"/>
        </w:rPr>
        <w:t xml:space="preserve"> </w:t>
      </w:r>
      <w:r w:rsidR="002F00B4" w:rsidRPr="00391CA2">
        <w:rPr>
          <w:rFonts w:ascii="Times New Roman" w:hAnsi="Times New Roman"/>
        </w:rPr>
        <w:t>zawiera zmiany w</w:t>
      </w:r>
      <w:r w:rsidR="00391CA2">
        <w:rPr>
          <w:rFonts w:ascii="Times New Roman" w:hAnsi="Times New Roman"/>
        </w:rPr>
        <w:t xml:space="preserve"> ustawie z dnia </w:t>
      </w:r>
      <w:r w:rsidRPr="00391CA2">
        <w:rPr>
          <w:rFonts w:ascii="Times New Roman" w:hAnsi="Times New Roman"/>
        </w:rPr>
        <w:t xml:space="preserve">23 października 2018 r. o Funduszu Dróg Samorządowych </w:t>
      </w:r>
      <w:r w:rsidR="002F00B4" w:rsidRPr="00391CA2">
        <w:rPr>
          <w:rFonts w:ascii="Times New Roman" w:hAnsi="Times New Roman"/>
        </w:rPr>
        <w:t xml:space="preserve">(Dz. U. </w:t>
      </w:r>
      <w:r w:rsidR="00253CF0" w:rsidRPr="00391CA2">
        <w:rPr>
          <w:rFonts w:ascii="Times New Roman" w:hAnsi="Times New Roman"/>
        </w:rPr>
        <w:t>z 2020 r. poz. 1430</w:t>
      </w:r>
      <w:r w:rsidR="002F00B4" w:rsidRPr="00391CA2">
        <w:rPr>
          <w:rFonts w:ascii="Times New Roman" w:hAnsi="Times New Roman"/>
        </w:rPr>
        <w:t xml:space="preserve">). </w:t>
      </w:r>
      <w:r w:rsidR="00033DDD" w:rsidRPr="00391CA2">
        <w:rPr>
          <w:rFonts w:ascii="Times New Roman" w:hAnsi="Times New Roman"/>
        </w:rPr>
        <w:t>Sytuacja związana z </w:t>
      </w:r>
      <w:r w:rsidR="00E73194" w:rsidRPr="00391CA2">
        <w:rPr>
          <w:rFonts w:ascii="Times New Roman" w:hAnsi="Times New Roman"/>
        </w:rPr>
        <w:t>rozprzestrzenianiem się zakażeń wirusem SARS</w:t>
      </w:r>
      <w:r w:rsidR="00AD384D">
        <w:rPr>
          <w:rFonts w:ascii="Times New Roman" w:hAnsi="Times New Roman"/>
        </w:rPr>
        <w:t>-</w:t>
      </w:r>
      <w:r w:rsidR="00E73194" w:rsidRPr="00391CA2">
        <w:rPr>
          <w:rFonts w:ascii="Times New Roman" w:hAnsi="Times New Roman"/>
        </w:rPr>
        <w:t>CoV-2 spowodowała</w:t>
      </w:r>
      <w:r w:rsidR="002F00B4" w:rsidRPr="00391CA2">
        <w:rPr>
          <w:rFonts w:ascii="Times New Roman" w:hAnsi="Times New Roman"/>
        </w:rPr>
        <w:t>, jak wyżej wskazano,</w:t>
      </w:r>
      <w:r w:rsidR="00E73194" w:rsidRPr="00391CA2">
        <w:rPr>
          <w:rFonts w:ascii="Times New Roman" w:hAnsi="Times New Roman"/>
        </w:rPr>
        <w:t xml:space="preserve"> po</w:t>
      </w:r>
      <w:r w:rsidR="002F00B4" w:rsidRPr="00391CA2">
        <w:rPr>
          <w:rFonts w:ascii="Times New Roman" w:hAnsi="Times New Roman"/>
        </w:rPr>
        <w:t xml:space="preserve">ważne </w:t>
      </w:r>
      <w:r w:rsidR="00E73194" w:rsidRPr="00391CA2">
        <w:rPr>
          <w:rFonts w:ascii="Times New Roman" w:hAnsi="Times New Roman"/>
        </w:rPr>
        <w:t>perturbacje gospodarcze. Negatywne skutki nie ominęły też jednostek samorządu terytorialnego (zmniejszenie dochodów oraz wzrost wydatków n</w:t>
      </w:r>
      <w:r w:rsidR="00033DDD" w:rsidRPr="00391CA2">
        <w:rPr>
          <w:rFonts w:ascii="Times New Roman" w:hAnsi="Times New Roman"/>
        </w:rPr>
        <w:t xml:space="preserve">a przeciwdziałanie pandemii). </w:t>
      </w:r>
    </w:p>
    <w:p w:rsidR="00A53378" w:rsidRPr="00391CA2" w:rsidRDefault="00A53378" w:rsidP="00D30E5E">
      <w:pPr>
        <w:spacing w:after="120" w:line="360" w:lineRule="auto"/>
        <w:jc w:val="both"/>
        <w:rPr>
          <w:rFonts w:ascii="Times New Roman" w:hAnsi="Times New Roman"/>
        </w:rPr>
      </w:pPr>
      <w:r w:rsidRPr="00391CA2">
        <w:rPr>
          <w:rFonts w:ascii="Times New Roman" w:hAnsi="Times New Roman"/>
        </w:rPr>
        <w:t>Fundusz Dróg Samorządowych jest istotnym mechanizmem wsparcia jednostek samorządu terytorialnego w zakresie rozwoju samorządowej infrastruktury drogowej. Celem pobudzenia i dalszego utrzymania dynamicznego rozwoju go</w:t>
      </w:r>
      <w:r w:rsidR="00391CA2">
        <w:rPr>
          <w:rFonts w:ascii="Times New Roman" w:hAnsi="Times New Roman"/>
        </w:rPr>
        <w:t xml:space="preserve">spodarczego kraju zasadne jest </w:t>
      </w:r>
      <w:r w:rsidRPr="00391CA2">
        <w:rPr>
          <w:rFonts w:ascii="Times New Roman" w:hAnsi="Times New Roman"/>
        </w:rPr>
        <w:t>zwiększenie w 2020 r. strumienia środków z budżetu państwa do Funduszu w wysokości:</w:t>
      </w:r>
    </w:p>
    <w:p w:rsidR="00A53378" w:rsidRPr="00D30E5E" w:rsidRDefault="00A53378" w:rsidP="00D30E5E">
      <w:pPr>
        <w:pStyle w:val="Akapitzlist"/>
        <w:numPr>
          <w:ilvl w:val="0"/>
          <w:numId w:val="13"/>
        </w:numPr>
        <w:spacing w:after="120" w:line="360" w:lineRule="auto"/>
        <w:ind w:left="426"/>
        <w:jc w:val="both"/>
        <w:rPr>
          <w:rFonts w:ascii="Times New Roman" w:hAnsi="Times New Roman"/>
        </w:rPr>
      </w:pPr>
      <w:r w:rsidRPr="00D30E5E">
        <w:rPr>
          <w:rFonts w:ascii="Times New Roman" w:hAnsi="Times New Roman"/>
        </w:rPr>
        <w:t>2,7 mld zł na realizację nowych zadań inwestycyjnych</w:t>
      </w:r>
      <w:r w:rsidR="00ED5539" w:rsidRPr="00D30E5E">
        <w:rPr>
          <w:rFonts w:ascii="Times New Roman" w:hAnsi="Times New Roman"/>
        </w:rPr>
        <w:t>,</w:t>
      </w:r>
    </w:p>
    <w:p w:rsidR="00A53378" w:rsidRPr="00D30E5E" w:rsidRDefault="00A53378" w:rsidP="00D30E5E">
      <w:pPr>
        <w:pStyle w:val="Akapitzlist"/>
        <w:numPr>
          <w:ilvl w:val="0"/>
          <w:numId w:val="13"/>
        </w:numPr>
        <w:spacing w:after="120" w:line="360" w:lineRule="auto"/>
        <w:ind w:left="426"/>
        <w:jc w:val="both"/>
        <w:rPr>
          <w:rFonts w:ascii="Times New Roman" w:hAnsi="Times New Roman"/>
        </w:rPr>
      </w:pPr>
      <w:r w:rsidRPr="00D30E5E">
        <w:rPr>
          <w:rFonts w:ascii="Times New Roman" w:hAnsi="Times New Roman"/>
        </w:rPr>
        <w:t>1,1 mld zł na realizację zadań gminnych i powiatowych (kwota 1,1 mld zł jest przyspieszonym zasileniem Funduszu, wcześniej planowanym na rok 2021). Łącznie w 2020 r. Fundusz Dróg Samorządowych zostanie zasilony dodatkową kwotą 3,8 mld zł.</w:t>
      </w:r>
    </w:p>
    <w:p w:rsidR="00D30E5E" w:rsidRDefault="00EC09BB" w:rsidP="00D30E5E">
      <w:pPr>
        <w:spacing w:after="120" w:line="360" w:lineRule="auto"/>
        <w:jc w:val="both"/>
        <w:rPr>
          <w:rFonts w:ascii="Times New Roman" w:hAnsi="Times New Roman"/>
        </w:rPr>
      </w:pPr>
      <w:r w:rsidRPr="00391CA2">
        <w:rPr>
          <w:rFonts w:ascii="Times New Roman" w:hAnsi="Times New Roman"/>
          <w:u w:val="single"/>
        </w:rPr>
        <w:t xml:space="preserve">Art. 6 projektu ustawy zawiera zmianę art. 31n </w:t>
      </w:r>
      <w:r w:rsidRPr="00391CA2">
        <w:rPr>
          <w:rFonts w:ascii="Times New Roman" w:hAnsi="Times New Roman"/>
        </w:rPr>
        <w:t xml:space="preserve">ustawy z dnia 2 marca 2020 r. o szczególnych rozwiązaniach związanych z zapobieganiem, przeciwdziałaniem i zwalczaniem COVID-19, innych chorób zakaźnych oraz wywołanych nimi sytuacji kryzysowych (Dz. U. poz. 374, </w:t>
      </w:r>
      <w:r w:rsidR="00B04435">
        <w:rPr>
          <w:rFonts w:ascii="Times New Roman" w:hAnsi="Times New Roman"/>
        </w:rPr>
        <w:t>z późn. </w:t>
      </w:r>
      <w:r w:rsidR="00FE7CD0" w:rsidRPr="00391CA2">
        <w:rPr>
          <w:rFonts w:ascii="Times New Roman" w:hAnsi="Times New Roman"/>
        </w:rPr>
        <w:t xml:space="preserve">zm. </w:t>
      </w:r>
      <w:r w:rsidRPr="00391CA2">
        <w:rPr>
          <w:rFonts w:ascii="Times New Roman" w:hAnsi="Times New Roman"/>
        </w:rPr>
        <w:t xml:space="preserve">). </w:t>
      </w:r>
      <w:bookmarkStart w:id="1" w:name="_MailEndCompose"/>
      <w:r w:rsidRPr="00391CA2">
        <w:rPr>
          <w:rFonts w:ascii="Times New Roman" w:hAnsi="Times New Roman"/>
        </w:rPr>
        <w:t>Zmiana ta odnosi się do wydłużenia terminu określo</w:t>
      </w:r>
      <w:r w:rsidR="00B04435">
        <w:rPr>
          <w:rFonts w:ascii="Times New Roman" w:hAnsi="Times New Roman"/>
        </w:rPr>
        <w:t>nego w art. 154 ust. 2 ustawy z </w:t>
      </w:r>
      <w:r w:rsidRPr="00391CA2">
        <w:rPr>
          <w:rFonts w:ascii="Times New Roman" w:hAnsi="Times New Roman"/>
        </w:rPr>
        <w:t xml:space="preserve">dnia 27 sierpnia 2009 r. o finansach publicznych i jest konsekwencją przesunięcia terminu na dokonywanie podziału rezerw celowych, który w 2020 r. realizowany jest do dnia 31 grudnia. Uwzględniając ponadto fakt, iż w nowelizacji ustawy budżetowej przewiduje się dodatkowe zwiększenia środków w pozycjach, z których środki będą kierowane do budżetów wojewodów, obowiązujący w obecnym stanie prawnym termin 30 września na złożenie wniosków przez wojewodów o podział rezerw powinien zostać odpowiednio wydłużony, aby zapewnić finansowanie zadań w sposób niezakłócony. </w:t>
      </w:r>
      <w:bookmarkEnd w:id="1"/>
    </w:p>
    <w:p w:rsidR="002F00B4" w:rsidRPr="00391CA2" w:rsidRDefault="00E73194" w:rsidP="00D30E5E">
      <w:pPr>
        <w:spacing w:after="120" w:line="360" w:lineRule="auto"/>
        <w:jc w:val="both"/>
        <w:rPr>
          <w:rFonts w:ascii="Times New Roman" w:hAnsi="Times New Roman"/>
        </w:rPr>
      </w:pPr>
      <w:r w:rsidRPr="00391CA2">
        <w:rPr>
          <w:rFonts w:ascii="Times New Roman" w:hAnsi="Times New Roman"/>
          <w:u w:val="single"/>
        </w:rPr>
        <w:t xml:space="preserve">Art. </w:t>
      </w:r>
      <w:r w:rsidR="00EC09BB" w:rsidRPr="00391CA2">
        <w:rPr>
          <w:rFonts w:ascii="Times New Roman" w:hAnsi="Times New Roman"/>
          <w:u w:val="single"/>
        </w:rPr>
        <w:t xml:space="preserve">7 </w:t>
      </w:r>
      <w:r w:rsidR="002F00B4" w:rsidRPr="00391CA2">
        <w:rPr>
          <w:rFonts w:ascii="Times New Roman" w:hAnsi="Times New Roman"/>
          <w:u w:val="single"/>
        </w:rPr>
        <w:t>projektu</w:t>
      </w:r>
      <w:r w:rsidR="00033DDD" w:rsidRPr="00391CA2">
        <w:rPr>
          <w:rFonts w:ascii="Times New Roman" w:hAnsi="Times New Roman"/>
          <w:u w:val="single"/>
        </w:rPr>
        <w:t xml:space="preserve"> ustawy</w:t>
      </w:r>
      <w:r w:rsidR="002F00B4" w:rsidRPr="00391CA2">
        <w:rPr>
          <w:rFonts w:ascii="Times New Roman" w:hAnsi="Times New Roman"/>
        </w:rPr>
        <w:t xml:space="preserve"> zawiera </w:t>
      </w:r>
      <w:r w:rsidRPr="00391CA2">
        <w:rPr>
          <w:rFonts w:ascii="Times New Roman" w:hAnsi="Times New Roman"/>
        </w:rPr>
        <w:t>regulacj</w:t>
      </w:r>
      <w:r w:rsidR="002F00B4" w:rsidRPr="00391CA2">
        <w:rPr>
          <w:rFonts w:ascii="Times New Roman" w:hAnsi="Times New Roman"/>
        </w:rPr>
        <w:t>ę</w:t>
      </w:r>
      <w:r w:rsidRPr="00391CA2">
        <w:rPr>
          <w:rFonts w:ascii="Times New Roman" w:hAnsi="Times New Roman"/>
        </w:rPr>
        <w:t>, któr</w:t>
      </w:r>
      <w:r w:rsidR="002F00B4" w:rsidRPr="00391CA2">
        <w:rPr>
          <w:rFonts w:ascii="Times New Roman" w:hAnsi="Times New Roman"/>
        </w:rPr>
        <w:t>a</w:t>
      </w:r>
      <w:r w:rsidR="009A7363" w:rsidRPr="00391CA2">
        <w:rPr>
          <w:rFonts w:ascii="Times New Roman" w:hAnsi="Times New Roman"/>
        </w:rPr>
        <w:t xml:space="preserve"> umożliwia</w:t>
      </w:r>
      <w:r w:rsidRPr="00391CA2">
        <w:rPr>
          <w:rFonts w:ascii="Times New Roman" w:hAnsi="Times New Roman"/>
        </w:rPr>
        <w:t xml:space="preserve"> przekazanie z budżetu państwa środków do Funduszu Wsparcia Policji, Funduszu Wsparcia Straży Granicznej oraz Funduszu Wsparcia Państwowej Straż</w:t>
      </w:r>
      <w:r w:rsidR="00033DDD" w:rsidRPr="00391CA2">
        <w:rPr>
          <w:rFonts w:ascii="Times New Roman" w:hAnsi="Times New Roman"/>
        </w:rPr>
        <w:t xml:space="preserve">y Pożarnej na realizację zadań </w:t>
      </w:r>
      <w:r w:rsidRPr="00391CA2">
        <w:rPr>
          <w:rFonts w:ascii="Times New Roman" w:hAnsi="Times New Roman"/>
        </w:rPr>
        <w:t xml:space="preserve">z zakresu bezpieczeństwa publicznego. </w:t>
      </w:r>
    </w:p>
    <w:p w:rsidR="002F00B4" w:rsidRPr="00391CA2" w:rsidRDefault="00E73194" w:rsidP="00D30E5E">
      <w:pPr>
        <w:spacing w:after="120" w:line="360" w:lineRule="auto"/>
        <w:jc w:val="both"/>
        <w:rPr>
          <w:rFonts w:ascii="Times New Roman" w:hAnsi="Times New Roman"/>
        </w:rPr>
      </w:pPr>
      <w:r w:rsidRPr="00391CA2">
        <w:rPr>
          <w:rFonts w:ascii="Times New Roman" w:hAnsi="Times New Roman"/>
        </w:rPr>
        <w:t>Powyższe pozwoli na realizację w większym zakresie</w:t>
      </w:r>
      <w:r w:rsidR="00391CA2">
        <w:rPr>
          <w:rFonts w:ascii="Times New Roman" w:hAnsi="Times New Roman"/>
        </w:rPr>
        <w:t xml:space="preserve"> ustawowych zadań ww. Funduszy,</w:t>
      </w:r>
      <w:r w:rsidRPr="00391CA2">
        <w:rPr>
          <w:rFonts w:ascii="Times New Roman" w:hAnsi="Times New Roman"/>
        </w:rPr>
        <w:t xml:space="preserve"> polegających na pokrywaniu wydatków inwestycyjnych, modernizacyjnych lub remontowych oraz kosztów utrzymania i funkcjonowania jedn</w:t>
      </w:r>
      <w:r w:rsidR="007B5F96" w:rsidRPr="00391CA2">
        <w:rPr>
          <w:rFonts w:ascii="Times New Roman" w:hAnsi="Times New Roman"/>
        </w:rPr>
        <w:t>ostek organizacyjnych Policji i </w:t>
      </w:r>
      <w:r w:rsidRPr="00391CA2">
        <w:rPr>
          <w:rFonts w:ascii="Times New Roman" w:hAnsi="Times New Roman"/>
        </w:rPr>
        <w:t>Straży Granicznej, a także zakup niezbędnych na ich potrzeby towarów i usług.</w:t>
      </w:r>
    </w:p>
    <w:p w:rsidR="002F00B4" w:rsidRPr="00391CA2" w:rsidRDefault="00E73194" w:rsidP="00D30E5E">
      <w:pPr>
        <w:spacing w:after="120" w:line="360" w:lineRule="auto"/>
        <w:jc w:val="both"/>
        <w:rPr>
          <w:rFonts w:ascii="Times New Roman" w:hAnsi="Times New Roman"/>
        </w:rPr>
      </w:pPr>
      <w:r w:rsidRPr="00391CA2">
        <w:rPr>
          <w:rFonts w:ascii="Times New Roman" w:hAnsi="Times New Roman"/>
        </w:rPr>
        <w:t xml:space="preserve">Podobnie przewiduje się możliwość przeznaczenia z budżetu państwa środków na zasilenie Funduszu Modernizacji Sił Zbrojnych utworzonego na podstawie </w:t>
      </w:r>
      <w:r w:rsidR="00391CA2">
        <w:rPr>
          <w:rFonts w:ascii="Times New Roman" w:hAnsi="Times New Roman"/>
        </w:rPr>
        <w:t>art. 11 ustawy z dnia 25 </w:t>
      </w:r>
      <w:r w:rsidRPr="00391CA2">
        <w:rPr>
          <w:rFonts w:ascii="Times New Roman" w:hAnsi="Times New Roman"/>
        </w:rPr>
        <w:t xml:space="preserve">maja 2001 r. o przebudowie i modernizacji technicznej oraz finansowaniu Sił Zbrojnych Rzeczypospolitej Polskiej, którego dysponentem jest Minister Obrony Narodowej. Przepis ten pozwoli na realizację w większym zakresie ustawowych zadań programu rozwoju Sił Zbrojnych wymienionych w art. 4 ww. ustawy, które są finansowane m.in. ze środków Funduszu Modernizacji Sił Zbrojnych. </w:t>
      </w:r>
    </w:p>
    <w:p w:rsidR="003A06D8" w:rsidRPr="00391CA2" w:rsidRDefault="00E73194" w:rsidP="00D30E5E">
      <w:pPr>
        <w:spacing w:after="120" w:line="360" w:lineRule="auto"/>
        <w:jc w:val="both"/>
        <w:rPr>
          <w:rFonts w:ascii="Times New Roman" w:hAnsi="Times New Roman"/>
        </w:rPr>
      </w:pPr>
      <w:r w:rsidRPr="00391CA2">
        <w:rPr>
          <w:rFonts w:ascii="Times New Roman" w:hAnsi="Times New Roman"/>
        </w:rPr>
        <w:t>Zasilenie w 2020 r. Funduszu Solidarnościowego dodatkowymi środkami ma na celu wsparcie finansowe Funduszu realizującego bardzo istotne społecznie zadania.</w:t>
      </w:r>
      <w:r w:rsidR="007B5F96" w:rsidRPr="00391CA2">
        <w:rPr>
          <w:rFonts w:ascii="Times New Roman" w:hAnsi="Times New Roman"/>
        </w:rPr>
        <w:t xml:space="preserve"> </w:t>
      </w:r>
      <w:r w:rsidRPr="00391CA2">
        <w:rPr>
          <w:rFonts w:ascii="Times New Roman" w:hAnsi="Times New Roman"/>
        </w:rPr>
        <w:t>W związku z sytuacją związaną ze stanem epidemii COVID-19 i jej wpływie na realizację zadań zaplanowanych na rok 2020, które uległy spowolnieniu bądź czasowemu zamrożeniu, istotne jest umożliwienie ich dokończenia, w szczególności uwzględniając procesy inwestycyjne.</w:t>
      </w:r>
      <w:r w:rsidR="002F00B4" w:rsidRPr="00391CA2">
        <w:rPr>
          <w:rFonts w:ascii="Times New Roman" w:hAnsi="Times New Roman"/>
        </w:rPr>
        <w:t xml:space="preserve"> </w:t>
      </w:r>
      <w:r w:rsidRPr="00391CA2">
        <w:rPr>
          <w:rFonts w:ascii="Times New Roman" w:hAnsi="Times New Roman"/>
        </w:rPr>
        <w:t xml:space="preserve">Jednocześnie uwzględniając fakt, iż obecna sytuacja gospodarcza spowodowana stanem epidemii COVID-19 wymaga zwiększonej aktywności państwa w obszarze inwestycji, gdyż inwestycje sektora prywatnego mogą się okazać niewystarczające do odbudowy potencjału gospodarczego polskiej gospodarki, ograniczenia budżetowe nie powinny wpływać na obniżanie w okresie przeciwdziałania skutkom pandemii wydatków inwestycyjnych. </w:t>
      </w:r>
    </w:p>
    <w:p w:rsidR="007B5F96" w:rsidRPr="00391CA2" w:rsidRDefault="003A06D8" w:rsidP="00D30E5E">
      <w:pPr>
        <w:spacing w:after="120" w:line="360" w:lineRule="auto"/>
        <w:jc w:val="both"/>
        <w:rPr>
          <w:rFonts w:ascii="Times New Roman" w:hAnsi="Times New Roman"/>
          <w:iCs/>
          <w:lang w:eastAsia="pl-PL"/>
        </w:rPr>
      </w:pPr>
      <w:r w:rsidRPr="00391CA2">
        <w:rPr>
          <w:rFonts w:ascii="Times New Roman" w:hAnsi="Times New Roman"/>
          <w:iCs/>
          <w:lang w:eastAsia="pl-PL"/>
        </w:rPr>
        <w:t>Z uwagi na ryzyko dotyczące kształtowania się istotnych, z punktu widzenia prognozowanej wysokości przychodów ze składek na ubezpieczenia społeczne, wskaźników makroekonomicznych, w tym średniorocznej dynamiki cen towarów i usług konsumpcyjnych w roku 2020, które mogą istotnie wpłynąć zarówno na stronę przychodową, jak również kosztową Funduszu Ubezpieczeń Społecznych</w:t>
      </w:r>
      <w:r w:rsidR="001F584C">
        <w:rPr>
          <w:rFonts w:ascii="Times New Roman" w:hAnsi="Times New Roman"/>
          <w:iCs/>
          <w:lang w:eastAsia="pl-PL"/>
        </w:rPr>
        <w:t>,</w:t>
      </w:r>
      <w:r w:rsidRPr="00391CA2">
        <w:rPr>
          <w:rFonts w:ascii="Times New Roman" w:hAnsi="Times New Roman"/>
          <w:iCs/>
          <w:lang w:eastAsia="pl-PL"/>
        </w:rPr>
        <w:t xml:space="preserve"> zdecydowano o umożliwieniu dokonywania wpłat z budżetu państwa także do tego Funduszu, analogicznie jak w przypadku innych państwowych funduszy celowych, w tym m.in. Funduszu Solidarnościowego.</w:t>
      </w:r>
    </w:p>
    <w:p w:rsidR="007B5F96" w:rsidRPr="00391CA2" w:rsidRDefault="00E73194" w:rsidP="00D30E5E">
      <w:pPr>
        <w:spacing w:after="120" w:line="360" w:lineRule="auto"/>
        <w:jc w:val="both"/>
        <w:rPr>
          <w:rFonts w:ascii="Times New Roman" w:hAnsi="Times New Roman"/>
        </w:rPr>
      </w:pPr>
      <w:r w:rsidRPr="00391CA2">
        <w:rPr>
          <w:rFonts w:ascii="Times New Roman" w:hAnsi="Times New Roman"/>
        </w:rPr>
        <w:t xml:space="preserve">Projektowane </w:t>
      </w:r>
      <w:r w:rsidR="002F00B4" w:rsidRPr="00391CA2">
        <w:rPr>
          <w:rFonts w:ascii="Times New Roman" w:hAnsi="Times New Roman"/>
        </w:rPr>
        <w:t xml:space="preserve">w </w:t>
      </w:r>
      <w:r w:rsidR="002F00B4" w:rsidRPr="00391CA2">
        <w:rPr>
          <w:rFonts w:ascii="Times New Roman" w:hAnsi="Times New Roman"/>
          <w:u w:val="single"/>
        </w:rPr>
        <w:t xml:space="preserve">art. </w:t>
      </w:r>
      <w:r w:rsidR="00EC09BB" w:rsidRPr="00391CA2">
        <w:rPr>
          <w:rFonts w:ascii="Times New Roman" w:hAnsi="Times New Roman"/>
          <w:u w:val="single"/>
        </w:rPr>
        <w:t>8</w:t>
      </w:r>
      <w:r w:rsidR="002F00B4" w:rsidRPr="00391CA2">
        <w:rPr>
          <w:rFonts w:ascii="Times New Roman" w:hAnsi="Times New Roman"/>
        </w:rPr>
        <w:t xml:space="preserve"> </w:t>
      </w:r>
      <w:r w:rsidRPr="00391CA2">
        <w:rPr>
          <w:rFonts w:ascii="Times New Roman" w:hAnsi="Times New Roman"/>
        </w:rPr>
        <w:t>rozwiązanie ma charakter epizodyczny i dotyczy roku 2020, w którym możliwe będzie wydanie aktu wykonawczego – rozporządzenia Rady Ministrów – w ramach którego wydatki z roku 2020 będą mogły być realizowane ró</w:t>
      </w:r>
      <w:r w:rsidR="00391CA2">
        <w:rPr>
          <w:rFonts w:ascii="Times New Roman" w:hAnsi="Times New Roman"/>
        </w:rPr>
        <w:t>wnież w kolejnym roku, aż do 30 </w:t>
      </w:r>
      <w:r w:rsidRPr="00391CA2">
        <w:rPr>
          <w:rFonts w:ascii="Times New Roman" w:hAnsi="Times New Roman"/>
        </w:rPr>
        <w:t xml:space="preserve">listopada. Umożliwia to kontynuację realizacji wszystkich przedsięwzięć, które były zaplanowane w ramach środków budżetowych ujętych w ustawie budżetowej na rok 2020, a które to działania, wskutek COVID-19, nie zostały bądź do 31 grudnia nie zostaną ukończone. </w:t>
      </w:r>
      <w:r w:rsidR="002F00B4" w:rsidRPr="00391CA2">
        <w:rPr>
          <w:rFonts w:ascii="Times New Roman" w:hAnsi="Times New Roman"/>
        </w:rPr>
        <w:t>Tym samym</w:t>
      </w:r>
      <w:r w:rsidRPr="00391CA2">
        <w:rPr>
          <w:rFonts w:ascii="Times New Roman" w:hAnsi="Times New Roman"/>
        </w:rPr>
        <w:t xml:space="preserve"> ostateczny termin ich realizacji został wydłużony maksymalnie do dnia 30 listopada 2021</w:t>
      </w:r>
      <w:r w:rsidR="00A74A91">
        <w:rPr>
          <w:rFonts w:ascii="Times New Roman" w:hAnsi="Times New Roman"/>
        </w:rPr>
        <w:t> </w:t>
      </w:r>
      <w:r w:rsidRPr="00391CA2">
        <w:rPr>
          <w:rFonts w:ascii="Times New Roman" w:hAnsi="Times New Roman"/>
        </w:rPr>
        <w:t xml:space="preserve">r. </w:t>
      </w:r>
    </w:p>
    <w:p w:rsidR="001F17F3" w:rsidRPr="00391CA2" w:rsidRDefault="00E73194" w:rsidP="00D30E5E">
      <w:pPr>
        <w:spacing w:after="120" w:line="360" w:lineRule="auto"/>
        <w:jc w:val="both"/>
        <w:rPr>
          <w:rFonts w:ascii="Times New Roman" w:hAnsi="Times New Roman"/>
        </w:rPr>
      </w:pPr>
      <w:r w:rsidRPr="00391CA2">
        <w:rPr>
          <w:rFonts w:ascii="Times New Roman" w:hAnsi="Times New Roman"/>
        </w:rPr>
        <w:t>Obecnie obowiązujące przepisy ustawy o finansach publicznych przewidują możliwość wydania rozporządzenia Rady Ministrów o tzw. „wydatkach niewygasających” z terminem nie dłuższym niż do dnia 31 marca kolejnego roku.</w:t>
      </w:r>
      <w:r w:rsidR="007B5F96" w:rsidRPr="00391CA2">
        <w:rPr>
          <w:rFonts w:ascii="Times New Roman" w:hAnsi="Times New Roman"/>
        </w:rPr>
        <w:t xml:space="preserve"> </w:t>
      </w:r>
      <w:r w:rsidRPr="00391CA2">
        <w:rPr>
          <w:rFonts w:ascii="Times New Roman" w:hAnsi="Times New Roman"/>
        </w:rPr>
        <w:t>Rozliczenie środków nastąpi na dotychczasowych zasadach, z tym że w przypadku stwierdzenia braku możliwości wyda</w:t>
      </w:r>
      <w:r w:rsidR="00391CA2">
        <w:rPr>
          <w:rFonts w:ascii="Times New Roman" w:hAnsi="Times New Roman"/>
        </w:rPr>
        <w:t>tkowania środków przed dniem 30 </w:t>
      </w:r>
      <w:r w:rsidRPr="00391CA2">
        <w:rPr>
          <w:rFonts w:ascii="Times New Roman" w:hAnsi="Times New Roman"/>
        </w:rPr>
        <w:t xml:space="preserve">listopada 2021 r., dysponent niezwłocznie poinformuje o tym Ministra Finansów i zwróci niewykorzystane środki na rachunek wydatków niewygasających w terminie 14 dni. </w:t>
      </w:r>
    </w:p>
    <w:p w:rsidR="00B23EA5" w:rsidRPr="00391CA2" w:rsidRDefault="007B5F96" w:rsidP="00D30E5E">
      <w:pPr>
        <w:pStyle w:val="Bezodstpw"/>
        <w:spacing w:after="120" w:line="360" w:lineRule="auto"/>
        <w:jc w:val="both"/>
        <w:rPr>
          <w:rFonts w:ascii="Times New Roman" w:hAnsi="Times New Roman" w:cs="Times New Roman"/>
          <w:sz w:val="24"/>
          <w:szCs w:val="24"/>
        </w:rPr>
      </w:pPr>
      <w:r w:rsidRPr="00391CA2">
        <w:rPr>
          <w:rFonts w:ascii="Times New Roman" w:eastAsia="Cambria" w:hAnsi="Times New Roman" w:cs="Times New Roman"/>
          <w:sz w:val="24"/>
          <w:szCs w:val="24"/>
        </w:rPr>
        <w:t>Planuje się, że u</w:t>
      </w:r>
      <w:r w:rsidR="00B539E7" w:rsidRPr="00391CA2">
        <w:rPr>
          <w:rFonts w:ascii="Times New Roman" w:hAnsi="Times New Roman" w:cs="Times New Roman"/>
          <w:sz w:val="24"/>
          <w:szCs w:val="24"/>
        </w:rPr>
        <w:t>stawa wejdzie w życie z dniem</w:t>
      </w:r>
      <w:r w:rsidR="00B23EA5" w:rsidRPr="00391CA2">
        <w:rPr>
          <w:rFonts w:ascii="Times New Roman" w:hAnsi="Times New Roman" w:cs="Times New Roman"/>
          <w:sz w:val="24"/>
          <w:szCs w:val="24"/>
        </w:rPr>
        <w:t xml:space="preserve"> następujący</w:t>
      </w:r>
      <w:r w:rsidR="00B539E7" w:rsidRPr="00391CA2">
        <w:rPr>
          <w:rFonts w:ascii="Times New Roman" w:hAnsi="Times New Roman" w:cs="Times New Roman"/>
          <w:sz w:val="24"/>
          <w:szCs w:val="24"/>
        </w:rPr>
        <w:t>m</w:t>
      </w:r>
      <w:r w:rsidR="00B23EA5" w:rsidRPr="00391CA2">
        <w:rPr>
          <w:rFonts w:ascii="Times New Roman" w:hAnsi="Times New Roman" w:cs="Times New Roman"/>
          <w:sz w:val="24"/>
          <w:szCs w:val="24"/>
        </w:rPr>
        <w:t xml:space="preserve"> po dniu ogłoszenia</w:t>
      </w:r>
      <w:r w:rsidR="00806FFF" w:rsidRPr="00391CA2">
        <w:rPr>
          <w:rFonts w:ascii="Times New Roman" w:hAnsi="Times New Roman" w:cs="Times New Roman"/>
          <w:sz w:val="24"/>
          <w:szCs w:val="24"/>
        </w:rPr>
        <w:t xml:space="preserve"> </w:t>
      </w:r>
      <w:r w:rsidRPr="00391CA2">
        <w:rPr>
          <w:rFonts w:ascii="Times New Roman" w:hAnsi="Times New Roman" w:cs="Times New Roman"/>
          <w:sz w:val="24"/>
          <w:szCs w:val="24"/>
        </w:rPr>
        <w:t xml:space="preserve">(art. </w:t>
      </w:r>
      <w:r w:rsidR="00EC09BB" w:rsidRPr="00391CA2">
        <w:rPr>
          <w:rFonts w:ascii="Times New Roman" w:hAnsi="Times New Roman" w:cs="Times New Roman"/>
          <w:sz w:val="24"/>
          <w:szCs w:val="24"/>
        </w:rPr>
        <w:t>9</w:t>
      </w:r>
      <w:r w:rsidRPr="00391CA2">
        <w:rPr>
          <w:rFonts w:ascii="Times New Roman" w:hAnsi="Times New Roman" w:cs="Times New Roman"/>
          <w:sz w:val="24"/>
          <w:szCs w:val="24"/>
        </w:rPr>
        <w:t xml:space="preserve"> projektu ustawy). </w:t>
      </w:r>
      <w:r w:rsidR="00260D0B" w:rsidRPr="00391CA2">
        <w:rPr>
          <w:rFonts w:ascii="Times New Roman" w:hAnsi="Times New Roman" w:cs="Times New Roman"/>
          <w:sz w:val="24"/>
          <w:szCs w:val="24"/>
        </w:rPr>
        <w:t>Konieczność jak najszybszego wejścia w życie ustawy wynika z potrzeby</w:t>
      </w:r>
      <w:r w:rsidR="001E4601" w:rsidRPr="00391CA2">
        <w:rPr>
          <w:rFonts w:ascii="Times New Roman" w:hAnsi="Times New Roman" w:cs="Times New Roman"/>
          <w:sz w:val="24"/>
          <w:szCs w:val="24"/>
        </w:rPr>
        <w:t xml:space="preserve"> podjęcia skutecznych działań przeci</w:t>
      </w:r>
      <w:r w:rsidR="00232B55" w:rsidRPr="00391CA2">
        <w:rPr>
          <w:rFonts w:ascii="Times New Roman" w:hAnsi="Times New Roman" w:cs="Times New Roman"/>
          <w:sz w:val="24"/>
          <w:szCs w:val="24"/>
        </w:rPr>
        <w:t>wdziałających skutkom społeczno-</w:t>
      </w:r>
      <w:r w:rsidR="001E4601" w:rsidRPr="00391CA2">
        <w:rPr>
          <w:rFonts w:ascii="Times New Roman" w:hAnsi="Times New Roman" w:cs="Times New Roman"/>
          <w:sz w:val="24"/>
          <w:szCs w:val="24"/>
        </w:rPr>
        <w:t>gospodarczym C</w:t>
      </w:r>
      <w:r w:rsidR="00803FAE" w:rsidRPr="00391CA2">
        <w:rPr>
          <w:rFonts w:ascii="Times New Roman" w:hAnsi="Times New Roman" w:cs="Times New Roman"/>
          <w:sz w:val="24"/>
          <w:szCs w:val="24"/>
        </w:rPr>
        <w:t>OVID</w:t>
      </w:r>
      <w:r w:rsidR="001E4601" w:rsidRPr="00391CA2">
        <w:rPr>
          <w:rFonts w:ascii="Times New Roman" w:hAnsi="Times New Roman" w:cs="Times New Roman"/>
          <w:sz w:val="24"/>
          <w:szCs w:val="24"/>
        </w:rPr>
        <w:t>-19.</w:t>
      </w:r>
    </w:p>
    <w:p w:rsidR="005002D7" w:rsidRPr="00391CA2" w:rsidRDefault="005002D7" w:rsidP="00D30E5E">
      <w:pPr>
        <w:pStyle w:val="Bezodstpw"/>
        <w:spacing w:after="120" w:line="360" w:lineRule="auto"/>
        <w:jc w:val="both"/>
        <w:rPr>
          <w:rFonts w:ascii="Times New Roman" w:hAnsi="Times New Roman" w:cs="Times New Roman"/>
          <w:bCs/>
          <w:sz w:val="24"/>
          <w:szCs w:val="24"/>
        </w:rPr>
      </w:pPr>
      <w:r w:rsidRPr="00391CA2">
        <w:rPr>
          <w:rFonts w:ascii="Times New Roman" w:hAnsi="Times New Roman" w:cs="Times New Roman"/>
          <w:bCs/>
          <w:sz w:val="24"/>
          <w:szCs w:val="24"/>
        </w:rPr>
        <w:t>Zawarte w projekcie regulacje nie będą miały bezpośredniego wpływu na działalność mikroprzedsiębiorców, małych i średnich przedsiębiorców zgodn</w:t>
      </w:r>
      <w:r w:rsidR="00391CA2">
        <w:rPr>
          <w:rFonts w:ascii="Times New Roman" w:hAnsi="Times New Roman" w:cs="Times New Roman"/>
          <w:bCs/>
          <w:sz w:val="24"/>
          <w:szCs w:val="24"/>
        </w:rPr>
        <w:t>ie z ustawą z dnia 6 marca 2018 </w:t>
      </w:r>
      <w:r w:rsidRPr="00391CA2">
        <w:rPr>
          <w:rFonts w:ascii="Times New Roman" w:hAnsi="Times New Roman" w:cs="Times New Roman"/>
          <w:bCs/>
          <w:sz w:val="24"/>
          <w:szCs w:val="24"/>
        </w:rPr>
        <w:t xml:space="preserve">r. – Prawo przedsiębiorców (Dz. U. z 2019 r. poz. </w:t>
      </w:r>
      <w:r w:rsidR="00667529" w:rsidRPr="00391CA2">
        <w:rPr>
          <w:rFonts w:ascii="Times New Roman" w:hAnsi="Times New Roman" w:cs="Times New Roman"/>
          <w:bCs/>
          <w:sz w:val="24"/>
          <w:szCs w:val="24"/>
        </w:rPr>
        <w:t>12</w:t>
      </w:r>
      <w:r w:rsidRPr="00391CA2">
        <w:rPr>
          <w:rFonts w:ascii="Times New Roman" w:hAnsi="Times New Roman" w:cs="Times New Roman"/>
          <w:bCs/>
          <w:sz w:val="24"/>
          <w:szCs w:val="24"/>
        </w:rPr>
        <w:t xml:space="preserve">92, z późn. zm.). </w:t>
      </w:r>
    </w:p>
    <w:p w:rsidR="00B23EA5" w:rsidRPr="00391CA2" w:rsidRDefault="00A8623F" w:rsidP="00D30E5E">
      <w:pPr>
        <w:spacing w:after="120" w:line="360" w:lineRule="auto"/>
        <w:jc w:val="both"/>
        <w:rPr>
          <w:rFonts w:ascii="Times New Roman" w:hAnsi="Times New Roman"/>
          <w:highlight w:val="lightGray"/>
        </w:rPr>
      </w:pPr>
      <w:r w:rsidRPr="00391CA2">
        <w:rPr>
          <w:rFonts w:ascii="Times New Roman" w:hAnsi="Times New Roman"/>
        </w:rPr>
        <w:t xml:space="preserve">Projekt ustawy jest zgodny z prawem Unii Europejskiej. </w:t>
      </w:r>
    </w:p>
    <w:p w:rsidR="00B23EA5" w:rsidRPr="00391CA2" w:rsidRDefault="00B23EA5" w:rsidP="00D30E5E">
      <w:pPr>
        <w:suppressAutoHyphens/>
        <w:spacing w:after="120" w:line="360" w:lineRule="auto"/>
        <w:jc w:val="both"/>
        <w:rPr>
          <w:rFonts w:ascii="Times New Roman" w:hAnsi="Times New Roman"/>
        </w:rPr>
      </w:pPr>
      <w:r w:rsidRPr="00391CA2">
        <w:rPr>
          <w:rFonts w:ascii="Times New Roman" w:hAnsi="Times New Roman"/>
        </w:rPr>
        <w:t>Projekt nie zawiera przepisów technicznych w rozumieniu rozporządzenia Rady Ministrów z dnia 23 grudnia 2002 r. w sprawie sposobu funkcjonowania krajo</w:t>
      </w:r>
      <w:r w:rsidR="00391CA2">
        <w:rPr>
          <w:rFonts w:ascii="Times New Roman" w:hAnsi="Times New Roman"/>
        </w:rPr>
        <w:t>wego systemu notyfikacji norm i </w:t>
      </w:r>
      <w:r w:rsidRPr="00391CA2">
        <w:rPr>
          <w:rFonts w:ascii="Times New Roman" w:hAnsi="Times New Roman"/>
        </w:rPr>
        <w:t>aktów prawnych (Dz. U. poz. 2039</w:t>
      </w:r>
      <w:r w:rsidR="005002D7" w:rsidRPr="00391CA2">
        <w:rPr>
          <w:rFonts w:ascii="Times New Roman" w:hAnsi="Times New Roman"/>
        </w:rPr>
        <w:t>, z późn. zm.)</w:t>
      </w:r>
      <w:r w:rsidRPr="00391CA2">
        <w:rPr>
          <w:rFonts w:ascii="Times New Roman" w:hAnsi="Times New Roman"/>
        </w:rPr>
        <w:t xml:space="preserve"> oraz nie podlega notyfikacji na zasadach przewidzianych w tym rozporządzeniu.</w:t>
      </w:r>
    </w:p>
    <w:p w:rsidR="00B23EA5" w:rsidRPr="00391CA2" w:rsidRDefault="00B23EA5" w:rsidP="00D30E5E">
      <w:pPr>
        <w:suppressAutoHyphens/>
        <w:spacing w:after="120" w:line="360" w:lineRule="auto"/>
        <w:jc w:val="both"/>
        <w:rPr>
          <w:rFonts w:ascii="Times New Roman" w:hAnsi="Times New Roman"/>
        </w:rPr>
      </w:pPr>
      <w:r w:rsidRPr="00391CA2">
        <w:rPr>
          <w:rFonts w:ascii="Times New Roman" w:hAnsi="Times New Roman"/>
        </w:rPr>
        <w:t>Projekt ustawy nie wymaga uzyskania opinii, dokonania powiadomienia, konsultacji albo uzgodnienia z właściwym</w:t>
      </w:r>
      <w:r w:rsidR="00A179B0">
        <w:rPr>
          <w:rFonts w:ascii="Times New Roman" w:hAnsi="Times New Roman"/>
        </w:rPr>
        <w:t>i</w:t>
      </w:r>
      <w:r w:rsidRPr="00391CA2">
        <w:rPr>
          <w:rFonts w:ascii="Times New Roman" w:hAnsi="Times New Roman"/>
        </w:rPr>
        <w:t xml:space="preserve"> organami i instytucjami Unii Europejskiej, w tym z Europejskim Bankiem Centralnym, </w:t>
      </w:r>
      <w:r w:rsidR="005002D7" w:rsidRPr="00391CA2">
        <w:rPr>
          <w:rFonts w:ascii="Times New Roman" w:hAnsi="Times New Roman"/>
        </w:rPr>
        <w:t>zgodnie z</w:t>
      </w:r>
      <w:r w:rsidRPr="00391CA2">
        <w:rPr>
          <w:rFonts w:ascii="Times New Roman" w:hAnsi="Times New Roman"/>
        </w:rPr>
        <w:t xml:space="preserve"> § 39 uchwały nr 190 Rady Ministrów z dnia 29 października 2013</w:t>
      </w:r>
      <w:r w:rsidR="00232B55" w:rsidRPr="00391CA2">
        <w:rPr>
          <w:rFonts w:ascii="Times New Roman" w:hAnsi="Times New Roman"/>
        </w:rPr>
        <w:t> </w:t>
      </w:r>
      <w:r w:rsidRPr="00391CA2">
        <w:rPr>
          <w:rFonts w:ascii="Times New Roman" w:hAnsi="Times New Roman"/>
        </w:rPr>
        <w:t>r. – Reg</w:t>
      </w:r>
      <w:r w:rsidR="007B5F96" w:rsidRPr="00391CA2">
        <w:rPr>
          <w:rFonts w:ascii="Times New Roman" w:hAnsi="Times New Roman"/>
        </w:rPr>
        <w:t>ulamin pracy Rady Ministrów (M.</w:t>
      </w:r>
      <w:r w:rsidRPr="00391CA2">
        <w:rPr>
          <w:rFonts w:ascii="Times New Roman" w:hAnsi="Times New Roman"/>
        </w:rPr>
        <w:t>P. z 2016 r. poz. 1006, z późn. zm.).</w:t>
      </w:r>
    </w:p>
    <w:sectPr w:rsidR="00B23EA5" w:rsidRPr="00391CA2" w:rsidSect="00DA4A56">
      <w:footerReference w:type="default" r:id="rId8"/>
      <w:pgSz w:w="11900" w:h="16840"/>
      <w:pgMar w:top="1701" w:right="1134" w:bottom="1560" w:left="1418" w:header="709" w:footer="709" w:gutter="0"/>
      <w:cols w:space="708"/>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032612" w16cid:durableId="2272794E"/>
  <w16cid:commentId w16cid:paraId="3CFCB943" w16cid:durableId="227277E0"/>
  <w16cid:commentId w16cid:paraId="3E90A246" w16cid:durableId="227277E1"/>
  <w16cid:commentId w16cid:paraId="4A8DC03E" w16cid:durableId="227280F3"/>
  <w16cid:commentId w16cid:paraId="2939F026" w16cid:durableId="22727E7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F86" w:rsidRDefault="00FA5F86">
      <w:r>
        <w:separator/>
      </w:r>
    </w:p>
  </w:endnote>
  <w:endnote w:type="continuationSeparator" w:id="0">
    <w:p w:rsidR="00FA5F86" w:rsidRDefault="00FA5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EUAlbertina">
    <w:altName w:val="EU Albertina"/>
    <w:panose1 w:val="00000000000000000000"/>
    <w:charset w:val="00"/>
    <w:family w:val="swiss"/>
    <w:notTrueType/>
    <w:pitch w:val="default"/>
    <w:sig w:usb0="00000007" w:usb1="00000000" w:usb2="00000000" w:usb3="00000000" w:csb0="00000003"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487135"/>
      <w:docPartObj>
        <w:docPartGallery w:val="Page Numbers (Bottom of Page)"/>
        <w:docPartUnique/>
      </w:docPartObj>
    </w:sdtPr>
    <w:sdtEndPr>
      <w:rPr>
        <w:rFonts w:ascii="Times New Roman" w:hAnsi="Times New Roman"/>
      </w:rPr>
    </w:sdtEndPr>
    <w:sdtContent>
      <w:p w:rsidR="006C13FF" w:rsidRPr="00391CA2" w:rsidRDefault="0019101C" w:rsidP="003A17C8">
        <w:pPr>
          <w:pStyle w:val="Stopka"/>
          <w:jc w:val="center"/>
          <w:rPr>
            <w:rFonts w:ascii="Times New Roman" w:hAnsi="Times New Roman"/>
          </w:rPr>
        </w:pPr>
        <w:r w:rsidRPr="00391CA2">
          <w:rPr>
            <w:rFonts w:ascii="Times New Roman" w:hAnsi="Times New Roman"/>
          </w:rPr>
          <w:fldChar w:fldCharType="begin"/>
        </w:r>
        <w:r w:rsidRPr="00391CA2">
          <w:rPr>
            <w:rFonts w:ascii="Times New Roman" w:hAnsi="Times New Roman"/>
          </w:rPr>
          <w:instrText>PAGE   \* MERGEFORMAT</w:instrText>
        </w:r>
        <w:r w:rsidRPr="00391CA2">
          <w:rPr>
            <w:rFonts w:ascii="Times New Roman" w:hAnsi="Times New Roman"/>
          </w:rPr>
          <w:fldChar w:fldCharType="separate"/>
        </w:r>
        <w:r w:rsidR="00D30E5E">
          <w:rPr>
            <w:rFonts w:ascii="Times New Roman" w:hAnsi="Times New Roman"/>
            <w:noProof/>
          </w:rPr>
          <w:t>7</w:t>
        </w:r>
        <w:r w:rsidRPr="00391CA2">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F86" w:rsidRDefault="00FA5F86">
      <w:r>
        <w:separator/>
      </w:r>
    </w:p>
  </w:footnote>
  <w:footnote w:type="continuationSeparator" w:id="0">
    <w:p w:rsidR="00FA5F86" w:rsidRDefault="00FA5F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C16BA36"/>
    <w:lvl w:ilvl="0">
      <w:numFmt w:val="bullet"/>
      <w:lvlText w:val="*"/>
      <w:lvlJc w:val="left"/>
    </w:lvl>
  </w:abstractNum>
  <w:abstractNum w:abstractNumId="1" w15:restartNumberingAfterBreak="0">
    <w:nsid w:val="03A04C29"/>
    <w:multiLevelType w:val="hybridMultilevel"/>
    <w:tmpl w:val="F5A20F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28124C"/>
    <w:multiLevelType w:val="hybridMultilevel"/>
    <w:tmpl w:val="C036489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4275AEA"/>
    <w:multiLevelType w:val="hybridMultilevel"/>
    <w:tmpl w:val="343429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DFF7032"/>
    <w:multiLevelType w:val="hybridMultilevel"/>
    <w:tmpl w:val="4440CE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979401B"/>
    <w:multiLevelType w:val="hybridMultilevel"/>
    <w:tmpl w:val="13D8C79E"/>
    <w:lvl w:ilvl="0" w:tplc="8160D0A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335D3868"/>
    <w:multiLevelType w:val="hybridMultilevel"/>
    <w:tmpl w:val="44340192"/>
    <w:lvl w:ilvl="0" w:tplc="B16C0B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41A1A11"/>
    <w:multiLevelType w:val="hybridMultilevel"/>
    <w:tmpl w:val="5C407C4E"/>
    <w:lvl w:ilvl="0" w:tplc="8160D0A2">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8" w15:restartNumberingAfterBreak="0">
    <w:nsid w:val="37643872"/>
    <w:multiLevelType w:val="hybridMultilevel"/>
    <w:tmpl w:val="F5A20F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2C16CAD"/>
    <w:multiLevelType w:val="hybridMultilevel"/>
    <w:tmpl w:val="E46EF6C0"/>
    <w:lvl w:ilvl="0" w:tplc="B16C0B0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531B790C"/>
    <w:multiLevelType w:val="hybridMultilevel"/>
    <w:tmpl w:val="4100FED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58227F3"/>
    <w:multiLevelType w:val="hybridMultilevel"/>
    <w:tmpl w:val="93BE845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5ED4477A"/>
    <w:multiLevelType w:val="hybridMultilevel"/>
    <w:tmpl w:val="D19E35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7"/>
  </w:num>
  <w:num w:numId="4">
    <w:abstractNumId w:val="1"/>
  </w:num>
  <w:num w:numId="5">
    <w:abstractNumId w:val="0"/>
    <w:lvlOverride w:ilvl="0">
      <w:lvl w:ilvl="0">
        <w:numFmt w:val="bullet"/>
        <w:lvlText w:val="•"/>
        <w:legacy w:legacy="1" w:legacySpace="0" w:legacyIndent="0"/>
        <w:lvlJc w:val="left"/>
        <w:rPr>
          <w:rFonts w:ascii="Arial" w:hAnsi="Arial" w:cs="Arial" w:hint="default"/>
          <w:sz w:val="32"/>
        </w:rPr>
      </w:lvl>
    </w:lvlOverride>
  </w:num>
  <w:num w:numId="6">
    <w:abstractNumId w:val="8"/>
  </w:num>
  <w:num w:numId="7">
    <w:abstractNumId w:val="10"/>
  </w:num>
  <w:num w:numId="8">
    <w:abstractNumId w:val="2"/>
  </w:num>
  <w:num w:numId="9">
    <w:abstractNumId w:val="4"/>
  </w:num>
  <w:num w:numId="10">
    <w:abstractNumId w:val="3"/>
  </w:num>
  <w:num w:numId="11">
    <w:abstractNumId w:val="12"/>
  </w:num>
  <w:num w:numId="12">
    <w:abstractNumId w:val="9"/>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rawingGridHorizontalSpacing w:val="12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85B"/>
    <w:rsid w:val="00001D43"/>
    <w:rsid w:val="0000532F"/>
    <w:rsid w:val="00005930"/>
    <w:rsid w:val="00033DDD"/>
    <w:rsid w:val="000514FB"/>
    <w:rsid w:val="00052586"/>
    <w:rsid w:val="000556DF"/>
    <w:rsid w:val="00061644"/>
    <w:rsid w:val="00081FEB"/>
    <w:rsid w:val="00084DE6"/>
    <w:rsid w:val="000968FE"/>
    <w:rsid w:val="000A3F40"/>
    <w:rsid w:val="000A43CD"/>
    <w:rsid w:val="00104B93"/>
    <w:rsid w:val="00110289"/>
    <w:rsid w:val="0012425A"/>
    <w:rsid w:val="001316F8"/>
    <w:rsid w:val="00134749"/>
    <w:rsid w:val="00136977"/>
    <w:rsid w:val="00142848"/>
    <w:rsid w:val="00145F5C"/>
    <w:rsid w:val="00180963"/>
    <w:rsid w:val="00185940"/>
    <w:rsid w:val="0019101C"/>
    <w:rsid w:val="00192314"/>
    <w:rsid w:val="00195C18"/>
    <w:rsid w:val="001A6286"/>
    <w:rsid w:val="001C4980"/>
    <w:rsid w:val="001D7B99"/>
    <w:rsid w:val="001E27B8"/>
    <w:rsid w:val="001E4601"/>
    <w:rsid w:val="001E5DAC"/>
    <w:rsid w:val="001F17F3"/>
    <w:rsid w:val="001F584C"/>
    <w:rsid w:val="00214768"/>
    <w:rsid w:val="002239DD"/>
    <w:rsid w:val="00225701"/>
    <w:rsid w:val="00232B55"/>
    <w:rsid w:val="0025129F"/>
    <w:rsid w:val="00253CF0"/>
    <w:rsid w:val="00260D0B"/>
    <w:rsid w:val="002716DF"/>
    <w:rsid w:val="00280D95"/>
    <w:rsid w:val="002817F9"/>
    <w:rsid w:val="00284F04"/>
    <w:rsid w:val="002860B5"/>
    <w:rsid w:val="00287D0E"/>
    <w:rsid w:val="00293973"/>
    <w:rsid w:val="002A07C8"/>
    <w:rsid w:val="002B6A3D"/>
    <w:rsid w:val="002B7D96"/>
    <w:rsid w:val="002C6759"/>
    <w:rsid w:val="002E2D1A"/>
    <w:rsid w:val="002E60A9"/>
    <w:rsid w:val="002F00B4"/>
    <w:rsid w:val="003056D3"/>
    <w:rsid w:val="00307E25"/>
    <w:rsid w:val="00325638"/>
    <w:rsid w:val="0033329A"/>
    <w:rsid w:val="00340115"/>
    <w:rsid w:val="00345C89"/>
    <w:rsid w:val="003618FE"/>
    <w:rsid w:val="00365A63"/>
    <w:rsid w:val="00383596"/>
    <w:rsid w:val="00386B49"/>
    <w:rsid w:val="00387D85"/>
    <w:rsid w:val="00391CA2"/>
    <w:rsid w:val="003A06D8"/>
    <w:rsid w:val="003A17C8"/>
    <w:rsid w:val="003B3C54"/>
    <w:rsid w:val="003B65CD"/>
    <w:rsid w:val="003C5F37"/>
    <w:rsid w:val="003C6A1E"/>
    <w:rsid w:val="003D6D6F"/>
    <w:rsid w:val="003D73A7"/>
    <w:rsid w:val="003E2E7E"/>
    <w:rsid w:val="003F3CD8"/>
    <w:rsid w:val="00400811"/>
    <w:rsid w:val="004049E9"/>
    <w:rsid w:val="00420E4F"/>
    <w:rsid w:val="00435EE5"/>
    <w:rsid w:val="00446B3C"/>
    <w:rsid w:val="00455B10"/>
    <w:rsid w:val="00471A89"/>
    <w:rsid w:val="004908E8"/>
    <w:rsid w:val="00492855"/>
    <w:rsid w:val="0049362D"/>
    <w:rsid w:val="004B33F9"/>
    <w:rsid w:val="004C18BF"/>
    <w:rsid w:val="004C2463"/>
    <w:rsid w:val="004D3B5E"/>
    <w:rsid w:val="004E247A"/>
    <w:rsid w:val="004E701A"/>
    <w:rsid w:val="004F26FD"/>
    <w:rsid w:val="005002D7"/>
    <w:rsid w:val="00501085"/>
    <w:rsid w:val="00510C93"/>
    <w:rsid w:val="00511D11"/>
    <w:rsid w:val="00537873"/>
    <w:rsid w:val="0055122F"/>
    <w:rsid w:val="00566182"/>
    <w:rsid w:val="00567A66"/>
    <w:rsid w:val="005826D4"/>
    <w:rsid w:val="005925F4"/>
    <w:rsid w:val="0059485F"/>
    <w:rsid w:val="005952BC"/>
    <w:rsid w:val="005A227C"/>
    <w:rsid w:val="005A3C1A"/>
    <w:rsid w:val="005A7C13"/>
    <w:rsid w:val="005B6315"/>
    <w:rsid w:val="005C254D"/>
    <w:rsid w:val="005D1987"/>
    <w:rsid w:val="005D1B8D"/>
    <w:rsid w:val="00604E9D"/>
    <w:rsid w:val="00605B50"/>
    <w:rsid w:val="006204BC"/>
    <w:rsid w:val="00624FFB"/>
    <w:rsid w:val="006263CE"/>
    <w:rsid w:val="00627406"/>
    <w:rsid w:val="00630D59"/>
    <w:rsid w:val="00665C43"/>
    <w:rsid w:val="00667529"/>
    <w:rsid w:val="00677449"/>
    <w:rsid w:val="00682969"/>
    <w:rsid w:val="006857FC"/>
    <w:rsid w:val="00686A4A"/>
    <w:rsid w:val="006978B3"/>
    <w:rsid w:val="006A242C"/>
    <w:rsid w:val="006A3443"/>
    <w:rsid w:val="006B14E6"/>
    <w:rsid w:val="006B6318"/>
    <w:rsid w:val="006B72A6"/>
    <w:rsid w:val="006C7520"/>
    <w:rsid w:val="006D40FA"/>
    <w:rsid w:val="006E45C8"/>
    <w:rsid w:val="00715EB6"/>
    <w:rsid w:val="0071797B"/>
    <w:rsid w:val="00720760"/>
    <w:rsid w:val="00737D9E"/>
    <w:rsid w:val="00742C7E"/>
    <w:rsid w:val="00752E80"/>
    <w:rsid w:val="0075667A"/>
    <w:rsid w:val="007615FA"/>
    <w:rsid w:val="007A4381"/>
    <w:rsid w:val="007B5F96"/>
    <w:rsid w:val="007B74EF"/>
    <w:rsid w:val="007C0B7B"/>
    <w:rsid w:val="007D39ED"/>
    <w:rsid w:val="007D7EDC"/>
    <w:rsid w:val="007E16E0"/>
    <w:rsid w:val="007E2D7D"/>
    <w:rsid w:val="007F117B"/>
    <w:rsid w:val="007F5811"/>
    <w:rsid w:val="007F6E84"/>
    <w:rsid w:val="00803FAE"/>
    <w:rsid w:val="008046C6"/>
    <w:rsid w:val="00806328"/>
    <w:rsid w:val="00806FFF"/>
    <w:rsid w:val="0081375D"/>
    <w:rsid w:val="008148D5"/>
    <w:rsid w:val="008249AC"/>
    <w:rsid w:val="00840B7C"/>
    <w:rsid w:val="00851406"/>
    <w:rsid w:val="00852BDD"/>
    <w:rsid w:val="00861900"/>
    <w:rsid w:val="00861AFB"/>
    <w:rsid w:val="0087130A"/>
    <w:rsid w:val="008733F1"/>
    <w:rsid w:val="00873CE5"/>
    <w:rsid w:val="00881EC0"/>
    <w:rsid w:val="00885596"/>
    <w:rsid w:val="00892B69"/>
    <w:rsid w:val="008B2167"/>
    <w:rsid w:val="008B344D"/>
    <w:rsid w:val="008C0BBA"/>
    <w:rsid w:val="008D0CF3"/>
    <w:rsid w:val="008D4DFD"/>
    <w:rsid w:val="008D63E5"/>
    <w:rsid w:val="008D6B27"/>
    <w:rsid w:val="008E0E8B"/>
    <w:rsid w:val="008E3561"/>
    <w:rsid w:val="008E443F"/>
    <w:rsid w:val="008F38E9"/>
    <w:rsid w:val="009022D5"/>
    <w:rsid w:val="009069F9"/>
    <w:rsid w:val="00917E09"/>
    <w:rsid w:val="00956364"/>
    <w:rsid w:val="0095799E"/>
    <w:rsid w:val="00963D78"/>
    <w:rsid w:val="00997EE4"/>
    <w:rsid w:val="009A7363"/>
    <w:rsid w:val="009B1670"/>
    <w:rsid w:val="009B280E"/>
    <w:rsid w:val="009B3D0A"/>
    <w:rsid w:val="009C4E6B"/>
    <w:rsid w:val="009C5945"/>
    <w:rsid w:val="009F0A4F"/>
    <w:rsid w:val="009F27D7"/>
    <w:rsid w:val="00A10793"/>
    <w:rsid w:val="00A152B1"/>
    <w:rsid w:val="00A1597A"/>
    <w:rsid w:val="00A179B0"/>
    <w:rsid w:val="00A25B05"/>
    <w:rsid w:val="00A4347F"/>
    <w:rsid w:val="00A466F2"/>
    <w:rsid w:val="00A53378"/>
    <w:rsid w:val="00A54769"/>
    <w:rsid w:val="00A64103"/>
    <w:rsid w:val="00A65F4C"/>
    <w:rsid w:val="00A74A91"/>
    <w:rsid w:val="00A8623F"/>
    <w:rsid w:val="00A86592"/>
    <w:rsid w:val="00A86C9E"/>
    <w:rsid w:val="00A91CA0"/>
    <w:rsid w:val="00AA4B81"/>
    <w:rsid w:val="00AB0B54"/>
    <w:rsid w:val="00AB6744"/>
    <w:rsid w:val="00AC4AE3"/>
    <w:rsid w:val="00AC7393"/>
    <w:rsid w:val="00AC7941"/>
    <w:rsid w:val="00AD384D"/>
    <w:rsid w:val="00AD6168"/>
    <w:rsid w:val="00AE3894"/>
    <w:rsid w:val="00AE5CCB"/>
    <w:rsid w:val="00B00529"/>
    <w:rsid w:val="00B04435"/>
    <w:rsid w:val="00B105F8"/>
    <w:rsid w:val="00B1303C"/>
    <w:rsid w:val="00B23EA5"/>
    <w:rsid w:val="00B30DB2"/>
    <w:rsid w:val="00B3141F"/>
    <w:rsid w:val="00B31C81"/>
    <w:rsid w:val="00B51D7F"/>
    <w:rsid w:val="00B539E7"/>
    <w:rsid w:val="00B54747"/>
    <w:rsid w:val="00B606D0"/>
    <w:rsid w:val="00B62C72"/>
    <w:rsid w:val="00B64587"/>
    <w:rsid w:val="00B75B5F"/>
    <w:rsid w:val="00B82B2F"/>
    <w:rsid w:val="00B855C8"/>
    <w:rsid w:val="00BA1CE7"/>
    <w:rsid w:val="00BB20AF"/>
    <w:rsid w:val="00BB2FD5"/>
    <w:rsid w:val="00BC4668"/>
    <w:rsid w:val="00BC6E6A"/>
    <w:rsid w:val="00BD34B6"/>
    <w:rsid w:val="00BD36F8"/>
    <w:rsid w:val="00BD4EFD"/>
    <w:rsid w:val="00BD5546"/>
    <w:rsid w:val="00BD62EC"/>
    <w:rsid w:val="00BE2D84"/>
    <w:rsid w:val="00BE7D92"/>
    <w:rsid w:val="00BF1BD2"/>
    <w:rsid w:val="00BF2422"/>
    <w:rsid w:val="00BF555F"/>
    <w:rsid w:val="00BF5994"/>
    <w:rsid w:val="00C2039C"/>
    <w:rsid w:val="00C2099C"/>
    <w:rsid w:val="00C2385B"/>
    <w:rsid w:val="00C2514D"/>
    <w:rsid w:val="00C257D9"/>
    <w:rsid w:val="00C355FA"/>
    <w:rsid w:val="00C53A77"/>
    <w:rsid w:val="00C55D4E"/>
    <w:rsid w:val="00C565A5"/>
    <w:rsid w:val="00C56A19"/>
    <w:rsid w:val="00C61885"/>
    <w:rsid w:val="00C70624"/>
    <w:rsid w:val="00C83B85"/>
    <w:rsid w:val="00CC09E9"/>
    <w:rsid w:val="00CC3244"/>
    <w:rsid w:val="00CC6EAA"/>
    <w:rsid w:val="00CE0D75"/>
    <w:rsid w:val="00CE3A4B"/>
    <w:rsid w:val="00CE660F"/>
    <w:rsid w:val="00CF0D39"/>
    <w:rsid w:val="00CF4C83"/>
    <w:rsid w:val="00D05DE7"/>
    <w:rsid w:val="00D156B7"/>
    <w:rsid w:val="00D16722"/>
    <w:rsid w:val="00D2093B"/>
    <w:rsid w:val="00D30E5E"/>
    <w:rsid w:val="00D45EE6"/>
    <w:rsid w:val="00D536BA"/>
    <w:rsid w:val="00D65557"/>
    <w:rsid w:val="00D74AB1"/>
    <w:rsid w:val="00D77C89"/>
    <w:rsid w:val="00D80E29"/>
    <w:rsid w:val="00D9278B"/>
    <w:rsid w:val="00D929D2"/>
    <w:rsid w:val="00DA04E4"/>
    <w:rsid w:val="00DA62B0"/>
    <w:rsid w:val="00DA6319"/>
    <w:rsid w:val="00DA76F2"/>
    <w:rsid w:val="00DC4B21"/>
    <w:rsid w:val="00DD72CC"/>
    <w:rsid w:val="00DE06D3"/>
    <w:rsid w:val="00DF30B6"/>
    <w:rsid w:val="00DF6482"/>
    <w:rsid w:val="00E069DC"/>
    <w:rsid w:val="00E12099"/>
    <w:rsid w:val="00E13104"/>
    <w:rsid w:val="00E3210C"/>
    <w:rsid w:val="00E32694"/>
    <w:rsid w:val="00E373D7"/>
    <w:rsid w:val="00E45627"/>
    <w:rsid w:val="00E62A00"/>
    <w:rsid w:val="00E649E6"/>
    <w:rsid w:val="00E73194"/>
    <w:rsid w:val="00E75630"/>
    <w:rsid w:val="00E81807"/>
    <w:rsid w:val="00E9086E"/>
    <w:rsid w:val="00E944B4"/>
    <w:rsid w:val="00E950BB"/>
    <w:rsid w:val="00E973C2"/>
    <w:rsid w:val="00EA1411"/>
    <w:rsid w:val="00EA25B4"/>
    <w:rsid w:val="00EB4FDE"/>
    <w:rsid w:val="00EC09BB"/>
    <w:rsid w:val="00ED5539"/>
    <w:rsid w:val="00EF0456"/>
    <w:rsid w:val="00F03B27"/>
    <w:rsid w:val="00F1166E"/>
    <w:rsid w:val="00F13690"/>
    <w:rsid w:val="00F27908"/>
    <w:rsid w:val="00F47623"/>
    <w:rsid w:val="00F74D0E"/>
    <w:rsid w:val="00F77EA4"/>
    <w:rsid w:val="00F93931"/>
    <w:rsid w:val="00FA0CE9"/>
    <w:rsid w:val="00FA15AA"/>
    <w:rsid w:val="00FA3573"/>
    <w:rsid w:val="00FA5F86"/>
    <w:rsid w:val="00FA6659"/>
    <w:rsid w:val="00FC5A2F"/>
    <w:rsid w:val="00FD013D"/>
    <w:rsid w:val="00FD1420"/>
    <w:rsid w:val="00FD3AFF"/>
    <w:rsid w:val="00FD719F"/>
    <w:rsid w:val="00FE3C72"/>
    <w:rsid w:val="00FE7A14"/>
    <w:rsid w:val="00FE7CD0"/>
    <w:rsid w:val="00FF09B5"/>
  </w:rsids>
  <m:mathPr>
    <m:mathFont m:val="Cambria Math"/>
    <m:brkBin m:val="before"/>
    <m:brkBinSub m:val="--"/>
    <m:smallFrac m:val="0"/>
    <m:dispDef m:val="0"/>
    <m:lMargin m:val="0"/>
    <m:rMargin m:val="0"/>
    <m:defJc m:val="centerGroup"/>
    <m:wrapRight/>
    <m:intLim m:val="subSup"/>
    <m:naryLim m:val="subSup"/>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87BE070"/>
  <w15:docId w15:val="{67755064-AA7E-4350-8423-8B371844D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7296E"/>
    <w:rPr>
      <w:sz w:val="24"/>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203EC"/>
    <w:pPr>
      <w:tabs>
        <w:tab w:val="center" w:pos="4320"/>
        <w:tab w:val="right" w:pos="8640"/>
      </w:tabs>
    </w:pPr>
  </w:style>
  <w:style w:type="character" w:customStyle="1" w:styleId="NagwekZnak">
    <w:name w:val="Nagłówek Znak"/>
    <w:basedOn w:val="Domylnaczcionkaakapitu"/>
    <w:link w:val="Nagwek"/>
    <w:uiPriority w:val="99"/>
    <w:rsid w:val="00E203EC"/>
  </w:style>
  <w:style w:type="paragraph" w:styleId="Stopka">
    <w:name w:val="footer"/>
    <w:basedOn w:val="Normalny"/>
    <w:link w:val="StopkaZnak"/>
    <w:uiPriority w:val="99"/>
    <w:unhideWhenUsed/>
    <w:rsid w:val="00E203EC"/>
    <w:pPr>
      <w:tabs>
        <w:tab w:val="center" w:pos="4320"/>
        <w:tab w:val="right" w:pos="8640"/>
      </w:tabs>
    </w:pPr>
  </w:style>
  <w:style w:type="character" w:customStyle="1" w:styleId="StopkaZnak">
    <w:name w:val="Stopka Znak"/>
    <w:basedOn w:val="Domylnaczcionkaakapitu"/>
    <w:link w:val="Stopka"/>
    <w:uiPriority w:val="99"/>
    <w:rsid w:val="00E203EC"/>
  </w:style>
  <w:style w:type="paragraph" w:styleId="Tekstdymka">
    <w:name w:val="Balloon Text"/>
    <w:basedOn w:val="Normalny"/>
    <w:link w:val="TekstdymkaZnak"/>
    <w:uiPriority w:val="99"/>
    <w:semiHidden/>
    <w:unhideWhenUsed/>
    <w:rsid w:val="00FF097E"/>
    <w:rPr>
      <w:rFonts w:ascii="Tahoma" w:hAnsi="Tahoma" w:cs="Tahoma"/>
      <w:sz w:val="16"/>
      <w:szCs w:val="16"/>
    </w:rPr>
  </w:style>
  <w:style w:type="character" w:customStyle="1" w:styleId="TekstdymkaZnak">
    <w:name w:val="Tekst dymka Znak"/>
    <w:basedOn w:val="Domylnaczcionkaakapitu"/>
    <w:link w:val="Tekstdymka"/>
    <w:uiPriority w:val="99"/>
    <w:semiHidden/>
    <w:rsid w:val="00FF097E"/>
    <w:rPr>
      <w:rFonts w:ascii="Tahoma" w:hAnsi="Tahoma" w:cs="Tahoma"/>
      <w:sz w:val="16"/>
      <w:szCs w:val="16"/>
    </w:rPr>
  </w:style>
  <w:style w:type="character" w:styleId="Hipercze">
    <w:name w:val="Hyperlink"/>
    <w:basedOn w:val="Domylnaczcionkaakapitu"/>
    <w:uiPriority w:val="99"/>
    <w:unhideWhenUsed/>
    <w:rsid w:val="00EF3BAE"/>
    <w:rPr>
      <w:color w:val="0000FF"/>
      <w:u w:val="single"/>
    </w:rPr>
  </w:style>
  <w:style w:type="paragraph" w:styleId="Akapitzlist">
    <w:name w:val="List Paragraph"/>
    <w:aliases w:val="Numerowanie,List Paragraph"/>
    <w:basedOn w:val="Normalny"/>
    <w:link w:val="AkapitzlistZnak"/>
    <w:uiPriority w:val="34"/>
    <w:qFormat/>
    <w:rsid w:val="00D929D2"/>
    <w:pPr>
      <w:ind w:left="720"/>
    </w:pPr>
    <w:rPr>
      <w:rFonts w:ascii="Calibri" w:eastAsia="Calibri" w:hAnsi="Calibri"/>
      <w:sz w:val="22"/>
      <w:szCs w:val="22"/>
    </w:rPr>
  </w:style>
  <w:style w:type="paragraph" w:styleId="Tekstprzypisudolnego">
    <w:name w:val="footnote text"/>
    <w:aliases w:val="Footnote Text Char1,Footnote Text Char2 Char,Footnote Text Char1 Char1 Char,Footnote Text Char2 Char Char Char,Footnote Text Char1 Char1 Char Char Char,Footnote Text Char Char Char1 Char Char Char,Footnote Text Char2,Plonk,fn"/>
    <w:basedOn w:val="Normalny"/>
    <w:link w:val="TekstprzypisudolnegoZnak"/>
    <w:uiPriority w:val="99"/>
    <w:unhideWhenUsed/>
    <w:rsid w:val="00D929D2"/>
    <w:rPr>
      <w:rFonts w:asciiTheme="minorHAnsi" w:eastAsiaTheme="minorHAnsi" w:hAnsiTheme="minorHAnsi" w:cstheme="minorBidi"/>
      <w:sz w:val="20"/>
      <w:szCs w:val="20"/>
    </w:rPr>
  </w:style>
  <w:style w:type="character" w:customStyle="1" w:styleId="TekstprzypisudolnegoZnak">
    <w:name w:val="Tekst przypisu dolnego Znak"/>
    <w:aliases w:val="Footnote Text Char1 Znak,Footnote Text Char2 Char Znak,Footnote Text Char1 Char1 Char Znak,Footnote Text Char2 Char Char Char Znak,Footnote Text Char1 Char1 Char Char Char Znak,Footnote Text Char2 Znak,Plonk Znak,fn Znak"/>
    <w:basedOn w:val="Domylnaczcionkaakapitu"/>
    <w:link w:val="Tekstprzypisudolnego"/>
    <w:uiPriority w:val="99"/>
    <w:rsid w:val="00D929D2"/>
    <w:rPr>
      <w:rFonts w:asciiTheme="minorHAnsi" w:eastAsiaTheme="minorHAnsi" w:hAnsiTheme="minorHAnsi" w:cstheme="minorBidi"/>
      <w:lang w:eastAsia="en-US"/>
    </w:rPr>
  </w:style>
  <w:style w:type="character" w:styleId="Odwoanieprzypisudolnego">
    <w:name w:val="footnote reference"/>
    <w:aliases w:val="Footnote Reference Superscript,BVI fnr,Footnote symbol,16 Point,Superscript 6 Point,Footnote Reference Number,Footnote Reference_LVL6,Footnote Reference_LVL61,Footnote Reference_LVL62,Footnote Reference_LVL63,SUPERS,note TESI"/>
    <w:basedOn w:val="Domylnaczcionkaakapitu"/>
    <w:uiPriority w:val="99"/>
    <w:semiHidden/>
    <w:unhideWhenUsed/>
    <w:rsid w:val="00D929D2"/>
    <w:rPr>
      <w:vertAlign w:val="superscript"/>
    </w:rPr>
  </w:style>
  <w:style w:type="paragraph" w:customStyle="1" w:styleId="Akapit">
    <w:name w:val="Akapit"/>
    <w:basedOn w:val="Normalny"/>
    <w:rsid w:val="00D929D2"/>
    <w:pPr>
      <w:spacing w:before="60" w:line="360" w:lineRule="auto"/>
      <w:ind w:firstLine="709"/>
      <w:jc w:val="both"/>
    </w:pPr>
    <w:rPr>
      <w:rFonts w:ascii="Arial" w:eastAsia="Times New Roman" w:hAnsi="Arial" w:cs="Arial"/>
      <w:lang w:eastAsia="pl-PL"/>
    </w:rPr>
  </w:style>
  <w:style w:type="paragraph" w:customStyle="1" w:styleId="Default">
    <w:name w:val="Default"/>
    <w:rsid w:val="00D929D2"/>
    <w:pPr>
      <w:autoSpaceDE w:val="0"/>
      <w:autoSpaceDN w:val="0"/>
      <w:adjustRightInd w:val="0"/>
    </w:pPr>
    <w:rPr>
      <w:rFonts w:ascii="EUAlbertina" w:hAnsi="EUAlbertina" w:cs="EUAlbertina"/>
      <w:color w:val="000000"/>
      <w:sz w:val="24"/>
      <w:szCs w:val="24"/>
    </w:rPr>
  </w:style>
  <w:style w:type="table" w:styleId="Tabela-Siatka">
    <w:name w:val="Table Grid"/>
    <w:basedOn w:val="Standardowy"/>
    <w:uiPriority w:val="59"/>
    <w:rsid w:val="00CF4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9022D5"/>
    <w:rPr>
      <w:sz w:val="16"/>
      <w:szCs w:val="16"/>
    </w:rPr>
  </w:style>
  <w:style w:type="paragraph" w:styleId="Tekstkomentarza">
    <w:name w:val="annotation text"/>
    <w:basedOn w:val="Normalny"/>
    <w:link w:val="TekstkomentarzaZnak"/>
    <w:uiPriority w:val="99"/>
    <w:semiHidden/>
    <w:unhideWhenUsed/>
    <w:rsid w:val="009022D5"/>
    <w:rPr>
      <w:sz w:val="20"/>
      <w:szCs w:val="20"/>
    </w:rPr>
  </w:style>
  <w:style w:type="character" w:customStyle="1" w:styleId="TekstkomentarzaZnak">
    <w:name w:val="Tekst komentarza Znak"/>
    <w:basedOn w:val="Domylnaczcionkaakapitu"/>
    <w:link w:val="Tekstkomentarza"/>
    <w:uiPriority w:val="99"/>
    <w:semiHidden/>
    <w:rsid w:val="009022D5"/>
    <w:rPr>
      <w:lang w:eastAsia="en-US"/>
    </w:rPr>
  </w:style>
  <w:style w:type="paragraph" w:styleId="Tematkomentarza">
    <w:name w:val="annotation subject"/>
    <w:basedOn w:val="Tekstkomentarza"/>
    <w:next w:val="Tekstkomentarza"/>
    <w:link w:val="TematkomentarzaZnak"/>
    <w:uiPriority w:val="99"/>
    <w:semiHidden/>
    <w:unhideWhenUsed/>
    <w:rsid w:val="009022D5"/>
    <w:rPr>
      <w:b/>
      <w:bCs/>
    </w:rPr>
  </w:style>
  <w:style w:type="character" w:customStyle="1" w:styleId="TematkomentarzaZnak">
    <w:name w:val="Temat komentarza Znak"/>
    <w:basedOn w:val="TekstkomentarzaZnak"/>
    <w:link w:val="Tematkomentarza"/>
    <w:uiPriority w:val="99"/>
    <w:semiHidden/>
    <w:rsid w:val="009022D5"/>
    <w:rPr>
      <w:b/>
      <w:bCs/>
      <w:lang w:eastAsia="en-US"/>
    </w:rPr>
  </w:style>
  <w:style w:type="paragraph" w:customStyle="1" w:styleId="p">
    <w:name w:val="p"/>
    <w:uiPriority w:val="99"/>
    <w:rsid w:val="00383596"/>
    <w:pPr>
      <w:widowControl w:val="0"/>
      <w:autoSpaceDE w:val="0"/>
      <w:autoSpaceDN w:val="0"/>
      <w:adjustRightInd w:val="0"/>
      <w:spacing w:before="20" w:after="40" w:line="40" w:lineRule="atLeast"/>
      <w:jc w:val="both"/>
    </w:pPr>
    <w:rPr>
      <w:rFonts w:ascii="Helvetica" w:eastAsiaTheme="minorEastAsia" w:hAnsi="Helvetica" w:cs="Helvetica"/>
      <w:color w:val="000000"/>
      <w:sz w:val="18"/>
      <w:szCs w:val="18"/>
    </w:rPr>
  </w:style>
  <w:style w:type="paragraph" w:customStyle="1" w:styleId="ARTartustawynprozporzdzenia">
    <w:name w:val="ART(§) – art. ustawy (§ np. rozporządzenia)"/>
    <w:link w:val="ARTartustawynprozporzdzeniaZnak"/>
    <w:uiPriority w:val="11"/>
    <w:qFormat/>
    <w:rsid w:val="00B23EA5"/>
    <w:pPr>
      <w:suppressAutoHyphens/>
      <w:autoSpaceDE w:val="0"/>
      <w:autoSpaceDN w:val="0"/>
      <w:adjustRightInd w:val="0"/>
      <w:spacing w:before="120"/>
      <w:ind w:firstLine="510"/>
      <w:jc w:val="both"/>
    </w:pPr>
    <w:rPr>
      <w:rFonts w:ascii="Calibri" w:eastAsia="Times New Roman" w:hAnsi="Calibri" w:cs="Arial"/>
      <w:lang w:eastAsia="en-US"/>
    </w:rPr>
  </w:style>
  <w:style w:type="character" w:customStyle="1" w:styleId="ARTartustawynprozporzdzeniaZnak">
    <w:name w:val="ART(§) – art. ustawy (§ np. rozporządzenia) Znak"/>
    <w:link w:val="ARTartustawynprozporzdzenia"/>
    <w:uiPriority w:val="11"/>
    <w:locked/>
    <w:rsid w:val="00B23EA5"/>
    <w:rPr>
      <w:rFonts w:ascii="Calibri" w:eastAsia="Times New Roman" w:hAnsi="Calibri" w:cs="Arial"/>
      <w:lang w:eastAsia="en-US"/>
    </w:rPr>
  </w:style>
  <w:style w:type="character" w:customStyle="1" w:styleId="AkapitzlistZnak">
    <w:name w:val="Akapit z listą Znak"/>
    <w:aliases w:val="Numerowanie Znak,List Paragraph Znak"/>
    <w:link w:val="Akapitzlist"/>
    <w:uiPriority w:val="34"/>
    <w:locked/>
    <w:rsid w:val="00B23EA5"/>
    <w:rPr>
      <w:rFonts w:ascii="Calibri" w:eastAsia="Calibri" w:hAnsi="Calibri"/>
      <w:sz w:val="22"/>
      <w:szCs w:val="22"/>
      <w:lang w:eastAsia="en-US"/>
    </w:rPr>
  </w:style>
  <w:style w:type="paragraph" w:styleId="Tekstprzypisukocowego">
    <w:name w:val="endnote text"/>
    <w:basedOn w:val="Normalny"/>
    <w:link w:val="TekstprzypisukocowegoZnak"/>
    <w:uiPriority w:val="99"/>
    <w:semiHidden/>
    <w:unhideWhenUsed/>
    <w:rsid w:val="003D73A7"/>
    <w:rPr>
      <w:sz w:val="20"/>
      <w:szCs w:val="20"/>
    </w:rPr>
  </w:style>
  <w:style w:type="character" w:customStyle="1" w:styleId="TekstprzypisukocowegoZnak">
    <w:name w:val="Tekst przypisu końcowego Znak"/>
    <w:basedOn w:val="Domylnaczcionkaakapitu"/>
    <w:link w:val="Tekstprzypisukocowego"/>
    <w:uiPriority w:val="99"/>
    <w:semiHidden/>
    <w:rsid w:val="003D73A7"/>
    <w:rPr>
      <w:lang w:eastAsia="en-US"/>
    </w:rPr>
  </w:style>
  <w:style w:type="character" w:styleId="Odwoanieprzypisukocowego">
    <w:name w:val="endnote reference"/>
    <w:basedOn w:val="Domylnaczcionkaakapitu"/>
    <w:uiPriority w:val="99"/>
    <w:semiHidden/>
    <w:unhideWhenUsed/>
    <w:rsid w:val="003D73A7"/>
    <w:rPr>
      <w:vertAlign w:val="superscript"/>
    </w:rPr>
  </w:style>
  <w:style w:type="paragraph" w:styleId="Poprawka">
    <w:name w:val="Revision"/>
    <w:hidden/>
    <w:uiPriority w:val="71"/>
    <w:rsid w:val="00A8623F"/>
    <w:rPr>
      <w:sz w:val="24"/>
      <w:szCs w:val="24"/>
      <w:lang w:eastAsia="en-US"/>
    </w:rPr>
  </w:style>
  <w:style w:type="paragraph" w:styleId="Bezodstpw">
    <w:name w:val="No Spacing"/>
    <w:uiPriority w:val="1"/>
    <w:qFormat/>
    <w:rsid w:val="005002D7"/>
    <w:rPr>
      <w:rFonts w:asciiTheme="minorHAnsi" w:eastAsiaTheme="minorHAnsi" w:hAnsiTheme="minorHAnsi" w:cstheme="minorBidi"/>
      <w:sz w:val="22"/>
      <w:szCs w:val="22"/>
      <w:lang w:eastAsia="en-US"/>
    </w:rPr>
  </w:style>
  <w:style w:type="paragraph" w:customStyle="1" w:styleId="ZARTzmartartykuempunktem">
    <w:name w:val="Z/ART(§) – zm. art. (§) artykułem (punktem)"/>
    <w:basedOn w:val="ARTartustawynprozporzdzenia"/>
    <w:uiPriority w:val="30"/>
    <w:qFormat/>
    <w:rsid w:val="00852BDD"/>
    <w:pPr>
      <w:spacing w:before="0" w:line="360" w:lineRule="auto"/>
      <w:ind w:left="510"/>
    </w:pPr>
    <w:rPr>
      <w:rFonts w:ascii="Times" w:eastAsiaTheme="minorEastAsia" w:hAnsi="Times"/>
      <w:sz w:val="24"/>
      <w:lang w:eastAsia="pl-PL"/>
    </w:rPr>
  </w:style>
  <w:style w:type="paragraph" w:customStyle="1" w:styleId="tytakt">
    <w:name w:val="tytakt"/>
    <w:basedOn w:val="Normalny"/>
    <w:rsid w:val="00F74D0E"/>
    <w:pPr>
      <w:spacing w:before="150" w:after="150"/>
      <w:jc w:val="center"/>
    </w:pPr>
    <w:rPr>
      <w:rFonts w:ascii="Times New Roman" w:eastAsia="Times New Roman" w:hAnsi="Times New Roman"/>
      <w:b/>
      <w:bCs/>
      <w:color w:val="150A59"/>
      <w:sz w:val="29"/>
      <w:szCs w:val="29"/>
      <w:lang w:eastAsia="pl-PL"/>
    </w:rPr>
  </w:style>
  <w:style w:type="paragraph" w:customStyle="1" w:styleId="pub">
    <w:name w:val="pub"/>
    <w:basedOn w:val="Normalny"/>
    <w:rsid w:val="00F74D0E"/>
    <w:pPr>
      <w:spacing w:before="150" w:after="150"/>
      <w:jc w:val="center"/>
    </w:pPr>
    <w:rPr>
      <w:rFonts w:ascii="Times New Roman" w:eastAsia="Times New Roman" w:hAnsi="Times New Roman"/>
      <w:b/>
      <w:bCs/>
      <w:lang w:eastAsia="pl-PL"/>
    </w:rPr>
  </w:style>
  <w:style w:type="paragraph" w:customStyle="1" w:styleId="divstruct">
    <w:name w:val="div.struct"/>
    <w:basedOn w:val="Normalny"/>
    <w:uiPriority w:val="99"/>
    <w:rsid w:val="001F17F3"/>
    <w:pPr>
      <w:autoSpaceDE w:val="0"/>
      <w:autoSpaceDN w:val="0"/>
      <w:spacing w:before="180" w:after="180" w:line="40" w:lineRule="atLeast"/>
      <w:ind w:left="180" w:right="180"/>
      <w:jc w:val="both"/>
    </w:pPr>
    <w:rPr>
      <w:rFonts w:ascii="Helvetica" w:eastAsiaTheme="minorHAnsi" w:hAnsi="Helvetica" w:cs="Helvetica"/>
      <w:color w:val="000000"/>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202977">
      <w:bodyDiv w:val="1"/>
      <w:marLeft w:val="0"/>
      <w:marRight w:val="0"/>
      <w:marTop w:val="0"/>
      <w:marBottom w:val="0"/>
      <w:divBdr>
        <w:top w:val="none" w:sz="0" w:space="0" w:color="auto"/>
        <w:left w:val="none" w:sz="0" w:space="0" w:color="auto"/>
        <w:bottom w:val="none" w:sz="0" w:space="0" w:color="auto"/>
        <w:right w:val="none" w:sz="0" w:space="0" w:color="auto"/>
      </w:divBdr>
    </w:div>
    <w:div w:id="1390693762">
      <w:bodyDiv w:val="1"/>
      <w:marLeft w:val="0"/>
      <w:marRight w:val="0"/>
      <w:marTop w:val="0"/>
      <w:marBottom w:val="0"/>
      <w:divBdr>
        <w:top w:val="none" w:sz="0" w:space="0" w:color="auto"/>
        <w:left w:val="none" w:sz="0" w:space="0" w:color="auto"/>
        <w:bottom w:val="none" w:sz="0" w:space="0" w:color="auto"/>
        <w:right w:val="none" w:sz="0" w:space="0" w:color="auto"/>
      </w:divBdr>
    </w:div>
    <w:div w:id="1422411475">
      <w:bodyDiv w:val="1"/>
      <w:marLeft w:val="0"/>
      <w:marRight w:val="0"/>
      <w:marTop w:val="0"/>
      <w:marBottom w:val="0"/>
      <w:divBdr>
        <w:top w:val="none" w:sz="0" w:space="0" w:color="auto"/>
        <w:left w:val="none" w:sz="0" w:space="0" w:color="auto"/>
        <w:bottom w:val="none" w:sz="0" w:space="0" w:color="auto"/>
        <w:right w:val="none" w:sz="0" w:space="0" w:color="auto"/>
      </w:divBdr>
    </w:div>
    <w:div w:id="1528104679">
      <w:bodyDiv w:val="1"/>
      <w:marLeft w:val="0"/>
      <w:marRight w:val="0"/>
      <w:marTop w:val="0"/>
      <w:marBottom w:val="0"/>
      <w:divBdr>
        <w:top w:val="none" w:sz="0" w:space="0" w:color="auto"/>
        <w:left w:val="none" w:sz="0" w:space="0" w:color="auto"/>
        <w:bottom w:val="none" w:sz="0" w:space="0" w:color="auto"/>
        <w:right w:val="none" w:sz="0" w:space="0" w:color="auto"/>
      </w:divBdr>
    </w:div>
    <w:div w:id="1541431930">
      <w:bodyDiv w:val="1"/>
      <w:marLeft w:val="0"/>
      <w:marRight w:val="0"/>
      <w:marTop w:val="0"/>
      <w:marBottom w:val="0"/>
      <w:divBdr>
        <w:top w:val="none" w:sz="0" w:space="0" w:color="auto"/>
        <w:left w:val="none" w:sz="0" w:space="0" w:color="auto"/>
        <w:bottom w:val="none" w:sz="0" w:space="0" w:color="auto"/>
        <w:right w:val="none" w:sz="0" w:space="0" w:color="auto"/>
      </w:divBdr>
      <w:divsChild>
        <w:div w:id="151160688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JAD\EZD%20TECH\szablony%20serwer\Nowe%20KAS\MF%20N2.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B6CF9-A174-48E7-8EEB-2C1AA15C0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MF N2.dotx</Template>
  <TotalTime>4</TotalTime>
  <Pages>8</Pages>
  <Words>2682</Words>
  <Characters>17413</Characters>
  <Application>Microsoft Office Word</Application>
  <DocSecurity>0</DocSecurity>
  <Lines>145</Lines>
  <Paragraphs>40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Plan B</Company>
  <LinksUpToDate>false</LinksUpToDate>
  <CharactersWithSpaces>20055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Dębski Jacek</dc:creator>
  <cp:lastModifiedBy>Binkowska Joanna</cp:lastModifiedBy>
  <cp:revision>3</cp:revision>
  <cp:lastPrinted>2020-03-13T09:16:00Z</cp:lastPrinted>
  <dcterms:created xsi:type="dcterms:W3CDTF">2020-09-07T15:14:00Z</dcterms:created>
  <dcterms:modified xsi:type="dcterms:W3CDTF">2020-09-07T15:18:00Z</dcterms:modified>
</cp:coreProperties>
</file>