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FC3B1A" w14:textId="540B39E5" w:rsidR="00C07678" w:rsidRPr="00BD45E1" w:rsidRDefault="00C07678" w:rsidP="00447E96">
      <w:pPr>
        <w:spacing w:line="360" w:lineRule="auto"/>
        <w:jc w:val="center"/>
        <w:rPr>
          <w:rFonts w:ascii="Times New Roman" w:eastAsia="SimSun" w:hAnsi="Times New Roman" w:cs="Times New Roman"/>
          <w:b/>
          <w:iCs/>
          <w:sz w:val="24"/>
          <w:szCs w:val="24"/>
          <w:lang w:eastAsia="zh-CN" w:bidi="ar-AE"/>
        </w:rPr>
      </w:pPr>
      <w:bookmarkStart w:id="0" w:name="_GoBack"/>
      <w:bookmarkEnd w:id="0"/>
      <w:r w:rsidRPr="00BD45E1">
        <w:rPr>
          <w:rFonts w:ascii="Times New Roman" w:eastAsia="SimSun" w:hAnsi="Times New Roman" w:cs="Times New Roman"/>
          <w:b/>
          <w:iCs/>
          <w:sz w:val="24"/>
          <w:szCs w:val="24"/>
          <w:lang w:eastAsia="zh-CN" w:bidi="ar-AE"/>
        </w:rPr>
        <w:t>Uzasadnienie</w:t>
      </w:r>
    </w:p>
    <w:p w14:paraId="71740260" w14:textId="0DE9958E" w:rsidR="00C07678" w:rsidRPr="0007085B" w:rsidRDefault="00C07678" w:rsidP="00BD45E1">
      <w:pPr>
        <w:spacing w:before="120" w:after="120" w:line="36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</w:pP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Proponowane rozwiązanie wprowadza pewność prawną w przypadku </w:t>
      </w:r>
      <w:r w:rsidR="00184707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stwierdzenia </w:t>
      </w:r>
      <w:r w:rsidR="008B299E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przez Trybunał Sprawiedliwości UE</w:t>
      </w:r>
      <w:r w:rsidR="00184707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 nieważności</w:t>
      </w:r>
      <w:r w:rsidR="008B299E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 </w:t>
      </w: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decyzji Komisji Europejskiej w sprawach pomocowych. Gwarant</w:t>
      </w:r>
      <w:r w:rsidR="00B60877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uje</w:t>
      </w: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, że </w:t>
      </w:r>
      <w:r w:rsidR="00880320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decyzje lub </w:t>
      </w: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umowy cywilnoprawne </w:t>
      </w:r>
      <w:r w:rsidR="00B60877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przewidujące udzielanie</w:t>
      </w: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 pomocy publicznej zatwierdzonej wzruszoną decyzją Komisji Europejskiej mogą być dalej wykonywane w zakresie niezwiązanym z </w:t>
      </w:r>
      <w:r w:rsidR="00880320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dokonywaniem wypłat </w:t>
      </w: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pomocy. Ponadto, </w:t>
      </w:r>
      <w:r w:rsidR="008B299E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przez czas </w:t>
      </w: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ponownej </w:t>
      </w:r>
      <w:r w:rsidR="008B299E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oceny </w:t>
      </w: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środka pomocowego</w:t>
      </w:r>
      <w:r w:rsidR="008B299E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 przez Komisję</w:t>
      </w: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, podmiot odpowiedzialny za </w:t>
      </w:r>
      <w:r w:rsidR="00A9393D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udzielenie </w:t>
      </w: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pomocy </w:t>
      </w:r>
      <w:r w:rsidR="00A9393D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w formie pieniężnej </w:t>
      </w: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b</w:t>
      </w:r>
      <w:r w:rsidR="00B60877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ędzie</w:t>
      </w: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 zobowiązany do gromadzenia środków należnych beneficjentowi na dedykowanym rachunku bankowym. Obowiązek ten aktualizowałby się w przypadku (od momentu) </w:t>
      </w:r>
      <w:r w:rsidR="008B299E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wydania przez Trybunał Sprawiedliwości UE orzeczenia w przedmiocie unieważnienia decyzji Komisji</w:t>
      </w: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. Uzależnienie obowiązku gromadzenia środków na rachunku bankowym od </w:t>
      </w:r>
      <w:r w:rsidR="008B299E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wydania orzeczenia</w:t>
      </w: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 jest konieczne, pozwala bowiem na precyzyjne określenie ram czasowych, w których środki powinny być gromadzone na dedykowanym rachunku (pomiędzy </w:t>
      </w:r>
      <w:r w:rsidR="008B299E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anulowaniem decyzji Komisji</w:t>
      </w: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 a wydaniem nowej decyzji przez Komisję Europejską). W przeciwnym razie trudno byłoby dokładnie określić, od którego momentu podmiot udzielający pomocy </w:t>
      </w:r>
      <w:r w:rsidR="006D79C9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powinien</w:t>
      </w: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 zacząć odprowadzać środki na wyodrębnione konto. W razie ponownego zatwierdzenia pomocy przez Komisję Europejską środki zgromadzone na dedykowanym rachunku byłyby </w:t>
      </w:r>
      <w:r w:rsidR="008B299E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przekazywane </w:t>
      </w: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beneficjentowi pomocy</w:t>
      </w:r>
      <w:r w:rsidR="00880320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, w zakresie i wysokości wynikającej z decyzji przyjętej przez Komisję Europejską</w:t>
      </w:r>
      <w:r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.</w:t>
      </w:r>
      <w:r w:rsidR="00202C48" w:rsidRPr="0007085B">
        <w:rPr>
          <w:rFonts w:ascii="Times New Roman" w:hAnsi="Times New Roman" w:cs="Times New Roman"/>
        </w:rPr>
        <w:t xml:space="preserve"> </w:t>
      </w:r>
      <w:r w:rsidR="00202C48" w:rsidRPr="002A46FE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W razie uznania w </w:t>
      </w:r>
      <w:r w:rsidR="008B299E" w:rsidRPr="002A46FE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nowej decyzji Komisji</w:t>
      </w:r>
      <w:r w:rsidR="00202C48" w:rsidRPr="002A46FE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, że pomoc jest </w:t>
      </w:r>
      <w:r w:rsidR="008B299E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niezgodna z rynkiem wewnętrznym</w:t>
      </w:r>
      <w:r w:rsidR="00202C48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, środki pieniężne zgromadzone na dedykowanym rachunku </w:t>
      </w:r>
      <w:r w:rsidR="00A9393D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będą </w:t>
      </w:r>
      <w:r w:rsidR="00202C48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przekazywane przez podmiot udzielający pomocy</w:t>
      </w:r>
      <w:r w:rsidR="00A9393D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 publicznej</w:t>
      </w:r>
      <w:r w:rsidR="00202C48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 xml:space="preserve"> do budżetu państwa</w:t>
      </w:r>
      <w:r w:rsidR="00A9393D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, chyba że odrębne przepisy stanowią inaczej</w:t>
      </w:r>
      <w:r w:rsidR="00202C48" w:rsidRPr="0007085B">
        <w:rPr>
          <w:rFonts w:ascii="Times New Roman" w:eastAsia="SimSun" w:hAnsi="Times New Roman" w:cs="Times New Roman"/>
          <w:bCs/>
          <w:sz w:val="24"/>
          <w:szCs w:val="24"/>
          <w:lang w:eastAsia="zh-CN" w:bidi="ar-AE"/>
        </w:rPr>
        <w:t>.</w:t>
      </w:r>
    </w:p>
    <w:p w14:paraId="5CECC5EB" w14:textId="6C757C5E" w:rsidR="00F2270F" w:rsidRPr="00BD45E1" w:rsidRDefault="00F2270F" w:rsidP="00F2270F">
      <w:pPr>
        <w:spacing w:after="120" w:line="360" w:lineRule="auto"/>
        <w:jc w:val="both"/>
        <w:rPr>
          <w:rFonts w:ascii="Times New Roman" w:hAnsi="Times New Roman" w:cs="Times New Roman"/>
          <w:u w:val="single"/>
        </w:rPr>
      </w:pPr>
      <w:r w:rsidRPr="00BD45E1">
        <w:rPr>
          <w:rFonts w:ascii="Times New Roman" w:hAnsi="Times New Roman" w:cs="Times New Roman"/>
          <w:u w:val="single"/>
        </w:rPr>
        <w:t>Zgodność z prawem Unii Europejskiej</w:t>
      </w:r>
    </w:p>
    <w:p w14:paraId="0271C176" w14:textId="514E2428" w:rsidR="00F2270F" w:rsidRPr="00F2270F" w:rsidRDefault="00F2270F" w:rsidP="00F2270F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jest zgodny z prawem Unii Europejskiej.</w:t>
      </w:r>
    </w:p>
    <w:p w14:paraId="61176D5C" w14:textId="3DCDF2D1" w:rsidR="00F2270F" w:rsidRPr="00BD45E1" w:rsidRDefault="00F2270F" w:rsidP="00F2270F">
      <w:pPr>
        <w:spacing w:after="120" w:line="360" w:lineRule="auto"/>
        <w:jc w:val="both"/>
        <w:rPr>
          <w:rFonts w:ascii="Times New Roman" w:hAnsi="Times New Roman" w:cs="Times New Roman"/>
          <w:u w:val="single"/>
        </w:rPr>
      </w:pPr>
      <w:r w:rsidRPr="00BD45E1">
        <w:rPr>
          <w:rFonts w:ascii="Times New Roman" w:hAnsi="Times New Roman" w:cs="Times New Roman"/>
          <w:u w:val="single"/>
        </w:rPr>
        <w:t>Wpływ regulacji na sektor finansów publicznych, w tym budżet państwa i jednostek samorządu terytorialnego.</w:t>
      </w:r>
    </w:p>
    <w:p w14:paraId="4919E65B" w14:textId="1CB096CE" w:rsidR="00F2270F" w:rsidRPr="00F2270F" w:rsidRDefault="00F2270F" w:rsidP="00F2270F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będzie miał neutralny wpływ na sektor finansów publicznych.</w:t>
      </w:r>
    </w:p>
    <w:p w14:paraId="01A71AB6" w14:textId="77777777" w:rsidR="00F2270F" w:rsidRPr="00BD45E1" w:rsidRDefault="00F2270F" w:rsidP="00F2270F">
      <w:pPr>
        <w:spacing w:after="120" w:line="360" w:lineRule="auto"/>
        <w:jc w:val="both"/>
        <w:rPr>
          <w:rFonts w:ascii="Times New Roman" w:hAnsi="Times New Roman" w:cs="Times New Roman"/>
          <w:u w:val="single"/>
        </w:rPr>
      </w:pPr>
      <w:r w:rsidRPr="00BD45E1">
        <w:rPr>
          <w:rFonts w:ascii="Times New Roman" w:hAnsi="Times New Roman" w:cs="Times New Roman"/>
          <w:u w:val="single"/>
        </w:rPr>
        <w:t>Wpływ regulacji na konkurencyjność gospodarki, w tym na funkcjonowanie przedsiębiorstw</w:t>
      </w:r>
    </w:p>
    <w:p w14:paraId="49C3A133" w14:textId="592FB578" w:rsidR="00F2270F" w:rsidRPr="00C76902" w:rsidRDefault="00F2270F" w:rsidP="00F2270F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będzie miał pozytywny wpływ na konkurencyjność gospodarki.</w:t>
      </w:r>
    </w:p>
    <w:p w14:paraId="38816543" w14:textId="77777777" w:rsidR="00233A3C" w:rsidRPr="0007085B" w:rsidRDefault="000355DC" w:rsidP="006C2E9D">
      <w:pPr>
        <w:spacing w:line="360" w:lineRule="auto"/>
        <w:rPr>
          <w:rFonts w:ascii="Times New Roman" w:hAnsi="Times New Roman" w:cs="Times New Roman"/>
        </w:rPr>
      </w:pPr>
    </w:p>
    <w:sectPr w:rsidR="00233A3C" w:rsidRPr="00070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8836B8" w14:textId="77777777" w:rsidR="000355DC" w:rsidRDefault="000355DC">
      <w:pPr>
        <w:spacing w:after="0" w:line="240" w:lineRule="auto"/>
      </w:pPr>
      <w:r>
        <w:separator/>
      </w:r>
    </w:p>
  </w:endnote>
  <w:endnote w:type="continuationSeparator" w:id="0">
    <w:p w14:paraId="5D10EB61" w14:textId="77777777" w:rsidR="000355DC" w:rsidRDefault="00035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4FAE59" w14:textId="77777777" w:rsidR="000355DC" w:rsidRDefault="000355DC">
      <w:pPr>
        <w:spacing w:after="0" w:line="240" w:lineRule="auto"/>
      </w:pPr>
      <w:r>
        <w:separator/>
      </w:r>
    </w:p>
  </w:footnote>
  <w:footnote w:type="continuationSeparator" w:id="0">
    <w:p w14:paraId="0B194D12" w14:textId="77777777" w:rsidR="000355DC" w:rsidRDefault="000355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756EF"/>
    <w:multiLevelType w:val="hybridMultilevel"/>
    <w:tmpl w:val="9DA076C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6A0394D"/>
    <w:multiLevelType w:val="hybridMultilevel"/>
    <w:tmpl w:val="E1ECB9A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BE31ADA"/>
    <w:multiLevelType w:val="hybridMultilevel"/>
    <w:tmpl w:val="B9D47886"/>
    <w:lvl w:ilvl="0" w:tplc="97D2BC7E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17E0348"/>
    <w:multiLevelType w:val="hybridMultilevel"/>
    <w:tmpl w:val="63228C5C"/>
    <w:lvl w:ilvl="0" w:tplc="3FAE8C00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F3B5A28"/>
    <w:multiLevelType w:val="hybridMultilevel"/>
    <w:tmpl w:val="4F329A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678"/>
    <w:rsid w:val="000175F1"/>
    <w:rsid w:val="00023F01"/>
    <w:rsid w:val="00030820"/>
    <w:rsid w:val="00035424"/>
    <w:rsid w:val="000355DC"/>
    <w:rsid w:val="00051A0B"/>
    <w:rsid w:val="00057998"/>
    <w:rsid w:val="0007085B"/>
    <w:rsid w:val="00074A80"/>
    <w:rsid w:val="00082376"/>
    <w:rsid w:val="000A0A9B"/>
    <w:rsid w:val="000C71DB"/>
    <w:rsid w:val="000D054F"/>
    <w:rsid w:val="000D5243"/>
    <w:rsid w:val="000D5E7D"/>
    <w:rsid w:val="000E5496"/>
    <w:rsid w:val="000E7FDC"/>
    <w:rsid w:val="000F1230"/>
    <w:rsid w:val="000F52D4"/>
    <w:rsid w:val="000F7D20"/>
    <w:rsid w:val="001026B7"/>
    <w:rsid w:val="001031D7"/>
    <w:rsid w:val="001143C8"/>
    <w:rsid w:val="00114E37"/>
    <w:rsid w:val="0013011D"/>
    <w:rsid w:val="00133BAF"/>
    <w:rsid w:val="0013725E"/>
    <w:rsid w:val="00145709"/>
    <w:rsid w:val="001563DF"/>
    <w:rsid w:val="00163EB7"/>
    <w:rsid w:val="00171AA2"/>
    <w:rsid w:val="00173627"/>
    <w:rsid w:val="00176F97"/>
    <w:rsid w:val="00182154"/>
    <w:rsid w:val="00184707"/>
    <w:rsid w:val="0019030F"/>
    <w:rsid w:val="001A35EA"/>
    <w:rsid w:val="001A3FA2"/>
    <w:rsid w:val="001B628A"/>
    <w:rsid w:val="001D4D5E"/>
    <w:rsid w:val="001D7F0B"/>
    <w:rsid w:val="001E0C9D"/>
    <w:rsid w:val="001E3471"/>
    <w:rsid w:val="001F3B58"/>
    <w:rsid w:val="00202C48"/>
    <w:rsid w:val="002049D3"/>
    <w:rsid w:val="00214616"/>
    <w:rsid w:val="00222A95"/>
    <w:rsid w:val="002350B9"/>
    <w:rsid w:val="00241DBD"/>
    <w:rsid w:val="002465E2"/>
    <w:rsid w:val="002477A2"/>
    <w:rsid w:val="0028301F"/>
    <w:rsid w:val="002A2B05"/>
    <w:rsid w:val="002A46FE"/>
    <w:rsid w:val="002A4953"/>
    <w:rsid w:val="002B4980"/>
    <w:rsid w:val="002E016F"/>
    <w:rsid w:val="002F5F33"/>
    <w:rsid w:val="00306B98"/>
    <w:rsid w:val="00310E50"/>
    <w:rsid w:val="00321FD8"/>
    <w:rsid w:val="00321FFA"/>
    <w:rsid w:val="00327D3C"/>
    <w:rsid w:val="0033512D"/>
    <w:rsid w:val="00335D94"/>
    <w:rsid w:val="003461B5"/>
    <w:rsid w:val="0035136B"/>
    <w:rsid w:val="003677B4"/>
    <w:rsid w:val="003854E8"/>
    <w:rsid w:val="003856AA"/>
    <w:rsid w:val="003A0D13"/>
    <w:rsid w:val="003A2699"/>
    <w:rsid w:val="003B146A"/>
    <w:rsid w:val="003B1AFF"/>
    <w:rsid w:val="003D13CD"/>
    <w:rsid w:val="003D5B47"/>
    <w:rsid w:val="003E4EE6"/>
    <w:rsid w:val="003E521E"/>
    <w:rsid w:val="003E6B02"/>
    <w:rsid w:val="00404506"/>
    <w:rsid w:val="0041267E"/>
    <w:rsid w:val="0041381E"/>
    <w:rsid w:val="00415CCD"/>
    <w:rsid w:val="0043361E"/>
    <w:rsid w:val="00444683"/>
    <w:rsid w:val="00444FAA"/>
    <w:rsid w:val="00447E96"/>
    <w:rsid w:val="00461E23"/>
    <w:rsid w:val="004657D0"/>
    <w:rsid w:val="00483F7D"/>
    <w:rsid w:val="004B2E7B"/>
    <w:rsid w:val="004C0657"/>
    <w:rsid w:val="004C7D3A"/>
    <w:rsid w:val="004D053C"/>
    <w:rsid w:val="004D2CD6"/>
    <w:rsid w:val="004D6167"/>
    <w:rsid w:val="004D737A"/>
    <w:rsid w:val="00500D7A"/>
    <w:rsid w:val="00502702"/>
    <w:rsid w:val="00515AD7"/>
    <w:rsid w:val="00525B0A"/>
    <w:rsid w:val="00555E35"/>
    <w:rsid w:val="0057240E"/>
    <w:rsid w:val="005754BA"/>
    <w:rsid w:val="00577C7A"/>
    <w:rsid w:val="005917AF"/>
    <w:rsid w:val="005A1807"/>
    <w:rsid w:val="005A391B"/>
    <w:rsid w:val="005A3CDD"/>
    <w:rsid w:val="005F3C73"/>
    <w:rsid w:val="00607287"/>
    <w:rsid w:val="00642537"/>
    <w:rsid w:val="006442BF"/>
    <w:rsid w:val="006453B0"/>
    <w:rsid w:val="00682DF3"/>
    <w:rsid w:val="00686EE8"/>
    <w:rsid w:val="00695A12"/>
    <w:rsid w:val="006C2E9D"/>
    <w:rsid w:val="006D21EA"/>
    <w:rsid w:val="006D59A4"/>
    <w:rsid w:val="006D79C9"/>
    <w:rsid w:val="006F0209"/>
    <w:rsid w:val="00703BA9"/>
    <w:rsid w:val="00705FE4"/>
    <w:rsid w:val="00716F85"/>
    <w:rsid w:val="00722202"/>
    <w:rsid w:val="00724574"/>
    <w:rsid w:val="0073245B"/>
    <w:rsid w:val="007359FB"/>
    <w:rsid w:val="00736B7F"/>
    <w:rsid w:val="00741BD0"/>
    <w:rsid w:val="007519E2"/>
    <w:rsid w:val="007527F9"/>
    <w:rsid w:val="0075527D"/>
    <w:rsid w:val="0077157D"/>
    <w:rsid w:val="0077627A"/>
    <w:rsid w:val="00777EBB"/>
    <w:rsid w:val="00781B6D"/>
    <w:rsid w:val="00783975"/>
    <w:rsid w:val="00791F26"/>
    <w:rsid w:val="007A0C2B"/>
    <w:rsid w:val="007A57D1"/>
    <w:rsid w:val="007D2CCA"/>
    <w:rsid w:val="007D6BF4"/>
    <w:rsid w:val="007E2895"/>
    <w:rsid w:val="007E2E51"/>
    <w:rsid w:val="007F7283"/>
    <w:rsid w:val="0081136C"/>
    <w:rsid w:val="00811AAF"/>
    <w:rsid w:val="00820FEC"/>
    <w:rsid w:val="00827026"/>
    <w:rsid w:val="00846453"/>
    <w:rsid w:val="008636B4"/>
    <w:rsid w:val="008657E5"/>
    <w:rsid w:val="00865DDC"/>
    <w:rsid w:val="00880320"/>
    <w:rsid w:val="0088799D"/>
    <w:rsid w:val="008A3E55"/>
    <w:rsid w:val="008B299E"/>
    <w:rsid w:val="008B4C2A"/>
    <w:rsid w:val="008B6216"/>
    <w:rsid w:val="008F0D5B"/>
    <w:rsid w:val="008F4935"/>
    <w:rsid w:val="008F71F5"/>
    <w:rsid w:val="009032A8"/>
    <w:rsid w:val="009173D9"/>
    <w:rsid w:val="009321E6"/>
    <w:rsid w:val="00942930"/>
    <w:rsid w:val="00943702"/>
    <w:rsid w:val="0096090D"/>
    <w:rsid w:val="009824F8"/>
    <w:rsid w:val="00983C13"/>
    <w:rsid w:val="00984351"/>
    <w:rsid w:val="00987AB9"/>
    <w:rsid w:val="009962EB"/>
    <w:rsid w:val="009A4C86"/>
    <w:rsid w:val="009B0860"/>
    <w:rsid w:val="009C6F34"/>
    <w:rsid w:val="009D4DE1"/>
    <w:rsid w:val="009E43AA"/>
    <w:rsid w:val="00A05DF2"/>
    <w:rsid w:val="00A502F3"/>
    <w:rsid w:val="00A674E0"/>
    <w:rsid w:val="00A82C82"/>
    <w:rsid w:val="00A8390C"/>
    <w:rsid w:val="00A845CB"/>
    <w:rsid w:val="00A84EB3"/>
    <w:rsid w:val="00A9014F"/>
    <w:rsid w:val="00A9393D"/>
    <w:rsid w:val="00A96F84"/>
    <w:rsid w:val="00A97EC4"/>
    <w:rsid w:val="00AB1791"/>
    <w:rsid w:val="00AC3CDB"/>
    <w:rsid w:val="00AD0DAC"/>
    <w:rsid w:val="00AD4B65"/>
    <w:rsid w:val="00AD6348"/>
    <w:rsid w:val="00B026E3"/>
    <w:rsid w:val="00B12651"/>
    <w:rsid w:val="00B30F5C"/>
    <w:rsid w:val="00B403E1"/>
    <w:rsid w:val="00B60877"/>
    <w:rsid w:val="00B636D1"/>
    <w:rsid w:val="00B821CA"/>
    <w:rsid w:val="00B83AE2"/>
    <w:rsid w:val="00B975FA"/>
    <w:rsid w:val="00BA36F7"/>
    <w:rsid w:val="00BA3D71"/>
    <w:rsid w:val="00BA67A4"/>
    <w:rsid w:val="00BD001C"/>
    <w:rsid w:val="00BD45E1"/>
    <w:rsid w:val="00BD7E7D"/>
    <w:rsid w:val="00BF120A"/>
    <w:rsid w:val="00C07678"/>
    <w:rsid w:val="00C0774F"/>
    <w:rsid w:val="00C23DF4"/>
    <w:rsid w:val="00C25F6D"/>
    <w:rsid w:val="00C27624"/>
    <w:rsid w:val="00C32DB1"/>
    <w:rsid w:val="00C40058"/>
    <w:rsid w:val="00C60BD3"/>
    <w:rsid w:val="00C64FC0"/>
    <w:rsid w:val="00C87D04"/>
    <w:rsid w:val="00C90BE4"/>
    <w:rsid w:val="00C9321A"/>
    <w:rsid w:val="00CA3011"/>
    <w:rsid w:val="00CA3F6E"/>
    <w:rsid w:val="00CA6981"/>
    <w:rsid w:val="00CC0D81"/>
    <w:rsid w:val="00CC4979"/>
    <w:rsid w:val="00CC7CCF"/>
    <w:rsid w:val="00CE29CA"/>
    <w:rsid w:val="00CF48BB"/>
    <w:rsid w:val="00D0650D"/>
    <w:rsid w:val="00D0751C"/>
    <w:rsid w:val="00D313C1"/>
    <w:rsid w:val="00D415E2"/>
    <w:rsid w:val="00D52D79"/>
    <w:rsid w:val="00D601DB"/>
    <w:rsid w:val="00D6374D"/>
    <w:rsid w:val="00D77167"/>
    <w:rsid w:val="00D77589"/>
    <w:rsid w:val="00DE0476"/>
    <w:rsid w:val="00E07277"/>
    <w:rsid w:val="00E25653"/>
    <w:rsid w:val="00E37AA1"/>
    <w:rsid w:val="00E512C5"/>
    <w:rsid w:val="00E545CD"/>
    <w:rsid w:val="00E546A6"/>
    <w:rsid w:val="00E55564"/>
    <w:rsid w:val="00E556FE"/>
    <w:rsid w:val="00E5588C"/>
    <w:rsid w:val="00E70753"/>
    <w:rsid w:val="00E72EB6"/>
    <w:rsid w:val="00E7714E"/>
    <w:rsid w:val="00E97615"/>
    <w:rsid w:val="00EA4640"/>
    <w:rsid w:val="00EA6FA1"/>
    <w:rsid w:val="00EB7AAF"/>
    <w:rsid w:val="00EC1524"/>
    <w:rsid w:val="00F011EE"/>
    <w:rsid w:val="00F21C06"/>
    <w:rsid w:val="00F21D62"/>
    <w:rsid w:val="00F2270F"/>
    <w:rsid w:val="00F47318"/>
    <w:rsid w:val="00F511C0"/>
    <w:rsid w:val="00F519DF"/>
    <w:rsid w:val="00F76450"/>
    <w:rsid w:val="00F83893"/>
    <w:rsid w:val="00F9088B"/>
    <w:rsid w:val="00FA1C92"/>
    <w:rsid w:val="00FA39C8"/>
    <w:rsid w:val="00FA62E9"/>
    <w:rsid w:val="00FA6BCC"/>
    <w:rsid w:val="00FB2A47"/>
    <w:rsid w:val="00FB632C"/>
    <w:rsid w:val="00FC02F5"/>
    <w:rsid w:val="00FC0575"/>
    <w:rsid w:val="00FC7AD9"/>
    <w:rsid w:val="00FD1DCA"/>
    <w:rsid w:val="00FD502C"/>
    <w:rsid w:val="00FE0A58"/>
    <w:rsid w:val="00FF05EE"/>
    <w:rsid w:val="00FF4FAD"/>
    <w:rsid w:val="00FF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25E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07678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SimSun" w:hAnsi="Times New Roman" w:cs="Simplified Arabic"/>
      <w:sz w:val="24"/>
      <w:szCs w:val="24"/>
      <w:lang w:val="en-GB" w:eastAsia="zh-CN" w:bidi="ar-AE"/>
    </w:rPr>
  </w:style>
  <w:style w:type="character" w:customStyle="1" w:styleId="NagwekZnak">
    <w:name w:val="Nagłówek Znak"/>
    <w:basedOn w:val="Domylnaczcionkaakapitu"/>
    <w:link w:val="Nagwek"/>
    <w:uiPriority w:val="99"/>
    <w:rsid w:val="00C07678"/>
    <w:rPr>
      <w:rFonts w:ascii="Times New Roman" w:eastAsia="SimSun" w:hAnsi="Times New Roman" w:cs="Simplified Arabic"/>
      <w:sz w:val="24"/>
      <w:szCs w:val="24"/>
      <w:lang w:val="en-GB" w:eastAsia="zh-CN" w:bidi="ar-AE"/>
    </w:rPr>
  </w:style>
  <w:style w:type="paragraph" w:styleId="Stopka">
    <w:name w:val="footer"/>
    <w:basedOn w:val="Normalny"/>
    <w:link w:val="StopkaZnak"/>
    <w:uiPriority w:val="99"/>
    <w:unhideWhenUsed/>
    <w:rsid w:val="00202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2C48"/>
  </w:style>
  <w:style w:type="paragraph" w:styleId="Tekstdymka">
    <w:name w:val="Balloon Text"/>
    <w:basedOn w:val="Normalny"/>
    <w:link w:val="TekstdymkaZnak"/>
    <w:uiPriority w:val="99"/>
    <w:semiHidden/>
    <w:unhideWhenUsed/>
    <w:rsid w:val="00202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2C4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4C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B4C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B4C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4C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4C2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A0C2B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4B2E7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173D9"/>
    <w:pPr>
      <w:ind w:left="720"/>
      <w:contextualSpacing/>
    </w:pPr>
  </w:style>
  <w:style w:type="paragraph" w:customStyle="1" w:styleId="PKTpunkt">
    <w:name w:val="PKT – punkt"/>
    <w:uiPriority w:val="13"/>
    <w:qFormat/>
    <w:rsid w:val="008F0D5B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8F0D5B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IDindeksdolny">
    <w:name w:val="_ID_ – indeks dolny"/>
    <w:basedOn w:val="Domylnaczcionkaakapitu"/>
    <w:uiPriority w:val="3"/>
    <w:qFormat/>
    <w:rsid w:val="008F0D5B"/>
    <w:rPr>
      <w:b w:val="0"/>
      <w:i w:val="0"/>
      <w:vanish w:val="0"/>
      <w:spacing w:val="0"/>
      <w:vertAlign w:val="subscript"/>
    </w:rPr>
  </w:style>
  <w:style w:type="paragraph" w:customStyle="1" w:styleId="LITlitera">
    <w:name w:val="LIT – litera"/>
    <w:basedOn w:val="PKTpunkt"/>
    <w:uiPriority w:val="14"/>
    <w:qFormat/>
    <w:rsid w:val="008F0D5B"/>
    <w:pPr>
      <w:ind w:left="986" w:hanging="476"/>
    </w:pPr>
  </w:style>
  <w:style w:type="paragraph" w:customStyle="1" w:styleId="ZLITLEGWMATFIZCHEMzmlegendywzorumatfizlubchemliter">
    <w:name w:val="Z_LIT/LEG_W_MAT(FIZ|CHEM) – zm. legendy wzoru mat. (fiz. lub chem.) literą"/>
    <w:basedOn w:val="Normalny"/>
    <w:uiPriority w:val="54"/>
    <w:qFormat/>
    <w:rsid w:val="008F0D5B"/>
    <w:pPr>
      <w:spacing w:after="0" w:line="360" w:lineRule="auto"/>
      <w:ind w:left="2291" w:hanging="794"/>
      <w:jc w:val="both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ZLITUSTzmustliter">
    <w:name w:val="Z_LIT/UST(§) – zm. ust. (§) literą"/>
    <w:basedOn w:val="Normalny"/>
    <w:uiPriority w:val="46"/>
    <w:qFormat/>
    <w:rsid w:val="008F0D5B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Kkursywa">
    <w:name w:val="_K_ – kursywa"/>
    <w:basedOn w:val="Domylnaczcionkaakapitu"/>
    <w:uiPriority w:val="1"/>
    <w:qFormat/>
    <w:rsid w:val="008F0D5B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0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8557A-1DF4-49E2-9D75-21DA61E78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2020-09-11T09:26:00Z</dcterms:created>
  <dcterms:modified xsi:type="dcterms:W3CDTF">2020-09-16T09:37:00Z</dcterms:modified>
</cp:coreProperties>
</file>