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8CC" w:rsidRPr="00E000DC" w:rsidRDefault="00E878CC" w:rsidP="00636F62">
      <w:pPr>
        <w:pStyle w:val="OZNRODZAKTUtznustawalubrozporzdzenieiorganwydajcy"/>
      </w:pPr>
      <w:r w:rsidRPr="004810D7">
        <w:t>u</w:t>
      </w:r>
      <w:r>
        <w:t>zasadnienie</w:t>
      </w:r>
    </w:p>
    <w:p w:rsidR="00E878CC" w:rsidRDefault="00E878CC" w:rsidP="00636F62">
      <w:pPr>
        <w:pStyle w:val="NIEARTTEKSTtekstnieartykuowanynppodstprawnarozplubpreambua"/>
      </w:pPr>
      <w:r>
        <w:t xml:space="preserve">1. Celem ustawy jest przywrócenie emerytom urodzonym także w innym roku niż 1953 pełnej podstawy obliczenia emerytury, pomniejszonej w 2012 r., w sposób zaskakujący, niezgodny z Konstytucją, o kwoty pobranych tzw. emerytur wcześniejszych (pod warunkiem, że nie spełniały warunków na nabycia </w:t>
      </w:r>
      <w:r w:rsidRPr="008274E2">
        <w:t xml:space="preserve">prawa do emerytury </w:t>
      </w:r>
      <w:r>
        <w:t xml:space="preserve">powszechnej </w:t>
      </w:r>
      <w:r w:rsidRPr="008274E2">
        <w:t>na podstawie a</w:t>
      </w:r>
      <w:r>
        <w:t>rt. 24 przed 1 stycznia 2013 r.).</w:t>
      </w:r>
    </w:p>
    <w:p w:rsidR="00E878CC" w:rsidRPr="00890BDA" w:rsidRDefault="00E878CC" w:rsidP="00890BDA">
      <w:pPr>
        <w:pStyle w:val="ARTartustawynprozporzdzenia"/>
      </w:pPr>
      <w:r>
        <w:t>Ustawa nie obejmuje natomiast osób, które spełniły wszystkie warunki do nabycia prawa do emerytury powszechnej na podstawie art. 24 przed 1 stycznia 2013 r., czyli w praktyce przed tą datą ukończyły: 60 lat - kobiety, 65 lat - mężczyźni.</w:t>
      </w:r>
    </w:p>
    <w:p w:rsidR="00E878CC" w:rsidRDefault="00E878CC" w:rsidP="00636F62">
      <w:pPr>
        <w:pStyle w:val="NIEARTTEKSTtekstnieartykuowanynppodstprawnarozplubpreambua"/>
      </w:pPr>
      <w:r>
        <w:t xml:space="preserve">2. </w:t>
      </w:r>
      <w:r w:rsidRPr="00636F62">
        <w:t>Ustawa</w:t>
      </w:r>
      <w:r w:rsidRPr="003A05D7">
        <w:t xml:space="preserve"> z dnia 11 maja 2012 r. o zmianie ustawy o emeryturach</w:t>
      </w:r>
      <w:r>
        <w:t xml:space="preserve"> </w:t>
      </w:r>
      <w:r w:rsidRPr="003A05D7">
        <w:t>i rentach z Funduszu Ubezpieczeń Społecznych</w:t>
      </w:r>
      <w:r>
        <w:t xml:space="preserve"> (Dz. U. z 6 czerwca 2012 r.) wprowadziła do systemu prawa przepis (</w:t>
      </w:r>
      <w:r w:rsidRPr="00704EDE">
        <w:rPr>
          <w:rStyle w:val="Ppogrubienie"/>
        </w:rPr>
        <w:t>art. 25 ust. 1b</w:t>
      </w:r>
      <w:r>
        <w:t xml:space="preserve">) przewidujący, że osobom, które odeszły uprzednio na tzw. wcześniejsze emerytury (kobiety w wieku 55 lat, mężczyźni - 60 lat), kwoty pobranych „emerytur wcześniejszych” zostaną odjęte od podstawy obliczenia „emerytury zwykłej”, na którą przechodzą w powszechnym wieku emerytalnym (kobiety - 60 lat, mężczyźni - 65 lat). Przepis ten wszedł w życie 1 stycznia 2013 r. Problem społeczny i prawny polegał na tym, że uprawnieni odchodzili na emeryturę wcześniejszą nie wiedząc, że w przyszłości taki przepis (art. 25 ust. 1b) będzie wprowadzony, a jednocześnie nie zdążyli przed wejściem w życie tego kłopotliwego przepisu przejść na zwykłą emeryturę, </w:t>
      </w:r>
      <w:r w:rsidRPr="007334D2">
        <w:rPr>
          <w:rStyle w:val="Ppogrubienie"/>
        </w:rPr>
        <w:t>ponieważ nie osiągnęli jeszcze powszechnego wieku emerytalnego</w:t>
      </w:r>
      <w:r>
        <w:t xml:space="preserve">. </w:t>
      </w:r>
      <w:r w:rsidRPr="00BF04B6">
        <w:rPr>
          <w:rStyle w:val="Ppogrubienie"/>
        </w:rPr>
        <w:t>Problem ten dotyczył głównie kobiet urodzonych w 1953 r.</w:t>
      </w:r>
      <w:r>
        <w:t xml:space="preserve"> Odchodziły one na emeryturę wcześniejszą w wieku 55 lat, w roku 2008 r. W roku 2013 zamierzały przejść na emeryturę powszechną, z tytułu osiągnięcia 60 lat, jednak w 2012 r. wprowadzono przepis przewidujący, że od 1 stycznia 2013 r. ich emerytury zostaną ustalone na wspomnianych niekorzystnych zasadach. (Kobiety urodzone 1952 r. lub wcześniej, zdążyły przejść z emerytury wcześniejszej na powszechną, przed wejściem w życie </w:t>
      </w:r>
      <w:r w:rsidRPr="005865A2">
        <w:t>art. 25 ust. 1b</w:t>
      </w:r>
      <w:r>
        <w:t xml:space="preserve">.) </w:t>
      </w:r>
      <w:r w:rsidRPr="00BF04B6">
        <w:rPr>
          <w:rStyle w:val="Ppogrubienie"/>
        </w:rPr>
        <w:t>Problem ten jednak dotyczył także innych roczników</w:t>
      </w:r>
      <w:r>
        <w:t>, w tym mężczyzn, odchodzących na wcześniejsze emerytury „branżowe” (górnicy, nauczyciele, osoby pracujące w szkodliwych warunkach), ponieważ w ich przypadku emerytalne kryteria wiekowo-stażowe były określone odmiennie.</w:t>
      </w:r>
    </w:p>
    <w:p w:rsidR="00E878CC" w:rsidRDefault="00E878CC" w:rsidP="00636F62">
      <w:pPr>
        <w:pStyle w:val="NIEARTTEKSTtekstnieartykuowanynppodstprawnarozplubpreambua"/>
      </w:pPr>
      <w:r>
        <w:t>Trybunał Konstytucyjny (</w:t>
      </w:r>
      <w:hyperlink r:id="rId8" w:history="1">
        <w:r w:rsidRPr="0009760D">
          <w:rPr>
            <w:rStyle w:val="Hipercze"/>
          </w:rPr>
          <w:t>wyrok P 20/16</w:t>
        </w:r>
      </w:hyperlink>
      <w:r>
        <w:t xml:space="preserve">) orzekł niekonstytucyjność przepisu art. 25 ust. 1b ustawy o emeryturach i rentach w związku pytaniem prawnym jednego z sądów rozpatrującego sprawę kobiety urodzonej w 1953 r., która odeszła na emeryturę wcześniejszą </w:t>
      </w:r>
      <w:r>
        <w:lastRenderedPageBreak/>
        <w:t xml:space="preserve">na podstawie art. 46 ustawy o emeryturach i rentach z FUS. Nie ma jednak wątpliwości, że przepis art. 25 ust. 1b jest równie krzywdzący nie tylko dla kobiet urodzonych w 1953 r., które odeszły na emeryturę wcześniejszą regulowaną przez art. 46 ustawy o emeryturach i rentach z FUS, lecz także </w:t>
      </w:r>
      <w:r w:rsidRPr="00636F62">
        <w:t>•</w:t>
      </w:r>
      <w:r>
        <w:t xml:space="preserve"> dla mężczyzn, </w:t>
      </w:r>
      <w:r w:rsidRPr="00636F62">
        <w:t>•</w:t>
      </w:r>
      <w:r>
        <w:t xml:space="preserve"> dla innych roczników i </w:t>
      </w:r>
      <w:r w:rsidRPr="00636F62">
        <w:t>•</w:t>
      </w:r>
      <w:r>
        <w:t xml:space="preserve"> dla emerytów korzystających z różnych typów emerytur wcześniejszych (zatem nie tylko tych z art. 46 ustawy, lecz także z art. </w:t>
      </w:r>
      <w:r w:rsidRPr="00931814">
        <w:t xml:space="preserve">26b, </w:t>
      </w:r>
      <w:r>
        <w:t>50, 50a, 50e i</w:t>
      </w:r>
      <w:r w:rsidRPr="00931814">
        <w:t xml:space="preserve"> 184 </w:t>
      </w:r>
      <w:r>
        <w:t xml:space="preserve">tej </w:t>
      </w:r>
      <w:r w:rsidRPr="00931814">
        <w:t xml:space="preserve">ustawy </w:t>
      </w:r>
      <w:r>
        <w:t>oraz</w:t>
      </w:r>
      <w:r w:rsidRPr="00931814">
        <w:t xml:space="preserve"> </w:t>
      </w:r>
      <w:r>
        <w:t xml:space="preserve">z </w:t>
      </w:r>
      <w:r w:rsidRPr="00931814">
        <w:t>art. 88 Karty Nauczyciela</w:t>
      </w:r>
      <w:r>
        <w:t>). Wszyscy ci emeryci zostali potraktowani przez ustawodawcę nielojalnie; pozbawił ich zaufania do państwa i stanowionego przez nie prawa.</w:t>
      </w:r>
    </w:p>
    <w:p w:rsidR="00E878CC" w:rsidRDefault="00E878CC" w:rsidP="00890BDA">
      <w:pPr>
        <w:pStyle w:val="NIEARTTEKSTtekstnieartykuowanynppodstprawnarozplubpreambua"/>
      </w:pPr>
      <w:r>
        <w:t xml:space="preserve">W grudniu 2019 r. do Sejmu wpłynął senacki </w:t>
      </w:r>
      <w:r w:rsidRPr="00DC21EE">
        <w:t>pr</w:t>
      </w:r>
      <w:r>
        <w:t>ojekt ustawy o zmianie ustawy o </w:t>
      </w:r>
      <w:r w:rsidRPr="00DC21EE">
        <w:t>emeryturach i rentach z Funduszu Ubezpieczeń Społecznych (</w:t>
      </w:r>
      <w:hyperlink r:id="rId9" w:history="1">
        <w:r w:rsidRPr="00DC21EE">
          <w:rPr>
            <w:rStyle w:val="Hipercze"/>
          </w:rPr>
          <w:t>druk nr 283</w:t>
        </w:r>
      </w:hyperlink>
      <w:r w:rsidRPr="00DC21EE">
        <w:t>)</w:t>
      </w:r>
      <w:r>
        <w:t>, jednak na wniosek rządu (</w:t>
      </w:r>
      <w:hyperlink r:id="rId10" w:history="1">
        <w:r w:rsidRPr="0009760D">
          <w:rPr>
            <w:rStyle w:val="Hipercze"/>
          </w:rPr>
          <w:t>druk nr 418</w:t>
        </w:r>
      </w:hyperlink>
      <w:r>
        <w:t>) Sejm ograniczył uchwaloną 19 czerwca 2020</w:t>
      </w:r>
      <w:r w:rsidRPr="00DC21EE">
        <w:t xml:space="preserve"> r.</w:t>
      </w:r>
      <w:r>
        <w:t xml:space="preserve"> ostatecznie uchwaloną</w:t>
      </w:r>
      <w:r w:rsidRPr="00DC21EE">
        <w:t xml:space="preserve"> </w:t>
      </w:r>
      <w:r>
        <w:t>nowelizację ustawy</w:t>
      </w:r>
      <w:r w:rsidRPr="00DC21EE">
        <w:t xml:space="preserve"> o emeryturach i rentach z Funduszu Ubezpieczeń Społecznych jedynie do osób urodzonych w roku 1953 r.</w:t>
      </w:r>
      <w:r>
        <w:t xml:space="preserve"> Co prawda, w uchwalonej nowelizacji poszerzono - w stosunku do wyroku TK - grupę osób, które mają z niej skorzystać o mężczyzn i inne rodzaje emerytur wcześniejszych (nie tylko te z art. 46). Jednak samo w sobie niewiele to zmienia w odniesieniu do pozostałych emerytów, ponieważ wielu objętych tym niekonstytucyjnym mechanizmem emerytów urodziło się w innym roku, niż 1953. Przepisy, jak wiadomo ustalały różne kryteria wiekowo-stażowe dla różnych branż. Uzasadniając w rządowym projekcie naprawienie błędu tylko w odniesieniu do pewnej grupy emerytów powoływano się na sentencję wyroku Trybunału Konstytucyjnego. Nie zauważono jednak, że sentencja wyroku TK nie dotyczy innych roczników jedynie dlatego, że pytanie Trybunałowi zadał sąd rozpatrujący skargę na decyzję ZUS kobiety z 1953 r. Trybunał, jak każdy sąd, orzeka jedynie o tym, co zostało zaskarżone. </w:t>
      </w:r>
      <w:r w:rsidRPr="005855B5">
        <w:rPr>
          <w:rStyle w:val="Ppogrubienie"/>
        </w:rPr>
        <w:t>Konstytucyjna zasada równości nakazuje jednak by błąd naprawić także w odniesieniu do pokrzywdzonych niekonstytucyjnym przepisem innych roczników, co do których Trybunał nie miał możliwości się wypowiedzieć</w:t>
      </w:r>
      <w:r>
        <w:t>. Trybunał zakwestionował niekonstytucyjny mechanizm obniżania podstawy obliczenia emerytury bez uprzedzenia, a nie wysokość emerytury konkretnego rocznika.</w:t>
      </w:r>
    </w:p>
    <w:p w:rsidR="00E878CC" w:rsidRDefault="00E878CC" w:rsidP="00680F1D">
      <w:pPr>
        <w:pStyle w:val="ARTartustawynprozporzdzenia"/>
      </w:pPr>
      <w:r>
        <w:t>3. Projekt wprowadza dla emerytów, którzy pobierają wcześniejsze emerytury, a warunki do nabycia emerytury na podstawie art. 24 ustawy o emeryturach i rentach z FUS nabyli po 31 grudnia 2012 r., ale o nią nie wystąpili, termin 6 miesięcy na złożenie wniosku o obliczenie emerytury na podstawie art. 24 (z pominięciem mechanizmu pomniejszania podstawy obliczenia zawartego w art. 25 ust. 1b), przy czym:</w:t>
      </w:r>
    </w:p>
    <w:p w:rsidR="00E878CC" w:rsidRDefault="00E878CC" w:rsidP="00680F1D">
      <w:pPr>
        <w:pStyle w:val="ARTartustawynprozporzdzenia"/>
      </w:pPr>
      <w:r>
        <w:lastRenderedPageBreak/>
        <w:t>1) w przypadku osób, które spełniły warunek do nabycia uprawnień do emerytury na podstawie art. 24 po wejściu w życie projektowanej ustawy - będzie on liczony od dnia nabycia tych uprawnień,</w:t>
      </w:r>
    </w:p>
    <w:p w:rsidR="00E878CC" w:rsidRDefault="00E878CC" w:rsidP="00680F1D">
      <w:pPr>
        <w:pStyle w:val="ARTartustawynprozporzdzenia"/>
      </w:pPr>
      <w:r>
        <w:t>2) w przypadku osób, które spełniły ten warunek przed dniem wejścia w życie projektowanej ustawy - będzie on liczony od dnia wejścia w życie projektowanej ustawy.</w:t>
      </w:r>
    </w:p>
    <w:p w:rsidR="00E878CC" w:rsidRPr="00680F1D" w:rsidRDefault="00E878CC" w:rsidP="00680F1D">
      <w:pPr>
        <w:pStyle w:val="ARTartustawynprozporzdzenia"/>
      </w:pPr>
      <w:r>
        <w:t xml:space="preserve">Natomiast w przypadku ubezpieczonych, którzy pobrali </w:t>
      </w:r>
      <w:r w:rsidRPr="00B96856">
        <w:t>wcześniejsze emerytury, a warunki do nabycia emerytury na podstawie art. 24 ustawy o emeryturach i rentach z FU</w:t>
      </w:r>
      <w:r>
        <w:t>S nabyli po 31 grudnia 2012 r. i ją otrzymali (bez względu na to czy jej wypłatę zawieszono czy nie) - ZUS z urzędu ponownie obliczy emeryturę na podstawie art. 24 (z pominięciem art. 25 ust. 1b).</w:t>
      </w:r>
    </w:p>
    <w:p w:rsidR="00E878CC" w:rsidRPr="005E55BB" w:rsidRDefault="00E878CC" w:rsidP="005E55BB">
      <w:pPr>
        <w:pStyle w:val="ARTartustawynprozporzdzenia"/>
      </w:pPr>
      <w:r>
        <w:t xml:space="preserve">4. </w:t>
      </w:r>
      <w:r w:rsidRPr="005E55BB">
        <w:t>Nadesłane w ramach konsultacji opinie i uwagi są zamieszczone na senackiej stronie internetowej. Wyniki konsultacji przedstawiono w Ocenie Skutków Regulacji.</w:t>
      </w:r>
    </w:p>
    <w:p w:rsidR="00E878CC" w:rsidRPr="00636F62" w:rsidRDefault="00E878CC" w:rsidP="00636F62">
      <w:pPr>
        <w:pStyle w:val="NIEARTTEKSTtekstnieartykuowanynppodstprawnarozplubpreambua"/>
      </w:pPr>
      <w:r>
        <w:t xml:space="preserve">5. </w:t>
      </w:r>
      <w:r w:rsidRPr="00636F62">
        <w:t>Projektowana ustawa nie jest objęta prawem Unii Europejskiej.</w:t>
      </w:r>
    </w:p>
    <w:p w:rsidR="00E878CC" w:rsidRDefault="00E878CC" w:rsidP="00B73390">
      <w:pPr>
        <w:tabs>
          <w:tab w:val="center" w:pos="6237"/>
        </w:tabs>
        <w:spacing w:line="240" w:lineRule="auto"/>
        <w:ind w:right="-2"/>
        <w:jc w:val="both"/>
        <w:rPr>
          <w:b/>
        </w:rPr>
        <w:sectPr w:rsidR="00E878CC" w:rsidSect="00E878CC">
          <w:headerReference w:type="default" r:id="rId11"/>
          <w:pgSz w:w="11906" w:h="16838"/>
          <w:pgMar w:top="1418" w:right="1418" w:bottom="1418" w:left="1418" w:header="708" w:footer="708" w:gutter="0"/>
          <w:pgNumType w:start="1"/>
          <w:cols w:space="708"/>
          <w:titlePg/>
          <w:docGrid w:linePitch="360"/>
        </w:sectPr>
      </w:pPr>
    </w:p>
    <w:p w:rsidR="00E878CC" w:rsidRDefault="00E878CC" w:rsidP="00B73390">
      <w:pPr>
        <w:tabs>
          <w:tab w:val="center" w:pos="6237"/>
        </w:tabs>
        <w:spacing w:line="240" w:lineRule="auto"/>
        <w:ind w:right="-2"/>
        <w:jc w:val="both"/>
        <w:rPr>
          <w:b/>
        </w:rPr>
      </w:pPr>
      <w:bookmarkStart w:id="0" w:name="_GoBack"/>
      <w:bookmarkEnd w:id="0"/>
    </w:p>
    <w:sectPr w:rsidR="00E878CC" w:rsidSect="00D60133">
      <w:headerReference w:type="default" r:id="rId12"/>
      <w:footerReference w:type="default" r:id="rId13"/>
      <w:footnotePr>
        <w:numRestart w:val="eachSect"/>
      </w:footnotePr>
      <w:type w:val="continuous"/>
      <w:pgSz w:w="11906" w:h="16838"/>
      <w:pgMar w:top="568" w:right="707" w:bottom="568" w:left="720" w:header="708"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560" w:rsidRDefault="00C57560" w:rsidP="009A4937">
      <w:pPr>
        <w:spacing w:line="240" w:lineRule="auto"/>
      </w:pPr>
      <w:r>
        <w:separator/>
      </w:r>
    </w:p>
  </w:endnote>
  <w:endnote w:type="continuationSeparator" w:id="0">
    <w:p w:rsidR="00C57560" w:rsidRDefault="00C57560" w:rsidP="009A4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8CC" w:rsidRDefault="00E878C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560" w:rsidRDefault="00C57560" w:rsidP="009A4937">
      <w:pPr>
        <w:spacing w:line="240" w:lineRule="auto"/>
      </w:pPr>
      <w:r>
        <w:separator/>
      </w:r>
    </w:p>
  </w:footnote>
  <w:footnote w:type="continuationSeparator" w:id="0">
    <w:p w:rsidR="00C57560" w:rsidRDefault="00C57560" w:rsidP="009A49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Default="00D60133" w:rsidP="00B371CC">
    <w:pPr>
      <w:pStyle w:val="Nagwek"/>
      <w:jc w:val="center"/>
    </w:pPr>
    <w:r>
      <w:t xml:space="preserve">– </w:t>
    </w:r>
    <w:r>
      <w:fldChar w:fldCharType="begin"/>
    </w:r>
    <w:r>
      <w:instrText xml:space="preserve"> PAGE  \* MERGEFORMAT </w:instrText>
    </w:r>
    <w:r>
      <w:fldChar w:fldCharType="separate"/>
    </w:r>
    <w:r w:rsidR="00EE78CA">
      <w:rPr>
        <w:noProof/>
      </w:rPr>
      <w:t>2</w:t>
    </w:r>
    <w:r>
      <w:rPr>
        <w:noProof/>
      </w:rPr>
      <w:fldChar w:fldCharType="end"/>
    </w:r>
    <w:r>
      <w:t xml:space="preserve"> –</w:t>
    </w:r>
  </w:p>
  <w:p w:rsidR="00E878CC" w:rsidRDefault="00E878CC" w:rsidP="00B371CC">
    <w:pPr>
      <w:pStyle w:val="Nagwek"/>
      <w:jc w:val="center"/>
    </w:pPr>
  </w:p>
  <w:p w:rsidR="00E878CC" w:rsidRPr="00B371CC" w:rsidRDefault="00E878CC" w:rsidP="00B371CC">
    <w:pPr>
      <w:pStyle w:val="Nagwek"/>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8CC" w:rsidRPr="00B371CC" w:rsidRDefault="00E878CC" w:rsidP="00B371CC">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56632"/>
    <w:multiLevelType w:val="hybridMultilevel"/>
    <w:tmpl w:val="A9C4338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2F622CE"/>
    <w:multiLevelType w:val="hybridMultilevel"/>
    <w:tmpl w:val="FAE2342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2111DC"/>
    <w:multiLevelType w:val="singleLevel"/>
    <w:tmpl w:val="9D2C0646"/>
    <w:lvl w:ilvl="0">
      <w:start w:val="1"/>
      <w:numFmt w:val="bullet"/>
      <w:pStyle w:val="tiret"/>
      <w:lvlText w:val="-"/>
      <w:lvlJc w:val="left"/>
      <w:pPr>
        <w:tabs>
          <w:tab w:val="num" w:pos="1211"/>
        </w:tabs>
        <w:ind w:left="1211" w:hanging="360"/>
      </w:pPr>
      <w:rPr>
        <w:rFonts w:hint="default"/>
      </w:rPr>
    </w:lvl>
  </w:abstractNum>
  <w:abstractNum w:abstractNumId="3" w15:restartNumberingAfterBreak="0">
    <w:nsid w:val="1D9636AF"/>
    <w:multiLevelType w:val="hybridMultilevel"/>
    <w:tmpl w:val="37A080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E32230F"/>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8D32FB"/>
    <w:multiLevelType w:val="hybridMultilevel"/>
    <w:tmpl w:val="E9B6A3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1684525"/>
    <w:multiLevelType w:val="singleLevel"/>
    <w:tmpl w:val="6792BDB4"/>
    <w:lvl w:ilvl="0">
      <w:start w:val="1"/>
      <w:numFmt w:val="decimal"/>
      <w:lvlText w:val="%1)"/>
      <w:lvlJc w:val="left"/>
      <w:pPr>
        <w:tabs>
          <w:tab w:val="num" w:pos="397"/>
        </w:tabs>
        <w:ind w:left="397" w:hanging="397"/>
      </w:pPr>
    </w:lvl>
  </w:abstractNum>
  <w:abstractNum w:abstractNumId="7" w15:restartNumberingAfterBreak="0">
    <w:nsid w:val="239C4525"/>
    <w:multiLevelType w:val="hybridMultilevel"/>
    <w:tmpl w:val="F7DA2FF0"/>
    <w:lvl w:ilvl="0" w:tplc="04150001">
      <w:start w:val="1"/>
      <w:numFmt w:val="bullet"/>
      <w:lvlText w:val=""/>
      <w:lvlJc w:val="left"/>
      <w:pPr>
        <w:ind w:left="1061" w:hanging="360"/>
      </w:pPr>
      <w:rPr>
        <w:rFonts w:ascii="Symbol" w:hAnsi="Symbol" w:hint="default"/>
      </w:rPr>
    </w:lvl>
    <w:lvl w:ilvl="1" w:tplc="04150003" w:tentative="1">
      <w:start w:val="1"/>
      <w:numFmt w:val="bullet"/>
      <w:lvlText w:val="o"/>
      <w:lvlJc w:val="left"/>
      <w:pPr>
        <w:ind w:left="1781" w:hanging="360"/>
      </w:pPr>
      <w:rPr>
        <w:rFonts w:ascii="Courier New" w:hAnsi="Courier New" w:cs="Courier New" w:hint="default"/>
      </w:rPr>
    </w:lvl>
    <w:lvl w:ilvl="2" w:tplc="04150005" w:tentative="1">
      <w:start w:val="1"/>
      <w:numFmt w:val="bullet"/>
      <w:lvlText w:val=""/>
      <w:lvlJc w:val="left"/>
      <w:pPr>
        <w:ind w:left="2501" w:hanging="360"/>
      </w:pPr>
      <w:rPr>
        <w:rFonts w:ascii="Wingdings" w:hAnsi="Wingdings" w:hint="default"/>
      </w:rPr>
    </w:lvl>
    <w:lvl w:ilvl="3" w:tplc="04150001" w:tentative="1">
      <w:start w:val="1"/>
      <w:numFmt w:val="bullet"/>
      <w:lvlText w:val=""/>
      <w:lvlJc w:val="left"/>
      <w:pPr>
        <w:ind w:left="3221" w:hanging="360"/>
      </w:pPr>
      <w:rPr>
        <w:rFonts w:ascii="Symbol" w:hAnsi="Symbol" w:hint="default"/>
      </w:rPr>
    </w:lvl>
    <w:lvl w:ilvl="4" w:tplc="04150003" w:tentative="1">
      <w:start w:val="1"/>
      <w:numFmt w:val="bullet"/>
      <w:lvlText w:val="o"/>
      <w:lvlJc w:val="left"/>
      <w:pPr>
        <w:ind w:left="3941" w:hanging="360"/>
      </w:pPr>
      <w:rPr>
        <w:rFonts w:ascii="Courier New" w:hAnsi="Courier New" w:cs="Courier New" w:hint="default"/>
      </w:rPr>
    </w:lvl>
    <w:lvl w:ilvl="5" w:tplc="04150005" w:tentative="1">
      <w:start w:val="1"/>
      <w:numFmt w:val="bullet"/>
      <w:lvlText w:val=""/>
      <w:lvlJc w:val="left"/>
      <w:pPr>
        <w:ind w:left="4661" w:hanging="360"/>
      </w:pPr>
      <w:rPr>
        <w:rFonts w:ascii="Wingdings" w:hAnsi="Wingdings" w:hint="default"/>
      </w:rPr>
    </w:lvl>
    <w:lvl w:ilvl="6" w:tplc="04150001" w:tentative="1">
      <w:start w:val="1"/>
      <w:numFmt w:val="bullet"/>
      <w:lvlText w:val=""/>
      <w:lvlJc w:val="left"/>
      <w:pPr>
        <w:ind w:left="5381" w:hanging="360"/>
      </w:pPr>
      <w:rPr>
        <w:rFonts w:ascii="Symbol" w:hAnsi="Symbol" w:hint="default"/>
      </w:rPr>
    </w:lvl>
    <w:lvl w:ilvl="7" w:tplc="04150003" w:tentative="1">
      <w:start w:val="1"/>
      <w:numFmt w:val="bullet"/>
      <w:lvlText w:val="o"/>
      <w:lvlJc w:val="left"/>
      <w:pPr>
        <w:ind w:left="6101" w:hanging="360"/>
      </w:pPr>
      <w:rPr>
        <w:rFonts w:ascii="Courier New" w:hAnsi="Courier New" w:cs="Courier New" w:hint="default"/>
      </w:rPr>
    </w:lvl>
    <w:lvl w:ilvl="8" w:tplc="04150005" w:tentative="1">
      <w:start w:val="1"/>
      <w:numFmt w:val="bullet"/>
      <w:lvlText w:val=""/>
      <w:lvlJc w:val="left"/>
      <w:pPr>
        <w:ind w:left="6821" w:hanging="360"/>
      </w:pPr>
      <w:rPr>
        <w:rFonts w:ascii="Wingdings" w:hAnsi="Wingdings" w:hint="default"/>
      </w:rPr>
    </w:lvl>
  </w:abstractNum>
  <w:abstractNum w:abstractNumId="8" w15:restartNumberingAfterBreak="0">
    <w:nsid w:val="27471732"/>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01C61B4"/>
    <w:multiLevelType w:val="singleLevel"/>
    <w:tmpl w:val="1ECCD4F4"/>
    <w:lvl w:ilvl="0">
      <w:start w:val="1"/>
      <w:numFmt w:val="decimal"/>
      <w:lvlText w:val="%1)"/>
      <w:lvlJc w:val="left"/>
      <w:pPr>
        <w:tabs>
          <w:tab w:val="num" w:pos="397"/>
        </w:tabs>
        <w:ind w:left="397" w:hanging="397"/>
      </w:pPr>
    </w:lvl>
  </w:abstractNum>
  <w:abstractNum w:abstractNumId="10" w15:restartNumberingAfterBreak="0">
    <w:nsid w:val="308D4468"/>
    <w:multiLevelType w:val="hybridMultilevel"/>
    <w:tmpl w:val="D4100F8A"/>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4E73566"/>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5C176EC"/>
    <w:multiLevelType w:val="hybridMultilevel"/>
    <w:tmpl w:val="24BC9E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9B931C1"/>
    <w:multiLevelType w:val="hybridMultilevel"/>
    <w:tmpl w:val="54AEF948"/>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D14455"/>
    <w:multiLevelType w:val="hybridMultilevel"/>
    <w:tmpl w:val="6D605F1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43B94068"/>
    <w:multiLevelType w:val="hybridMultilevel"/>
    <w:tmpl w:val="42EE01C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B4D175F"/>
    <w:multiLevelType w:val="hybridMultilevel"/>
    <w:tmpl w:val="B87AC2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4CAE628D"/>
    <w:multiLevelType w:val="hybridMultilevel"/>
    <w:tmpl w:val="558C611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551D1231"/>
    <w:multiLevelType w:val="hybridMultilevel"/>
    <w:tmpl w:val="11CAB3E6"/>
    <w:lvl w:ilvl="0" w:tplc="04150001">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87E232E"/>
    <w:multiLevelType w:val="hybridMultilevel"/>
    <w:tmpl w:val="D62C14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F016C30"/>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3A757D5"/>
    <w:multiLevelType w:val="singleLevel"/>
    <w:tmpl w:val="92B6EFF2"/>
    <w:lvl w:ilvl="0">
      <w:start w:val="1"/>
      <w:numFmt w:val="lowerLetter"/>
      <w:lvlText w:val="%1)"/>
      <w:lvlJc w:val="left"/>
      <w:pPr>
        <w:tabs>
          <w:tab w:val="num" w:pos="786"/>
        </w:tabs>
        <w:ind w:left="786" w:hanging="360"/>
      </w:pPr>
      <w:rPr>
        <w:rFonts w:hint="default"/>
      </w:rPr>
    </w:lvl>
  </w:abstractNum>
  <w:abstractNum w:abstractNumId="23" w15:restartNumberingAfterBreak="0">
    <w:nsid w:val="705B13E5"/>
    <w:multiLevelType w:val="hybridMultilevel"/>
    <w:tmpl w:val="B7363E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74663D3D"/>
    <w:multiLevelType w:val="hybridMultilevel"/>
    <w:tmpl w:val="3036FE8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600E1C"/>
    <w:multiLevelType w:val="singleLevel"/>
    <w:tmpl w:val="917A9C24"/>
    <w:lvl w:ilvl="0">
      <w:start w:val="1"/>
      <w:numFmt w:val="decimal"/>
      <w:lvlText w:val="%1)"/>
      <w:lvlJc w:val="left"/>
      <w:pPr>
        <w:tabs>
          <w:tab w:val="num" w:pos="360"/>
        </w:tabs>
        <w:ind w:left="360" w:hanging="360"/>
      </w:pPr>
      <w:rPr>
        <w:rFonts w:hint="default"/>
      </w:rPr>
    </w:lvl>
  </w:abstractNum>
  <w:abstractNum w:abstractNumId="26" w15:restartNumberingAfterBreak="0">
    <w:nsid w:val="77012A1F"/>
    <w:multiLevelType w:val="hybridMultilevel"/>
    <w:tmpl w:val="72161E7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782E5354"/>
    <w:multiLevelType w:val="hybridMultilevel"/>
    <w:tmpl w:val="0094A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A4F00D7"/>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ED46462"/>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9"/>
  </w:num>
  <w:num w:numId="3">
    <w:abstractNumId w:val="6"/>
  </w:num>
  <w:num w:numId="4">
    <w:abstractNumId w:val="6"/>
  </w:num>
  <w:num w:numId="5">
    <w:abstractNumId w:val="25"/>
  </w:num>
  <w:num w:numId="6">
    <w:abstractNumId w:val="22"/>
  </w:num>
  <w:num w:numId="7">
    <w:abstractNumId w:val="25"/>
  </w:num>
  <w:num w:numId="8">
    <w:abstractNumId w:val="22"/>
  </w:num>
  <w:num w:numId="9">
    <w:abstractNumId w:val="25"/>
  </w:num>
  <w:num w:numId="10">
    <w:abstractNumId w:val="22"/>
  </w:num>
  <w:num w:numId="11">
    <w:abstractNumId w:val="2"/>
  </w:num>
  <w:num w:numId="12">
    <w:abstractNumId w:val="13"/>
  </w:num>
  <w:num w:numId="13">
    <w:abstractNumId w:val="10"/>
  </w:num>
  <w:num w:numId="14">
    <w:abstractNumId w:val="4"/>
  </w:num>
  <w:num w:numId="15">
    <w:abstractNumId w:val="24"/>
  </w:num>
  <w:num w:numId="16">
    <w:abstractNumId w:val="14"/>
  </w:num>
  <w:num w:numId="17">
    <w:abstractNumId w:val="29"/>
  </w:num>
  <w:num w:numId="18">
    <w:abstractNumId w:val="21"/>
  </w:num>
  <w:num w:numId="19">
    <w:abstractNumId w:val="16"/>
  </w:num>
  <w:num w:numId="20">
    <w:abstractNumId w:val="1"/>
  </w:num>
  <w:num w:numId="21">
    <w:abstractNumId w:val="11"/>
  </w:num>
  <w:num w:numId="22">
    <w:abstractNumId w:val="7"/>
  </w:num>
  <w:num w:numId="23">
    <w:abstractNumId w:val="8"/>
  </w:num>
  <w:num w:numId="24">
    <w:abstractNumId w:val="5"/>
  </w:num>
  <w:num w:numId="25">
    <w:abstractNumId w:val="28"/>
  </w:num>
  <w:num w:numId="26">
    <w:abstractNumId w:val="27"/>
  </w:num>
  <w:num w:numId="27">
    <w:abstractNumId w:val="19"/>
  </w:num>
  <w:num w:numId="28">
    <w:abstractNumId w:val="18"/>
  </w:num>
  <w:num w:numId="29">
    <w:abstractNumId w:val="3"/>
  </w:num>
  <w:num w:numId="30">
    <w:abstractNumId w:val="26"/>
  </w:num>
  <w:num w:numId="31">
    <w:abstractNumId w:val="20"/>
  </w:num>
  <w:num w:numId="32">
    <w:abstractNumId w:val="12"/>
  </w:num>
  <w:num w:numId="33">
    <w:abstractNumId w:val="23"/>
  </w:num>
  <w:num w:numId="34">
    <w:abstractNumId w:val="17"/>
  </w:num>
  <w:num w:numId="35">
    <w:abstractNumId w:val="0"/>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937"/>
    <w:rsid w:val="0001613E"/>
    <w:rsid w:val="000A5CE8"/>
    <w:rsid w:val="0018049A"/>
    <w:rsid w:val="00191D0F"/>
    <w:rsid w:val="001A4397"/>
    <w:rsid w:val="002B0A43"/>
    <w:rsid w:val="00382AAC"/>
    <w:rsid w:val="003B7FBE"/>
    <w:rsid w:val="00474670"/>
    <w:rsid w:val="004F1121"/>
    <w:rsid w:val="00527E52"/>
    <w:rsid w:val="0056045F"/>
    <w:rsid w:val="005913B7"/>
    <w:rsid w:val="005B4652"/>
    <w:rsid w:val="00695AD3"/>
    <w:rsid w:val="006E58F9"/>
    <w:rsid w:val="006E73F1"/>
    <w:rsid w:val="006F026C"/>
    <w:rsid w:val="00704BFF"/>
    <w:rsid w:val="00735880"/>
    <w:rsid w:val="00777F90"/>
    <w:rsid w:val="00874611"/>
    <w:rsid w:val="008758BB"/>
    <w:rsid w:val="008C7EE7"/>
    <w:rsid w:val="009A4937"/>
    <w:rsid w:val="009D2757"/>
    <w:rsid w:val="00A06AF3"/>
    <w:rsid w:val="00AD07BA"/>
    <w:rsid w:val="00AF364E"/>
    <w:rsid w:val="00B5303C"/>
    <w:rsid w:val="00B73390"/>
    <w:rsid w:val="00C57560"/>
    <w:rsid w:val="00D37E95"/>
    <w:rsid w:val="00D60133"/>
    <w:rsid w:val="00D829F5"/>
    <w:rsid w:val="00E15D93"/>
    <w:rsid w:val="00E83F72"/>
    <w:rsid w:val="00E878CC"/>
    <w:rsid w:val="00ED7249"/>
    <w:rsid w:val="00EE78CA"/>
    <w:rsid w:val="00F5513E"/>
    <w:rsid w:val="00FC13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FE034F8-328C-427F-81B3-4D809DE7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35880"/>
    <w:pPr>
      <w:spacing w:line="360" w:lineRule="auto"/>
    </w:pPr>
    <w:rPr>
      <w:sz w:val="24"/>
    </w:rPr>
  </w:style>
  <w:style w:type="paragraph" w:styleId="Nagwek1">
    <w:name w:val="heading 1"/>
    <w:basedOn w:val="Normalny"/>
    <w:next w:val="Normalny"/>
    <w:link w:val="Nagwek1Znak"/>
    <w:qFormat/>
    <w:rsid w:val="00D37E95"/>
    <w:pPr>
      <w:keepNext/>
      <w:spacing w:before="240" w:after="60" w:line="240" w:lineRule="auto"/>
      <w:outlineLvl w:val="0"/>
    </w:pPr>
    <w:rPr>
      <w:rFonts w:ascii="Arial" w:hAnsi="Arial" w:cs="Arial"/>
      <w:b/>
      <w:bCs/>
      <w:kern w:val="32"/>
      <w:sz w:val="32"/>
      <w:szCs w:val="32"/>
    </w:rPr>
  </w:style>
  <w:style w:type="paragraph" w:styleId="Nagwek4">
    <w:name w:val="heading 4"/>
    <w:basedOn w:val="Normalny"/>
    <w:next w:val="Normalny"/>
    <w:link w:val="Nagwek4Znak"/>
    <w:unhideWhenUsed/>
    <w:qFormat/>
    <w:rsid w:val="00AD07BA"/>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rsid w:val="00735880"/>
    <w:pPr>
      <w:spacing w:after="600"/>
      <w:ind w:left="5245"/>
    </w:pPr>
  </w:style>
  <w:style w:type="paragraph" w:customStyle="1" w:styleId="Podpis-A7">
    <w:name w:val="Podpis-A7"/>
    <w:basedOn w:val="Normalny"/>
    <w:rsid w:val="00735880"/>
    <w:pPr>
      <w:tabs>
        <w:tab w:val="center" w:pos="1701"/>
        <w:tab w:val="center" w:pos="6237"/>
      </w:tabs>
    </w:pPr>
  </w:style>
  <w:style w:type="paragraph" w:customStyle="1" w:styleId="pkt">
    <w:name w:val="pkt"/>
    <w:basedOn w:val="Normalny"/>
    <w:rsid w:val="00735880"/>
    <w:pPr>
      <w:ind w:left="357" w:hanging="357"/>
      <w:jc w:val="both"/>
    </w:pPr>
  </w:style>
  <w:style w:type="paragraph" w:customStyle="1" w:styleId="ppkt">
    <w:name w:val="ppkt"/>
    <w:basedOn w:val="Normalny"/>
    <w:rsid w:val="00735880"/>
    <w:pPr>
      <w:ind w:left="782" w:hanging="425"/>
      <w:jc w:val="both"/>
    </w:pPr>
  </w:style>
  <w:style w:type="paragraph" w:customStyle="1" w:styleId="akapit">
    <w:name w:val="akapit"/>
    <w:basedOn w:val="Normalny"/>
    <w:uiPriority w:val="99"/>
    <w:rsid w:val="00735880"/>
    <w:pPr>
      <w:ind w:firstLine="851"/>
      <w:jc w:val="both"/>
    </w:pPr>
  </w:style>
  <w:style w:type="paragraph" w:customStyle="1" w:styleId="art">
    <w:name w:val="art"/>
    <w:basedOn w:val="Normalny"/>
    <w:rsid w:val="00735880"/>
    <w:pPr>
      <w:tabs>
        <w:tab w:val="left" w:pos="1276"/>
      </w:tabs>
      <w:ind w:left="1276" w:hanging="992"/>
    </w:pPr>
  </w:style>
  <w:style w:type="paragraph" w:customStyle="1" w:styleId="tiret">
    <w:name w:val="tiret"/>
    <w:basedOn w:val="akapit"/>
    <w:rsid w:val="00735880"/>
    <w:pPr>
      <w:numPr>
        <w:numId w:val="11"/>
      </w:numPr>
    </w:pPr>
  </w:style>
  <w:style w:type="paragraph" w:customStyle="1" w:styleId="Senatorowie">
    <w:name w:val="Senatorowie"/>
    <w:basedOn w:val="Normalny"/>
    <w:rsid w:val="00735880"/>
  </w:style>
  <w:style w:type="paragraph" w:styleId="Nagwek">
    <w:name w:val="header"/>
    <w:basedOn w:val="Normalny"/>
    <w:link w:val="NagwekZnak"/>
    <w:uiPriority w:val="99"/>
    <w:unhideWhenUsed/>
    <w:rsid w:val="009A4937"/>
    <w:pPr>
      <w:tabs>
        <w:tab w:val="center" w:pos="4536"/>
        <w:tab w:val="right" w:pos="9072"/>
      </w:tabs>
      <w:spacing w:line="240" w:lineRule="auto"/>
    </w:pPr>
  </w:style>
  <w:style w:type="character" w:customStyle="1" w:styleId="NagwekZnak">
    <w:name w:val="Nagłówek Znak"/>
    <w:basedOn w:val="Domylnaczcionkaakapitu"/>
    <w:link w:val="Nagwek"/>
    <w:uiPriority w:val="99"/>
    <w:rsid w:val="009A4937"/>
    <w:rPr>
      <w:sz w:val="24"/>
    </w:rPr>
  </w:style>
  <w:style w:type="character" w:styleId="Odwoanieprzypisudolnego">
    <w:name w:val="footnote reference"/>
    <w:uiPriority w:val="99"/>
    <w:semiHidden/>
    <w:rsid w:val="009A4937"/>
    <w:rPr>
      <w:rFonts w:cs="Times New Roman"/>
      <w:vertAlign w:val="superscript"/>
    </w:rPr>
  </w:style>
  <w:style w:type="paragraph" w:customStyle="1" w:styleId="ODNONIKtreodnonika">
    <w:name w:val="ODNOŚNIK – treść odnośnika"/>
    <w:uiPriority w:val="19"/>
    <w:qFormat/>
    <w:rsid w:val="009A4937"/>
    <w:pPr>
      <w:ind w:left="284" w:hanging="284"/>
      <w:jc w:val="both"/>
    </w:pPr>
    <w:rPr>
      <w:rFonts w:eastAsiaTheme="minorEastAsia" w:cs="Arial"/>
    </w:rPr>
  </w:style>
  <w:style w:type="character" w:customStyle="1" w:styleId="IGindeksgrny">
    <w:name w:val="_IG_ – indeks górny"/>
    <w:basedOn w:val="Domylnaczcionkaakapitu"/>
    <w:uiPriority w:val="2"/>
    <w:qFormat/>
    <w:rsid w:val="009A4937"/>
    <w:rPr>
      <w:b w:val="0"/>
      <w:i w:val="0"/>
      <w:vanish w:val="0"/>
      <w:spacing w:val="0"/>
      <w:vertAlign w:val="superscript"/>
    </w:rPr>
  </w:style>
  <w:style w:type="paragraph" w:styleId="Stopka">
    <w:name w:val="footer"/>
    <w:basedOn w:val="Normalny"/>
    <w:link w:val="StopkaZnak"/>
    <w:uiPriority w:val="99"/>
    <w:unhideWhenUsed/>
    <w:rsid w:val="009A4937"/>
    <w:pPr>
      <w:tabs>
        <w:tab w:val="center" w:pos="4536"/>
        <w:tab w:val="right" w:pos="9072"/>
      </w:tabs>
      <w:spacing w:line="240" w:lineRule="auto"/>
    </w:pPr>
  </w:style>
  <w:style w:type="character" w:customStyle="1" w:styleId="StopkaZnak">
    <w:name w:val="Stopka Znak"/>
    <w:basedOn w:val="Domylnaczcionkaakapitu"/>
    <w:link w:val="Stopka"/>
    <w:uiPriority w:val="99"/>
    <w:rsid w:val="009A4937"/>
    <w:rPr>
      <w:sz w:val="24"/>
    </w:rPr>
  </w:style>
  <w:style w:type="character" w:customStyle="1" w:styleId="Nagwek1Znak">
    <w:name w:val="Nagłówek 1 Znak"/>
    <w:basedOn w:val="Domylnaczcionkaakapitu"/>
    <w:link w:val="Nagwek1"/>
    <w:rsid w:val="00D37E95"/>
    <w:rPr>
      <w:rFonts w:ascii="Arial" w:hAnsi="Arial" w:cs="Arial"/>
      <w:b/>
      <w:bCs/>
      <w:kern w:val="32"/>
      <w:sz w:val="32"/>
      <w:szCs w:val="32"/>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37E95"/>
    <w:pPr>
      <w:suppressAutoHyphens/>
      <w:autoSpaceDE w:val="0"/>
      <w:autoSpaceDN w:val="0"/>
      <w:adjustRightInd w:val="0"/>
      <w:spacing w:before="120"/>
      <w:ind w:firstLine="510"/>
      <w:jc w:val="both"/>
    </w:pPr>
    <w:rPr>
      <w:rFonts w:ascii="Times" w:hAnsi="Times" w:cs="Arial"/>
      <w:bCs/>
    </w:rPr>
  </w:style>
  <w:style w:type="paragraph" w:styleId="Tekstdymka">
    <w:name w:val="Balloon Text"/>
    <w:basedOn w:val="Normalny"/>
    <w:link w:val="TekstdymkaZnak"/>
    <w:uiPriority w:val="99"/>
    <w:semiHidden/>
    <w:unhideWhenUsed/>
    <w:rsid w:val="00D37E9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95"/>
    <w:rPr>
      <w:rFonts w:ascii="Tahoma" w:hAnsi="Tahoma" w:cs="Tahoma"/>
      <w:sz w:val="16"/>
      <w:szCs w:val="16"/>
    </w:rPr>
  </w:style>
  <w:style w:type="paragraph" w:customStyle="1" w:styleId="ARTartustawynprozporzdzenia">
    <w:name w:val="ART(§) – art. ustawy (§ np. rozporządzenia)"/>
    <w:link w:val="ARTartustawynprozporzdzeniaZnak"/>
    <w:uiPriority w:val="11"/>
    <w:qFormat/>
    <w:rsid w:val="0018049A"/>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DATAAKTUdatauchwalenialubwydaniaaktu">
    <w:name w:val="DATA_AKTU – data uchwalenia lub wydania aktu"/>
    <w:next w:val="TYTUAKTUprzedmiotregulacjiustawylubrozporzdzenia"/>
    <w:uiPriority w:val="6"/>
    <w:qFormat/>
    <w:rsid w:val="0018049A"/>
    <w:pPr>
      <w:keepNext/>
      <w:suppressAutoHyphens/>
      <w:spacing w:before="120" w:after="120" w:line="360" w:lineRule="auto"/>
      <w:jc w:val="center"/>
    </w:pPr>
    <w:rPr>
      <w:rFonts w:ascii="Times" w:eastAsiaTheme="minorEastAsia"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18049A"/>
    <w:pPr>
      <w:keepNext/>
      <w:suppressAutoHyphens/>
      <w:spacing w:before="120" w:after="360" w:line="360" w:lineRule="auto"/>
      <w:jc w:val="center"/>
    </w:pPr>
    <w:rPr>
      <w:rFonts w:ascii="Times" w:eastAsiaTheme="minorEastAsia" w:hAnsi="Times" w:cs="Arial"/>
      <w:b/>
      <w:bCs/>
      <w:sz w:val="24"/>
      <w:szCs w:val="24"/>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18049A"/>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18049A"/>
    <w:pPr>
      <w:spacing w:before="0"/>
    </w:pPr>
    <w:rPr>
      <w:bCs/>
    </w:rPr>
  </w:style>
  <w:style w:type="paragraph" w:customStyle="1" w:styleId="ZUSTzmustartykuempunktem">
    <w:name w:val="Z/UST(§) – zm. ust. (§) artykułem (punktem)"/>
    <w:basedOn w:val="Normalny"/>
    <w:uiPriority w:val="30"/>
    <w:qFormat/>
    <w:rsid w:val="0018049A"/>
    <w:pPr>
      <w:suppressAutoHyphens/>
      <w:autoSpaceDE w:val="0"/>
      <w:autoSpaceDN w:val="0"/>
      <w:adjustRightInd w:val="0"/>
      <w:ind w:left="510" w:firstLine="510"/>
      <w:jc w:val="both"/>
    </w:pPr>
    <w:rPr>
      <w:rFonts w:ascii="Times" w:eastAsiaTheme="minorEastAsia" w:hAnsi="Times" w:cs="Arial"/>
    </w:rPr>
  </w:style>
  <w:style w:type="paragraph" w:customStyle="1" w:styleId="OZNPROJEKTUwskazaniedatylubwersjiprojektu">
    <w:name w:val="OZN_PROJEKTU – wskazanie daty lub wersji projektu"/>
    <w:next w:val="OZNRODZAKTUtznustawalubrozporzdzenieiorganwydajcy"/>
    <w:qFormat/>
    <w:rsid w:val="0018049A"/>
    <w:pPr>
      <w:spacing w:line="360" w:lineRule="auto"/>
      <w:jc w:val="right"/>
    </w:pPr>
    <w:rPr>
      <w:rFonts w:eastAsiaTheme="minorEastAsia" w:cs="Arial"/>
      <w:sz w:val="24"/>
      <w:u w:val="single"/>
    </w:rPr>
  </w:style>
  <w:style w:type="character" w:customStyle="1" w:styleId="Ppogrubienie">
    <w:name w:val="_P_ – pogrubienie"/>
    <w:basedOn w:val="Domylnaczcionkaakapitu"/>
    <w:uiPriority w:val="1"/>
    <w:qFormat/>
    <w:rsid w:val="0018049A"/>
    <w:rPr>
      <w:b/>
    </w:rPr>
  </w:style>
  <w:style w:type="character" w:customStyle="1" w:styleId="ARTartustawynprozporzdzeniaZnak">
    <w:name w:val="ART(§) – art. ustawy (§ np. rozporządzenia) Znak"/>
    <w:basedOn w:val="Domylnaczcionkaakapitu"/>
    <w:link w:val="ARTartustawynprozporzdzenia"/>
    <w:uiPriority w:val="11"/>
    <w:locked/>
    <w:rsid w:val="0018049A"/>
    <w:rPr>
      <w:rFonts w:ascii="Times" w:eastAsiaTheme="minorEastAsia" w:hAnsi="Times" w:cs="Arial"/>
      <w:sz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18049A"/>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18049A"/>
    <w:rPr>
      <w:rFonts w:ascii="Times" w:eastAsiaTheme="minorEastAsia" w:hAnsi="Times" w:cs="Arial"/>
      <w:bCs/>
      <w:sz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18049A"/>
    <w:rPr>
      <w:rFonts w:ascii="Times" w:hAnsi="Times"/>
      <w:b/>
      <w:bCs/>
      <w:caps/>
      <w:spacing w:val="54"/>
      <w:kern w:val="24"/>
      <w:sz w:val="24"/>
      <w:szCs w:val="24"/>
    </w:rPr>
  </w:style>
  <w:style w:type="paragraph" w:styleId="Tekstpodstawowy">
    <w:name w:val="Body Text"/>
    <w:basedOn w:val="Normalny"/>
    <w:link w:val="TekstpodstawowyZnak"/>
    <w:uiPriority w:val="99"/>
    <w:semiHidden/>
    <w:rsid w:val="0018049A"/>
    <w:pPr>
      <w:widowControl w:val="0"/>
      <w:autoSpaceDE w:val="0"/>
      <w:autoSpaceDN w:val="0"/>
      <w:adjustRightInd w:val="0"/>
      <w:spacing w:after="120"/>
      <w:jc w:val="both"/>
    </w:pPr>
    <w:rPr>
      <w:rFonts w:eastAsiaTheme="minorEastAsia" w:cs="Arial"/>
    </w:rPr>
  </w:style>
  <w:style w:type="character" w:customStyle="1" w:styleId="TekstpodstawowyZnak">
    <w:name w:val="Tekst podstawowy Znak"/>
    <w:basedOn w:val="Domylnaczcionkaakapitu"/>
    <w:link w:val="Tekstpodstawowy"/>
    <w:uiPriority w:val="99"/>
    <w:semiHidden/>
    <w:rsid w:val="0018049A"/>
    <w:rPr>
      <w:rFonts w:eastAsiaTheme="minorEastAsia" w:cs="Arial"/>
      <w:sz w:val="24"/>
    </w:rPr>
  </w:style>
  <w:style w:type="paragraph" w:styleId="Akapitzlist">
    <w:name w:val="List Paragraph"/>
    <w:basedOn w:val="Normalny"/>
    <w:uiPriority w:val="34"/>
    <w:qFormat/>
    <w:rsid w:val="006E73F1"/>
    <w:pPr>
      <w:spacing w:line="276" w:lineRule="auto"/>
      <w:ind w:left="720"/>
      <w:contextualSpacing/>
    </w:pPr>
    <w:rPr>
      <w:rFonts w:ascii="Calibri" w:eastAsia="Calibri" w:hAnsi="Calibri"/>
      <w:sz w:val="22"/>
      <w:szCs w:val="22"/>
      <w:lang w:eastAsia="en-US"/>
    </w:rPr>
  </w:style>
  <w:style w:type="character" w:customStyle="1" w:styleId="Nagwek4Znak">
    <w:name w:val="Nagłówek 4 Znak"/>
    <w:basedOn w:val="Domylnaczcionkaakapitu"/>
    <w:link w:val="Nagwek4"/>
    <w:rsid w:val="00AD07BA"/>
    <w:rPr>
      <w:rFonts w:asciiTheme="majorHAnsi" w:eastAsiaTheme="majorEastAsia" w:hAnsiTheme="majorHAnsi" w:cstheme="majorBidi"/>
      <w:b/>
      <w:bCs/>
      <w:i/>
      <w:iCs/>
      <w:color w:val="4F81BD" w:themeColor="accent1"/>
      <w:sz w:val="22"/>
      <w:szCs w:val="22"/>
      <w:lang w:eastAsia="en-US"/>
    </w:rPr>
  </w:style>
  <w:style w:type="paragraph" w:styleId="Tekstprzypisudolnego">
    <w:name w:val="footnote text"/>
    <w:basedOn w:val="Normalny"/>
    <w:link w:val="TekstprzypisudolnegoZnak"/>
    <w:uiPriority w:val="99"/>
    <w:semiHidden/>
    <w:unhideWhenUsed/>
    <w:rsid w:val="00AD07BA"/>
    <w:pPr>
      <w:spacing w:line="276" w:lineRule="auto"/>
    </w:pPr>
    <w:rPr>
      <w:rFonts w:ascii="Calibri" w:eastAsia="Calibri" w:hAnsi="Calibri"/>
      <w:sz w:val="20"/>
      <w:lang w:eastAsia="en-US"/>
    </w:rPr>
  </w:style>
  <w:style w:type="character" w:customStyle="1" w:styleId="TekstprzypisudolnegoZnak">
    <w:name w:val="Tekst przypisu dolnego Znak"/>
    <w:basedOn w:val="Domylnaczcionkaakapitu"/>
    <w:link w:val="Tekstprzypisudolnego"/>
    <w:uiPriority w:val="99"/>
    <w:semiHidden/>
    <w:rsid w:val="00AD07BA"/>
    <w:rPr>
      <w:rFonts w:ascii="Calibri" w:eastAsia="Calibri" w:hAnsi="Calibri"/>
      <w:lang w:eastAsia="en-US"/>
    </w:rPr>
  </w:style>
  <w:style w:type="character" w:styleId="Hipercze">
    <w:name w:val="Hyperlink"/>
    <w:uiPriority w:val="99"/>
    <w:unhideWhenUsed/>
    <w:rsid w:val="00AD07BA"/>
    <w:rPr>
      <w:color w:val="0000FF"/>
      <w:u w:val="single"/>
    </w:rPr>
  </w:style>
  <w:style w:type="paragraph" w:customStyle="1" w:styleId="tresc">
    <w:name w:val="tresc"/>
    <w:basedOn w:val="Normalny"/>
    <w:rsid w:val="00AD07BA"/>
    <w:pPr>
      <w:spacing w:after="300" w:line="240" w:lineRule="auto"/>
    </w:pPr>
    <w:rPr>
      <w:rFonts w:ascii="inherit" w:hAnsi="inherit"/>
      <w:szCs w:val="24"/>
    </w:rPr>
  </w:style>
  <w:style w:type="paragraph" w:customStyle="1" w:styleId="ZARTzmartartykuempunktem">
    <w:name w:val="Z/ART(§) – zm. art. (§) artykułem (punktem)"/>
    <w:basedOn w:val="ARTartustawynprozporzdzenia"/>
    <w:uiPriority w:val="30"/>
    <w:qFormat/>
    <w:rsid w:val="00E878CC"/>
    <w:pPr>
      <w:spacing w:before="0"/>
      <w:ind w:left="510"/>
    </w:pPr>
  </w:style>
  <w:style w:type="character" w:styleId="Wyrnieniedelikatne">
    <w:name w:val="Subtle Emphasis"/>
    <w:basedOn w:val="Domylnaczcionkaakapitu"/>
    <w:uiPriority w:val="19"/>
    <w:qFormat/>
    <w:rsid w:val="00E878CC"/>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93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tkzu.trybunal.gov.pl/2019/A/1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jm.gov.pl/Sejm9.nsf/PrzebiegProc.xsp?nr=418" TargetMode="External"/><Relationship Id="rId4" Type="http://schemas.openxmlformats.org/officeDocument/2006/relationships/settings" Target="settings.xml"/><Relationship Id="rId9" Type="http://schemas.openxmlformats.org/officeDocument/2006/relationships/hyperlink" Target="http://sejm.gov.pl/Sejm9.nsf/PrzebiegProc.xsp?nr=283"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B2FBC-8819-41BD-8142-0D63149C5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908</Words>
  <Characters>5448</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Kancelaria Senatu</Company>
  <LinksUpToDate>false</LinksUpToDate>
  <CharactersWithSpaces>6344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O.</dc:creator>
  <cp:lastModifiedBy>Grzegorz Molesztak</cp:lastModifiedBy>
  <cp:revision>8</cp:revision>
  <dcterms:created xsi:type="dcterms:W3CDTF">2020-09-10T10:12:00Z</dcterms:created>
  <dcterms:modified xsi:type="dcterms:W3CDTF">2020-09-14T10:07:00Z</dcterms:modified>
</cp:coreProperties>
</file>