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25D4" w:rsidRDefault="001F25D4" w:rsidP="00602FDB">
      <w:pPr>
        <w:spacing w:before="120" w:line="360" w:lineRule="auto"/>
        <w:jc w:val="center"/>
      </w:pPr>
      <w:r w:rsidRPr="00602FDB">
        <w:t>UZASADNIENIE</w:t>
      </w:r>
    </w:p>
    <w:p w:rsidR="004647AA" w:rsidRPr="00602FDB" w:rsidRDefault="004647AA" w:rsidP="00602FDB">
      <w:pPr>
        <w:spacing w:line="360" w:lineRule="auto"/>
      </w:pPr>
    </w:p>
    <w:p w:rsidR="001F25D4" w:rsidRPr="00CD2BBC" w:rsidRDefault="001F25D4" w:rsidP="00602FDB">
      <w:pPr>
        <w:numPr>
          <w:ilvl w:val="0"/>
          <w:numId w:val="1"/>
        </w:numPr>
        <w:spacing w:line="360" w:lineRule="auto"/>
        <w:ind w:left="284" w:hanging="284"/>
        <w:jc w:val="both"/>
        <w:rPr>
          <w:b/>
        </w:rPr>
      </w:pPr>
      <w:r w:rsidRPr="00CD2BBC">
        <w:rPr>
          <w:b/>
        </w:rPr>
        <w:t>Potrzeba i cel związania Rzeczypospolitej Polskiej Porozumieniem</w:t>
      </w:r>
    </w:p>
    <w:p w:rsidR="001F25D4" w:rsidRPr="00602FDB" w:rsidRDefault="001F25D4" w:rsidP="00602FDB">
      <w:pPr>
        <w:pStyle w:val="Tekstpodstawowywcity31"/>
        <w:spacing w:before="120" w:after="0" w:line="360" w:lineRule="auto"/>
        <w:ind w:left="0"/>
        <w:jc w:val="both"/>
        <w:rPr>
          <w:sz w:val="24"/>
          <w:szCs w:val="24"/>
        </w:rPr>
      </w:pPr>
      <w:r w:rsidRPr="00CD2BBC">
        <w:rPr>
          <w:sz w:val="24"/>
          <w:szCs w:val="24"/>
        </w:rPr>
        <w:t xml:space="preserve">Traktaty inwestycyjne zawarte między państwami członkowskimi Unii Europejskiej (wewnątrzunijne dwustronne umowy o popieraniu i ochronie inwestycji, dalej jako „umowy intra-EU BIT”) zapewniają inwestorowi i jego inwestycjom z państwa – Strony umowy na terytorium państwa – drugiej Strony umowy ochronę oraz możliwość dochodzenia roszczeń przed międzynarodowym trybunałem inwestycyjnym na podstawie klauzul arbitrażowych inwestor </w:t>
      </w:r>
      <w:r w:rsidR="00400DA9">
        <w:rPr>
          <w:sz w:val="24"/>
          <w:szCs w:val="24"/>
        </w:rPr>
        <w:t>–</w:t>
      </w:r>
      <w:r w:rsidRPr="00CD2BBC">
        <w:rPr>
          <w:sz w:val="24"/>
          <w:szCs w:val="24"/>
        </w:rPr>
        <w:t xml:space="preserve"> państwo. </w:t>
      </w:r>
    </w:p>
    <w:p w:rsidR="001F25D4" w:rsidRPr="00602FDB" w:rsidRDefault="001F25D4" w:rsidP="00602FDB">
      <w:pPr>
        <w:pStyle w:val="Tekstpodstawowywcity31"/>
        <w:spacing w:before="120" w:after="0" w:line="360" w:lineRule="auto"/>
        <w:ind w:left="0"/>
        <w:jc w:val="both"/>
        <w:rPr>
          <w:sz w:val="24"/>
          <w:szCs w:val="24"/>
        </w:rPr>
      </w:pPr>
      <w:r w:rsidRPr="00CD2BBC">
        <w:rPr>
          <w:sz w:val="24"/>
          <w:szCs w:val="24"/>
        </w:rPr>
        <w:t>Obowiązywanie tych umów zostało zakwestionowane przez Komisję Europejską z</w:t>
      </w:r>
      <w:r w:rsidR="002A5CB6">
        <w:rPr>
          <w:sz w:val="24"/>
          <w:szCs w:val="24"/>
        </w:rPr>
        <w:t> </w:t>
      </w:r>
      <w:r w:rsidRPr="00CD2BBC">
        <w:rPr>
          <w:sz w:val="24"/>
          <w:szCs w:val="24"/>
        </w:rPr>
        <w:t>uwagi na ich niezgodność z prawem UE. Komisja Europejska wszczęła formalne postępowania ws. niezgodności tych umów z prawem UE przeciwko Austrii, Niderlandom, Słowacji, Szwecji,</w:t>
      </w:r>
      <w:r w:rsidR="00400DA9">
        <w:rPr>
          <w:sz w:val="24"/>
          <w:szCs w:val="24"/>
        </w:rPr>
        <w:t xml:space="preserve"> </w:t>
      </w:r>
      <w:r w:rsidRPr="00CD2BBC">
        <w:rPr>
          <w:sz w:val="24"/>
          <w:szCs w:val="24"/>
        </w:rPr>
        <w:t xml:space="preserve">Rumunii, Finlandii i Wielkiej Brytanii, natomiast przeciwko pozostałym państwom członkowskim, w tym przeciwko RP, prowadziła nieformalne postępowania (tzw. EU Pilot) i rozważa obecnie wszczęcie formalnych postępowań. </w:t>
      </w:r>
    </w:p>
    <w:p w:rsidR="001F25D4" w:rsidRPr="00602FDB" w:rsidRDefault="001F25D4" w:rsidP="00602FDB">
      <w:pPr>
        <w:pStyle w:val="Tekstpodstawowywcity31"/>
        <w:spacing w:before="120" w:after="0" w:line="360" w:lineRule="auto"/>
        <w:ind w:left="0"/>
        <w:jc w:val="both"/>
        <w:rPr>
          <w:sz w:val="24"/>
          <w:szCs w:val="24"/>
        </w:rPr>
      </w:pPr>
      <w:r w:rsidRPr="00CD2BBC">
        <w:rPr>
          <w:sz w:val="24"/>
          <w:szCs w:val="24"/>
        </w:rPr>
        <w:t xml:space="preserve">W ramach EU Pilot Komisja Europejska zgłaszała poważne obawy, że umowy intra-EU BIT jako takie, a także ich poszczególne postanowienia pokrywają się </w:t>
      </w:r>
      <w:r w:rsidR="002A5CB6" w:rsidRPr="00CD2BBC">
        <w:rPr>
          <w:sz w:val="24"/>
          <w:szCs w:val="24"/>
        </w:rPr>
        <w:t>z</w:t>
      </w:r>
      <w:r w:rsidR="002A5CB6">
        <w:rPr>
          <w:sz w:val="24"/>
          <w:szCs w:val="24"/>
        </w:rPr>
        <w:t> </w:t>
      </w:r>
      <w:r w:rsidRPr="00CD2BBC">
        <w:rPr>
          <w:sz w:val="24"/>
          <w:szCs w:val="24"/>
        </w:rPr>
        <w:t xml:space="preserve">postanowieniami Traktatu o funkcjonowaniu Unii Europejskiej lub mogą być z nimi sprzeczne. Wskazywała, w szczególności, na zasady swobody przepływu kapitału, swobody przedsiębiorczości i swobody świadczenia usług oraz na podstawowe zasady prawa UE, takie jak: zasada nadrzędności, jedności, skuteczności i pewności prawa UE. Komisja Europejska podkreślała również sprzeczność z prawem UE postanowień umów intra-EU BIT odnoszących się do kwestii rozstrzygania sporów inwestycyjnych. Co istotne, Trybunał Sprawiedliwości UE (dalej jako „TSUE”) stwierdził w wyroku wydanym </w:t>
      </w:r>
      <w:r w:rsidR="00741F3C" w:rsidRPr="00CD2BBC">
        <w:rPr>
          <w:sz w:val="24"/>
          <w:szCs w:val="24"/>
        </w:rPr>
        <w:t>w</w:t>
      </w:r>
      <w:r w:rsidR="00741F3C">
        <w:rPr>
          <w:sz w:val="24"/>
          <w:szCs w:val="24"/>
        </w:rPr>
        <w:t> </w:t>
      </w:r>
      <w:r w:rsidRPr="00CD2BBC">
        <w:rPr>
          <w:sz w:val="24"/>
          <w:szCs w:val="24"/>
        </w:rPr>
        <w:t xml:space="preserve">dniu 6 marca 2018 r. w sprawie Achmea B.V. przeciwko Republice Słowacji (C-284/16, dalej jako „orzeczenie TSUE ws. Achmea”), że klauzule arbitrażowe inwestor – państwo zawarte w umowach intra-EU BIT są niezgodne </w:t>
      </w:r>
      <w:r w:rsidR="002A5CB6" w:rsidRPr="00CD2BBC">
        <w:rPr>
          <w:sz w:val="24"/>
          <w:szCs w:val="24"/>
        </w:rPr>
        <w:t>z</w:t>
      </w:r>
      <w:r w:rsidR="002A5CB6">
        <w:rPr>
          <w:sz w:val="24"/>
          <w:szCs w:val="24"/>
        </w:rPr>
        <w:t> </w:t>
      </w:r>
      <w:r w:rsidRPr="00CD2BBC">
        <w:rPr>
          <w:sz w:val="24"/>
          <w:szCs w:val="24"/>
        </w:rPr>
        <w:t xml:space="preserve">prawem UE, gdyż naruszają autonomię prawa UE (TSUE nie odnosił się do przepisów materialnych umów intra-EU BIT). Polska przystąpiła do ww. postępowania i przedstawiła w nim stanowisko wskazujące na sprzeczność umów intra-EU BIT </w:t>
      </w:r>
      <w:r w:rsidR="002A5CB6" w:rsidRPr="00CD2BBC">
        <w:rPr>
          <w:sz w:val="24"/>
          <w:szCs w:val="24"/>
        </w:rPr>
        <w:lastRenderedPageBreak/>
        <w:t>z</w:t>
      </w:r>
      <w:r w:rsidR="002A5CB6">
        <w:rPr>
          <w:sz w:val="24"/>
          <w:szCs w:val="24"/>
        </w:rPr>
        <w:t> </w:t>
      </w:r>
      <w:r w:rsidRPr="00CD2BBC">
        <w:rPr>
          <w:sz w:val="24"/>
          <w:szCs w:val="24"/>
        </w:rPr>
        <w:t>prawem unijnym. Stanowisko zbliżone do RP zajęła Komisja Europejska i wiele państw z regionu i spoza niego.</w:t>
      </w:r>
    </w:p>
    <w:p w:rsidR="001F25D4" w:rsidRPr="00CD2BBC" w:rsidRDefault="001F25D4" w:rsidP="00602FDB">
      <w:pPr>
        <w:pStyle w:val="Tekstpodstawowywcity31"/>
        <w:spacing w:before="120" w:after="0" w:line="360" w:lineRule="auto"/>
        <w:ind w:left="0"/>
        <w:jc w:val="both"/>
        <w:rPr>
          <w:sz w:val="24"/>
          <w:szCs w:val="24"/>
        </w:rPr>
      </w:pPr>
      <w:r w:rsidRPr="00CD2BBC">
        <w:rPr>
          <w:sz w:val="24"/>
          <w:szCs w:val="24"/>
        </w:rPr>
        <w:t xml:space="preserve">Stanowisko RP wobec umów intra-EU BIT zostało przyjęte przez Komitet do Spraw Europejskich w dniu 3 czerwca 2011 r. Zgodnie z nim umowy intra-EU BIT powinny zostać wypowiedziane przez wszystkie państwa członkowskie UE, a najlepszym rozwiązaniem dla RP byłoby jednoczesne podjęcie przez wszystkie państwa członkowskie UE wspólnej decyzji o rozwiązaniu umów intra-EU BIT za obopólną zgodą na mocy Konwencji wiedeńskiej o prawie traktatów, sporządzonej w Wiedniu dnia 23 maja 1969 r. (Dz. U. z 1990 r. poz. 439). Alternatywnie, w przypadku braku możliwości osiągnięcia wśród państw członkowskich UE takiej jednomyślności RP, zgodnie </w:t>
      </w:r>
      <w:r w:rsidR="00576052" w:rsidRPr="00CD2BBC">
        <w:rPr>
          <w:sz w:val="24"/>
          <w:szCs w:val="24"/>
        </w:rPr>
        <w:t>z</w:t>
      </w:r>
      <w:r w:rsidR="00576052">
        <w:rPr>
          <w:sz w:val="24"/>
          <w:szCs w:val="24"/>
        </w:rPr>
        <w:t> </w:t>
      </w:r>
      <w:r w:rsidRPr="00CD2BBC">
        <w:rPr>
          <w:sz w:val="24"/>
          <w:szCs w:val="24"/>
        </w:rPr>
        <w:t xml:space="preserve">powyższym stanowiskiem, powinna rozwiązać umowy intra-EU BIT albo przez ich wypowiedzenie na warunkach określonych w tych umowach, albo na podstawie porozumienia </w:t>
      </w:r>
      <w:r w:rsidR="00B24E39">
        <w:rPr>
          <w:sz w:val="24"/>
          <w:szCs w:val="24"/>
        </w:rPr>
        <w:t>S</w:t>
      </w:r>
      <w:r w:rsidRPr="00CD2BBC">
        <w:rPr>
          <w:sz w:val="24"/>
          <w:szCs w:val="24"/>
        </w:rPr>
        <w:t xml:space="preserve">tron. </w:t>
      </w:r>
    </w:p>
    <w:p w:rsidR="001F25D4" w:rsidRPr="00CD2BBC" w:rsidRDefault="001F25D4" w:rsidP="00602FDB">
      <w:pPr>
        <w:spacing w:before="120" w:line="360" w:lineRule="auto"/>
        <w:jc w:val="both"/>
      </w:pPr>
      <w:r w:rsidRPr="00CD2BBC">
        <w:rPr>
          <w:color w:val="000000"/>
        </w:rPr>
        <w:t xml:space="preserve">Z uwagi na brak konsensusu państw członkowskich UE co do celowości i sposobu rozwiązania umów intra-EU BIT, przed wydaniem orzeczenia TSUE w sprawie Achmea, RP przystąpiła do realizacji opcji rozwiązania umów na podstawie porozumień dwustronnych przewidujących rezygnację z klauzul przedłużonego obowiązywania umowy lub też przez ich wypowiedzenie, w przypadku gdy dane państwo członkowskie UE nie było zainteresowane rozwiązaniem umowy przez zawarcie dwustronnego porozumienia. W rezultacie RP rozwiązała umowy intra-EU BIT, łącznie z klauzulami przedłużonego obowiązywania umowy, z Danią, Estonią, Republiką Czeską, Łotwą </w:t>
      </w:r>
      <w:r w:rsidR="00576052" w:rsidRPr="00CD2BBC">
        <w:rPr>
          <w:color w:val="000000"/>
        </w:rPr>
        <w:t>i</w:t>
      </w:r>
      <w:r w:rsidR="00576052">
        <w:rPr>
          <w:color w:val="000000"/>
        </w:rPr>
        <w:t> </w:t>
      </w:r>
      <w:r w:rsidRPr="00CD2BBC">
        <w:rPr>
          <w:color w:val="000000"/>
        </w:rPr>
        <w:t>Rumunią</w:t>
      </w:r>
      <w:r w:rsidRPr="00CD2BBC">
        <w:rPr>
          <w:rStyle w:val="Zakotwiczenieprzypisudolnego"/>
          <w:color w:val="000000"/>
        </w:rPr>
        <w:footnoteReference w:id="1"/>
      </w:r>
      <w:r w:rsidR="000437A9">
        <w:rPr>
          <w:color w:val="000000"/>
          <w:vertAlign w:val="superscript"/>
        </w:rPr>
        <w:t>)</w:t>
      </w:r>
      <w:r w:rsidRPr="00CD2BBC">
        <w:rPr>
          <w:color w:val="000000"/>
        </w:rPr>
        <w:t xml:space="preserve">. RP wypowiedziała umowy intra-EU BIT zawarte z Belgią i Luksemburgiem (jedna umowa), Cyprem, Francją, Niderlandami, Portugalią, Austrią, Szwecją, Niemcami, Hiszpanią, Finlandią, Bułgarią, Grecją, Chorwacją, Litwą, Węgrami i Wielką Brytanią. RP nie zawarła umów intra-EU BIT </w:t>
      </w:r>
      <w:r w:rsidR="002A5CB6" w:rsidRPr="00CD2BBC">
        <w:rPr>
          <w:color w:val="000000"/>
        </w:rPr>
        <w:t>z</w:t>
      </w:r>
      <w:r w:rsidR="002A5CB6">
        <w:rPr>
          <w:color w:val="000000"/>
        </w:rPr>
        <w:t> </w:t>
      </w:r>
      <w:r w:rsidRPr="00CD2BBC">
        <w:rPr>
          <w:color w:val="000000"/>
        </w:rPr>
        <w:t xml:space="preserve">Irlandią i Maltą, umowa intra-EU BIT </w:t>
      </w:r>
      <w:r w:rsidR="00576052" w:rsidRPr="00CD2BBC">
        <w:rPr>
          <w:color w:val="000000"/>
        </w:rPr>
        <w:t>z</w:t>
      </w:r>
      <w:r w:rsidR="00576052">
        <w:rPr>
          <w:color w:val="000000"/>
        </w:rPr>
        <w:t> </w:t>
      </w:r>
      <w:r w:rsidRPr="00CD2BBC">
        <w:rPr>
          <w:color w:val="000000"/>
        </w:rPr>
        <w:t xml:space="preserve">Włochami została wypowiedziana przez to państwo (wygasła w 2013 r., łącznie </w:t>
      </w:r>
      <w:r w:rsidR="00576052" w:rsidRPr="00CD2BBC">
        <w:rPr>
          <w:color w:val="000000"/>
        </w:rPr>
        <w:t>z</w:t>
      </w:r>
      <w:r w:rsidR="00576052">
        <w:rPr>
          <w:color w:val="000000"/>
        </w:rPr>
        <w:t> </w:t>
      </w:r>
      <w:r w:rsidRPr="00CD2BBC">
        <w:rPr>
          <w:color w:val="000000"/>
        </w:rPr>
        <w:t>klauzulą przedłużonego obowiązywania umowy), natomiast rozwiązanie umowy intra-EU BIT ze Słowacją, za porozumie</w:t>
      </w:r>
      <w:r w:rsidR="00205C8B">
        <w:rPr>
          <w:color w:val="000000"/>
        </w:rPr>
        <w:t>nie</w:t>
      </w:r>
      <w:r w:rsidRPr="00CD2BBC">
        <w:rPr>
          <w:color w:val="000000"/>
        </w:rPr>
        <w:t xml:space="preserve">m </w:t>
      </w:r>
      <w:r w:rsidR="00B24E39">
        <w:rPr>
          <w:color w:val="000000"/>
        </w:rPr>
        <w:t>S</w:t>
      </w:r>
      <w:r w:rsidRPr="00CD2BBC">
        <w:rPr>
          <w:color w:val="000000"/>
        </w:rPr>
        <w:t xml:space="preserve">tron, było przedmiotem niezakończonych konsultacji roboczych. </w:t>
      </w:r>
    </w:p>
    <w:p w:rsidR="001F25D4" w:rsidRDefault="001F25D4" w:rsidP="00602FDB">
      <w:pPr>
        <w:keepNext/>
        <w:spacing w:before="120" w:line="360" w:lineRule="auto"/>
        <w:jc w:val="both"/>
        <w:rPr>
          <w:color w:val="000000"/>
        </w:rPr>
      </w:pPr>
      <w:r w:rsidRPr="00CD2BBC">
        <w:rPr>
          <w:color w:val="000000"/>
        </w:rPr>
        <w:lastRenderedPageBreak/>
        <w:t xml:space="preserve">W uzasadnieniach do wypowiedzeń umów intra-EU BIT zawartych przez RP zawarto deklarację, zgodnie z którą równolegle do procesu wypowiadania umów RP będzie kontynuowała konsultacje z państwami członkowskimi UE mające na celu doprowadzenie do rozwiązania tych umów za porozumieniem </w:t>
      </w:r>
      <w:r w:rsidR="00B24E39">
        <w:rPr>
          <w:color w:val="000000"/>
        </w:rPr>
        <w:t>S</w:t>
      </w:r>
      <w:r w:rsidRPr="00CD2BBC">
        <w:rPr>
          <w:color w:val="000000"/>
        </w:rPr>
        <w:t xml:space="preserve">tron, łącznie z klauzulą przedłużonego obowiązywania umowy. W przypadku uzyskania takiej zgody przed wejściem w życie wypowiedzenia umów, RP miała podjąć działania mające na celu zakończenie obowiązywania tych umów, łącznie z ww. klauzulą. Działania takie zostały podjęte na forum unijnym w związku z ówczesną gotowością wszystkich państw do rozwiązania umów intra-EU BIT na podstawie traktatu plurilateralnego. Prace nad traktatem trwały od listopada 2018 r. do października 2019 r. na forum specjalnie w tym celu powołanej Grupy eksperckiej do spraw rozwiązania umów intra-EU BIT oraz na poziomie stałych przedstawicieli RP przy UE w Brukseli (Komisja Europejska pełniła </w:t>
      </w:r>
      <w:r w:rsidR="00576052" w:rsidRPr="00CD2BBC">
        <w:rPr>
          <w:color w:val="000000"/>
        </w:rPr>
        <w:t>w</w:t>
      </w:r>
      <w:r w:rsidR="00576052">
        <w:rPr>
          <w:color w:val="000000"/>
        </w:rPr>
        <w:t> </w:t>
      </w:r>
      <w:r w:rsidRPr="00CD2BBC">
        <w:rPr>
          <w:color w:val="000000"/>
        </w:rPr>
        <w:t>nich rolę pomocniczą). Wynikiem tych prac jest Porozumienie, które zostało podpisane w dniu 5 maja 2020 r. w Brukseli (Dz. Urz. UE L 169 z 29.05</w:t>
      </w:r>
      <w:r w:rsidR="00205C8B">
        <w:rPr>
          <w:color w:val="000000"/>
        </w:rPr>
        <w:t>.</w:t>
      </w:r>
      <w:r w:rsidRPr="00CD2BBC">
        <w:rPr>
          <w:color w:val="000000"/>
        </w:rPr>
        <w:t xml:space="preserve">2020, str. 1) przez dwadzieścia trzy państwa członkowskie. Ostatecznie Austria, Finlandia, Irlandia, Szwecja i Wielka Brytania, które uczestniczyły w pracach nad Porozumieniem, nie zdecydowały się na jego podpisanie (patrz też pkt 2). Jednocześnie Luksemburg, Portugalia i Niderlandy złożyły do Porozumienia oddzielne deklaracje. Deklaracje Luksemburga i Portugalii wzywają Komisję i pozostałe państwa członkowskie do zintensyfikowania dyskusji w celu zapewnienia silnej i skutecznej ochrony inwestycji </w:t>
      </w:r>
      <w:r w:rsidR="00576052" w:rsidRPr="00CD2BBC">
        <w:rPr>
          <w:color w:val="000000"/>
        </w:rPr>
        <w:t>w</w:t>
      </w:r>
      <w:r w:rsidR="00576052">
        <w:rPr>
          <w:color w:val="000000"/>
        </w:rPr>
        <w:t> </w:t>
      </w:r>
      <w:r w:rsidRPr="00CD2BBC">
        <w:rPr>
          <w:color w:val="000000"/>
        </w:rPr>
        <w:t xml:space="preserve">UE. Niderlandy w swojej deklaracji wskazują, że Porozumienie kończy obowiązywanie umów intra-EU BIT również w odniesieniu do ich krajów i terytoriów zamorskich. </w:t>
      </w:r>
    </w:p>
    <w:p w:rsidR="004647AA" w:rsidRPr="00CD2BBC" w:rsidRDefault="004647AA" w:rsidP="00602FDB">
      <w:pPr>
        <w:keepNext/>
        <w:spacing w:line="360" w:lineRule="auto"/>
        <w:jc w:val="both"/>
      </w:pPr>
    </w:p>
    <w:p w:rsidR="001F25D4" w:rsidRPr="00602FDB" w:rsidRDefault="001F25D4" w:rsidP="00602FDB">
      <w:pPr>
        <w:numPr>
          <w:ilvl w:val="0"/>
          <w:numId w:val="1"/>
        </w:numPr>
        <w:spacing w:line="360" w:lineRule="auto"/>
        <w:ind w:left="425" w:hanging="425"/>
        <w:rPr>
          <w:b/>
          <w:color w:val="000000"/>
        </w:rPr>
      </w:pPr>
      <w:r w:rsidRPr="00602FDB">
        <w:rPr>
          <w:b/>
          <w:color w:val="000000"/>
        </w:rPr>
        <w:t>Dotychczasowy a projektowany stan prawny</w:t>
      </w:r>
    </w:p>
    <w:p w:rsidR="001F25D4" w:rsidRPr="00CD2BBC" w:rsidRDefault="001F25D4" w:rsidP="00602FDB">
      <w:pPr>
        <w:spacing w:before="120" w:line="360" w:lineRule="auto"/>
        <w:jc w:val="both"/>
      </w:pPr>
      <w:r w:rsidRPr="00CD2BBC">
        <w:t>Porozumienie ma na celu dostosowanie stanu prawnego do orzeczenia TSUE ws. Achmea. Zgodnie z ww. wyrokiem na państwach członkowskich UE ciąży obowiązek usunięcia umów intra-EU BIT, łącznie z klauzulami przedłużonego ob</w:t>
      </w:r>
      <w:r w:rsidR="00205C8B">
        <w:t>o</w:t>
      </w:r>
      <w:r w:rsidRPr="00CD2BBC">
        <w:t xml:space="preserve">wiązywania umów, z obrotu prawnego w celu zapewnienia pewności prawa. W ww. orzeczeniu TSUE nie ograniczył swojej wykładni pod względem czasowym. Klauzule arbitrażowe inwestor – państwo zawarte w umowach intra-EU BIT zostały przez TSUE uznane za sprzeczne </w:t>
      </w:r>
      <w:r w:rsidR="00576052" w:rsidRPr="00CD2BBC">
        <w:t>z</w:t>
      </w:r>
      <w:r w:rsidR="00576052">
        <w:t> </w:t>
      </w:r>
      <w:r w:rsidRPr="00CD2BBC">
        <w:t>prawem UE ze skutkiem wstecznym.</w:t>
      </w:r>
    </w:p>
    <w:p w:rsidR="001F25D4" w:rsidRPr="00CD2BBC" w:rsidRDefault="001F25D4" w:rsidP="00602FDB">
      <w:pPr>
        <w:spacing w:before="120" w:line="360" w:lineRule="auto"/>
        <w:jc w:val="both"/>
      </w:pPr>
      <w:r w:rsidRPr="00CD2BBC">
        <w:lastRenderedPageBreak/>
        <w:t xml:space="preserve">W przypadku nowych państw członkowskich UE wyrok TSUE wywołuje skutek od momentu przystąpienia do UE. Wyrok TSUE ma znaczenie dla wszystkich postępowań arbitrażowych inwestor – państwo prowadzonych na podstawie umów intra-EU BIT oraz dla wewnątrzunijnego stosowania Traktatu Karty Energetycznej, a także dla wszystkich postępowań post-arbitrażowych (tj. postępowań ze skarg o uchylenie wyroków arbitrażowych oraz postępowań dotyczących uznania bądź stwierdzenia wykonalności tych wyroków). Konsekwencje orzeczenia TSUE ws. Achmea zostały przedstawione </w:t>
      </w:r>
      <w:r w:rsidR="00576052" w:rsidRPr="00CD2BBC">
        <w:t>w</w:t>
      </w:r>
      <w:r w:rsidR="00576052">
        <w:t> </w:t>
      </w:r>
      <w:r w:rsidRPr="00CD2BBC">
        <w:t>preambule Porozumienia. Porozumienie wskazuje (motyw piąty), że klauzule arbitrażowe inwestor</w:t>
      </w:r>
      <w:r w:rsidR="00400DA9">
        <w:t xml:space="preserve"> –</w:t>
      </w:r>
      <w:r w:rsidRPr="00CD2BBC">
        <w:t xml:space="preserve"> państwo w umowach intra-EU BIT są sprzeczne </w:t>
      </w:r>
      <w:r w:rsidR="002A5CB6" w:rsidRPr="00CD2BBC">
        <w:t>z</w:t>
      </w:r>
      <w:r w:rsidR="002A5CB6">
        <w:t> </w:t>
      </w:r>
      <w:r w:rsidRPr="00CD2BBC">
        <w:t xml:space="preserve">traktatami UE oraz że w wyniku tej niezgodności nie można ich stosować po dniu, </w:t>
      </w:r>
      <w:r w:rsidR="002A5CB6" w:rsidRPr="00CD2BBC">
        <w:t>w</w:t>
      </w:r>
      <w:r w:rsidR="002A5CB6">
        <w:t> </w:t>
      </w:r>
      <w:r w:rsidRPr="00CD2BBC">
        <w:t xml:space="preserve">którym ostatnia ze </w:t>
      </w:r>
      <w:r w:rsidR="00B24E39">
        <w:t>S</w:t>
      </w:r>
      <w:r w:rsidRPr="00CD2BBC">
        <w:t xml:space="preserve">tron umowy intra-EU BIT stała się państwem członkowskim UE. Dalej stwierdza się (motyw szósty), że taka klauzula nie może stanowić podstawy prawnej dla postępowań arbitrażowych inwestor – państwo w umowach intra-EU BIT. Porozumienie (motyw siódmy) obejmuje wszystkie postępowania arbitrażowe </w:t>
      </w:r>
      <w:r w:rsidR="002A5CB6" w:rsidRPr="00CD2BBC">
        <w:t>w</w:t>
      </w:r>
      <w:r w:rsidR="002A5CB6">
        <w:t> </w:t>
      </w:r>
      <w:r w:rsidRPr="00CD2BBC">
        <w:t xml:space="preserve">sporach między inwestorem </w:t>
      </w:r>
      <w:r w:rsidR="00576052" w:rsidRPr="00CD2BBC">
        <w:t>a</w:t>
      </w:r>
      <w:r w:rsidR="00576052">
        <w:t> </w:t>
      </w:r>
      <w:r w:rsidRPr="00CD2BBC">
        <w:t xml:space="preserve">państwem na podstawie wewnątrzunijnych dwustronnych traktatów inwestycyjnych na mocy dowolnej konwencji arbitrażowej lub regulaminu arbitrażowego. Kwestia stosowania Traktatu Karty Energetycznej </w:t>
      </w:r>
      <w:r w:rsidR="002A5CB6" w:rsidRPr="00CD2BBC">
        <w:t>w</w:t>
      </w:r>
      <w:r w:rsidR="002A5CB6">
        <w:t> </w:t>
      </w:r>
      <w:r w:rsidRPr="00CD2BBC">
        <w:t xml:space="preserve">relacjach wewnątrzunijnych inwestor – państwo, dotycząca implikacji orzeczenia ws. Achmea dla TKE, została wyłączona </w:t>
      </w:r>
      <w:r w:rsidR="00576052" w:rsidRPr="00CD2BBC">
        <w:t>z</w:t>
      </w:r>
      <w:r w:rsidR="00576052">
        <w:t> </w:t>
      </w:r>
      <w:r w:rsidRPr="00CD2BBC">
        <w:t>Porozumienia. W preambule zawarto postanowienie, że UE i jej państwa członkowskie zajmą się tą kwestią na późniejszym etapie (motyw dziesiąty preambuły).</w:t>
      </w:r>
    </w:p>
    <w:p w:rsidR="001F25D4" w:rsidRPr="00CD2BBC" w:rsidRDefault="001F25D4" w:rsidP="00602FDB">
      <w:pPr>
        <w:spacing w:before="120" w:line="360" w:lineRule="auto"/>
        <w:jc w:val="both"/>
      </w:pPr>
      <w:r w:rsidRPr="00CD2BBC">
        <w:t xml:space="preserve">Porozumienie (art. 2) kończy obowiązywanie umów intra-EU BIT. Umowy te są wymienione w Załączniku A. W odniesieniu do RP Porozumienie kończy obowiązywanie, łącznie z klauzulą przedłużonego obowiązywania, umowę intra-EU BIT zawartą przez RP ze Słowacją. Kończy również obowiązywanie umów intra-EU BIT, łącznie z ww. klauzulą, zawartych przez RP z Belgią i Luksemburgiem, Bułgarią oraz Litwą, jeżeli wejdzie w życie w stosunku do tych państw wcześniej niż dokonane </w:t>
      </w:r>
      <w:r w:rsidR="00205C8B" w:rsidRPr="00CD2BBC">
        <w:t>w</w:t>
      </w:r>
      <w:r w:rsidR="00205C8B">
        <w:t> </w:t>
      </w:r>
      <w:r w:rsidR="00205C8B" w:rsidRPr="00CD2BBC">
        <w:t>2018</w:t>
      </w:r>
      <w:r w:rsidR="00205C8B">
        <w:t> </w:t>
      </w:r>
      <w:r w:rsidRPr="00CD2BBC">
        <w:t>r. przez RP wypowiedzenie tych umów</w:t>
      </w:r>
      <w:r w:rsidRPr="00CD2BBC">
        <w:rPr>
          <w:rStyle w:val="Zakotwiczenieprzypisudolnego"/>
        </w:rPr>
        <w:footnoteReference w:id="2"/>
      </w:r>
      <w:r w:rsidR="000437A9">
        <w:rPr>
          <w:vertAlign w:val="superscript"/>
        </w:rPr>
        <w:t>)</w:t>
      </w:r>
      <w:r w:rsidRPr="00CD2BBC">
        <w:t xml:space="preserve">. </w:t>
      </w:r>
    </w:p>
    <w:p w:rsidR="001F25D4" w:rsidRPr="00CD2BBC" w:rsidRDefault="001F25D4" w:rsidP="00602FDB">
      <w:pPr>
        <w:spacing w:before="120" w:line="360" w:lineRule="auto"/>
        <w:jc w:val="both"/>
      </w:pPr>
      <w:r w:rsidRPr="00CD2BBC">
        <w:lastRenderedPageBreak/>
        <w:t xml:space="preserve">Porozumienie (art. 3) wygasza klauzule przedłużonego obowiązywania umów intra-EU BIT, które są w mocy w odniesieniu do umów wypowiedzianych (umowy wymieniono w Załączniku B). W odniesieniu do RP dotyczy to umów intra-EU BIT zawartych </w:t>
      </w:r>
      <w:r w:rsidR="00576052" w:rsidRPr="00CD2BBC">
        <w:t>z</w:t>
      </w:r>
      <w:r w:rsidR="00576052">
        <w:t> </w:t>
      </w:r>
      <w:r w:rsidRPr="00CD2BBC">
        <w:t xml:space="preserve">Chorwacją, Cyprem, Francją, Grecją, Hiszpanią, Niderlandami, Niemcami </w:t>
      </w:r>
      <w:r w:rsidR="00576052" w:rsidRPr="00CD2BBC">
        <w:t>i</w:t>
      </w:r>
      <w:r w:rsidR="00576052">
        <w:t> </w:t>
      </w:r>
      <w:r w:rsidRPr="00CD2BBC">
        <w:t>Portugalią</w:t>
      </w:r>
      <w:r w:rsidRPr="00CD2BBC">
        <w:rPr>
          <w:rStyle w:val="Zakotwiczenieprzypisudolnego"/>
        </w:rPr>
        <w:footnoteReference w:id="3"/>
      </w:r>
      <w:r w:rsidR="000437A9">
        <w:rPr>
          <w:vertAlign w:val="superscript"/>
        </w:rPr>
        <w:t>)</w:t>
      </w:r>
      <w:r w:rsidRPr="00CD2BBC">
        <w:t>. Austria, Finlandia, Irlandia, Szwecja i Wielka Brytania zdecydowały, że nie przystąpią do Porozumienia.</w:t>
      </w:r>
      <w:r w:rsidRPr="00CD2BBC">
        <w:rPr>
          <w:rStyle w:val="Zakotwiczenieprzypisudolnego"/>
        </w:rPr>
        <w:footnoteReference w:id="4"/>
      </w:r>
      <w:r w:rsidR="000437A9">
        <w:rPr>
          <w:vertAlign w:val="superscript"/>
        </w:rPr>
        <w:t>)</w:t>
      </w:r>
      <w:r w:rsidRPr="00CD2BBC">
        <w:t xml:space="preserve"> Stanowisko Irlandii wynika z faktu, że nie zawierała ona umów intra-EU BIT. Szwecja i Finlandia zwróciły się do RP o zawarcie dwustronnych porozumień wygaszających klauzule przedłużonego obowiązywania umów, które to umowy zostały wypowiedziane przez RP. Podobnie Austria rozważa zawarcie z RP dwustronnego porozumienia wygaszającego klauzulę przedłużonego obowiązywania umowy, która to umowa została wypowiedziana przez RP. Wielka Brytania mimo zapewnień, że będzie respektowała orzeczenie TSUE ws. Achmea, nie zdecydowała się na podpisanie Porozumienia.</w:t>
      </w:r>
    </w:p>
    <w:p w:rsidR="001F25D4" w:rsidRPr="00CD2BBC" w:rsidRDefault="001F25D4" w:rsidP="00602FDB">
      <w:pPr>
        <w:widowControl w:val="0"/>
        <w:spacing w:before="120" w:line="360" w:lineRule="auto"/>
        <w:jc w:val="both"/>
      </w:pPr>
      <w:r w:rsidRPr="00CD2BBC">
        <w:rPr>
          <w:color w:val="000000"/>
          <w:lang w:eastAsia="en-US" w:bidi="en-US"/>
        </w:rPr>
        <w:t xml:space="preserve">Porozumienie przewiduje niezbędne rozwiązanie „korekcyjne” odnośnie do Załączników A i B, zgodnie bowiem z art. 12 ust. 2 Porozumienia, jeżeli umowa wymieniona </w:t>
      </w:r>
      <w:r w:rsidR="00576052" w:rsidRPr="00CD2BBC">
        <w:rPr>
          <w:color w:val="000000"/>
          <w:lang w:eastAsia="en-US" w:bidi="en-US"/>
        </w:rPr>
        <w:t>w</w:t>
      </w:r>
      <w:r w:rsidR="00576052">
        <w:rPr>
          <w:color w:val="000000"/>
          <w:lang w:eastAsia="en-US" w:bidi="en-US"/>
        </w:rPr>
        <w:t> </w:t>
      </w:r>
      <w:r w:rsidRPr="00CD2BBC">
        <w:rPr>
          <w:color w:val="000000"/>
          <w:lang w:eastAsia="en-US" w:bidi="en-US"/>
        </w:rPr>
        <w:t xml:space="preserve">Załączniku A nie obowiązuje w dniu, w którym Porozumienie wchodzi w życie </w:t>
      </w:r>
      <w:r w:rsidR="00576052" w:rsidRPr="00CD2BBC">
        <w:rPr>
          <w:color w:val="000000"/>
          <w:lang w:eastAsia="en-US" w:bidi="en-US"/>
        </w:rPr>
        <w:t>w</w:t>
      </w:r>
      <w:r w:rsidR="00576052">
        <w:rPr>
          <w:color w:val="000000"/>
          <w:lang w:eastAsia="en-US" w:bidi="en-US"/>
        </w:rPr>
        <w:t> </w:t>
      </w:r>
      <w:r w:rsidRPr="00CD2BBC">
        <w:rPr>
          <w:color w:val="000000"/>
          <w:lang w:eastAsia="en-US" w:bidi="en-US"/>
        </w:rPr>
        <w:t xml:space="preserve">odniesieniu do odpowiednich Umawiających się Stron, lecz inwestycje dokonane przed takim wygaśnięciem mogą nadal podlegać zakresowi jej stosowania ze względu na klauzulę przedłużonego obowiązywania umowy intra-EU BIT, wówczas uznaje się ją za umowę intra-EU BIT wymienioną w Załączniku B. W odniesieniu do umów intra-EU BIT zawartych przez RP taka sytuacja dotyczy umów ze Słowenią </w:t>
      </w:r>
      <w:r w:rsidR="002A5CB6" w:rsidRPr="00CD2BBC">
        <w:rPr>
          <w:color w:val="000000"/>
          <w:lang w:eastAsia="en-US" w:bidi="en-US"/>
        </w:rPr>
        <w:t>i</w:t>
      </w:r>
      <w:r w:rsidR="002A5CB6">
        <w:rPr>
          <w:color w:val="000000"/>
          <w:lang w:eastAsia="en-US" w:bidi="en-US"/>
        </w:rPr>
        <w:t> </w:t>
      </w:r>
      <w:r w:rsidRPr="00CD2BBC">
        <w:rPr>
          <w:color w:val="000000"/>
          <w:lang w:eastAsia="en-US" w:bidi="en-US"/>
        </w:rPr>
        <w:t xml:space="preserve">Węgrami (patrz przypis 3). </w:t>
      </w:r>
    </w:p>
    <w:p w:rsidR="001F25D4" w:rsidRPr="00CD2BBC" w:rsidRDefault="001F25D4" w:rsidP="00602FDB">
      <w:pPr>
        <w:spacing w:before="120" w:line="360" w:lineRule="auto"/>
        <w:jc w:val="both"/>
      </w:pPr>
      <w:r w:rsidRPr="00CD2BBC">
        <w:lastRenderedPageBreak/>
        <w:t xml:space="preserve">Porozumienie (art. 4 ust. 1) stwierdza, że klauzule arbitrażowe w sporach między inwestorem a państwem są sprzeczne z traktatami UE i w związku z tym nie mają zastosowania. Nie mogą one stanowić podstawy prawnej dla postępowań arbitrażowych. Dotyczy to zarówno klauzul zawartych w umowach intra-EU BIT wygaszanych na mocy Porozumienia, jak i tych zawartych w umowach intra-EU BIT, które wygasły </w:t>
      </w:r>
      <w:r w:rsidR="00576052" w:rsidRPr="00CD2BBC">
        <w:t>i</w:t>
      </w:r>
      <w:r w:rsidR="00576052">
        <w:t> </w:t>
      </w:r>
      <w:r w:rsidR="00576052" w:rsidRPr="00CD2BBC">
        <w:t>w</w:t>
      </w:r>
      <w:r w:rsidR="00576052">
        <w:t> </w:t>
      </w:r>
      <w:r w:rsidRPr="00CD2BBC">
        <w:t xml:space="preserve">przypadku których może obowiązywać klauzula przedłużonego obowiązywania umowy (w odniesieniu do RP dotyczy to umów wypowiedzianych przez RP), począwszy od daty, w której obie </w:t>
      </w:r>
      <w:r w:rsidR="00B24E39">
        <w:t>S</w:t>
      </w:r>
      <w:r w:rsidRPr="00CD2BBC">
        <w:t xml:space="preserve">trony umowy intra-EU BIT stały się członkami UE. </w:t>
      </w:r>
      <w:r w:rsidRPr="00CD2BBC">
        <w:rPr>
          <w:color w:val="000000"/>
        </w:rPr>
        <w:t xml:space="preserve">Postanowienie to jest wzmocnione treścią motywu szóstego preambuły </w:t>
      </w:r>
      <w:r w:rsidR="002A5CB6" w:rsidRPr="00CD2BBC">
        <w:rPr>
          <w:color w:val="000000"/>
        </w:rPr>
        <w:t>i</w:t>
      </w:r>
      <w:r w:rsidR="002A5CB6">
        <w:rPr>
          <w:color w:val="000000"/>
        </w:rPr>
        <w:t> </w:t>
      </w:r>
      <w:r w:rsidRPr="00CD2BBC">
        <w:rPr>
          <w:color w:val="000000"/>
        </w:rPr>
        <w:t xml:space="preserve">należy je interpretować jako późniejsze porozumienie, zawarte między </w:t>
      </w:r>
      <w:r w:rsidR="00B24E39">
        <w:rPr>
          <w:color w:val="000000"/>
        </w:rPr>
        <w:t>S</w:t>
      </w:r>
      <w:r w:rsidRPr="00CD2BBC">
        <w:rPr>
          <w:color w:val="000000"/>
        </w:rPr>
        <w:t xml:space="preserve">tronami umów intra-EU BIT oraz traktatów unijnych, dotyczące interpretacji traktatu lub stosowania jego postanowień, w rozumieniu art. 31 ust. 3 lit. a Konwencji wiedeńskiej </w:t>
      </w:r>
      <w:r w:rsidR="002A5CB6" w:rsidRPr="00CD2BBC">
        <w:rPr>
          <w:color w:val="000000"/>
        </w:rPr>
        <w:t>o</w:t>
      </w:r>
      <w:r w:rsidR="002A5CB6">
        <w:rPr>
          <w:color w:val="000000"/>
        </w:rPr>
        <w:t> </w:t>
      </w:r>
      <w:r w:rsidRPr="00CD2BBC">
        <w:rPr>
          <w:color w:val="000000"/>
        </w:rPr>
        <w:t>prawie traktatów.</w:t>
      </w:r>
      <w:r w:rsidRPr="00CD2BBC">
        <w:t xml:space="preserve"> Postanowienia te powinny stanowić gwarancję, że międzynarodowe trybunały inwestycyjne, jak również sądy państwowe w postępowaniach post</w:t>
      </w:r>
      <w:r w:rsidR="002A5CB6">
        <w:noBreakHyphen/>
      </w:r>
      <w:r w:rsidRPr="00CD2BBC">
        <w:t xml:space="preserve">arbitrażowych, będą właściwie interpretowały konsekwencje orzeczenia ws. Achmea </w:t>
      </w:r>
      <w:r w:rsidR="002A5CB6" w:rsidRPr="00CD2BBC">
        <w:t>w</w:t>
      </w:r>
      <w:r w:rsidR="002A5CB6">
        <w:t> </w:t>
      </w:r>
      <w:r w:rsidRPr="00CD2BBC">
        <w:t xml:space="preserve">obrocie prawnomiędzynarodowym i są spójne ze stanowiskiem procesowym prezentowanym przez RP w tego rodzaju postępowaniach. </w:t>
      </w:r>
    </w:p>
    <w:p w:rsidR="001F25D4" w:rsidRPr="00CD2BBC" w:rsidRDefault="001F25D4" w:rsidP="00602FDB">
      <w:pPr>
        <w:spacing w:before="120" w:line="360" w:lineRule="auto"/>
        <w:jc w:val="both"/>
      </w:pPr>
      <w:r w:rsidRPr="00CD2BBC">
        <w:t xml:space="preserve">Porozumienie reguluje kwestie roszczeń dochodzonych przez inwestorów wobec państw na podstawie umów intra-EU BIT. Klauzule arbitrażowe inwestor – państwo nie stanowią podstawy prawnej dla postępowań arbitrażowych wszczętych w dniu 6 marca 2018 r. lub później (art. 5), natomiast postępowania arbitrażowe zakończone ugodą lub ostatecznym wyrokiem trybunału arbitrażowego wykonanym przed dniem 6 marca 2018 r. nie będą wznowione (art. 6). W odniesieniu do RP zobowiązanie to dotyczy tylko dwóch spraw prowadzonych na podstawie umów intra-EU BIT (z powództwa inwestorów francuskiego i holenderskiego). W jednej sprawie Polska wygrała w 98%, w drugiej w 80%. Brak realnej możliwości wzruszenia tych wyroków w siedzibach arbitrażu oraz odzyskania wypłaconych na podstawie tych wyroków kwot od inwestorów. Natomiast, co jest istotne dla RP, Porozumienie nie dotyczy wyroków trybunałów arbitrażowych wydanych przed dniem 6 marca 2018 r., które są kwestionowane w miejscu ich wydania (postępowania dotyczące zaskarżenia wyroku trybunału arbitrażowego, ponownego rozpatrzenia sprawy, uchylenia ostatecznego wyroku trybunału arbitrażowego, stwierdzenia jego nieważności, egzekucji, rewizji), </w:t>
      </w:r>
      <w:r w:rsidR="002A5CB6" w:rsidRPr="00CD2BBC">
        <w:t>a</w:t>
      </w:r>
      <w:r w:rsidR="002A5CB6">
        <w:t> </w:t>
      </w:r>
      <w:r w:rsidRPr="00CD2BBC">
        <w:t xml:space="preserve">postępowania przed właściwymi sądami pozostawały w toku w dniu 6 marca 2018 r. </w:t>
      </w:r>
      <w:r w:rsidRPr="00CD2BBC">
        <w:lastRenderedPageBreak/>
        <w:t>Zakończonym postępowaniem arbitrażowym nie jest także wyrok trybunału arbitrażowego wydany przed dniem 6 marca 2018 r., który został uchylony lub stwierdzono jego nieważność przed dniem wejścia w życie niniejszego Porozumienia.</w:t>
      </w:r>
    </w:p>
    <w:p w:rsidR="001F25D4" w:rsidRPr="00CD2BBC" w:rsidRDefault="001F25D4" w:rsidP="00602FDB">
      <w:pPr>
        <w:spacing w:before="120" w:line="360" w:lineRule="auto"/>
        <w:jc w:val="both"/>
      </w:pPr>
      <w:r w:rsidRPr="00CD2BBC">
        <w:t xml:space="preserve">W odniesieniu do postępowań arbitrażowych w toku, czyli wszczętych przed dniem </w:t>
      </w:r>
      <w:r w:rsidR="00576052" w:rsidRPr="00CD2BBC">
        <w:t>6</w:t>
      </w:r>
      <w:r w:rsidR="00576052">
        <w:t> </w:t>
      </w:r>
      <w:r w:rsidRPr="00CD2BBC">
        <w:t xml:space="preserve">marca 2018 r. i niezakończonych Porozumienie ustanawia środki przejściowe (art. 8). Porozumienie stanowi, że jeżeli inwestor jest </w:t>
      </w:r>
      <w:r w:rsidR="00B24E39">
        <w:t>S</w:t>
      </w:r>
      <w:r w:rsidRPr="00CD2BBC">
        <w:t xml:space="preserve">troną takiego postępowania i nie zaskarżył przed właściwym sądem krajowym środka będącego przedmiotem sporu, takiemu inwestorowi przysługuje prawo do wystąpienia do państwa – </w:t>
      </w:r>
      <w:r w:rsidR="00B24E39">
        <w:t>S</w:t>
      </w:r>
      <w:r w:rsidRPr="00CD2BBC">
        <w:t xml:space="preserve">trony tego postępowania </w:t>
      </w:r>
      <w:r w:rsidR="00576052" w:rsidRPr="00CD2BBC">
        <w:t>o</w:t>
      </w:r>
      <w:r w:rsidR="00576052">
        <w:t> </w:t>
      </w:r>
      <w:r w:rsidRPr="00CD2BBC">
        <w:t>przystąpienie do postępowania ugodowego (art. 9) i prawo do dostępu do sądowych środków prawnych wobec środka kwestionowanego w postępowaniu arbitrażowym, nawet wówczas gdyby krajowe terminy na wniesienie powództw już upłynęły (art. 10).</w:t>
      </w:r>
    </w:p>
    <w:p w:rsidR="001F25D4" w:rsidRPr="00CD2BBC" w:rsidRDefault="001F25D4" w:rsidP="00602FDB">
      <w:pPr>
        <w:spacing w:before="120" w:line="360" w:lineRule="auto"/>
        <w:jc w:val="both"/>
      </w:pPr>
      <w:r w:rsidRPr="00CD2BBC">
        <w:t>Warunkiem skorzystania z prawa do wszczęcia postępowania ugodowego jest zawieszenie postępowania arbitrażowego na wniosek inwestora. Równocześnie, jeżeli trybunał arbitrażowy wydał już wyrok, jednak nie został on jeszcze ostatecznie wyegzekwowany lub go nie wykonano, warunkiem skorzystania z prawa do wszczęcia postępowania ugodowego jest zobowiązanie się inwestora do niewszczynania postępowania w sprawie uznania, wykonania lub egzekucji takiego wyroku lub uiszczenia przewidzianej w nim płatności w państwie członkowskim lub państwie trzecim, lub też, je</w:t>
      </w:r>
      <w:r w:rsidR="00741F3C">
        <w:t>że</w:t>
      </w:r>
      <w:r w:rsidRPr="00CD2BBC">
        <w:t xml:space="preserve">li takie postępowanie już wszczęto, zobowiązanie się inwestora do złożenia wniosku o jego zawieszenie. Postępowanie ugodowe można wszcząć wyłącznie w okresie sześciu miesięcy od wygaśnięcia umowy intra-EU BIT, czy też klauzuli przedłużonego obowiązywania umów, na podstawie których wszczęto postępowanie arbitrażowe i które są objęte przedmiotowym Porozumieniem. </w:t>
      </w:r>
    </w:p>
    <w:p w:rsidR="001F25D4" w:rsidRPr="00CD2BBC" w:rsidRDefault="001F25D4" w:rsidP="00602FDB">
      <w:pPr>
        <w:spacing w:before="120" w:line="360" w:lineRule="auto"/>
        <w:jc w:val="both"/>
      </w:pPr>
      <w:r w:rsidRPr="00CD2BBC">
        <w:t xml:space="preserve">Warunkiem przyznania inwestorowi prawa do skierowania sprawy do sądu krajowego, nawet w przypadku przedawnienia roszczenia, jest wycofanie się inwestora </w:t>
      </w:r>
      <w:r w:rsidR="00576052" w:rsidRPr="00CD2BBC">
        <w:t>z</w:t>
      </w:r>
      <w:r w:rsidR="00576052">
        <w:t> </w:t>
      </w:r>
      <w:r w:rsidRPr="00CD2BBC">
        <w:t xml:space="preserve">postępowania arbitrażowego i zrzeczenie się wszelkich praw i roszczeń wynikających z umowy intra-EU BIT lub zrzeczenie się wykonania wyroku trybunału arbitrażowego już wydanego, jednak jeszcze ostatecznie niewyegzekwowanego lub niewykonanego, oraz zobowiązanie się do powstrzymania się od wszczęcia nowego postępowania arbitrażowego. Ponadto dostęp do sądu krajowego ma zostać wykorzystany w celu dochodzenia roszczenia na podstawie prawa krajowego lub prawa Unii oraz obejmować </w:t>
      </w:r>
      <w:r w:rsidRPr="00CD2BBC">
        <w:lastRenderedPageBreak/>
        <w:t xml:space="preserve">sytuacje, gdy w stosownych przypadkach nie osiągnięto porozumienia w postępowaniu ugodowym. Środek ten jest ograniczony w czasie i można go zastosować wyłącznie </w:t>
      </w:r>
      <w:r w:rsidR="00576052" w:rsidRPr="00CD2BBC">
        <w:t>w</w:t>
      </w:r>
      <w:r w:rsidR="00576052">
        <w:t> </w:t>
      </w:r>
      <w:r w:rsidRPr="00CD2BBC">
        <w:t xml:space="preserve">okresie sześciu miesięcy od wygaśnięcia danej umowy intra-EU BIT, jeżeli nie skorzystano z postępowania ugodowego, lub też w okresie sześciu miesięcy od dnia odrzucenia przez państwo – </w:t>
      </w:r>
      <w:r w:rsidR="00B24E39">
        <w:t>S</w:t>
      </w:r>
      <w:r w:rsidRPr="00CD2BBC">
        <w:t xml:space="preserve">tronę wniosku inwestora o rozpoczęcie postępowania ugodowego lub też w okresie sześciu miesięcy od dnia, w którym ostatnia ze </w:t>
      </w:r>
      <w:r w:rsidR="00B24E39">
        <w:t>S</w:t>
      </w:r>
      <w:r w:rsidRPr="00CD2BBC">
        <w:t>tron postępowania ugodowego przekazała swoją decyzję co do przyjęcia propozycji polubownego rozstrzygnięcia. Postanowień w sprawie prawa do sądu krajowego nie można interpretować jako tworzących nowe środki prawne, które nie byłyby dostępne dla inwestora na mocy mającego zastosowanie prawa krajowego.</w:t>
      </w:r>
    </w:p>
    <w:p w:rsidR="001F25D4" w:rsidRDefault="001F25D4" w:rsidP="00602FDB">
      <w:pPr>
        <w:spacing w:before="120" w:line="360" w:lineRule="auto"/>
        <w:jc w:val="both"/>
      </w:pPr>
      <w:r w:rsidRPr="00CD2BBC">
        <w:t>Z informacji uzyskanych na roboczo od PGRP wynika, że przeciwko RP toczy się jedno</w:t>
      </w:r>
      <w:r w:rsidR="00400DA9">
        <w:t xml:space="preserve"> </w:t>
      </w:r>
      <w:r w:rsidRPr="00CD2BBC">
        <w:t xml:space="preserve">postępowanie arbitrażowe wszczęte przed dniem 6 marca 2018 r. na podstawie umów intra-EU BIT objętych niniejszym Porozumieniem (oraz jedno post-arbitrażowe). Zgodnie z informacjami PGRP inwestorzy zaskarżyli przed właściwymi sądami krajowymi środki będące przedmiotem sporu. Zatem Porozumienie nie nakłada na RP obowiązku przyznania tym inwestorom środków przejściowych przewidzianych Porozumieniem. </w:t>
      </w:r>
    </w:p>
    <w:p w:rsidR="004647AA" w:rsidRPr="00CD2BBC" w:rsidRDefault="004647AA" w:rsidP="00602FDB">
      <w:pPr>
        <w:spacing w:line="360" w:lineRule="auto"/>
        <w:jc w:val="both"/>
      </w:pPr>
    </w:p>
    <w:p w:rsidR="001F25D4" w:rsidRPr="00CD2BBC" w:rsidRDefault="001F25D4" w:rsidP="00602FDB">
      <w:pPr>
        <w:numPr>
          <w:ilvl w:val="0"/>
          <w:numId w:val="1"/>
        </w:numPr>
        <w:spacing w:line="360" w:lineRule="auto"/>
        <w:ind w:left="284" w:hanging="284"/>
        <w:jc w:val="both"/>
        <w:rPr>
          <w:b/>
        </w:rPr>
      </w:pPr>
      <w:r w:rsidRPr="00CD2BBC">
        <w:rPr>
          <w:b/>
        </w:rPr>
        <w:t>Przewidywane skutki społeczne, gospodarcze, finansowe, polityczne i prawne</w:t>
      </w:r>
    </w:p>
    <w:p w:rsidR="001F25D4" w:rsidRPr="00CD2BBC" w:rsidRDefault="001F25D4" w:rsidP="00602FDB">
      <w:pPr>
        <w:spacing w:before="120" w:line="360" w:lineRule="auto"/>
        <w:jc w:val="both"/>
      </w:pPr>
      <w:r w:rsidRPr="00CD2BBC">
        <w:t xml:space="preserve">Związanie się Porozumieniem nie powinno mieć konsekwencji politycznych. Wszystkie państwa członkowskie UE, które są </w:t>
      </w:r>
      <w:r w:rsidR="00B24E39">
        <w:t>S</w:t>
      </w:r>
      <w:r w:rsidRPr="00CD2BBC">
        <w:t xml:space="preserve">tronami umów-intra EU BIT, zostały wezwane przez Komisję Europejską do zakończenia obowiązywania tych umów. Jak zostało to opisane w pkt 2 </w:t>
      </w:r>
      <w:r w:rsidR="00741F3C">
        <w:t>u</w:t>
      </w:r>
      <w:r w:rsidRPr="00CD2BBC">
        <w:t>zasadnienia, Austria, Irlandia, Szwecja, Finlandia i Wielka Brytania nie podpisały Porozumienia. Komisja Europejska zapowiedziała wyciągnięcie konsekwencji wobec tych państw, które nie zakończą obowiązywania umów intra-EU BIT, czy też klauzul przedłużonego obowiązywania umów już wypowiedzianych</w:t>
      </w:r>
      <w:r w:rsidRPr="00CD2BBC">
        <w:rPr>
          <w:rStyle w:val="Zakotwiczenieprzypisudolnego"/>
        </w:rPr>
        <w:footnoteReference w:id="5"/>
      </w:r>
      <w:r w:rsidR="000A4C56">
        <w:rPr>
          <w:vertAlign w:val="superscript"/>
        </w:rPr>
        <w:t>)</w:t>
      </w:r>
      <w:r w:rsidRPr="00CD2BBC">
        <w:t>.</w:t>
      </w:r>
    </w:p>
    <w:p w:rsidR="001F25D4" w:rsidRPr="00CD2BBC" w:rsidRDefault="001F25D4" w:rsidP="00602FDB">
      <w:pPr>
        <w:pStyle w:val="Tekstpodstawowy"/>
        <w:spacing w:before="120" w:after="0" w:line="360" w:lineRule="auto"/>
        <w:jc w:val="both"/>
      </w:pPr>
      <w:r w:rsidRPr="00CD2BBC">
        <w:lastRenderedPageBreak/>
        <w:t xml:space="preserve">Porozumienie nie będzie miało negatywnych skutków społecznych, wręcz przeciwnie, należy oczekiwać, że zostanie ono życzliwie przyjęte z uwagi na publiczną krytykę </w:t>
      </w:r>
      <w:r w:rsidR="002A5CB6" w:rsidRPr="00CD2BBC">
        <w:t>w</w:t>
      </w:r>
      <w:r w:rsidR="002A5CB6">
        <w:t> </w:t>
      </w:r>
      <w:r w:rsidRPr="00CD2BBC">
        <w:t xml:space="preserve">RP umów intra-EU BIT i międzynarodowego arbitrażu inwestycyjnego funkcjonującego na ich podstawie. </w:t>
      </w:r>
    </w:p>
    <w:p w:rsidR="001F25D4" w:rsidRPr="00CD2BBC" w:rsidRDefault="001F25D4" w:rsidP="00602FDB">
      <w:pPr>
        <w:tabs>
          <w:tab w:val="left" w:pos="720"/>
        </w:tabs>
        <w:spacing w:before="120" w:line="360" w:lineRule="auto"/>
        <w:jc w:val="both"/>
      </w:pPr>
      <w:r w:rsidRPr="00CD2BBC">
        <w:t xml:space="preserve">Zawarcie Porozumienia nie powinno wpłynąć na stosunki gospodarcze między RP </w:t>
      </w:r>
      <w:r w:rsidR="00576052" w:rsidRPr="00CD2BBC">
        <w:t>a</w:t>
      </w:r>
      <w:r w:rsidR="00576052">
        <w:t> </w:t>
      </w:r>
      <w:r w:rsidRPr="00CD2BBC">
        <w:t xml:space="preserve">pozostałymi państwami członkowskimi UE. Umowy intra-EU BIT, których </w:t>
      </w:r>
      <w:r w:rsidR="00B24E39">
        <w:t>S</w:t>
      </w:r>
      <w:r w:rsidRPr="00CD2BBC">
        <w:t>troną jest RP, zostały zawarte, kiedy RP nie była członkiem UE. Obecnie poziom prawodawstwa oraz dostęp do niezawisłego sądownictwa w RP dają inwestorom zagranicznym gwarancję ochrony inwestycji z możliwością dochodzenia swoich praw na drodze sądowej. Podobnie takie gwarancje mają polscy inwestorzy na rynkach pozostałych państw członkowskich UE.</w:t>
      </w:r>
    </w:p>
    <w:p w:rsidR="001F25D4" w:rsidRPr="00CD2BBC" w:rsidRDefault="001F25D4" w:rsidP="00602FDB">
      <w:pPr>
        <w:spacing w:before="120" w:line="360" w:lineRule="auto"/>
        <w:jc w:val="both"/>
      </w:pPr>
      <w:r w:rsidRPr="00CD2BBC">
        <w:t xml:space="preserve">Ministerstwo Rozwoju odnotowało tylko trzy przypadki skorzystania przez polskich inwestorów z ochrony przewidzianej umowami intra-EU BIT przed międzynarodowymi trybunałami arbitrażowymi (na podstawie umów intra-EU BIT z Rumunią, Słowacją </w:t>
      </w:r>
      <w:r w:rsidR="00576052" w:rsidRPr="00CD2BBC">
        <w:t>i</w:t>
      </w:r>
      <w:r w:rsidR="00576052">
        <w:t> </w:t>
      </w:r>
      <w:r w:rsidRPr="00CD2BBC">
        <w:t xml:space="preserve">Cyprem). Zgodnie z informacjami przekazanymi przez PGRP na dwadzieścia osiem postępowań arbitrażowych, w których była PGSP a obecnie PGRP od 2006 r. wykonywała lub wykonuje zastępstwo procesowe RP, zdecydowana większość dotyczyła lub dotyczy sporów wniesionych przez inwestorów zagranicznych na podstawie umów intra-EU BIT. Mimo dużego odsetka wygrywanych spraw (w tym ugody) Polska ponosi wysokie koszty postępowań arbitrażowych: </w:t>
      </w:r>
      <w:r w:rsidRPr="00602FDB">
        <w:t xml:space="preserve">zaliczki na koszty postępowania (w tym wynagrodzenie arbitrów), opinie biegłych, zorganizowanie rozpraw, tłumaczenia, udział świadków oraz koszty zastępstwa procesowego. Porozumienie może więc potencjalnie istotnie zmniejszyć obciążenie państwa pod względem finansowym, ponieważ nie będzie zachodzić konieczność ponoszenia znaczących kosztów, o których mowa w zdaniu poprzedzającym. </w:t>
      </w:r>
    </w:p>
    <w:p w:rsidR="001F25D4" w:rsidRDefault="001F25D4" w:rsidP="00602FDB">
      <w:pPr>
        <w:pStyle w:val="Tekstpodstawowy"/>
        <w:spacing w:before="120" w:after="0" w:line="360" w:lineRule="auto"/>
        <w:jc w:val="both"/>
      </w:pPr>
      <w:r w:rsidRPr="00CD2BBC">
        <w:t xml:space="preserve">Zawarcie Porozumienia w zakresie rozwiązania umów intra-EU BIT czy też klauzul przedłużonego obowiązywania umów już wypowiedzianych nie naruszy polskiego porządku </w:t>
      </w:r>
      <w:r w:rsidRPr="00CD2BBC">
        <w:rPr>
          <w:bCs/>
        </w:rPr>
        <w:t xml:space="preserve">prawnego i </w:t>
      </w:r>
      <w:r w:rsidRPr="00CD2BBC">
        <w:t xml:space="preserve">doprowadzi do usunięcia niezgodności tych umów i klauzul przedłużonego ich obowiązywania z prawem UE. </w:t>
      </w:r>
    </w:p>
    <w:p w:rsidR="004647AA" w:rsidRPr="00CD2BBC" w:rsidRDefault="004647AA" w:rsidP="00602FDB">
      <w:pPr>
        <w:pStyle w:val="Tekstpodstawowy"/>
        <w:spacing w:after="0" w:line="360" w:lineRule="auto"/>
        <w:jc w:val="both"/>
      </w:pPr>
    </w:p>
    <w:p w:rsidR="001F25D4" w:rsidRPr="00CD2BBC" w:rsidRDefault="001F25D4" w:rsidP="00602FDB">
      <w:pPr>
        <w:numPr>
          <w:ilvl w:val="0"/>
          <w:numId w:val="1"/>
        </w:numPr>
        <w:spacing w:line="360" w:lineRule="auto"/>
        <w:ind w:left="284" w:hanging="284"/>
        <w:jc w:val="both"/>
        <w:rPr>
          <w:b/>
        </w:rPr>
      </w:pPr>
      <w:r w:rsidRPr="00CD2BBC">
        <w:rPr>
          <w:b/>
        </w:rPr>
        <w:t>Tryb związania Rzeczypospolitej Polskiej Porozumieniem</w:t>
      </w:r>
    </w:p>
    <w:p w:rsidR="00A6317B" w:rsidRPr="00CD2BBC" w:rsidRDefault="001F25D4" w:rsidP="00602FDB">
      <w:pPr>
        <w:spacing w:before="120" w:line="360" w:lineRule="auto"/>
        <w:jc w:val="both"/>
      </w:pPr>
      <w:r w:rsidRPr="00CD2BBC">
        <w:lastRenderedPageBreak/>
        <w:t xml:space="preserve">Porozumienie ma rangę umowy międzypaństwowej. Rozwiązywane umowy intra-EU BIT są traktowane w polskim porządku prawnym jako umowy ratyfikowane za uprzednią zgodą wyrażoną w ustawie, stosownie do art. 241 ust. 1 ustawy z dnia </w:t>
      </w:r>
      <w:r w:rsidR="002A5CB6" w:rsidRPr="00CD2BBC">
        <w:t>2</w:t>
      </w:r>
      <w:r w:rsidR="002A5CB6">
        <w:t> </w:t>
      </w:r>
      <w:r w:rsidRPr="00CD2BBC">
        <w:t xml:space="preserve">kwietnia 1997 r. </w:t>
      </w:r>
      <w:r w:rsidR="00400DA9">
        <w:t>–</w:t>
      </w:r>
      <w:r w:rsidRPr="00CD2BBC">
        <w:t xml:space="preserve"> Konstytucja Rzeczypospolitej Polskiej (Dz. U. poz. 483, z późn. zm.). Dlatego też związanie RP Porozumieniem nastąpi również za uprzednią zgodą wyrażoną w ustawie, tym bardziej że Porozumienie dotyczy wolności, praw </w:t>
      </w:r>
      <w:bookmarkStart w:id="0" w:name="_GoBack"/>
      <w:bookmarkEnd w:id="0"/>
      <w:r w:rsidR="002A5CB6" w:rsidRPr="00CD2BBC">
        <w:t>i</w:t>
      </w:r>
      <w:r w:rsidR="002A5CB6">
        <w:t> </w:t>
      </w:r>
      <w:r w:rsidRPr="00CD2BBC">
        <w:t xml:space="preserve">obowiązków obywatelskich, spraw uregulowanych w ustawie lub w których Konstytucja RP wymaga ustawy (zasady prowadzenia działalności gospodarczej, ochrona prawa własności, kwestia wywłaszczenia oraz odszkodowania w tym zakresie), a więc spraw, o których mowa </w:t>
      </w:r>
      <w:r w:rsidR="00576052" w:rsidRPr="00CD2BBC">
        <w:t>w</w:t>
      </w:r>
      <w:r w:rsidR="00576052">
        <w:t> </w:t>
      </w:r>
      <w:r w:rsidRPr="00CD2BBC">
        <w:t>art. 89 ust. 1 pkt 2 i 5 Konstytucji RP.</w:t>
      </w:r>
    </w:p>
    <w:sectPr w:rsidR="00A6317B" w:rsidRPr="00CD2BBC" w:rsidSect="00602FDB">
      <w:footerReference w:type="default" r:id="rId8"/>
      <w:pgSz w:w="11906" w:h="16838" w:code="9"/>
      <w:pgMar w:top="1588" w:right="1418" w:bottom="1531" w:left="1985" w:header="0"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10BB" w:rsidRDefault="006910BB" w:rsidP="001F25D4">
      <w:r>
        <w:separator/>
      </w:r>
    </w:p>
  </w:endnote>
  <w:endnote w:type="continuationSeparator" w:id="0">
    <w:p w:rsidR="006910BB" w:rsidRDefault="006910BB" w:rsidP="001F2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7769015"/>
      <w:docPartObj>
        <w:docPartGallery w:val="Page Numbers (Bottom of Page)"/>
        <w:docPartUnique/>
      </w:docPartObj>
    </w:sdtPr>
    <w:sdtEndPr/>
    <w:sdtContent>
      <w:p w:rsidR="000437A9" w:rsidRDefault="000437A9">
        <w:pPr>
          <w:pStyle w:val="Stopka"/>
          <w:jc w:val="center"/>
        </w:pPr>
        <w:r>
          <w:fldChar w:fldCharType="begin"/>
        </w:r>
        <w:r>
          <w:instrText>PAGE   \* MERGEFORMAT</w:instrText>
        </w:r>
        <w:r>
          <w:fldChar w:fldCharType="separate"/>
        </w:r>
        <w:r w:rsidR="002A5CB6">
          <w:rPr>
            <w:noProof/>
          </w:rPr>
          <w:t>8</w:t>
        </w:r>
        <w:r>
          <w:fldChar w:fldCharType="end"/>
        </w:r>
      </w:p>
    </w:sdtContent>
  </w:sdt>
  <w:p w:rsidR="00E572F3" w:rsidRDefault="002A5CB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10BB" w:rsidRDefault="006910BB" w:rsidP="001F25D4">
      <w:r>
        <w:separator/>
      </w:r>
    </w:p>
  </w:footnote>
  <w:footnote w:type="continuationSeparator" w:id="0">
    <w:p w:rsidR="006910BB" w:rsidRDefault="006910BB" w:rsidP="001F25D4">
      <w:r>
        <w:continuationSeparator/>
      </w:r>
    </w:p>
  </w:footnote>
  <w:footnote w:id="1">
    <w:p w:rsidR="001F25D4" w:rsidRPr="000437A9" w:rsidRDefault="001F25D4" w:rsidP="00602FDB">
      <w:pPr>
        <w:pStyle w:val="Tekstprzypisudolnego"/>
        <w:tabs>
          <w:tab w:val="left" w:pos="284"/>
        </w:tabs>
        <w:ind w:left="284" w:hanging="284"/>
        <w:jc w:val="both"/>
      </w:pPr>
      <w:r w:rsidRPr="000437A9">
        <w:rPr>
          <w:rStyle w:val="Znakiprzypiswdolnych"/>
        </w:rPr>
        <w:footnoteRef/>
      </w:r>
      <w:r w:rsidR="000437A9">
        <w:rPr>
          <w:vertAlign w:val="superscript"/>
        </w:rPr>
        <w:t>)</w:t>
      </w:r>
      <w:r w:rsidR="000437A9">
        <w:tab/>
      </w:r>
      <w:r w:rsidRPr="00602FDB">
        <w:t xml:space="preserve">Zakończenie obowiązywania tych umów intra-EU BIT, łącznie z klauzulami przedłużonego obowiązywania umowy, nastąpiło z następującymi datami: umowa z Danią w dniu 14.02.2019 r., umowa z Estonią w dniu 7.03.2019 r., umowa z Republiką Czeską w dniu 24.09.2019 r., umowa </w:t>
      </w:r>
      <w:r w:rsidR="00576052" w:rsidRPr="00602FDB">
        <w:t>z</w:t>
      </w:r>
      <w:r w:rsidR="00576052">
        <w:t> </w:t>
      </w:r>
      <w:r w:rsidRPr="00602FDB">
        <w:t>Łotwą w dniu 19.01.2019 r. i umowa z Rumunią w dniu 21.05.2019 r.</w:t>
      </w:r>
    </w:p>
  </w:footnote>
  <w:footnote w:id="2">
    <w:p w:rsidR="001F25D4" w:rsidRPr="000437A9" w:rsidRDefault="001F25D4" w:rsidP="00602FDB">
      <w:pPr>
        <w:pStyle w:val="Tekstprzypisudolnego"/>
        <w:tabs>
          <w:tab w:val="left" w:pos="336"/>
        </w:tabs>
        <w:ind w:left="336" w:hanging="336"/>
        <w:jc w:val="both"/>
      </w:pPr>
      <w:r w:rsidRPr="000437A9">
        <w:rPr>
          <w:rStyle w:val="Znakiprzypiswdolnych"/>
        </w:rPr>
        <w:footnoteRef/>
      </w:r>
      <w:r w:rsidR="000437A9">
        <w:rPr>
          <w:vertAlign w:val="superscript"/>
        </w:rPr>
        <w:t>)</w:t>
      </w:r>
      <w:r w:rsidR="000437A9">
        <w:tab/>
      </w:r>
      <w:r w:rsidRPr="00602FDB">
        <w:t xml:space="preserve">Wypowiedzenie tych umów intra-EU BIT staje się skuteczne z następującą datą: umowa z Belgią </w:t>
      </w:r>
      <w:r w:rsidR="00576052" w:rsidRPr="00602FDB">
        <w:t>i</w:t>
      </w:r>
      <w:r w:rsidR="00576052">
        <w:t> </w:t>
      </w:r>
      <w:r w:rsidRPr="00602FDB">
        <w:t xml:space="preserve">Luksemburgiem w dniu 02.08.2021 r., umowa z Bułgarią w dniu 09.03.2025 r., umowa z Litwą </w:t>
      </w:r>
      <w:r w:rsidR="00576052" w:rsidRPr="00602FDB">
        <w:t>w</w:t>
      </w:r>
      <w:r w:rsidR="00576052">
        <w:t> </w:t>
      </w:r>
      <w:r w:rsidRPr="00602FDB">
        <w:t>dniu 06.</w:t>
      </w:r>
      <w:r w:rsidR="003E6AEA">
        <w:t>0</w:t>
      </w:r>
      <w:r w:rsidRPr="00602FDB">
        <w:t>8.2023 r.</w:t>
      </w:r>
      <w:r w:rsidR="00400DA9">
        <w:t xml:space="preserve"> </w:t>
      </w:r>
      <w:r w:rsidRPr="00602FDB">
        <w:t>RP, wypowiadając te umowy, każdorazowo złożyła deklarację interpretacyjną dotyczącą skutków orzeczenia TSUE ws. Achmea</w:t>
      </w:r>
      <w:r w:rsidR="00400DA9">
        <w:t xml:space="preserve"> </w:t>
      </w:r>
      <w:r w:rsidRPr="00602FDB">
        <w:t>z dnia 6 marca 2018 r., w której oświadczyła, że międzynarodowe trybunały arbitrażowe ustanowione na podstawie danej umowy intra-EU BIT nie posiadają jurysdykcji do rozpoznania sporów inwestor – państwo z uwagi na brak ważnej zgody na arbitraż.</w:t>
      </w:r>
    </w:p>
  </w:footnote>
  <w:footnote w:id="3">
    <w:p w:rsidR="001F25D4" w:rsidRPr="000437A9" w:rsidRDefault="001F25D4" w:rsidP="00602FDB">
      <w:pPr>
        <w:pStyle w:val="Tekstprzypisudolnego"/>
        <w:tabs>
          <w:tab w:val="left" w:pos="284"/>
        </w:tabs>
        <w:ind w:left="284" w:hanging="284"/>
        <w:jc w:val="both"/>
      </w:pPr>
      <w:r w:rsidRPr="000437A9">
        <w:rPr>
          <w:rStyle w:val="Znakiprzypiswdolnych"/>
        </w:rPr>
        <w:footnoteRef/>
      </w:r>
      <w:r w:rsidR="000437A9">
        <w:rPr>
          <w:vertAlign w:val="superscript"/>
        </w:rPr>
        <w:t>)</w:t>
      </w:r>
      <w:r w:rsidR="000437A9">
        <w:rPr>
          <w:vertAlign w:val="superscript"/>
        </w:rPr>
        <w:tab/>
      </w:r>
      <w:r w:rsidRPr="00602FDB">
        <w:t xml:space="preserve">Wypowiedzenie tych umów intra-EU BIT stało się skuteczne z następującą datą: umowa z Chorwacją w dniu 18.10.2019 r., umowa z Cyprem w dniu 17.01.2019 r., umowa z Francją w dniu 19.07.2019 r., umowa z Grecją w dniu 07.11.2019 r., umowa z Hiszpanią w dniu 16.10.2019 r., umowa </w:t>
      </w:r>
      <w:r w:rsidR="002A5CB6" w:rsidRPr="00602FDB">
        <w:t>z</w:t>
      </w:r>
      <w:r w:rsidR="002A5CB6">
        <w:t> </w:t>
      </w:r>
      <w:r w:rsidRPr="00602FDB">
        <w:t>Niderlandami w dniu 02.02.2019 r., umowa z Niemcami w dniu 18.10.2019 r.</w:t>
      </w:r>
      <w:r w:rsidR="00400DA9">
        <w:t xml:space="preserve"> </w:t>
      </w:r>
      <w:r w:rsidRPr="00602FDB">
        <w:t>umowa z Portugalią w dniu 03.08.</w:t>
      </w:r>
      <w:r w:rsidR="00576052" w:rsidRPr="00602FDB">
        <w:t>2019</w:t>
      </w:r>
      <w:r w:rsidR="00576052">
        <w:t> </w:t>
      </w:r>
      <w:r w:rsidRPr="00602FDB">
        <w:t>r., umowa ze Słowenią w dniu 31.03.2020 r. i umowa z Węgrami w dniu 16.06.2020 r. (</w:t>
      </w:r>
      <w:r w:rsidR="00576052" w:rsidRPr="00602FDB">
        <w:t>w</w:t>
      </w:r>
      <w:r w:rsidR="00576052">
        <w:t> </w:t>
      </w:r>
      <w:r w:rsidRPr="00602FDB">
        <w:t xml:space="preserve">odniesieniu do umów ze Słowenią i Węgrami patrz też przypis 5). RP, wypowiadając te umowy, każdorazowo złożyła deklarację interpretacyjną dotyczącą skutków orzeczenia TSUE </w:t>
      </w:r>
      <w:r w:rsidR="002A5CB6" w:rsidRPr="00602FDB">
        <w:t>w</w:t>
      </w:r>
      <w:r w:rsidR="002A5CB6">
        <w:t> </w:t>
      </w:r>
      <w:r w:rsidRPr="00602FDB">
        <w:t>sprawie Achmea z dnia 6 marca 2018 r., w której oświadczyła, że międzynarodowe trybunały arbitrażowe ustanowione na podstawie danej umowy intra-EU BIT nie posiadają jurysdykcji do rozpoznania sporów inwestor – państwo z uwagi na brak ważnej zgody na arbitraż.</w:t>
      </w:r>
    </w:p>
  </w:footnote>
  <w:footnote w:id="4">
    <w:p w:rsidR="001F25D4" w:rsidRDefault="001F25D4" w:rsidP="00602FDB">
      <w:pPr>
        <w:pStyle w:val="Tekstprzypisudolnego"/>
        <w:tabs>
          <w:tab w:val="left" w:pos="294"/>
        </w:tabs>
        <w:ind w:left="294" w:hanging="294"/>
        <w:jc w:val="both"/>
      </w:pPr>
      <w:r w:rsidRPr="000437A9">
        <w:rPr>
          <w:rStyle w:val="Znakiprzypiswdolnych"/>
        </w:rPr>
        <w:footnoteRef/>
      </w:r>
      <w:r w:rsidR="000437A9">
        <w:rPr>
          <w:vertAlign w:val="superscript"/>
        </w:rPr>
        <w:t>)</w:t>
      </w:r>
      <w:r w:rsidR="000437A9">
        <w:rPr>
          <w:vertAlign w:val="superscript"/>
        </w:rPr>
        <w:tab/>
      </w:r>
      <w:r w:rsidRPr="00602FDB">
        <w:t>Umowa intra-EU BIT z Austrią została wypowiedziana przez RP ze skutkiem od dnia 16.10.2019 r., ze Szwecją – ze skutkiem od dnia 16.10.2019 r., umowa z Finlandią - ze skutkiem od dnia 16.10.</w:t>
      </w:r>
      <w:r w:rsidR="002A5CB6" w:rsidRPr="00602FDB">
        <w:t>2019</w:t>
      </w:r>
      <w:r w:rsidR="002A5CB6">
        <w:t> </w:t>
      </w:r>
      <w:r w:rsidRPr="00602FDB">
        <w:t xml:space="preserve">r., a umowa z Wielką Brytanią - ze skutkiem od dnia 22.11.2019 r. RP, wypowiadając te umowy, każdorazowo złożyła deklarację interpretacyjną dotyczącą skutków orzeczenia TSUE </w:t>
      </w:r>
      <w:r w:rsidR="002A5CB6" w:rsidRPr="00602FDB">
        <w:t>w</w:t>
      </w:r>
      <w:r w:rsidR="002A5CB6">
        <w:t> </w:t>
      </w:r>
      <w:r w:rsidRPr="00602FDB">
        <w:t>sprawie Achmea z dnia 6 marca 2018 r., w której oświadczyła, że międzynarodowe trybunały arbitrażowe ustanowione na podstawie danej umowy intra-EU BIT nie posiadają jurysdykcji do rozpoznania sporów inwestor – państwo z uwagi na brak ważnej zgody na arbitraż.</w:t>
      </w:r>
    </w:p>
  </w:footnote>
  <w:footnote w:id="5">
    <w:p w:rsidR="001F25D4" w:rsidRPr="00602FDB" w:rsidRDefault="001F25D4" w:rsidP="00602FDB">
      <w:pPr>
        <w:tabs>
          <w:tab w:val="left" w:pos="308"/>
        </w:tabs>
        <w:ind w:left="308" w:hanging="308"/>
        <w:jc w:val="both"/>
        <w:rPr>
          <w:sz w:val="20"/>
          <w:szCs w:val="20"/>
        </w:rPr>
      </w:pPr>
      <w:r w:rsidRPr="00602FDB">
        <w:rPr>
          <w:rStyle w:val="Znakiprzypiswdolnych"/>
          <w:sz w:val="20"/>
          <w:szCs w:val="20"/>
        </w:rPr>
        <w:footnoteRef/>
      </w:r>
      <w:r w:rsidR="000A4C56">
        <w:rPr>
          <w:sz w:val="20"/>
          <w:szCs w:val="20"/>
          <w:vertAlign w:val="superscript"/>
        </w:rPr>
        <w:t>)</w:t>
      </w:r>
      <w:r w:rsidR="000A4C56">
        <w:rPr>
          <w:sz w:val="20"/>
          <w:szCs w:val="20"/>
          <w:vertAlign w:val="superscript"/>
        </w:rPr>
        <w:tab/>
      </w:r>
      <w:r w:rsidRPr="00602FDB">
        <w:rPr>
          <w:sz w:val="20"/>
          <w:szCs w:val="20"/>
        </w:rPr>
        <w:t xml:space="preserve">W związku z niepodpisaniem przez Finlandię i Wielką Brytanię Porozumienia, a także niepodejmowaniem działań mających na celu dwustronne rozwiązanie umów intra-EU BIT za porozumieniem </w:t>
      </w:r>
      <w:r w:rsidR="00B24E39">
        <w:rPr>
          <w:sz w:val="20"/>
          <w:szCs w:val="20"/>
        </w:rPr>
        <w:t>S</w:t>
      </w:r>
      <w:r w:rsidRPr="00602FDB">
        <w:rPr>
          <w:sz w:val="20"/>
          <w:szCs w:val="20"/>
        </w:rPr>
        <w:t xml:space="preserve">tron, Komisja Europejska wszczęła przeciwko tym państwom w dniu 13 maja </w:t>
      </w:r>
      <w:r w:rsidR="002A5CB6" w:rsidRPr="00602FDB">
        <w:rPr>
          <w:sz w:val="20"/>
          <w:szCs w:val="20"/>
        </w:rPr>
        <w:t>2020</w:t>
      </w:r>
      <w:r w:rsidR="002A5CB6">
        <w:rPr>
          <w:sz w:val="20"/>
          <w:szCs w:val="20"/>
        </w:rPr>
        <w:t> </w:t>
      </w:r>
      <w:r w:rsidRPr="00602FDB">
        <w:rPr>
          <w:sz w:val="20"/>
          <w:szCs w:val="20"/>
        </w:rPr>
        <w:t xml:space="preserve">r. procedurę ws. naruszenia prawa. Na podstawie art. 127 </w:t>
      </w:r>
      <w:r w:rsidRPr="00602FDB">
        <w:rPr>
          <w:color w:val="000000"/>
          <w:sz w:val="20"/>
          <w:szCs w:val="20"/>
        </w:rPr>
        <w:t>Umowy o wystąpieniu Zjednoczonego Królestwa Wielkiej Brytanii i Irlandii Północnej z Unii Europejskiej i Europejskiej</w:t>
      </w:r>
      <w:r w:rsidRPr="00602FDB">
        <w:rPr>
          <w:color w:val="444444"/>
          <w:sz w:val="20"/>
          <w:szCs w:val="20"/>
        </w:rPr>
        <w:t xml:space="preserve"> </w:t>
      </w:r>
      <w:r w:rsidRPr="00602FDB">
        <w:rPr>
          <w:color w:val="000000"/>
          <w:sz w:val="20"/>
          <w:szCs w:val="20"/>
        </w:rPr>
        <w:t xml:space="preserve">Wspólnoty Energii Atomowej (tzw. Umowa Wyjścia) prawo Unii ma zastosowanie do Zjednoczonego Królestwa </w:t>
      </w:r>
      <w:r w:rsidR="00576052" w:rsidRPr="00602FDB">
        <w:rPr>
          <w:sz w:val="20"/>
          <w:szCs w:val="20"/>
        </w:rPr>
        <w:t>w</w:t>
      </w:r>
      <w:r w:rsidR="00576052">
        <w:rPr>
          <w:sz w:val="20"/>
          <w:szCs w:val="20"/>
        </w:rPr>
        <w:t> </w:t>
      </w:r>
      <w:r w:rsidRPr="00602FDB">
        <w:rPr>
          <w:sz w:val="20"/>
          <w:szCs w:val="20"/>
        </w:rPr>
        <w:t>okresie przejściowym. Przeciwko Szwecji i Austrii procedura ws. naruszenia prawa została już wniesiona kilka lat temu.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3737CF"/>
    <w:multiLevelType w:val="multilevel"/>
    <w:tmpl w:val="59F6CDF4"/>
    <w:lvl w:ilvl="0">
      <w:start w:val="1"/>
      <w:numFmt w:val="decimal"/>
      <w:lvlText w:val="%1."/>
      <w:lvlJc w:val="left"/>
      <w:pPr>
        <w:ind w:left="5889" w:hanging="360"/>
      </w:pPr>
      <w:rPr>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5D4"/>
    <w:rsid w:val="000437A9"/>
    <w:rsid w:val="0007359E"/>
    <w:rsid w:val="00075C04"/>
    <w:rsid w:val="000A4C56"/>
    <w:rsid w:val="00130111"/>
    <w:rsid w:val="001F25D4"/>
    <w:rsid w:val="00202E76"/>
    <w:rsid w:val="00205C8B"/>
    <w:rsid w:val="002A5CB6"/>
    <w:rsid w:val="003E6AEA"/>
    <w:rsid w:val="00400DA9"/>
    <w:rsid w:val="004647AA"/>
    <w:rsid w:val="00546F93"/>
    <w:rsid w:val="00576052"/>
    <w:rsid w:val="00602FDB"/>
    <w:rsid w:val="006219A4"/>
    <w:rsid w:val="00681153"/>
    <w:rsid w:val="006910BB"/>
    <w:rsid w:val="00741F3C"/>
    <w:rsid w:val="0078157F"/>
    <w:rsid w:val="008716BF"/>
    <w:rsid w:val="00A6317B"/>
    <w:rsid w:val="00AA374F"/>
    <w:rsid w:val="00AD0B71"/>
    <w:rsid w:val="00B24E39"/>
    <w:rsid w:val="00BB7F96"/>
    <w:rsid w:val="00CA4222"/>
    <w:rsid w:val="00CD2BBC"/>
    <w:rsid w:val="00EB7423"/>
    <w:rsid w:val="00EC72F8"/>
    <w:rsid w:val="00EF5F27"/>
    <w:rsid w:val="00FD424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55590D"/>
  <w15:docId w15:val="{FFF0AEE1-321C-4ED9-A8BC-89CC83166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F25D4"/>
    <w:pPr>
      <w:suppressAutoHyphens/>
      <w:spacing w:after="0" w:line="240" w:lineRule="auto"/>
    </w:pPr>
    <w:rPr>
      <w:rFonts w:ascii="Times New Roman" w:eastAsia="Times New Roman" w:hAnsi="Times New Roman" w:cs="Times New Roman"/>
      <w:sz w:val="24"/>
      <w:szCs w:val="24"/>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Znakiprzypiswdolnych">
    <w:name w:val="Znaki przypisów dolnych"/>
    <w:qFormat/>
    <w:rsid w:val="001F25D4"/>
    <w:rPr>
      <w:vertAlign w:val="superscript"/>
    </w:rPr>
  </w:style>
  <w:style w:type="character" w:customStyle="1" w:styleId="Numerstron">
    <w:name w:val="Numer stron"/>
    <w:basedOn w:val="Domylnaczcionkaakapitu"/>
    <w:rsid w:val="001F25D4"/>
  </w:style>
  <w:style w:type="character" w:customStyle="1" w:styleId="Zakotwiczenieprzypisudolnego">
    <w:name w:val="Zakotwiczenie przypisu dolnego"/>
    <w:rsid w:val="001F25D4"/>
    <w:rPr>
      <w:vertAlign w:val="superscript"/>
    </w:rPr>
  </w:style>
  <w:style w:type="paragraph" w:styleId="Tekstpodstawowy">
    <w:name w:val="Body Text"/>
    <w:basedOn w:val="Normalny"/>
    <w:link w:val="TekstpodstawowyZnak"/>
    <w:rsid w:val="001F25D4"/>
    <w:pPr>
      <w:spacing w:after="120"/>
    </w:pPr>
  </w:style>
  <w:style w:type="character" w:customStyle="1" w:styleId="TekstpodstawowyZnak">
    <w:name w:val="Tekst podstawowy Znak"/>
    <w:basedOn w:val="Domylnaczcionkaakapitu"/>
    <w:link w:val="Tekstpodstawowy"/>
    <w:rsid w:val="001F25D4"/>
    <w:rPr>
      <w:rFonts w:ascii="Times New Roman" w:eastAsia="Times New Roman" w:hAnsi="Times New Roman" w:cs="Times New Roman"/>
      <w:sz w:val="24"/>
      <w:szCs w:val="24"/>
      <w:lang w:eastAsia="zh-CN"/>
    </w:rPr>
  </w:style>
  <w:style w:type="paragraph" w:customStyle="1" w:styleId="Tekstpodstawowywcity31">
    <w:name w:val="Tekst podstawowy wcięty 31"/>
    <w:basedOn w:val="Normalny"/>
    <w:qFormat/>
    <w:rsid w:val="001F25D4"/>
    <w:pPr>
      <w:spacing w:after="120"/>
      <w:ind w:left="283"/>
    </w:pPr>
    <w:rPr>
      <w:sz w:val="16"/>
      <w:szCs w:val="16"/>
    </w:rPr>
  </w:style>
  <w:style w:type="paragraph" w:styleId="Tekstprzypisudolnego">
    <w:name w:val="footnote text"/>
    <w:basedOn w:val="Normalny"/>
    <w:link w:val="TekstprzypisudolnegoZnak"/>
    <w:rsid w:val="001F25D4"/>
    <w:rPr>
      <w:sz w:val="20"/>
      <w:szCs w:val="20"/>
    </w:rPr>
  </w:style>
  <w:style w:type="character" w:customStyle="1" w:styleId="TekstprzypisudolnegoZnak">
    <w:name w:val="Tekst przypisu dolnego Znak"/>
    <w:basedOn w:val="Domylnaczcionkaakapitu"/>
    <w:link w:val="Tekstprzypisudolnego"/>
    <w:rsid w:val="001F25D4"/>
    <w:rPr>
      <w:rFonts w:ascii="Times New Roman" w:eastAsia="Times New Roman" w:hAnsi="Times New Roman" w:cs="Times New Roman"/>
      <w:sz w:val="20"/>
      <w:szCs w:val="20"/>
      <w:lang w:eastAsia="zh-CN"/>
    </w:rPr>
  </w:style>
  <w:style w:type="paragraph" w:styleId="Stopka">
    <w:name w:val="footer"/>
    <w:basedOn w:val="Normalny"/>
    <w:link w:val="StopkaZnak"/>
    <w:uiPriority w:val="99"/>
    <w:rsid w:val="001F25D4"/>
    <w:pPr>
      <w:tabs>
        <w:tab w:val="center" w:pos="4536"/>
        <w:tab w:val="right" w:pos="9072"/>
      </w:tabs>
    </w:pPr>
  </w:style>
  <w:style w:type="character" w:customStyle="1" w:styleId="StopkaZnak">
    <w:name w:val="Stopka Znak"/>
    <w:basedOn w:val="Domylnaczcionkaakapitu"/>
    <w:link w:val="Stopka"/>
    <w:uiPriority w:val="99"/>
    <w:rsid w:val="001F25D4"/>
    <w:rPr>
      <w:rFonts w:ascii="Times New Roman" w:eastAsia="Times New Roman" w:hAnsi="Times New Roman" w:cs="Times New Roman"/>
      <w:sz w:val="24"/>
      <w:szCs w:val="24"/>
      <w:lang w:eastAsia="zh-CN"/>
    </w:rPr>
  </w:style>
  <w:style w:type="paragraph" w:styleId="Tekstdymka">
    <w:name w:val="Balloon Text"/>
    <w:basedOn w:val="Normalny"/>
    <w:link w:val="TekstdymkaZnak"/>
    <w:uiPriority w:val="99"/>
    <w:semiHidden/>
    <w:unhideWhenUsed/>
    <w:rsid w:val="00EC72F8"/>
    <w:rPr>
      <w:rFonts w:ascii="Segoe UI" w:hAnsi="Segoe UI" w:cs="Segoe UI"/>
      <w:sz w:val="18"/>
      <w:szCs w:val="18"/>
    </w:rPr>
  </w:style>
  <w:style w:type="character" w:customStyle="1" w:styleId="TekstdymkaZnak">
    <w:name w:val="Tekst dymka Znak"/>
    <w:basedOn w:val="Domylnaczcionkaakapitu"/>
    <w:link w:val="Tekstdymka"/>
    <w:uiPriority w:val="99"/>
    <w:semiHidden/>
    <w:rsid w:val="00EC72F8"/>
    <w:rPr>
      <w:rFonts w:ascii="Segoe UI" w:eastAsia="Times New Roman" w:hAnsi="Segoe UI" w:cs="Segoe UI"/>
      <w:sz w:val="18"/>
      <w:szCs w:val="18"/>
      <w:lang w:eastAsia="zh-CN"/>
    </w:rPr>
  </w:style>
  <w:style w:type="paragraph" w:styleId="Nagwek">
    <w:name w:val="header"/>
    <w:basedOn w:val="Normalny"/>
    <w:link w:val="NagwekZnak"/>
    <w:uiPriority w:val="99"/>
    <w:unhideWhenUsed/>
    <w:rsid w:val="00EC72F8"/>
    <w:pPr>
      <w:tabs>
        <w:tab w:val="center" w:pos="4536"/>
        <w:tab w:val="right" w:pos="9072"/>
      </w:tabs>
    </w:pPr>
  </w:style>
  <w:style w:type="character" w:customStyle="1" w:styleId="NagwekZnak">
    <w:name w:val="Nagłówek Znak"/>
    <w:basedOn w:val="Domylnaczcionkaakapitu"/>
    <w:link w:val="Nagwek"/>
    <w:uiPriority w:val="99"/>
    <w:rsid w:val="00EC72F8"/>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39719-BC6E-4C46-848C-6FA1081D0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10</Pages>
  <Words>2876</Words>
  <Characters>17260</Characters>
  <Application>Microsoft Office Word</Application>
  <DocSecurity>0</DocSecurity>
  <Lines>143</Lines>
  <Paragraphs>40</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20096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Ćwiek Katarzyna</dc:creator>
  <cp:keywords/>
  <dc:description/>
  <cp:lastModifiedBy>Rybkowska Bożena</cp:lastModifiedBy>
  <cp:revision>5</cp:revision>
  <dcterms:created xsi:type="dcterms:W3CDTF">2020-10-08T08:28:00Z</dcterms:created>
  <dcterms:modified xsi:type="dcterms:W3CDTF">2020-10-09T11:11:00Z</dcterms:modified>
</cp:coreProperties>
</file>