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812B36" w14:textId="77777777" w:rsidR="00B611BC" w:rsidRPr="004C3103" w:rsidRDefault="00B611BC" w:rsidP="004C3103">
      <w:pPr>
        <w:pStyle w:val="OZNPROJEKTUwskazaniedatylubwersjiprojektu"/>
      </w:pPr>
      <w:r w:rsidRPr="004C3103">
        <w:t>Projekt</w:t>
      </w:r>
    </w:p>
    <w:p w14:paraId="4063AB6E" w14:textId="77777777" w:rsidR="00B611BC" w:rsidRPr="004C3103" w:rsidRDefault="00B611BC" w:rsidP="004C3103">
      <w:pPr>
        <w:pStyle w:val="OZNRODZAKTUtznustawalubrozporzdzenieiorganwydajcy"/>
        <w:rPr>
          <w:rStyle w:val="Ppogrubienie"/>
          <w:b/>
        </w:rPr>
      </w:pPr>
      <w:r w:rsidRPr="004C3103">
        <w:rPr>
          <w:rStyle w:val="Ppogrubienie"/>
          <w:rFonts w:eastAsiaTheme="minorEastAsia"/>
          <w:b/>
        </w:rPr>
        <w:t>USTAWA</w:t>
      </w:r>
    </w:p>
    <w:p w14:paraId="4AB47B9E" w14:textId="77777777" w:rsidR="00B611BC" w:rsidRPr="00EF7BFD" w:rsidRDefault="00B611BC">
      <w:pPr>
        <w:pStyle w:val="DATAAKTUdatauchwalenialubwydaniaaktu"/>
      </w:pPr>
      <w:r w:rsidRPr="00EF7BFD">
        <w:t>z dnia</w:t>
      </w:r>
    </w:p>
    <w:p w14:paraId="08F74261" w14:textId="77777777" w:rsidR="00B611BC" w:rsidRPr="004C3103" w:rsidRDefault="00B611BC" w:rsidP="00B611BC">
      <w:pPr>
        <w:pStyle w:val="TYTUAKTUprzedmiotregulacjiustawylubrozporzdzenia"/>
      </w:pPr>
      <w:r w:rsidRPr="00EF7BFD">
        <w:t>o zmianie ustawy – Kodeks postępowania karnego</w:t>
      </w:r>
      <w:r w:rsidRPr="004C3103">
        <w:rPr>
          <w:rStyle w:val="IGPindeksgrnyipogrubienie"/>
        </w:rPr>
        <w:footnoteReference w:id="1"/>
      </w:r>
      <w:r w:rsidRPr="004C3103">
        <w:rPr>
          <w:rStyle w:val="IGPindeksgrnyipogrubienie"/>
        </w:rPr>
        <w:t>)</w:t>
      </w:r>
    </w:p>
    <w:p w14:paraId="10BA3EE2" w14:textId="672832E1" w:rsidR="00B611BC" w:rsidRPr="00B611BC" w:rsidRDefault="00B611BC" w:rsidP="00B611BC">
      <w:pPr>
        <w:pStyle w:val="ARTartustawynprozporzdzenia"/>
      </w:pPr>
      <w:r w:rsidRPr="00EF7BFD">
        <w:rPr>
          <w:rStyle w:val="Ppogrubienie"/>
        </w:rPr>
        <w:t>Art. 1.</w:t>
      </w:r>
      <w:r w:rsidRPr="00EF7BFD">
        <w:t> </w:t>
      </w:r>
      <w:r w:rsidRPr="00B611BC">
        <w:t>W ustawie z dnia 6 czerwca 1997 r. – Kodeks</w:t>
      </w:r>
      <w:r w:rsidR="009F1DB7">
        <w:t xml:space="preserve"> postępowania karnego (Dz. </w:t>
      </w:r>
      <w:r w:rsidR="00604FCB">
        <w:t>U. z </w:t>
      </w:r>
      <w:r w:rsidRPr="00B611BC">
        <w:t xml:space="preserve">2020 r. poz. 30, </w:t>
      </w:r>
      <w:r w:rsidR="009356A2">
        <w:t>413, 568, 1086 i 1458</w:t>
      </w:r>
      <w:r w:rsidRPr="00B611BC">
        <w:t>) wprowadza się następujące zmiany:</w:t>
      </w:r>
    </w:p>
    <w:p w14:paraId="540B2E0E" w14:textId="77777777" w:rsidR="00B611BC" w:rsidRPr="00B611BC" w:rsidRDefault="00B611BC" w:rsidP="004C3103">
      <w:pPr>
        <w:pStyle w:val="PKTpunkt"/>
      </w:pPr>
      <w:r w:rsidRPr="00B611BC">
        <w:t>1)</w:t>
      </w:r>
      <w:r w:rsidRPr="00B611BC">
        <w:tab/>
        <w:t>po art. 49a dodaje się art. 49b w brzmieniu:</w:t>
      </w:r>
    </w:p>
    <w:p w14:paraId="4BF2B3A4" w14:textId="4F7A42CD" w:rsidR="00B611BC" w:rsidRPr="00B611BC" w:rsidRDefault="00B611BC">
      <w:pPr>
        <w:pStyle w:val="ZARTzmartartykuempunktem"/>
      </w:pPr>
      <w:r w:rsidRPr="00EF7BFD">
        <w:t xml:space="preserve">„Art. </w:t>
      </w:r>
      <w:r w:rsidRPr="00CD6FA2">
        <w:t>49b</w:t>
      </w:r>
      <w:r w:rsidRPr="00EF7BFD">
        <w:t>. Jeżeli wątpliwości co do wieku pokr</w:t>
      </w:r>
      <w:r w:rsidR="00604FCB">
        <w:t>zywdzonego nie da się usunąć, a </w:t>
      </w:r>
      <w:r w:rsidRPr="00EF7BFD">
        <w:t xml:space="preserve">zachodzi uzasadnione przypuszczenie, że jest on małoletni, stosuje się do niego przepisy </w:t>
      </w:r>
      <w:r>
        <w:t>niniejszego</w:t>
      </w:r>
      <w:r w:rsidRPr="00EF7BFD">
        <w:t xml:space="preserve"> kodeksu dotycząc</w:t>
      </w:r>
      <w:r w:rsidR="00FF7E1A">
        <w:t>e małoletnich pokrzywdzonych.”;</w:t>
      </w:r>
      <w:bookmarkStart w:id="0" w:name="_GoBack"/>
      <w:bookmarkEnd w:id="0"/>
    </w:p>
    <w:p w14:paraId="38E26B47" w14:textId="77777777" w:rsidR="00B611BC" w:rsidRPr="00B611BC" w:rsidRDefault="00B611BC" w:rsidP="004C3103">
      <w:pPr>
        <w:pStyle w:val="PKTpunkt"/>
      </w:pPr>
      <w:r w:rsidRPr="00B611BC">
        <w:t>2)</w:t>
      </w:r>
      <w:r w:rsidRPr="00B611BC">
        <w:tab/>
        <w:t>po art. 52 dodaje się art. 52a w brzmieniu:</w:t>
      </w:r>
    </w:p>
    <w:p w14:paraId="613A4E52" w14:textId="60B34FEA" w:rsidR="00B611BC" w:rsidRPr="00B611BC" w:rsidRDefault="00B611BC">
      <w:pPr>
        <w:pStyle w:val="ZARTzmartartykuempunktem"/>
      </w:pPr>
      <w:bookmarkStart w:id="1" w:name="_Hlk45098064"/>
      <w:r>
        <w:t>„</w:t>
      </w:r>
      <w:r w:rsidRPr="00AB0A83">
        <w:t xml:space="preserve">Art. 52a. Mając na względzie potrzebę zastosowania </w:t>
      </w:r>
      <w:r w:rsidR="00604FCB">
        <w:t>wobec pokrzywdzonego art. </w:t>
      </w:r>
      <w:r>
        <w:t xml:space="preserve">147 </w:t>
      </w:r>
      <w:r w:rsidRPr="00A3743B">
        <w:t>§</w:t>
      </w:r>
      <w:r>
        <w:t xml:space="preserve"> 1 w odniesieniu do czynności, o której mowa w art. 143 § 1 pkt 2</w:t>
      </w:r>
      <w:r w:rsidR="00604FCB">
        <w:t>, a także art. </w:t>
      </w:r>
      <w:r>
        <w:t xml:space="preserve">177 </w:t>
      </w:r>
      <w:r w:rsidRPr="00A3743B">
        <w:t>§</w:t>
      </w:r>
      <w:r>
        <w:t xml:space="preserve"> 1a, art. </w:t>
      </w:r>
      <w:r w:rsidRPr="00A3743B">
        <w:t>184</w:t>
      </w:r>
      <w:r w:rsidR="00361723">
        <w:t>–</w:t>
      </w:r>
      <w:r w:rsidRPr="00A3743B">
        <w:t xml:space="preserve">185c, art. 299a § 1, </w:t>
      </w:r>
      <w:r>
        <w:t xml:space="preserve">art. 360 </w:t>
      </w:r>
      <w:r w:rsidRPr="00A3743B">
        <w:t>§</w:t>
      </w:r>
      <w:r w:rsidR="002F3B86">
        <w:t xml:space="preserve"> 1 pkt 1 l</w:t>
      </w:r>
      <w:r w:rsidR="007B6563">
        <w:t>it</w:t>
      </w:r>
      <w:r>
        <w:t xml:space="preserve">. d oraz pkt 3, </w:t>
      </w:r>
      <w:r w:rsidR="007B6563">
        <w:t>art. 390 § </w:t>
      </w:r>
      <w:r w:rsidRPr="00A3743B">
        <w:t>2 i 3 oraz art. 10 ust. 2 ustawy z dnia 28 listopada 2014 r. o ochronie i pomocy dla pokrzywdzonego i świadka (Dz. U. z 2015 r. poz. 21</w:t>
      </w:r>
      <w:bookmarkStart w:id="2" w:name="_Hlk45110948"/>
      <w:r w:rsidRPr="00A3743B">
        <w:t>)</w:t>
      </w:r>
      <w:r>
        <w:t xml:space="preserve">, </w:t>
      </w:r>
      <w:r w:rsidRPr="00A3743B">
        <w:t xml:space="preserve">organ prowadzący postępowanie karne ustala okoliczności sprawy, w szczególności dotyczące właściwości i warunków osobistych pokrzywdzonego, </w:t>
      </w:r>
      <w:r>
        <w:t>a także rodzaju i rozmiaru ujemnych następstw przestępstwa. Przed rozpoczęciem czynności wskazan</w:t>
      </w:r>
      <w:r w:rsidR="00D975C0">
        <w:t>ych w przepisach wymienionych w </w:t>
      </w:r>
      <w:r>
        <w:t xml:space="preserve">zdaniu pierwszym organ odbiera od pokrzywdzonego oświadczenie, czy chce zastosowania przewidzianych w nich środków, </w:t>
      </w:r>
      <w:r w:rsidRPr="001835AB">
        <w:t>chyba że</w:t>
      </w:r>
      <w:r>
        <w:t xml:space="preserve"> </w:t>
      </w:r>
      <w:r w:rsidRPr="00DB4891">
        <w:t>odebranie oświadczenia jest niemożliwe</w:t>
      </w:r>
      <w:r>
        <w:t xml:space="preserve">, </w:t>
      </w:r>
      <w:r w:rsidRPr="00A3743B">
        <w:t>zastosowanie określonego środka jest obowiązkowe lub organ prowadzący postępowanie działa na wniosek pokrzywdzonego.</w:t>
      </w:r>
      <w:r>
        <w:t xml:space="preserve"> Organ bierze pod uwagę oświadczenie pokrzywdzonego.”. </w:t>
      </w:r>
    </w:p>
    <w:bookmarkEnd w:id="1"/>
    <w:bookmarkEnd w:id="2"/>
    <w:p w14:paraId="14DB7D3A" w14:textId="77777777" w:rsidR="00261A16" w:rsidRPr="00737F6A" w:rsidRDefault="00B611BC" w:rsidP="004C3103">
      <w:pPr>
        <w:pStyle w:val="ARTartustawynprozporzdzenia"/>
      </w:pPr>
      <w:r w:rsidRPr="00EF7BFD">
        <w:rPr>
          <w:rStyle w:val="Ppogrubienie"/>
        </w:rPr>
        <w:t>Art. 2.</w:t>
      </w:r>
      <w:r w:rsidRPr="00EF7BFD">
        <w:t xml:space="preserve"> Ustawa wchodzi w </w:t>
      </w:r>
      <w:r w:rsidRPr="00CD6FA2">
        <w:t>życie</w:t>
      </w:r>
      <w:r w:rsidRPr="00EF7BFD">
        <w:t xml:space="preserve">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45C409" w16cid:durableId="234D2F0A"/>
  <w16cid:commentId w16cid:paraId="1F7E6D7B" w16cid:durableId="234D2F31"/>
  <w16cid:commentId w16cid:paraId="503AC3DA" w16cid:durableId="234D2F0B"/>
  <w16cid:commentId w16cid:paraId="79785690" w16cid:durableId="234D2F36"/>
  <w16cid:commentId w16cid:paraId="189DC063" w16cid:durableId="234D2F0C"/>
  <w16cid:commentId w16cid:paraId="76EA42FE" w16cid:durableId="234D2F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8E9C0" w14:textId="77777777" w:rsidR="002530CA" w:rsidRDefault="002530CA">
      <w:r>
        <w:separator/>
      </w:r>
    </w:p>
  </w:endnote>
  <w:endnote w:type="continuationSeparator" w:id="0">
    <w:p w14:paraId="31AD0C7E" w14:textId="77777777" w:rsidR="002530CA" w:rsidRDefault="00253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37C08" w14:textId="77777777" w:rsidR="002530CA" w:rsidRDefault="002530CA">
      <w:r>
        <w:separator/>
      </w:r>
    </w:p>
  </w:footnote>
  <w:footnote w:type="continuationSeparator" w:id="0">
    <w:p w14:paraId="49E31998" w14:textId="77777777" w:rsidR="002530CA" w:rsidRDefault="002530CA">
      <w:r>
        <w:continuationSeparator/>
      </w:r>
    </w:p>
  </w:footnote>
  <w:footnote w:id="1">
    <w:p w14:paraId="0DCDD0D7" w14:textId="51F126CA" w:rsidR="00B611BC" w:rsidRPr="001D35C9" w:rsidRDefault="00B611BC" w:rsidP="002F3B86">
      <w:pPr>
        <w:pStyle w:val="ODNONIKtreodnonika"/>
      </w:pPr>
      <w:r>
        <w:rPr>
          <w:rStyle w:val="Odwoanieprzypisudolnego"/>
        </w:rPr>
        <w:footnoteRef/>
      </w:r>
      <w:r w:rsidRPr="00A42B56">
        <w:rPr>
          <w:vertAlign w:val="superscript"/>
        </w:rPr>
        <w:t>)</w:t>
      </w:r>
      <w:r>
        <w:tab/>
      </w:r>
      <w:r w:rsidR="002F3B86">
        <w:t>Niniejsza ustawa w zakresie swojej regulacji wdraża dyrektywę Parlamentu Europejskiego i Rady 2012/29/UE z dnia 25 października 2012 r. ustanawiającą normy minima</w:t>
      </w:r>
      <w:r w:rsidR="00A034CB">
        <w:t>lne w zakresie praw, wsparcia i </w:t>
      </w:r>
      <w:r w:rsidR="002F3B86">
        <w:t>ochrony ofiar przestępstw oraz zastępującą decyzję ramową Rady 2001/220/</w:t>
      </w:r>
      <w:proofErr w:type="spellStart"/>
      <w:r w:rsidR="002F3B86">
        <w:t>WSiSW</w:t>
      </w:r>
      <w:proofErr w:type="spellEnd"/>
      <w:r w:rsidR="002F3B86">
        <w:t xml:space="preserve"> (Dz. U</w:t>
      </w:r>
      <w:r w:rsidR="00A034CB">
        <w:t>rz. UE L 315 z </w:t>
      </w:r>
      <w:r w:rsidR="002F3B86">
        <w:t>14.11.2012</w:t>
      </w:r>
      <w:r w:rsidR="00AB12B3">
        <w:t>, str. </w:t>
      </w:r>
      <w:r w:rsidR="002F3B86">
        <w:t xml:space="preserve">57) oraz </w:t>
      </w:r>
      <w:r w:rsidR="002F3B86" w:rsidRPr="002F3B86">
        <w:t>dyrektywę Parlamentu i Rady 2011/93/UE z dnia 13 grudnia 2011 r. w sprawie zwalczania niegodziwego traktowania w celach seksualnych i wykorzystywania seksualnego dzieci oraz pornografii dziecięcej, zastępującą decyzję ramową Rady 200</w:t>
      </w:r>
      <w:r w:rsidR="00A034CB">
        <w:t>4/68/</w:t>
      </w:r>
      <w:proofErr w:type="spellStart"/>
      <w:r w:rsidR="00A034CB">
        <w:t>WSiSW</w:t>
      </w:r>
      <w:proofErr w:type="spellEnd"/>
      <w:r w:rsidR="00A034CB">
        <w:t xml:space="preserve"> (Dz. Urz. UE L 335 z </w:t>
      </w:r>
      <w:r w:rsidR="002F3B86" w:rsidRPr="002F3B86">
        <w:t>17.12.2011, str. 1 oraz Dz. Urz</w:t>
      </w:r>
      <w:r w:rsidR="002F3B86">
        <w:t>.</w:t>
      </w:r>
      <w:r w:rsidR="002F3B86" w:rsidRPr="002F3B86">
        <w:t xml:space="preserve"> </w:t>
      </w:r>
      <w:r w:rsidR="00AB12B3">
        <w:t xml:space="preserve">UE </w:t>
      </w:r>
      <w:r w:rsidR="002F3B86" w:rsidRPr="002F3B86">
        <w:t>L 18 z 21.01.2012, str. 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6B18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F3B8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B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733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3FF2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F10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30CA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3B86"/>
    <w:rsid w:val="002F669F"/>
    <w:rsid w:val="00301C97"/>
    <w:rsid w:val="0031004C"/>
    <w:rsid w:val="003105F6"/>
    <w:rsid w:val="00311297"/>
    <w:rsid w:val="003113BE"/>
    <w:rsid w:val="003122CA"/>
    <w:rsid w:val="003148FD"/>
    <w:rsid w:val="0031728E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1723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6A1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7BE7"/>
    <w:rsid w:val="004B00A7"/>
    <w:rsid w:val="004B25E2"/>
    <w:rsid w:val="004B34D7"/>
    <w:rsid w:val="004B5037"/>
    <w:rsid w:val="004B5B2F"/>
    <w:rsid w:val="004B626A"/>
    <w:rsid w:val="004B660E"/>
    <w:rsid w:val="004C05BD"/>
    <w:rsid w:val="004C16F0"/>
    <w:rsid w:val="004C3103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4FCB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2539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6563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9A3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6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1A3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68E8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1DB7"/>
    <w:rsid w:val="009F1F42"/>
    <w:rsid w:val="009F501D"/>
    <w:rsid w:val="00A034CB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2B3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17F01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11BC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5FEA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396"/>
    <w:rsid w:val="00CD12C1"/>
    <w:rsid w:val="00CD214E"/>
    <w:rsid w:val="00CD46FA"/>
    <w:rsid w:val="00CD5973"/>
    <w:rsid w:val="00CD6FA2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5C0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5E3F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0AD9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1A5573"/>
  <w15:docId w15:val="{06128692-9932-4F9E-AFCB-D09E8249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1F4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4C3103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3C5FFC-6E63-4E23-A6F2-CD928A8CB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7</cp:revision>
  <cp:lastPrinted>2012-04-23T06:39:00Z</cp:lastPrinted>
  <dcterms:created xsi:type="dcterms:W3CDTF">2020-11-04T12:53:00Z</dcterms:created>
  <dcterms:modified xsi:type="dcterms:W3CDTF">2020-11-04T16:23:00Z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