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E2ADA" w14:textId="1B36DB60" w:rsidR="003D7244" w:rsidRDefault="0079000F" w:rsidP="002F5A77">
      <w:pPr>
        <w:widowControl/>
        <w:autoSpaceDE/>
        <w:adjustRightInd/>
        <w:spacing w:before="120"/>
        <w:jc w:val="center"/>
        <w:rPr>
          <w:rFonts w:ascii="Times" w:hAnsi="Times"/>
        </w:rPr>
      </w:pPr>
      <w:r>
        <w:rPr>
          <w:rFonts w:cs="Times New Roman"/>
          <w:szCs w:val="24"/>
        </w:rPr>
        <w:t>UZASADNIENIE</w:t>
      </w:r>
    </w:p>
    <w:p w14:paraId="79E4BA56" w14:textId="7A78C7DC" w:rsidR="003D7244" w:rsidRDefault="003D7244" w:rsidP="002F5A77">
      <w:pPr>
        <w:spacing w:before="240"/>
        <w:jc w:val="both"/>
        <w:rPr>
          <w:rFonts w:cs="Times New Roman"/>
          <w:szCs w:val="24"/>
        </w:rPr>
      </w:pPr>
      <w:r>
        <w:rPr>
          <w:rFonts w:cs="Times New Roman"/>
          <w:szCs w:val="24"/>
        </w:rPr>
        <w:t xml:space="preserve">Celem ustawy jest wprowadzenie zmian do </w:t>
      </w:r>
      <w:r w:rsidR="009342B3">
        <w:rPr>
          <w:rFonts w:cs="Times New Roman"/>
          <w:szCs w:val="24"/>
        </w:rPr>
        <w:t>K</w:t>
      </w:r>
      <w:r>
        <w:rPr>
          <w:rFonts w:cs="Times New Roman"/>
          <w:szCs w:val="24"/>
        </w:rPr>
        <w:t xml:space="preserve">odeksu postępowania karnego, zmierzających do uściślenia i doprecyzowania obowiązujących przepisów odnoszących się do gwarancji procesowych przysługujących pokrzywdzonym. </w:t>
      </w:r>
    </w:p>
    <w:p w14:paraId="56CD67A8" w14:textId="463043E3" w:rsidR="003D7244" w:rsidRDefault="003D7244" w:rsidP="002F5A77">
      <w:pPr>
        <w:spacing w:before="120"/>
        <w:jc w:val="both"/>
        <w:rPr>
          <w:rFonts w:cs="Times New Roman"/>
          <w:szCs w:val="24"/>
        </w:rPr>
      </w:pPr>
      <w:r>
        <w:rPr>
          <w:rFonts w:cs="Times New Roman"/>
          <w:szCs w:val="24"/>
        </w:rPr>
        <w:t>Konieczność tych zmian wiąże się z całościowym wykonaniem zobowiązań wynikających z dyrektywy Parlamentu Europejski</w:t>
      </w:r>
      <w:r w:rsidR="008350F5">
        <w:rPr>
          <w:rFonts w:cs="Times New Roman"/>
          <w:szCs w:val="24"/>
        </w:rPr>
        <w:t>ego i Rady 2012/29/UE z dnia 25 </w:t>
      </w:r>
      <w:r>
        <w:rPr>
          <w:rFonts w:cs="Times New Roman"/>
          <w:szCs w:val="24"/>
        </w:rPr>
        <w:t>października 2012 r. ustanawiającej normy minimalne w zakresie praw, wsparcia i ochrony ofiar przestępstw oraz zastępującej decyzję ramową Rady 2001/220/WSiSW (w dalszej części jako – „dyrektywa 2012/29”), a także dyrektywy Parlamentu i Rady 2011/93/UE z dnia 13 grudnia 2011 r. w sprawie zwalczania niegodziwego traktowania w celach seksualnych i wykorzystywania seksualnego dzieci oraz pornografii dziecięcej, zastępując</w:t>
      </w:r>
      <w:r w:rsidR="00531731">
        <w:rPr>
          <w:rFonts w:cs="Times New Roman"/>
          <w:szCs w:val="24"/>
        </w:rPr>
        <w:t>ej</w:t>
      </w:r>
      <w:r>
        <w:rPr>
          <w:rFonts w:cs="Times New Roman"/>
          <w:szCs w:val="24"/>
        </w:rPr>
        <w:t xml:space="preserve"> decyzję ramową Rady 2004/68/WSiSW (w dalszej części jako – „dyrektywa 2011/93</w:t>
      </w:r>
      <w:r w:rsidR="0079000F">
        <w:rPr>
          <w:rFonts w:cs="Times New Roman"/>
          <w:szCs w:val="24"/>
        </w:rPr>
        <w:t>”</w:t>
      </w:r>
      <w:r>
        <w:rPr>
          <w:rFonts w:cs="Times New Roman"/>
          <w:szCs w:val="24"/>
        </w:rPr>
        <w:t>).</w:t>
      </w:r>
    </w:p>
    <w:p w14:paraId="210E7FF6" w14:textId="248CD51D" w:rsidR="003D7244" w:rsidRDefault="003D7244" w:rsidP="002F5A77">
      <w:pPr>
        <w:spacing w:before="120"/>
        <w:jc w:val="both"/>
        <w:rPr>
          <w:rFonts w:cs="Times New Roman"/>
          <w:szCs w:val="24"/>
        </w:rPr>
      </w:pPr>
      <w:r>
        <w:rPr>
          <w:rFonts w:cs="Times New Roman"/>
          <w:szCs w:val="24"/>
        </w:rPr>
        <w:t>Zmiany te mają na celu uwzględnienie wniosków Komi</w:t>
      </w:r>
      <w:r w:rsidR="008350F5">
        <w:rPr>
          <w:rFonts w:cs="Times New Roman"/>
          <w:szCs w:val="24"/>
        </w:rPr>
        <w:t>sji Europejskiej skierowanych w </w:t>
      </w:r>
      <w:r>
        <w:rPr>
          <w:rFonts w:cs="Times New Roman"/>
          <w:szCs w:val="24"/>
        </w:rPr>
        <w:t xml:space="preserve">ramach procedur naruszenia (uchybienie nr 2019/2106 oraz nr </w:t>
      </w:r>
      <w:r>
        <w:rPr>
          <w:szCs w:val="24"/>
        </w:rPr>
        <w:t>2019/2106</w:t>
      </w:r>
      <w:r>
        <w:rPr>
          <w:rFonts w:cs="Times New Roman"/>
          <w:szCs w:val="24"/>
        </w:rPr>
        <w:t>) dotycząc</w:t>
      </w:r>
      <w:r w:rsidR="00203D2C">
        <w:rPr>
          <w:rFonts w:cs="Times New Roman"/>
          <w:szCs w:val="24"/>
        </w:rPr>
        <w:t>ych</w:t>
      </w:r>
      <w:r>
        <w:rPr>
          <w:rFonts w:cs="Times New Roman"/>
          <w:szCs w:val="24"/>
        </w:rPr>
        <w:t xml:space="preserve"> niepełnego wdrożenia odpowiednio dyrektywy 2012/29 i dyrektywy 2011/93. </w:t>
      </w:r>
    </w:p>
    <w:p w14:paraId="444FB15F" w14:textId="4B73D794" w:rsidR="003D7244" w:rsidRDefault="003D7244" w:rsidP="002F5A77">
      <w:pPr>
        <w:spacing w:before="120"/>
        <w:jc w:val="both"/>
        <w:rPr>
          <w:rFonts w:cs="Times New Roman"/>
          <w:szCs w:val="24"/>
        </w:rPr>
      </w:pPr>
      <w:r>
        <w:rPr>
          <w:rFonts w:cs="Times New Roman"/>
          <w:szCs w:val="24"/>
        </w:rPr>
        <w:t xml:space="preserve">Podkreślenia wymaga fakt, że prawo polskie już obecnie w zdecydowanej części zapewnia realizację postanowień wskazanych dyrektyw. Przepisy dyrektywy 2012/29 znajdują odzwierciedlenie głównie w postanowieniach </w:t>
      </w:r>
      <w:r w:rsidR="009342B3">
        <w:rPr>
          <w:rFonts w:cs="Times New Roman"/>
          <w:szCs w:val="24"/>
        </w:rPr>
        <w:t>K</w:t>
      </w:r>
      <w:r>
        <w:rPr>
          <w:rFonts w:cs="Times New Roman"/>
          <w:szCs w:val="24"/>
        </w:rPr>
        <w:t xml:space="preserve">odeksu postępowania karnego dotyczących m.in. prawa pokrzywdzonego do informacji o przysługujących mu uprawnieniach oraz informacji na temat postępowania, prawa do tłumaczenia, w tym do złożenia zawiadomienia o przestępstwie w języku, którym pokrzywdzony włada, do bycia wysłuchanym, do pomocy prawnej, do zwrotu poniesionych wydatków, do odszkodowania, do środków ochrony, a ponadto w ustawie z dnia 6 czerwca 1997 r. </w:t>
      </w:r>
      <w:r w:rsidR="009342B3">
        <w:rPr>
          <w:rFonts w:cs="Times New Roman"/>
          <w:szCs w:val="24"/>
        </w:rPr>
        <w:t xml:space="preserve">– </w:t>
      </w:r>
      <w:r w:rsidR="00AC4457">
        <w:rPr>
          <w:rFonts w:cs="Times New Roman"/>
          <w:szCs w:val="24"/>
        </w:rPr>
        <w:t>K</w:t>
      </w:r>
      <w:r>
        <w:rPr>
          <w:rFonts w:cs="Times New Roman"/>
          <w:szCs w:val="24"/>
        </w:rPr>
        <w:t>odeks karny wykonawczy</w:t>
      </w:r>
      <w:r w:rsidR="00AC4457">
        <w:rPr>
          <w:rFonts w:cs="Times New Roman"/>
          <w:szCs w:val="24"/>
        </w:rPr>
        <w:t xml:space="preserve"> (Dz. U. z 2020 r. poz. 523 i</w:t>
      </w:r>
      <w:r w:rsidR="00AC4457" w:rsidRPr="00AC4457">
        <w:rPr>
          <w:rFonts w:cs="Times New Roman"/>
          <w:szCs w:val="24"/>
        </w:rPr>
        <w:t xml:space="preserve"> 568</w:t>
      </w:r>
      <w:r w:rsidR="00AC4457">
        <w:rPr>
          <w:rFonts w:cs="Times New Roman"/>
          <w:szCs w:val="24"/>
        </w:rPr>
        <w:t>)</w:t>
      </w:r>
      <w:r>
        <w:rPr>
          <w:rFonts w:cs="Times New Roman"/>
          <w:szCs w:val="24"/>
        </w:rPr>
        <w:t xml:space="preserve"> w zakresie dotyczącym Funduszu Pomocy Pokrzywdzonym oraz Pomocy Postpenitencjarnej zapewniającym szeroki wachlarz środków pomocy dla pokrzywdzonych, w tym pomocy materialnej oraz niematerialnej w postaci porad prawnych czy psychologicznej, a</w:t>
      </w:r>
      <w:r w:rsidR="008350F5">
        <w:rPr>
          <w:rFonts w:cs="Times New Roman"/>
          <w:szCs w:val="24"/>
        </w:rPr>
        <w:t xml:space="preserve"> także w ustawie z </w:t>
      </w:r>
      <w:r>
        <w:rPr>
          <w:rFonts w:cs="Times New Roman"/>
          <w:szCs w:val="24"/>
        </w:rPr>
        <w:t>dnia 28 listopada 2014 r. o ochronie i pomocy dla pokrzywdzonego i świadka (Dz.</w:t>
      </w:r>
      <w:r w:rsidR="008350F5">
        <w:rPr>
          <w:rFonts w:cs="Times New Roman"/>
          <w:szCs w:val="24"/>
        </w:rPr>
        <w:t> </w:t>
      </w:r>
      <w:r w:rsidR="0015725F">
        <w:rPr>
          <w:rFonts w:cs="Times New Roman"/>
          <w:szCs w:val="24"/>
        </w:rPr>
        <w:t>U. z 2015</w:t>
      </w:r>
      <w:r w:rsidR="008350F5">
        <w:rPr>
          <w:rFonts w:cs="Times New Roman"/>
          <w:szCs w:val="24"/>
        </w:rPr>
        <w:t xml:space="preserve"> </w:t>
      </w:r>
      <w:r>
        <w:rPr>
          <w:rFonts w:cs="Times New Roman"/>
          <w:szCs w:val="24"/>
        </w:rPr>
        <w:t xml:space="preserve">r. poz. 21). Ustawa ta wprowadziła przejrzyste mechanizmy zapewniające pokrzywdzonym i świadkom wsparcie i ochronę zarówno przed wszczęciem </w:t>
      </w:r>
      <w:r>
        <w:rPr>
          <w:rFonts w:cs="Times New Roman"/>
          <w:szCs w:val="24"/>
        </w:rPr>
        <w:lastRenderedPageBreak/>
        <w:t>postępowania karnego</w:t>
      </w:r>
      <w:r w:rsidR="00FD2336">
        <w:rPr>
          <w:rFonts w:cs="Times New Roman"/>
          <w:szCs w:val="24"/>
        </w:rPr>
        <w:t>,</w:t>
      </w:r>
      <w:r>
        <w:rPr>
          <w:rFonts w:cs="Times New Roman"/>
          <w:szCs w:val="24"/>
        </w:rPr>
        <w:t xml:space="preserve"> jak i w jego toku. </w:t>
      </w:r>
    </w:p>
    <w:p w14:paraId="40545B69" w14:textId="6C480E71" w:rsidR="003D7244" w:rsidRDefault="003D7244" w:rsidP="002F5A77">
      <w:pPr>
        <w:spacing w:before="120"/>
        <w:jc w:val="both"/>
        <w:rPr>
          <w:rFonts w:cs="Times New Roman"/>
          <w:szCs w:val="24"/>
        </w:rPr>
      </w:pPr>
      <w:r>
        <w:rPr>
          <w:rFonts w:cs="Times New Roman"/>
          <w:szCs w:val="24"/>
        </w:rPr>
        <w:t xml:space="preserve">Identyczna sytuacja przedstawia się w odniesieniu do dyrektywy 2011/93. Przepisy tej dyrektywy znajdują odzwierciedlenie w szeregu ustaw, w tym w </w:t>
      </w:r>
      <w:r w:rsidR="00AC4457">
        <w:rPr>
          <w:rFonts w:cs="Times New Roman"/>
          <w:szCs w:val="24"/>
        </w:rPr>
        <w:t>K</w:t>
      </w:r>
      <w:r w:rsidR="008350F5">
        <w:rPr>
          <w:rFonts w:cs="Times New Roman"/>
          <w:szCs w:val="24"/>
        </w:rPr>
        <w:t>odeksie karnym w </w:t>
      </w:r>
      <w:r>
        <w:rPr>
          <w:rFonts w:cs="Times New Roman"/>
          <w:szCs w:val="24"/>
        </w:rPr>
        <w:t xml:space="preserve">zakresie dotyczącym przestępstw na tle seksualnym, </w:t>
      </w:r>
      <w:r w:rsidR="00AC4457">
        <w:rPr>
          <w:rFonts w:cs="Times New Roman"/>
          <w:szCs w:val="24"/>
        </w:rPr>
        <w:t>K</w:t>
      </w:r>
      <w:r>
        <w:rPr>
          <w:rFonts w:cs="Times New Roman"/>
          <w:szCs w:val="24"/>
        </w:rPr>
        <w:t xml:space="preserve">odeksie postępowania karnego w odniesieniu do praw pokrzywdzonych dzieci, w tym w zakresie szczególnego trybu przesłuchania, nagrywania takich przesłuchań, a także </w:t>
      </w:r>
      <w:r w:rsidR="00611133">
        <w:rPr>
          <w:rFonts w:cs="Times New Roman"/>
          <w:szCs w:val="24"/>
        </w:rPr>
        <w:t xml:space="preserve">w </w:t>
      </w:r>
      <w:r>
        <w:rPr>
          <w:rFonts w:cs="Times New Roman"/>
          <w:szCs w:val="24"/>
        </w:rPr>
        <w:t>ustaw</w:t>
      </w:r>
      <w:r w:rsidR="00611133">
        <w:rPr>
          <w:rFonts w:cs="Times New Roman"/>
          <w:szCs w:val="24"/>
        </w:rPr>
        <w:t>ie</w:t>
      </w:r>
      <w:r>
        <w:rPr>
          <w:rFonts w:cs="Times New Roman"/>
          <w:szCs w:val="24"/>
        </w:rPr>
        <w:t xml:space="preserve"> z </w:t>
      </w:r>
      <w:r w:rsidR="00FD2336">
        <w:rPr>
          <w:rFonts w:cs="Times New Roman"/>
          <w:szCs w:val="24"/>
        </w:rPr>
        <w:t xml:space="preserve">dnia </w:t>
      </w:r>
      <w:r>
        <w:rPr>
          <w:rFonts w:cs="Times New Roman"/>
          <w:szCs w:val="24"/>
        </w:rPr>
        <w:t>29 lipca 2005 r</w:t>
      </w:r>
      <w:r w:rsidR="00AC4457">
        <w:rPr>
          <w:rFonts w:cs="Times New Roman"/>
          <w:szCs w:val="24"/>
        </w:rPr>
        <w:t>.</w:t>
      </w:r>
      <w:r>
        <w:rPr>
          <w:rFonts w:cs="Times New Roman"/>
          <w:szCs w:val="24"/>
        </w:rPr>
        <w:t xml:space="preserve"> o przeciwdziałaniu przemocy w rodzinie (Dz. U. z 2020</w:t>
      </w:r>
      <w:r w:rsidR="00AC4457">
        <w:rPr>
          <w:rFonts w:cs="Times New Roman"/>
          <w:szCs w:val="24"/>
        </w:rPr>
        <w:t xml:space="preserve"> r.</w:t>
      </w:r>
      <w:r>
        <w:rPr>
          <w:rFonts w:cs="Times New Roman"/>
          <w:szCs w:val="24"/>
        </w:rPr>
        <w:t xml:space="preserve"> poz. 218) oraz wspomnianych wyżej ustaw</w:t>
      </w:r>
      <w:r w:rsidR="00730BB6">
        <w:rPr>
          <w:rFonts w:cs="Times New Roman"/>
          <w:szCs w:val="24"/>
        </w:rPr>
        <w:t>ach</w:t>
      </w:r>
      <w:r>
        <w:rPr>
          <w:rFonts w:cs="Times New Roman"/>
          <w:szCs w:val="24"/>
        </w:rPr>
        <w:t xml:space="preserve"> – Kodeks karny wykonawczy (w odniesieniu do Funduszu Pomocy Pokrzywdzonym oraz Pomocy Postpenitencjarnej) i ustaw</w:t>
      </w:r>
      <w:r w:rsidR="00FC7FF0">
        <w:rPr>
          <w:rFonts w:cs="Times New Roman"/>
          <w:szCs w:val="24"/>
        </w:rPr>
        <w:t>ie</w:t>
      </w:r>
      <w:r>
        <w:rPr>
          <w:rFonts w:cs="Times New Roman"/>
          <w:szCs w:val="24"/>
        </w:rPr>
        <w:t xml:space="preserve"> </w:t>
      </w:r>
      <w:r w:rsidR="00FD2336">
        <w:rPr>
          <w:rFonts w:cs="Times New Roman"/>
          <w:szCs w:val="24"/>
        </w:rPr>
        <w:t xml:space="preserve">z dnia 28 listopada 2014 r. </w:t>
      </w:r>
      <w:r>
        <w:rPr>
          <w:rFonts w:cs="Times New Roman"/>
          <w:szCs w:val="24"/>
        </w:rPr>
        <w:t xml:space="preserve">o ochronie i pomocy dla pokrzywdzonego i świadka. </w:t>
      </w:r>
    </w:p>
    <w:p w14:paraId="7F439312" w14:textId="1CA6726B" w:rsidR="003D7244" w:rsidRDefault="003D7244" w:rsidP="002F5A77">
      <w:pPr>
        <w:spacing w:before="120"/>
        <w:jc w:val="both"/>
        <w:rPr>
          <w:rFonts w:cs="Times New Roman"/>
          <w:szCs w:val="24"/>
        </w:rPr>
      </w:pPr>
      <w:r>
        <w:rPr>
          <w:rFonts w:cs="Times New Roman"/>
          <w:szCs w:val="24"/>
        </w:rPr>
        <w:t xml:space="preserve">Projektowana ustawa wprowadza jedynie punktowe zmiany przepisów. Proponuje się wprowadzenie nowego art. 49b i art. 52a K.p.k. </w:t>
      </w:r>
    </w:p>
    <w:p w14:paraId="5E6E2820" w14:textId="1B1061ED" w:rsidR="003D7244" w:rsidRDefault="003D7244" w:rsidP="002F5A77">
      <w:pPr>
        <w:spacing w:before="120"/>
        <w:jc w:val="both"/>
        <w:rPr>
          <w:rFonts w:cs="Times New Roman"/>
          <w:szCs w:val="24"/>
        </w:rPr>
      </w:pPr>
      <w:r>
        <w:rPr>
          <w:rFonts w:cs="Times New Roman"/>
          <w:szCs w:val="24"/>
        </w:rPr>
        <w:t xml:space="preserve">Proponowany przepis art. 49b K.p.k. zmierza do ustanowienia zasady domniemania wieku pokrzywdzonego i wynika z art. 24 ust. 2 dyrektywy </w:t>
      </w:r>
      <w:bookmarkStart w:id="0" w:name="_Hlk36029805"/>
      <w:r>
        <w:rPr>
          <w:rFonts w:cs="Times New Roman"/>
          <w:szCs w:val="24"/>
        </w:rPr>
        <w:t>2012/29</w:t>
      </w:r>
      <w:bookmarkEnd w:id="0"/>
      <w:r>
        <w:rPr>
          <w:rFonts w:cs="Times New Roman"/>
          <w:szCs w:val="24"/>
        </w:rPr>
        <w:t>. Celem tych przepisów jest rozciągnięcie stosowania szczególnych standardów odnoszących się do pokrzywdzonych dzieci (osób poniżej 18</w:t>
      </w:r>
      <w:r w:rsidR="00AC4457">
        <w:rPr>
          <w:rFonts w:cs="Times New Roman"/>
          <w:szCs w:val="24"/>
        </w:rPr>
        <w:t>.</w:t>
      </w:r>
      <w:r>
        <w:rPr>
          <w:rFonts w:cs="Times New Roman"/>
          <w:szCs w:val="24"/>
        </w:rPr>
        <w:t xml:space="preserve"> roku życia – art. 2 ust. 1 lit. c dyrektywy) na osoby, których wieku nie można ustalić (np. cudzoziemcy, których tożsamość jest nieznana), zaś ich cechy fizyczne i psychiczne mogą świadczyć o tym, że są osobami niepełnoletnimi. Przepis art. 22 ust. 4 dyrektywy 2012/29 mówiący o konieczności przeprowadzenia oceny indywidualnej w celu zastosowania szczególnych środków ochrony stanowi o tym, że wobec pokrzywdzonych dzieci winno się stosować wszelkie środki przewidziane tak w art. 24, jak i w art. 23 dyrektywy </w:t>
      </w:r>
      <w:bookmarkStart w:id="1" w:name="_Hlk36032494"/>
      <w:r>
        <w:rPr>
          <w:rFonts w:cs="Times New Roman"/>
          <w:szCs w:val="24"/>
        </w:rPr>
        <w:t>2012/29.</w:t>
      </w:r>
      <w:bookmarkEnd w:id="1"/>
      <w:r>
        <w:rPr>
          <w:rFonts w:cs="Times New Roman"/>
          <w:szCs w:val="24"/>
        </w:rPr>
        <w:t xml:space="preserve"> Tym samym więc środki te winny być stosowane – zgodnie z art. 24 ust. 2 – również wobec osób, co do których można domniemywać, że nie ukończyły 18 lat. Podobny przepis znajduje się w dyrektywie 2011/93 (art. 18 ust. 3 dyrektywy). W związku z tym projektowany art. 49b K.p.k. przewiduje wobec pokrzywdzonych (których wieku nie można ustalić, a istnieje uzasadnione przypuszczenie, że osoba nie ukończyła 18 lat) stosowanie przepisów </w:t>
      </w:r>
      <w:r w:rsidR="00AC4457">
        <w:rPr>
          <w:rFonts w:cs="Times New Roman"/>
          <w:szCs w:val="24"/>
        </w:rPr>
        <w:t>K</w:t>
      </w:r>
      <w:r>
        <w:rPr>
          <w:rFonts w:cs="Times New Roman"/>
          <w:szCs w:val="24"/>
        </w:rPr>
        <w:t xml:space="preserve">odeksu postępowania karnego, bowiem przepisy tego kodeksu określają wskazane wyżej środki. </w:t>
      </w:r>
    </w:p>
    <w:p w14:paraId="430646F1" w14:textId="05C06A38" w:rsidR="003D7244" w:rsidRDefault="003D7244" w:rsidP="002F5A77">
      <w:pPr>
        <w:spacing w:before="120"/>
        <w:jc w:val="both"/>
      </w:pPr>
      <w:r>
        <w:t xml:space="preserve">Odwołanie do przepisów Kodeksu postępowania karnego jest istotne w celu podkreślenia, że niniejsza zasada nie ma zastosowania do oceny wieku sprawcy czynu w oparciu o przepisy </w:t>
      </w:r>
      <w:r w:rsidR="00AC4457">
        <w:t>K</w:t>
      </w:r>
      <w:r>
        <w:t xml:space="preserve">odeksu karnego umożliwiającej pociągnięcie go do </w:t>
      </w:r>
      <w:r>
        <w:lastRenderedPageBreak/>
        <w:t xml:space="preserve">odpowiedzialności karnej. Z racji tego, że odnosi się do małoletniego pokrzywdzonego, nie stanowi również wyjątku od zasady przewidzianej w art. 5 § 2 K.p.k. </w:t>
      </w:r>
    </w:p>
    <w:p w14:paraId="62DC53EE" w14:textId="266D9A55" w:rsidR="003D7244" w:rsidRDefault="003D7244" w:rsidP="002F5A77">
      <w:pPr>
        <w:spacing w:before="120"/>
        <w:jc w:val="both"/>
        <w:rPr>
          <w:rFonts w:cs="Times New Roman"/>
          <w:szCs w:val="24"/>
        </w:rPr>
      </w:pPr>
      <w:r>
        <w:rPr>
          <w:rFonts w:cs="Times New Roman"/>
          <w:szCs w:val="24"/>
        </w:rPr>
        <w:t xml:space="preserve">Przepis art. 24 dyrektywy 2012/29 odnosi się do szczególnych gwarancji dla pokrzywdzonych dzieci przysługujących w toku postępowania karnego. Są to: nagrywanie przesłuchań podczas postępowania przygotowawczego za pośrednictwem urządzeń rejestrujących obraz i dźwięk (art. 147 § 1 i 2a K.p.k.), wyznaczanie przedstawiciela dla dziecka (art. 51 § 2 K.p.k., art. 99 </w:t>
      </w:r>
      <w:r w:rsidR="00AC4457">
        <w:rPr>
          <w:rFonts w:cs="Times New Roman"/>
          <w:szCs w:val="24"/>
        </w:rPr>
        <w:t>K</w:t>
      </w:r>
      <w:r>
        <w:rPr>
          <w:rFonts w:cs="Times New Roman"/>
          <w:szCs w:val="24"/>
        </w:rPr>
        <w:t>odeksu rodzinnego i opiekuńczego), prawo do pomocy prawnej i profesjonalnej reprezentacji w zależności od roli procesowej pokrzywdzonego dziecka oraz w sytuacji konfliktu interesów między nim a osobami sprawującymi władzę rodzicielską (art. 87 § 1 K.p.k</w:t>
      </w:r>
      <w:r w:rsidR="00631D92">
        <w:rPr>
          <w:rFonts w:cs="Times New Roman"/>
          <w:szCs w:val="24"/>
        </w:rPr>
        <w:t>.</w:t>
      </w:r>
      <w:r>
        <w:rPr>
          <w:rFonts w:cs="Times New Roman"/>
          <w:szCs w:val="24"/>
        </w:rPr>
        <w:t xml:space="preserve">). Z kolei </w:t>
      </w:r>
      <w:r w:rsidR="00AC4457">
        <w:rPr>
          <w:rFonts w:cs="Times New Roman"/>
          <w:szCs w:val="24"/>
        </w:rPr>
        <w:t xml:space="preserve">art. 23 </w:t>
      </w:r>
      <w:r>
        <w:rPr>
          <w:rFonts w:cs="Times New Roman"/>
          <w:szCs w:val="24"/>
        </w:rPr>
        <w:t>ust. 2 i 3 dyrektywy 2012/29 przewiduje możliwość stosowania następujących zasad: przesłuchania ofiar w specjalnie do tego celu przygotowanych pomieszczeniach, przez lub z udziałem przeszkolonych specjalistów, przez te same osoby, przez osoby tej samej płci (o ile nie są prowadzone przez sędziego czy prokuratora)</w:t>
      </w:r>
      <w:r w:rsidR="00AC4457">
        <w:rPr>
          <w:rFonts w:cs="Times New Roman"/>
          <w:szCs w:val="24"/>
        </w:rPr>
        <w:t>,</w:t>
      </w:r>
      <w:r>
        <w:rPr>
          <w:rFonts w:cs="Times New Roman"/>
          <w:szCs w:val="24"/>
        </w:rPr>
        <w:t xml:space="preserve"> jeśli czyny dotyczyły przestępstw na tle seksualnym (art. 185a</w:t>
      </w:r>
      <w:r w:rsidR="00AC4457">
        <w:rPr>
          <w:rFonts w:cs="Times New Roman"/>
          <w:szCs w:val="24"/>
        </w:rPr>
        <w:t xml:space="preserve"> </w:t>
      </w:r>
      <w:r>
        <w:rPr>
          <w:rFonts w:cs="Times New Roman"/>
          <w:szCs w:val="24"/>
        </w:rPr>
        <w:t>–</w:t>
      </w:r>
      <w:r w:rsidR="00AC4457">
        <w:rPr>
          <w:rFonts w:cs="Times New Roman"/>
          <w:szCs w:val="24"/>
        </w:rPr>
        <w:t xml:space="preserve"> </w:t>
      </w:r>
      <w:r>
        <w:rPr>
          <w:rFonts w:cs="Times New Roman"/>
          <w:szCs w:val="24"/>
        </w:rPr>
        <w:t>185d K.p.k.), przesłuchania powinny być prowadzone w sposób pozwalający na unikanie kontaktu wzrokowego pokrzywdzonego ze sprawcą, pod nieobecność sprawcy na sali rozpraw (art. 177 §</w:t>
      </w:r>
      <w:r w:rsidR="00AC4457">
        <w:rPr>
          <w:rFonts w:cs="Times New Roman"/>
          <w:szCs w:val="24"/>
        </w:rPr>
        <w:t xml:space="preserve"> </w:t>
      </w:r>
      <w:r>
        <w:rPr>
          <w:rFonts w:cs="Times New Roman"/>
          <w:szCs w:val="24"/>
        </w:rPr>
        <w:t>1a, art. 390 § 2 i 3 K.p.k.), w trakcie przesłuchania powinno się unikać zbędny</w:t>
      </w:r>
      <w:r w:rsidR="008350F5">
        <w:rPr>
          <w:rFonts w:cs="Times New Roman"/>
          <w:szCs w:val="24"/>
        </w:rPr>
        <w:t>ch pytań (art. </w:t>
      </w:r>
      <w:r>
        <w:rPr>
          <w:rFonts w:cs="Times New Roman"/>
          <w:szCs w:val="24"/>
        </w:rPr>
        <w:t xml:space="preserve">171 § 6 K.p.k.), przesłuchanie powinno odbyć się bez udziału publiczności (art. 360 § 1 K.p.k.). </w:t>
      </w:r>
    </w:p>
    <w:p w14:paraId="398CBD22" w14:textId="67DA0DC4" w:rsidR="003D7244" w:rsidRDefault="003D7244" w:rsidP="002F5A77">
      <w:pPr>
        <w:spacing w:before="120"/>
        <w:jc w:val="both"/>
        <w:rPr>
          <w:rFonts w:cs="Times New Roman"/>
          <w:szCs w:val="24"/>
        </w:rPr>
      </w:pPr>
      <w:r>
        <w:rPr>
          <w:rFonts w:cs="Times New Roman"/>
          <w:szCs w:val="24"/>
        </w:rPr>
        <w:t xml:space="preserve">Na gruncie prawa polskiego niektóre tylko ze wskazanych wyżej przepisów mają zastosowanie wprost do małoletnich. W pozostałych przypadkach przepisy stosuje się do wszystkich osób, w tym również tych, które nie ukończyły 18 lat. Stąd też projektowany art. 49b K.p.k. odwołuje się wprost jedynie do przepisów stosowanych wobec małoletnich, pomijając te, które mają zastosowanie niezależnie od wieku pokrzywdzonego. Na uwagę zasługuje też fakt, że niektóre z wyżej wskazanych przepisów </w:t>
      </w:r>
      <w:r w:rsidR="00AC4457">
        <w:rPr>
          <w:rFonts w:cs="Times New Roman"/>
          <w:szCs w:val="24"/>
        </w:rPr>
        <w:t>K</w:t>
      </w:r>
      <w:r>
        <w:rPr>
          <w:rFonts w:cs="Times New Roman"/>
          <w:szCs w:val="24"/>
        </w:rPr>
        <w:t xml:space="preserve">odeksu postępowania karnego dotyczących gwarancji dla pokrzywdzonych mają zastosowanie, jeśli spełnione są określone w nich warunki. Istnienie takich warunków nie sprzeciwia się wymogom dyrektywy 2012/29, która w art. 23 ust. 1 przewiduje możliwość skorzystania z pewnych gwarancji, jeśli uzasadniać będzie to ocena indywidualna pokrzywdzonego dokonana przez właściwy organ. </w:t>
      </w:r>
    </w:p>
    <w:p w14:paraId="34A8574F" w14:textId="68A44163" w:rsidR="003D7244" w:rsidRDefault="003D7244" w:rsidP="002F5A77">
      <w:pPr>
        <w:spacing w:before="120"/>
        <w:jc w:val="both"/>
        <w:rPr>
          <w:rFonts w:cs="Times New Roman"/>
          <w:szCs w:val="24"/>
        </w:rPr>
      </w:pPr>
      <w:r>
        <w:rPr>
          <w:rFonts w:cs="Times New Roman"/>
          <w:szCs w:val="24"/>
        </w:rPr>
        <w:t xml:space="preserve">Zebraniu informacji i wysłuchaniu stanowiska pokrzywdzonego w ramach oceny </w:t>
      </w:r>
      <w:r>
        <w:rPr>
          <w:rFonts w:cs="Times New Roman"/>
          <w:szCs w:val="24"/>
        </w:rPr>
        <w:lastRenderedPageBreak/>
        <w:t xml:space="preserve">indywidualnej służyć ma nowy art. 52a K.p.k. Proponowana zmiana wynika z art. 22 dyrektywy 2012/29 oraz art. 19 ust. 3 dyrektywy 2011/93. Zgodnie z tym pierwszym przepisem pokrzywdzeni powinni zostać poddani indywidualnej ocenie w celu ustalenia potrzeb w zakresie ich ochrony oraz zastosowania wobec nich gwarancji określonych w art. 23 i </w:t>
      </w:r>
      <w:r w:rsidR="00AC4457">
        <w:rPr>
          <w:rFonts w:cs="Times New Roman"/>
          <w:szCs w:val="24"/>
        </w:rPr>
        <w:t xml:space="preserve">art. </w:t>
      </w:r>
      <w:r>
        <w:rPr>
          <w:rFonts w:cs="Times New Roman"/>
          <w:szCs w:val="24"/>
        </w:rPr>
        <w:t xml:space="preserve">24 dyrektywy 2012/29 (przy czym art. 24 odnosi się wyłącznie do małoletnich), o których </w:t>
      </w:r>
      <w:r w:rsidR="0023542A">
        <w:rPr>
          <w:rFonts w:cs="Times New Roman"/>
          <w:szCs w:val="24"/>
        </w:rPr>
        <w:t xml:space="preserve">jest </w:t>
      </w:r>
      <w:r>
        <w:rPr>
          <w:rFonts w:cs="Times New Roman"/>
          <w:szCs w:val="24"/>
        </w:rPr>
        <w:t>mowa wyżej. Indywidualna ocena winna uwzględniać takie elementy jak: cechy osobowe pokrzywdzonego, rodzaj, charakter oraz okoliczności przestępstwa, rozmiar doznanej szkody, relację mi</w:t>
      </w:r>
      <w:r w:rsidR="008350F5">
        <w:rPr>
          <w:rFonts w:cs="Times New Roman"/>
          <w:szCs w:val="24"/>
        </w:rPr>
        <w:t>ędzy pokrzywdzonym a sprawcą. Z </w:t>
      </w:r>
      <w:r>
        <w:rPr>
          <w:rFonts w:cs="Times New Roman"/>
          <w:szCs w:val="24"/>
        </w:rPr>
        <w:t xml:space="preserve">kolei zgodnie z art. 19 ust. 3 dyrektywy 2011/93 państwa członkowskie podejmują środki niezbędne do tego, </w:t>
      </w:r>
      <w:r w:rsidR="0023542A">
        <w:rPr>
          <w:rFonts w:cs="Times New Roman"/>
          <w:szCs w:val="24"/>
        </w:rPr>
        <w:t>a</w:t>
      </w:r>
      <w:r>
        <w:rPr>
          <w:rFonts w:cs="Times New Roman"/>
          <w:szCs w:val="24"/>
        </w:rPr>
        <w:t xml:space="preserve">by konkretne działania w celu zapewnienia pokrzywdzonym dzieciom pomocy i wsparcia, które umożliwią im korzystanie z praw wynikających z niniejszej dyrektywy, były podejmowane po przeprowadzeniu indywidualnej oceny szczególnej sytuacji każdego pokrzywdzonego dziecka, z należnym uwzględnieniem opinii, potrzeb i obaw dziecka. </w:t>
      </w:r>
    </w:p>
    <w:p w14:paraId="392A4C5D" w14:textId="0C527096" w:rsidR="003D7244" w:rsidRDefault="003D7244" w:rsidP="002F5A77">
      <w:pPr>
        <w:spacing w:before="120"/>
        <w:jc w:val="both"/>
        <w:rPr>
          <w:rFonts w:cs="Times New Roman"/>
          <w:szCs w:val="24"/>
        </w:rPr>
      </w:pPr>
      <w:r>
        <w:rPr>
          <w:rFonts w:cs="Times New Roman"/>
          <w:szCs w:val="24"/>
        </w:rPr>
        <w:t>Jeśli chodzi o środki ochrony, to dyrektywa 2012/29 wskazuje m</w:t>
      </w:r>
      <w:r w:rsidR="009342B3">
        <w:rPr>
          <w:rFonts w:cs="Times New Roman"/>
          <w:szCs w:val="24"/>
        </w:rPr>
        <w:t>iędzy innymi</w:t>
      </w:r>
      <w:r>
        <w:rPr>
          <w:rFonts w:cs="Times New Roman"/>
          <w:szCs w:val="24"/>
        </w:rPr>
        <w:t xml:space="preserve"> na ochronę prywatności przez nieujawnianie lub ograniczone ujawnianie informacji dotyczących tożsamości pokrzywdzonego lub miejsca jego pobytu (motyw 55 preambuły), ochronę godności podczas przesłuchania, ochronę fizyczną (art. 18 dyrektywy 2012/29), przesłuchanie bez zbędnej zwłoki po złożeniu przez pokrzywdzonego zawiadomienia o przestępstwie, ograniczenie </w:t>
      </w:r>
      <w:r w:rsidR="00AC4457">
        <w:rPr>
          <w:rFonts w:cs="Times New Roman"/>
          <w:szCs w:val="24"/>
        </w:rPr>
        <w:t>liczby</w:t>
      </w:r>
      <w:r>
        <w:rPr>
          <w:rFonts w:cs="Times New Roman"/>
          <w:szCs w:val="24"/>
        </w:rPr>
        <w:t xml:space="preserve"> przesłuchań do minimum, zapewnienie możliwości udziału pełnomocnika lub osoby wskazanej przez pokrzywdzonego (art. 20 dyrektywy 2012/29). Powyższe gwarancje odzwierciedlają następujące przepisy </w:t>
      </w:r>
      <w:r w:rsidR="00E3576F">
        <w:rPr>
          <w:rFonts w:cs="Times New Roman"/>
          <w:szCs w:val="24"/>
        </w:rPr>
        <w:t>K</w:t>
      </w:r>
      <w:r>
        <w:rPr>
          <w:rFonts w:cs="Times New Roman"/>
          <w:szCs w:val="24"/>
        </w:rPr>
        <w:t xml:space="preserve">odeksu postępowania karnego: art. 156a, art. 184, art. 185a, art. 191 § 1–1b, art. 253 § 3, art. 299a § 1, art. 171 § 6, art. 304a, art. 325a § 2 oraz art. 5 ustawy z dnia 28 listopada 2014 r. o ochronie i pomocy dla pokrzywdzonego i świadka, dotyczący ochrony osobistej. Już </w:t>
      </w:r>
      <w:r w:rsidR="00057247">
        <w:rPr>
          <w:rFonts w:cs="Times New Roman"/>
          <w:szCs w:val="24"/>
        </w:rPr>
        <w:t>obecnie</w:t>
      </w:r>
      <w:r>
        <w:rPr>
          <w:rFonts w:cs="Times New Roman"/>
          <w:szCs w:val="24"/>
        </w:rPr>
        <w:t xml:space="preserve"> tego typu informacje są pozyskiwane przez organ, albowiem bez nich nie mógłby on zastosować wskazanych wyżej gwarancji służących ochronie i bezpieczeństwu pokrzywdzonego. Z kolei dyrektywa 2011/93 nie przewiduje wyraźnego katalogu środków pomocy i wsparcia. Niemniej zasadne jest przyjęcie, że środki stosowane na gruncie obydwu dyrektyw winny być takie same. Dyrektywa 2012/29 zawiera bowiem również szczególne postanowienia odnoszące się do małoletnich ofiar przestępstw. </w:t>
      </w:r>
    </w:p>
    <w:p w14:paraId="26C05D62" w14:textId="51B5D114" w:rsidR="003D7244" w:rsidRDefault="003D7244" w:rsidP="002F5A77">
      <w:pPr>
        <w:spacing w:before="120"/>
        <w:jc w:val="both"/>
        <w:rPr>
          <w:rFonts w:cs="Times New Roman"/>
          <w:szCs w:val="24"/>
        </w:rPr>
      </w:pPr>
      <w:r>
        <w:rPr>
          <w:rFonts w:cs="Times New Roman"/>
          <w:szCs w:val="24"/>
        </w:rPr>
        <w:t xml:space="preserve">Niezależnie od powyższego implementacja dyrektywy 2012/29 w zakresie dotyczącym </w:t>
      </w:r>
      <w:r>
        <w:rPr>
          <w:rFonts w:cs="Times New Roman"/>
          <w:szCs w:val="24"/>
        </w:rPr>
        <w:lastRenderedPageBreak/>
        <w:t xml:space="preserve">indywidualnej oceny wymaga wprowadzenia przepisu, który wprost stanowiłby o obowiązku organu prowadzącego postępowanie karne pozyskiwania w toku postępowania informacji, a także odebrania od pokrzywdzonego oświadczenia w związku ze stosowaniem środków ochrony i bezpieczeństwa. Istotne jest też uwzględnienie woli pokrzywdzonego. Wynika to wprost z art. 22 ust. 6 dyrektywy </w:t>
      </w:r>
      <w:bookmarkStart w:id="2" w:name="_Hlk36033059"/>
      <w:r>
        <w:rPr>
          <w:rFonts w:cs="Times New Roman"/>
          <w:szCs w:val="24"/>
        </w:rPr>
        <w:t>2012/29</w:t>
      </w:r>
      <w:bookmarkEnd w:id="2"/>
      <w:r>
        <w:rPr>
          <w:rFonts w:cs="Times New Roman"/>
          <w:szCs w:val="24"/>
        </w:rPr>
        <w:t>.</w:t>
      </w:r>
    </w:p>
    <w:p w14:paraId="3CCB4B06" w14:textId="0DB09F03" w:rsidR="003D7244" w:rsidRDefault="003D7244" w:rsidP="002F5A77">
      <w:pPr>
        <w:spacing w:before="120"/>
        <w:jc w:val="both"/>
        <w:rPr>
          <w:rFonts w:cs="Times New Roman"/>
          <w:szCs w:val="24"/>
        </w:rPr>
      </w:pPr>
      <w:r>
        <w:rPr>
          <w:rFonts w:cs="Times New Roman"/>
          <w:szCs w:val="24"/>
        </w:rPr>
        <w:t xml:space="preserve">Im wcześniej w toku postępowania zastosowane zostaną powyższe środki, tym lepiej zarówno dla samego pokrzywdzonego, jak i skuteczności postępowania karnego. Uzasadnione jest, </w:t>
      </w:r>
      <w:r w:rsidR="00AC4457">
        <w:rPr>
          <w:rFonts w:cs="Times New Roman"/>
          <w:szCs w:val="24"/>
        </w:rPr>
        <w:t>a</w:t>
      </w:r>
      <w:r>
        <w:rPr>
          <w:rFonts w:cs="Times New Roman"/>
          <w:szCs w:val="24"/>
        </w:rPr>
        <w:t xml:space="preserve">by takie informacje pochodziły od samego pokrzywdzonego, albowiem to on najlepiej odczuwa istnienie potencjalnego niebezpieczeństwa ze strony sprawcy. Istotne jest ponadto, aby organ </w:t>
      </w:r>
      <w:bookmarkStart w:id="3" w:name="_Hlk36033077"/>
      <w:r>
        <w:rPr>
          <w:rFonts w:cs="Times New Roman"/>
          <w:szCs w:val="24"/>
        </w:rPr>
        <w:t xml:space="preserve">prowadzący postępowanie karne </w:t>
      </w:r>
      <w:bookmarkEnd w:id="3"/>
      <w:r>
        <w:rPr>
          <w:rFonts w:cs="Times New Roman"/>
          <w:szCs w:val="24"/>
        </w:rPr>
        <w:t xml:space="preserve">wysłuchiwał stanowiska samego pokrzywdzonego odnośnie do zastosowania środka. </w:t>
      </w:r>
    </w:p>
    <w:p w14:paraId="5E09F786" w14:textId="5C420CDE" w:rsidR="003D7244" w:rsidRDefault="003D7244" w:rsidP="002F5A77">
      <w:pPr>
        <w:spacing w:before="120"/>
        <w:jc w:val="both"/>
        <w:rPr>
          <w:rFonts w:cs="Times New Roman"/>
          <w:szCs w:val="24"/>
        </w:rPr>
      </w:pPr>
      <w:r>
        <w:rPr>
          <w:rFonts w:cs="Times New Roman"/>
          <w:szCs w:val="24"/>
        </w:rPr>
        <w:t xml:space="preserve">W związku z tym proponuje się wprowadzenie ogólnego przepisu art. 52a K.p.k., który </w:t>
      </w:r>
      <w:r>
        <w:rPr>
          <w:rFonts w:cs="Times New Roman"/>
          <w:i/>
          <w:iCs/>
          <w:szCs w:val="24"/>
        </w:rPr>
        <w:t>de facto</w:t>
      </w:r>
      <w:r>
        <w:rPr>
          <w:rFonts w:cs="Times New Roman"/>
          <w:szCs w:val="24"/>
        </w:rPr>
        <w:t xml:space="preserve"> przywołuje obowiązujące przepisy postępowania przewidujące możliwość stosowania właściwych w świetle dyrektyw środków i uwypukla wagę przeprowadzania indywidualnej oceny. Przy czym projektowany przepis odwołuje się jedynie do tych środków, które mają zastosowanie w uzasadnionych sytuacjach. Nie wymienia środków, które stosuje się wobec wszystkich pokrzywdzonych (np. art. 253 § 3 K.p.k.), bowiem ich zastosowanie nie wymaga badania wskazanych w dyrektywie 2012/29 okoliczności. Jednocześnie przepis nie limituje momentów, w których organ prowadzący postępowanie karne winien zbadać wskazane okoliczności. Wartością proponowanego przepisu jest to, że organ ten będzie odbierał od pokrzywdzonego oświadczenie, czy chce on zastosowania wobec niego określonych środków, o ile będzie to możliwe (brak możliwości odebrania takiego oświadczenia może wynikać np. ze stanu zdrowia pokrzywdzonego), bądź też zastosowanie środka nie będzie obowiązkowe lub organ prowadzący postępowanie nie będzie już działał na wniosek pokrzywdzonego. Ponadto organ będzie brał pod uwagę oświadczenie tego pokrzywdzonego. Podkreślić jednocześnie należy, że choć projektowany przepis nie zawiera wyraźnego obowiązku aktualizacji indywidualnej oceny, to jednak nie ma takiej konieczności. Dla zasadności stosowania określonych środków wymaga się bowiem każdorazowej oceny potrzeby ich stosowania. I tak np. przed każdorazowym przesłuchaniem pokrzywdzonego będzie on mógł złożyć oświadczenie, czy chce</w:t>
      </w:r>
      <w:r w:rsidR="00462B6C">
        <w:rPr>
          <w:rFonts w:cs="Times New Roman"/>
          <w:szCs w:val="24"/>
        </w:rPr>
        <w:t>,</w:t>
      </w:r>
      <w:r>
        <w:rPr>
          <w:rFonts w:cs="Times New Roman"/>
          <w:szCs w:val="24"/>
        </w:rPr>
        <w:t xml:space="preserve"> aby jego zeznania były nagrywane (z wyjątkiem przypadków określonych w art. 147 § 2 </w:t>
      </w:r>
      <w:r w:rsidR="0015725F">
        <w:rPr>
          <w:rFonts w:cs="Times New Roman"/>
          <w:szCs w:val="24"/>
        </w:rPr>
        <w:lastRenderedPageBreak/>
        <w:t>K</w:t>
      </w:r>
      <w:r>
        <w:rPr>
          <w:rFonts w:cs="Times New Roman"/>
          <w:szCs w:val="24"/>
        </w:rPr>
        <w:t xml:space="preserve">.p.k., który przewiduje obligatoryjność tego środka), bądź też, </w:t>
      </w:r>
      <w:r w:rsidR="00462B6C">
        <w:rPr>
          <w:rFonts w:cs="Times New Roman"/>
          <w:szCs w:val="24"/>
        </w:rPr>
        <w:t>a</w:t>
      </w:r>
      <w:r>
        <w:rPr>
          <w:rFonts w:cs="Times New Roman"/>
          <w:szCs w:val="24"/>
        </w:rPr>
        <w:t xml:space="preserve">by jego przesłuchanie odbyło się w szczególnych warunkach (art. 185a § 4, art. 177 § 1a </w:t>
      </w:r>
      <w:r w:rsidR="00462B6C">
        <w:rPr>
          <w:rFonts w:cs="Times New Roman"/>
          <w:szCs w:val="24"/>
        </w:rPr>
        <w:t>K</w:t>
      </w:r>
      <w:r>
        <w:rPr>
          <w:rFonts w:cs="Times New Roman"/>
          <w:szCs w:val="24"/>
        </w:rPr>
        <w:t xml:space="preserve">.p.k.). </w:t>
      </w:r>
    </w:p>
    <w:p w14:paraId="3F69C16C" w14:textId="5697E8D3" w:rsidR="003D7244" w:rsidRDefault="003D7244" w:rsidP="002F5A77">
      <w:pPr>
        <w:spacing w:before="120"/>
        <w:jc w:val="both"/>
        <w:rPr>
          <w:rFonts w:cs="Times New Roman"/>
          <w:szCs w:val="24"/>
        </w:rPr>
      </w:pPr>
      <w:r>
        <w:rPr>
          <w:rFonts w:cs="Times New Roman"/>
          <w:szCs w:val="24"/>
        </w:rPr>
        <w:t xml:space="preserve">Należy podkreślić, że powyższa regulacja wpisuje się w jedną z podstawowych zasad prowadzenia postępowania karnego polegającą na uwzględnieniu w nim prawnie chronionych interesów pokrzywdzonego (art. 2 § 1 pkt 3 </w:t>
      </w:r>
      <w:r w:rsidR="0015725F">
        <w:rPr>
          <w:rFonts w:cs="Times New Roman"/>
          <w:szCs w:val="24"/>
        </w:rPr>
        <w:t>K</w:t>
      </w:r>
      <w:r>
        <w:rPr>
          <w:rFonts w:cs="Times New Roman"/>
          <w:szCs w:val="24"/>
        </w:rPr>
        <w:t>.p.k.).</w:t>
      </w:r>
    </w:p>
    <w:p w14:paraId="572E1BBB" w14:textId="2985C554" w:rsidR="003D7244" w:rsidRDefault="003D7244" w:rsidP="002F5A77">
      <w:pPr>
        <w:spacing w:before="120"/>
        <w:jc w:val="both"/>
        <w:rPr>
          <w:rFonts w:cs="Times New Roman"/>
          <w:szCs w:val="24"/>
        </w:rPr>
      </w:pPr>
      <w:r>
        <w:rPr>
          <w:rFonts w:cs="Times New Roman"/>
          <w:szCs w:val="24"/>
        </w:rPr>
        <w:t xml:space="preserve">Projekt ustawy jest zgodny </w:t>
      </w:r>
      <w:r w:rsidR="0015725F">
        <w:rPr>
          <w:rFonts w:cs="Times New Roman"/>
          <w:szCs w:val="24"/>
        </w:rPr>
        <w:t xml:space="preserve">z </w:t>
      </w:r>
      <w:r>
        <w:rPr>
          <w:rFonts w:cs="Times New Roman"/>
          <w:szCs w:val="24"/>
        </w:rPr>
        <w:t>prawem Unii Europejskiej. Projekt nie zawiera przepisów technicznych, a zatem nie podlega notyfikacji zgodnie z trybem przewidzianym w rozporządzeniu Rady Ministrów z dnia 23 grudnia 2002 r. w sprawie sposobu funkcjonowania krajowego systemu notyfikacji nor</w:t>
      </w:r>
      <w:r w:rsidR="008350F5">
        <w:rPr>
          <w:rFonts w:cs="Times New Roman"/>
          <w:szCs w:val="24"/>
        </w:rPr>
        <w:t>m i aktów prawnych (Dz. U. poz. </w:t>
      </w:r>
      <w:r>
        <w:rPr>
          <w:rFonts w:cs="Times New Roman"/>
          <w:szCs w:val="24"/>
        </w:rPr>
        <w:t xml:space="preserve">2039, z późn. zm.). </w:t>
      </w:r>
    </w:p>
    <w:p w14:paraId="1EEACA6C" w14:textId="77777777" w:rsidR="003D7244" w:rsidRDefault="003D7244" w:rsidP="002F5A77">
      <w:pPr>
        <w:spacing w:before="120"/>
        <w:jc w:val="both"/>
        <w:rPr>
          <w:rFonts w:cs="Times New Roman"/>
          <w:szCs w:val="24"/>
        </w:rPr>
      </w:pPr>
      <w:r>
        <w:rPr>
          <w:rFonts w:cs="Times New Roman"/>
          <w:szCs w:val="24"/>
        </w:rPr>
        <w:t xml:space="preserve">Projekt ustawy nie będzie miał wpływu na działalność mikroprzedsiębiorców oraz małych i średnich przedsiębiorców. Nie przewiduje się również wpływu na rodzinę, obywateli oraz gospodarstwa domowe, w tym osoby starsze i niepełnosprawne. </w:t>
      </w:r>
    </w:p>
    <w:p w14:paraId="306463E2" w14:textId="25DCD655" w:rsidR="003D7244" w:rsidRDefault="003D7244" w:rsidP="002F5A77">
      <w:pPr>
        <w:spacing w:before="120"/>
        <w:jc w:val="both"/>
        <w:rPr>
          <w:rFonts w:cs="Times New Roman"/>
          <w:szCs w:val="24"/>
        </w:rPr>
      </w:pPr>
      <w:r>
        <w:rPr>
          <w:rFonts w:cs="Times New Roman"/>
          <w:szCs w:val="24"/>
        </w:rPr>
        <w:t>Zgodnie z art. 5 ustawy z dnia 7 lipca 2005 r. o działalności lobbingowej w procesie stanowienia prawa (Dz. U. z 2017 r. poz. 248) proje</w:t>
      </w:r>
      <w:r w:rsidR="001B576D">
        <w:rPr>
          <w:rFonts w:cs="Times New Roman"/>
          <w:szCs w:val="24"/>
        </w:rPr>
        <w:t>kt ustawy został udostępniony w </w:t>
      </w:r>
      <w:bookmarkStart w:id="4" w:name="_GoBack"/>
      <w:bookmarkEnd w:id="4"/>
      <w:r>
        <w:rPr>
          <w:rFonts w:cs="Times New Roman"/>
          <w:szCs w:val="24"/>
        </w:rPr>
        <w:t xml:space="preserve">Biuletynie Informacji Publicznej na stronach internetowych Ministerstwa Sprawiedliwości oraz zgodnie z § 52 ust. 1 uchwały </w:t>
      </w:r>
      <w:r w:rsidR="00462B6C">
        <w:rPr>
          <w:rFonts w:cs="Times New Roman"/>
          <w:szCs w:val="24"/>
        </w:rPr>
        <w:t>n</w:t>
      </w:r>
      <w:r w:rsidR="008350F5">
        <w:rPr>
          <w:rFonts w:cs="Times New Roman"/>
          <w:szCs w:val="24"/>
        </w:rPr>
        <w:t>r 190 Rady Ministrów z dnia 29 </w:t>
      </w:r>
      <w:r>
        <w:rPr>
          <w:rFonts w:cs="Times New Roman"/>
          <w:szCs w:val="24"/>
        </w:rPr>
        <w:t xml:space="preserve">października 2013 r. – Regulamin pracy Rady Ministrów </w:t>
      </w:r>
      <w:r w:rsidR="00462B6C">
        <w:rPr>
          <w:rFonts w:cs="Times New Roman"/>
          <w:szCs w:val="24"/>
        </w:rPr>
        <w:t xml:space="preserve">(M.P. z 2016 r. poz. 1006, z późn. zm.) </w:t>
      </w:r>
      <w:r>
        <w:rPr>
          <w:rFonts w:cs="Times New Roman"/>
          <w:szCs w:val="24"/>
        </w:rPr>
        <w:t>– w Biuletynie Informacji Publicznej</w:t>
      </w:r>
      <w:r w:rsidR="008350F5">
        <w:rPr>
          <w:rFonts w:cs="Times New Roman"/>
          <w:szCs w:val="24"/>
        </w:rPr>
        <w:t xml:space="preserve"> Rządowego Centrum Legislacji w </w:t>
      </w:r>
      <w:r>
        <w:rPr>
          <w:rFonts w:cs="Times New Roman"/>
          <w:szCs w:val="24"/>
        </w:rPr>
        <w:t xml:space="preserve">zakładce Rządowy Proces Legislacyjny. </w:t>
      </w:r>
    </w:p>
    <w:p w14:paraId="165895FE" w14:textId="77777777" w:rsidR="003D7244" w:rsidRDefault="003D7244" w:rsidP="002F5A77">
      <w:pPr>
        <w:spacing w:before="120"/>
        <w:jc w:val="both"/>
        <w:rPr>
          <w:rFonts w:cs="Times New Roman"/>
          <w:szCs w:val="24"/>
        </w:rPr>
      </w:pPr>
      <w:r>
        <w:rPr>
          <w:rFonts w:cs="Times New Roman"/>
          <w:szCs w:val="24"/>
        </w:rPr>
        <w:t xml:space="preserve">Żaden z uprawnionych podmiotów nie wyraził zainteresowania udziałem w pracach nad projektem. </w:t>
      </w:r>
    </w:p>
    <w:p w14:paraId="5F7EF049" w14:textId="77777777" w:rsidR="003D7244" w:rsidRDefault="003D7244" w:rsidP="002F5A77">
      <w:pPr>
        <w:spacing w:before="120"/>
        <w:jc w:val="both"/>
        <w:rPr>
          <w:rFonts w:cs="Times New Roman"/>
          <w:szCs w:val="24"/>
        </w:rPr>
      </w:pPr>
      <w:r>
        <w:rPr>
          <w:rFonts w:cs="Times New Roman"/>
          <w:szCs w:val="24"/>
        </w:rPr>
        <w:t xml:space="preserve">Projekt ustawy nie wymaga przedstawienia właściwym organom i instytucjom Unii Europejskiej, w tym Europejskiemu Bankowi Centralnemu, w celu uzyskania opinii, dokonania powiadomienia, konsultacji albo uzgodnienia. </w:t>
      </w:r>
    </w:p>
    <w:p w14:paraId="70A200FA" w14:textId="481A7568" w:rsidR="004C6CC9" w:rsidRPr="00EF7BFD" w:rsidRDefault="003D7244" w:rsidP="002F5A77">
      <w:pPr>
        <w:spacing w:before="120"/>
        <w:jc w:val="both"/>
      </w:pPr>
      <w:r>
        <w:rPr>
          <w:rFonts w:cs="Times New Roman"/>
          <w:szCs w:val="24"/>
        </w:rPr>
        <w:t xml:space="preserve">Nie została dokonana przez koordynatora OSR ocena </w:t>
      </w:r>
      <w:r w:rsidR="008350F5">
        <w:rPr>
          <w:rFonts w:cs="Times New Roman"/>
          <w:szCs w:val="24"/>
        </w:rPr>
        <w:t>OSR projektu, o której mowa w § </w:t>
      </w:r>
      <w:r>
        <w:rPr>
          <w:rFonts w:cs="Times New Roman"/>
          <w:szCs w:val="24"/>
        </w:rPr>
        <w:t xml:space="preserve">32 uchwały </w:t>
      </w:r>
      <w:r w:rsidR="00462B6C">
        <w:rPr>
          <w:rFonts w:cs="Times New Roman"/>
          <w:szCs w:val="24"/>
        </w:rPr>
        <w:t>n</w:t>
      </w:r>
      <w:r>
        <w:rPr>
          <w:rFonts w:cs="Times New Roman"/>
          <w:szCs w:val="24"/>
        </w:rPr>
        <w:t>r 190 Rady Ministrów z dnia 29 października 2013 r. – Regulamin pracy Rady Ministrów.</w:t>
      </w:r>
    </w:p>
    <w:sectPr w:rsidR="004C6CC9" w:rsidRPr="00EF7BFD" w:rsidSect="002F5A77">
      <w:foot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CC335" w14:textId="77777777" w:rsidR="008233B1" w:rsidRDefault="008233B1" w:rsidP="00183EFF">
      <w:pPr>
        <w:spacing w:line="240" w:lineRule="auto"/>
      </w:pPr>
      <w:r>
        <w:separator/>
      </w:r>
    </w:p>
  </w:endnote>
  <w:endnote w:type="continuationSeparator" w:id="0">
    <w:p w14:paraId="3E324EED" w14:textId="77777777" w:rsidR="008233B1" w:rsidRDefault="008233B1" w:rsidP="00183E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246948"/>
      <w:docPartObj>
        <w:docPartGallery w:val="Page Numbers (Bottom of Page)"/>
        <w:docPartUnique/>
      </w:docPartObj>
    </w:sdtPr>
    <w:sdtEndPr/>
    <w:sdtContent>
      <w:p w14:paraId="190FBFF5" w14:textId="7E680A2A" w:rsidR="0079000F" w:rsidRDefault="0079000F">
        <w:pPr>
          <w:pStyle w:val="Stopka"/>
          <w:jc w:val="center"/>
        </w:pPr>
        <w:r>
          <w:fldChar w:fldCharType="begin"/>
        </w:r>
        <w:r>
          <w:instrText>PAGE   \* MERGEFORMAT</w:instrText>
        </w:r>
        <w:r>
          <w:fldChar w:fldCharType="separate"/>
        </w:r>
        <w:r w:rsidR="001B576D">
          <w:rPr>
            <w:noProof/>
          </w:rPr>
          <w:t>6</w:t>
        </w:r>
        <w:r>
          <w:fldChar w:fldCharType="end"/>
        </w:r>
      </w:p>
    </w:sdtContent>
  </w:sdt>
  <w:p w14:paraId="62477CB3" w14:textId="77777777" w:rsidR="0079000F" w:rsidRDefault="007900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0D05F" w14:textId="77777777" w:rsidR="008233B1" w:rsidRDefault="008233B1" w:rsidP="00183EFF">
      <w:pPr>
        <w:spacing w:line="240" w:lineRule="auto"/>
      </w:pPr>
      <w:r>
        <w:separator/>
      </w:r>
    </w:p>
  </w:footnote>
  <w:footnote w:type="continuationSeparator" w:id="0">
    <w:p w14:paraId="695F75F9" w14:textId="77777777" w:rsidR="008233B1" w:rsidRDefault="008233B1" w:rsidP="00183EF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709DB"/>
    <w:multiLevelType w:val="hybridMultilevel"/>
    <w:tmpl w:val="56F6B83A"/>
    <w:lvl w:ilvl="0" w:tplc="0E982A3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9815AD3"/>
    <w:multiLevelType w:val="hybridMultilevel"/>
    <w:tmpl w:val="D5745328"/>
    <w:lvl w:ilvl="0" w:tplc="E0CC7CF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57B04568"/>
    <w:multiLevelType w:val="hybridMultilevel"/>
    <w:tmpl w:val="02CE0FD8"/>
    <w:lvl w:ilvl="0" w:tplc="1D40AA2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5D1F4712"/>
    <w:multiLevelType w:val="hybridMultilevel"/>
    <w:tmpl w:val="7E32DA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D0B1DDA"/>
    <w:multiLevelType w:val="hybridMultilevel"/>
    <w:tmpl w:val="D83E76FE"/>
    <w:lvl w:ilvl="0" w:tplc="20D040DE">
      <w:start w:val="2"/>
      <w:numFmt w:val="lowerLetter"/>
      <w:lvlText w:val="%1)"/>
      <w:lvlJc w:val="left"/>
      <w:pPr>
        <w:ind w:left="1228" w:hanging="360"/>
      </w:pPr>
      <w:rPr>
        <w:rFonts w:hint="default"/>
      </w:rPr>
    </w:lvl>
    <w:lvl w:ilvl="1" w:tplc="04150019" w:tentative="1">
      <w:start w:val="1"/>
      <w:numFmt w:val="lowerLetter"/>
      <w:lvlText w:val="%2."/>
      <w:lvlJc w:val="left"/>
      <w:pPr>
        <w:ind w:left="1948" w:hanging="360"/>
      </w:pPr>
    </w:lvl>
    <w:lvl w:ilvl="2" w:tplc="0415001B" w:tentative="1">
      <w:start w:val="1"/>
      <w:numFmt w:val="lowerRoman"/>
      <w:lvlText w:val="%3."/>
      <w:lvlJc w:val="right"/>
      <w:pPr>
        <w:ind w:left="2668" w:hanging="180"/>
      </w:pPr>
    </w:lvl>
    <w:lvl w:ilvl="3" w:tplc="0415000F" w:tentative="1">
      <w:start w:val="1"/>
      <w:numFmt w:val="decimal"/>
      <w:lvlText w:val="%4."/>
      <w:lvlJc w:val="left"/>
      <w:pPr>
        <w:ind w:left="3388" w:hanging="360"/>
      </w:pPr>
    </w:lvl>
    <w:lvl w:ilvl="4" w:tplc="04150019" w:tentative="1">
      <w:start w:val="1"/>
      <w:numFmt w:val="lowerLetter"/>
      <w:lvlText w:val="%5."/>
      <w:lvlJc w:val="left"/>
      <w:pPr>
        <w:ind w:left="4108" w:hanging="360"/>
      </w:pPr>
    </w:lvl>
    <w:lvl w:ilvl="5" w:tplc="0415001B" w:tentative="1">
      <w:start w:val="1"/>
      <w:numFmt w:val="lowerRoman"/>
      <w:lvlText w:val="%6."/>
      <w:lvlJc w:val="right"/>
      <w:pPr>
        <w:ind w:left="4828" w:hanging="180"/>
      </w:pPr>
    </w:lvl>
    <w:lvl w:ilvl="6" w:tplc="0415000F" w:tentative="1">
      <w:start w:val="1"/>
      <w:numFmt w:val="decimal"/>
      <w:lvlText w:val="%7."/>
      <w:lvlJc w:val="left"/>
      <w:pPr>
        <w:ind w:left="5548" w:hanging="360"/>
      </w:pPr>
    </w:lvl>
    <w:lvl w:ilvl="7" w:tplc="04150019" w:tentative="1">
      <w:start w:val="1"/>
      <w:numFmt w:val="lowerLetter"/>
      <w:lvlText w:val="%8."/>
      <w:lvlJc w:val="left"/>
      <w:pPr>
        <w:ind w:left="6268" w:hanging="360"/>
      </w:pPr>
    </w:lvl>
    <w:lvl w:ilvl="8" w:tplc="0415001B" w:tentative="1">
      <w:start w:val="1"/>
      <w:numFmt w:val="lowerRoman"/>
      <w:lvlText w:val="%9."/>
      <w:lvlJc w:val="right"/>
      <w:pPr>
        <w:ind w:left="6988"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EFF"/>
    <w:rsid w:val="00005003"/>
    <w:rsid w:val="00006260"/>
    <w:rsid w:val="00013644"/>
    <w:rsid w:val="00036AAD"/>
    <w:rsid w:val="00045547"/>
    <w:rsid w:val="00057247"/>
    <w:rsid w:val="0006402E"/>
    <w:rsid w:val="00064AB1"/>
    <w:rsid w:val="00082A54"/>
    <w:rsid w:val="000C7280"/>
    <w:rsid w:val="0010123B"/>
    <w:rsid w:val="00106BA5"/>
    <w:rsid w:val="001229FF"/>
    <w:rsid w:val="00136931"/>
    <w:rsid w:val="00143A3D"/>
    <w:rsid w:val="0015093B"/>
    <w:rsid w:val="0015725F"/>
    <w:rsid w:val="00163DD1"/>
    <w:rsid w:val="00166D83"/>
    <w:rsid w:val="001761A1"/>
    <w:rsid w:val="001835AB"/>
    <w:rsid w:val="00183EFF"/>
    <w:rsid w:val="00186E59"/>
    <w:rsid w:val="00192370"/>
    <w:rsid w:val="001A5761"/>
    <w:rsid w:val="001A6F80"/>
    <w:rsid w:val="001B576D"/>
    <w:rsid w:val="001C6B3A"/>
    <w:rsid w:val="001F615E"/>
    <w:rsid w:val="00203D2C"/>
    <w:rsid w:val="00222CC9"/>
    <w:rsid w:val="0023542A"/>
    <w:rsid w:val="002456EF"/>
    <w:rsid w:val="002811AC"/>
    <w:rsid w:val="0029171C"/>
    <w:rsid w:val="002B18C1"/>
    <w:rsid w:val="002B373C"/>
    <w:rsid w:val="002B4C19"/>
    <w:rsid w:val="002F5A77"/>
    <w:rsid w:val="00300E00"/>
    <w:rsid w:val="0030193B"/>
    <w:rsid w:val="003434FE"/>
    <w:rsid w:val="0036392A"/>
    <w:rsid w:val="00366BE4"/>
    <w:rsid w:val="003B7255"/>
    <w:rsid w:val="003D7244"/>
    <w:rsid w:val="003E352D"/>
    <w:rsid w:val="003E5D97"/>
    <w:rsid w:val="004203DB"/>
    <w:rsid w:val="00433FA8"/>
    <w:rsid w:val="004455C9"/>
    <w:rsid w:val="00453DF6"/>
    <w:rsid w:val="00462B6C"/>
    <w:rsid w:val="00474BFD"/>
    <w:rsid w:val="004A3D07"/>
    <w:rsid w:val="004B107A"/>
    <w:rsid w:val="004B5F0E"/>
    <w:rsid w:val="004C1FF2"/>
    <w:rsid w:val="004C66AF"/>
    <w:rsid w:val="004F0779"/>
    <w:rsid w:val="00531731"/>
    <w:rsid w:val="00541007"/>
    <w:rsid w:val="00545720"/>
    <w:rsid w:val="0059503C"/>
    <w:rsid w:val="005A7410"/>
    <w:rsid w:val="005B42CB"/>
    <w:rsid w:val="005C0C4B"/>
    <w:rsid w:val="006059FA"/>
    <w:rsid w:val="006074FE"/>
    <w:rsid w:val="00611133"/>
    <w:rsid w:val="006177E5"/>
    <w:rsid w:val="0062121A"/>
    <w:rsid w:val="0062780C"/>
    <w:rsid w:val="00631D92"/>
    <w:rsid w:val="00664D6D"/>
    <w:rsid w:val="006702D6"/>
    <w:rsid w:val="006907D7"/>
    <w:rsid w:val="006B32FE"/>
    <w:rsid w:val="006C1862"/>
    <w:rsid w:val="006D1512"/>
    <w:rsid w:val="006D6652"/>
    <w:rsid w:val="006F54DC"/>
    <w:rsid w:val="00730BB6"/>
    <w:rsid w:val="00755452"/>
    <w:rsid w:val="00767D0B"/>
    <w:rsid w:val="00773359"/>
    <w:rsid w:val="007834B2"/>
    <w:rsid w:val="00784FDC"/>
    <w:rsid w:val="0079000F"/>
    <w:rsid w:val="007B7AF6"/>
    <w:rsid w:val="007C4267"/>
    <w:rsid w:val="007E07CB"/>
    <w:rsid w:val="007E704D"/>
    <w:rsid w:val="007F0337"/>
    <w:rsid w:val="007F5D50"/>
    <w:rsid w:val="008043DE"/>
    <w:rsid w:val="008044FD"/>
    <w:rsid w:val="0082173B"/>
    <w:rsid w:val="008233B1"/>
    <w:rsid w:val="00832DA8"/>
    <w:rsid w:val="008350F5"/>
    <w:rsid w:val="008561D5"/>
    <w:rsid w:val="0087420F"/>
    <w:rsid w:val="008902FD"/>
    <w:rsid w:val="0089372B"/>
    <w:rsid w:val="008A3839"/>
    <w:rsid w:val="008A411B"/>
    <w:rsid w:val="008D214D"/>
    <w:rsid w:val="008F1FFB"/>
    <w:rsid w:val="008F74F8"/>
    <w:rsid w:val="00901876"/>
    <w:rsid w:val="00904B1C"/>
    <w:rsid w:val="009137D4"/>
    <w:rsid w:val="009342B3"/>
    <w:rsid w:val="0095283C"/>
    <w:rsid w:val="00955CE7"/>
    <w:rsid w:val="0098179C"/>
    <w:rsid w:val="009A4AE0"/>
    <w:rsid w:val="009B5153"/>
    <w:rsid w:val="009D0AC4"/>
    <w:rsid w:val="009F4949"/>
    <w:rsid w:val="009F4B1E"/>
    <w:rsid w:val="00A11291"/>
    <w:rsid w:val="00A14B9D"/>
    <w:rsid w:val="00A21F60"/>
    <w:rsid w:val="00A335B8"/>
    <w:rsid w:val="00A36D72"/>
    <w:rsid w:val="00A3743B"/>
    <w:rsid w:val="00A4406B"/>
    <w:rsid w:val="00A55798"/>
    <w:rsid w:val="00A55A56"/>
    <w:rsid w:val="00A66B6B"/>
    <w:rsid w:val="00A71785"/>
    <w:rsid w:val="00A844DD"/>
    <w:rsid w:val="00A93ECD"/>
    <w:rsid w:val="00A947BA"/>
    <w:rsid w:val="00AB03E1"/>
    <w:rsid w:val="00AB0A83"/>
    <w:rsid w:val="00AC4457"/>
    <w:rsid w:val="00AE1B7C"/>
    <w:rsid w:val="00AE5828"/>
    <w:rsid w:val="00AF23C3"/>
    <w:rsid w:val="00B00775"/>
    <w:rsid w:val="00B1055C"/>
    <w:rsid w:val="00B508F5"/>
    <w:rsid w:val="00B6213B"/>
    <w:rsid w:val="00B65D2D"/>
    <w:rsid w:val="00B82317"/>
    <w:rsid w:val="00B825CD"/>
    <w:rsid w:val="00B95A43"/>
    <w:rsid w:val="00BB0E08"/>
    <w:rsid w:val="00BC08C1"/>
    <w:rsid w:val="00BF4C70"/>
    <w:rsid w:val="00BF7BF7"/>
    <w:rsid w:val="00C0059B"/>
    <w:rsid w:val="00C05BE2"/>
    <w:rsid w:val="00C260BC"/>
    <w:rsid w:val="00C57512"/>
    <w:rsid w:val="00C67705"/>
    <w:rsid w:val="00C71204"/>
    <w:rsid w:val="00C7544F"/>
    <w:rsid w:val="00C92BBC"/>
    <w:rsid w:val="00CC3B96"/>
    <w:rsid w:val="00CE654C"/>
    <w:rsid w:val="00D55F50"/>
    <w:rsid w:val="00D63E4E"/>
    <w:rsid w:val="00D97611"/>
    <w:rsid w:val="00D979CC"/>
    <w:rsid w:val="00D97F56"/>
    <w:rsid w:val="00DB4891"/>
    <w:rsid w:val="00DD59AB"/>
    <w:rsid w:val="00E13F7E"/>
    <w:rsid w:val="00E16BC7"/>
    <w:rsid w:val="00E27FF9"/>
    <w:rsid w:val="00E3576F"/>
    <w:rsid w:val="00E37285"/>
    <w:rsid w:val="00E377EA"/>
    <w:rsid w:val="00E411DC"/>
    <w:rsid w:val="00E414D4"/>
    <w:rsid w:val="00E6155A"/>
    <w:rsid w:val="00E63671"/>
    <w:rsid w:val="00E731CB"/>
    <w:rsid w:val="00E90A80"/>
    <w:rsid w:val="00EA1915"/>
    <w:rsid w:val="00EA1E4F"/>
    <w:rsid w:val="00EA2080"/>
    <w:rsid w:val="00EC17E8"/>
    <w:rsid w:val="00EE65DE"/>
    <w:rsid w:val="00EF7BFD"/>
    <w:rsid w:val="00F32C2A"/>
    <w:rsid w:val="00F37408"/>
    <w:rsid w:val="00F6081E"/>
    <w:rsid w:val="00F65A14"/>
    <w:rsid w:val="00F77A8E"/>
    <w:rsid w:val="00F93B09"/>
    <w:rsid w:val="00F96AED"/>
    <w:rsid w:val="00FA414C"/>
    <w:rsid w:val="00FB400E"/>
    <w:rsid w:val="00FB6A1B"/>
    <w:rsid w:val="00FC7FF0"/>
    <w:rsid w:val="00FD2336"/>
    <w:rsid w:val="00FD3326"/>
    <w:rsid w:val="00FD7AB5"/>
    <w:rsid w:val="00FE2E1F"/>
    <w:rsid w:val="00FE79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1B454"/>
  <w15:docId w15:val="{578393DA-AC5B-4EC9-9097-2CB0A6B8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3EFF"/>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link w:val="Nagwek1Znak"/>
    <w:uiPriority w:val="9"/>
    <w:qFormat/>
    <w:rsid w:val="00AF23C3"/>
    <w:pPr>
      <w:widowControl/>
      <w:autoSpaceDE/>
      <w:autoSpaceDN/>
      <w:adjustRightInd/>
      <w:spacing w:before="100" w:beforeAutospacing="1" w:after="100" w:afterAutospacing="1" w:line="240" w:lineRule="auto"/>
      <w:outlineLvl w:val="0"/>
    </w:pPr>
    <w:rPr>
      <w:rFonts w:eastAsia="Times New Roman" w:cs="Times New Roman"/>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183EFF"/>
    <w:rPr>
      <w:rFonts w:cs="Times New Roman"/>
      <w:vertAlign w:val="superscript"/>
    </w:rPr>
  </w:style>
  <w:style w:type="paragraph" w:styleId="Nagwek">
    <w:name w:val="header"/>
    <w:basedOn w:val="Normalny"/>
    <w:link w:val="NagwekZnak"/>
    <w:uiPriority w:val="99"/>
    <w:semiHidden/>
    <w:rsid w:val="00183EFF"/>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183EFF"/>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183EF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183EFF"/>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83EFF"/>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183EFF"/>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83EFF"/>
    <w:rPr>
      <w:bCs/>
    </w:rPr>
  </w:style>
  <w:style w:type="paragraph" w:customStyle="1" w:styleId="ODNONIKtreodnonika">
    <w:name w:val="ODNOŚNIK – treść odnośnika"/>
    <w:uiPriority w:val="19"/>
    <w:qFormat/>
    <w:rsid w:val="00183EFF"/>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183EFF"/>
    <w:rPr>
      <w:b w:val="0"/>
      <w:i w:val="0"/>
      <w:vanish w:val="0"/>
      <w:spacing w:val="0"/>
      <w:vertAlign w:val="superscript"/>
    </w:rPr>
  </w:style>
  <w:style w:type="character" w:customStyle="1" w:styleId="Ppogrubienie">
    <w:name w:val="_P_ – pogrubienie"/>
    <w:basedOn w:val="Domylnaczcionkaakapitu"/>
    <w:uiPriority w:val="1"/>
    <w:qFormat/>
    <w:rsid w:val="00183EFF"/>
    <w:rPr>
      <w:b/>
    </w:rPr>
  </w:style>
  <w:style w:type="character" w:customStyle="1" w:styleId="articletitle">
    <w:name w:val="articletitle"/>
    <w:basedOn w:val="Domylnaczcionkaakapitu"/>
    <w:rsid w:val="00183EFF"/>
  </w:style>
  <w:style w:type="character" w:styleId="Pogrubienie">
    <w:name w:val="Strong"/>
    <w:basedOn w:val="Domylnaczcionkaakapitu"/>
    <w:uiPriority w:val="22"/>
    <w:qFormat/>
    <w:rsid w:val="00183EFF"/>
    <w:rPr>
      <w:b/>
      <w:bCs/>
    </w:rPr>
  </w:style>
  <w:style w:type="paragraph" w:customStyle="1" w:styleId="doc-ti">
    <w:name w:val="doc-ti"/>
    <w:basedOn w:val="Normalny"/>
    <w:rsid w:val="00183EFF"/>
    <w:pPr>
      <w:widowControl/>
      <w:autoSpaceDE/>
      <w:autoSpaceDN/>
      <w:adjustRightInd/>
      <w:spacing w:before="240" w:after="120" w:line="240" w:lineRule="auto"/>
      <w:jc w:val="center"/>
    </w:pPr>
    <w:rPr>
      <w:rFonts w:eastAsia="Times New Roman" w:cs="Times New Roman"/>
      <w:b/>
      <w:bCs/>
      <w:szCs w:val="24"/>
    </w:rPr>
  </w:style>
  <w:style w:type="paragraph" w:styleId="Akapitzlist">
    <w:name w:val="List Paragraph"/>
    <w:basedOn w:val="Normalny"/>
    <w:uiPriority w:val="34"/>
    <w:qFormat/>
    <w:rsid w:val="00183EFF"/>
    <w:pPr>
      <w:ind w:left="720"/>
      <w:contextualSpacing/>
    </w:pPr>
  </w:style>
  <w:style w:type="paragraph" w:styleId="Tekstprzypisudolnego">
    <w:name w:val="footnote text"/>
    <w:basedOn w:val="Normalny"/>
    <w:link w:val="TekstprzypisudolnegoZnak"/>
    <w:uiPriority w:val="99"/>
    <w:semiHidden/>
    <w:unhideWhenUsed/>
    <w:rsid w:val="00183EFF"/>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183EFF"/>
    <w:rPr>
      <w:rFonts w:ascii="Times New Roman" w:eastAsiaTheme="minorEastAsia" w:hAnsi="Times New Roman" w:cs="Arial"/>
      <w:sz w:val="20"/>
      <w:szCs w:val="20"/>
      <w:lang w:eastAsia="pl-PL"/>
    </w:rPr>
  </w:style>
  <w:style w:type="paragraph" w:customStyle="1" w:styleId="zpktzmpktartykuempunktem">
    <w:name w:val="zpktzmpktartykuempunktem"/>
    <w:basedOn w:val="Normalny"/>
    <w:rsid w:val="00183EFF"/>
    <w:pPr>
      <w:widowControl/>
      <w:autoSpaceDE/>
      <w:autoSpaceDN/>
      <w:adjustRightInd/>
      <w:spacing w:before="100" w:beforeAutospacing="1" w:after="100" w:afterAutospacing="1" w:line="240" w:lineRule="auto"/>
    </w:pPr>
    <w:rPr>
      <w:rFonts w:eastAsia="Times New Roman" w:cs="Times New Roman"/>
      <w:szCs w:val="24"/>
    </w:rPr>
  </w:style>
  <w:style w:type="paragraph" w:styleId="Tekstdymka">
    <w:name w:val="Balloon Text"/>
    <w:basedOn w:val="Normalny"/>
    <w:link w:val="TekstdymkaZnak"/>
    <w:uiPriority w:val="99"/>
    <w:semiHidden/>
    <w:unhideWhenUsed/>
    <w:rsid w:val="0059503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9503C"/>
    <w:rPr>
      <w:rFonts w:ascii="Segoe UI" w:eastAsiaTheme="minorEastAsia" w:hAnsi="Segoe UI" w:cs="Segoe UI"/>
      <w:sz w:val="18"/>
      <w:szCs w:val="18"/>
      <w:lang w:eastAsia="pl-PL"/>
    </w:rPr>
  </w:style>
  <w:style w:type="character" w:styleId="Odwoaniedokomentarza">
    <w:name w:val="annotation reference"/>
    <w:basedOn w:val="Domylnaczcionkaakapitu"/>
    <w:uiPriority w:val="99"/>
    <w:semiHidden/>
    <w:unhideWhenUsed/>
    <w:rsid w:val="009137D4"/>
    <w:rPr>
      <w:sz w:val="16"/>
      <w:szCs w:val="16"/>
    </w:rPr>
  </w:style>
  <w:style w:type="paragraph" w:styleId="Tekstkomentarza">
    <w:name w:val="annotation text"/>
    <w:basedOn w:val="Normalny"/>
    <w:link w:val="TekstkomentarzaZnak"/>
    <w:uiPriority w:val="99"/>
    <w:semiHidden/>
    <w:unhideWhenUsed/>
    <w:rsid w:val="009137D4"/>
    <w:pPr>
      <w:widowControl/>
      <w:autoSpaceDE/>
      <w:autoSpaceDN/>
      <w:adjustRightInd/>
      <w:spacing w:after="160" w:line="240" w:lineRule="auto"/>
    </w:pPr>
    <w:rPr>
      <w:rFonts w:asciiTheme="minorHAnsi" w:eastAsiaTheme="minorHAnsi" w:hAnsiTheme="minorHAnsi" w:cstheme="minorBidi"/>
      <w:sz w:val="20"/>
      <w:lang w:eastAsia="en-US"/>
    </w:rPr>
  </w:style>
  <w:style w:type="character" w:customStyle="1" w:styleId="TekstkomentarzaZnak">
    <w:name w:val="Tekst komentarza Znak"/>
    <w:basedOn w:val="Domylnaczcionkaakapitu"/>
    <w:link w:val="Tekstkomentarza"/>
    <w:uiPriority w:val="99"/>
    <w:semiHidden/>
    <w:rsid w:val="009137D4"/>
    <w:rPr>
      <w:sz w:val="20"/>
      <w:szCs w:val="20"/>
    </w:rPr>
  </w:style>
  <w:style w:type="paragraph" w:styleId="Tematkomentarza">
    <w:name w:val="annotation subject"/>
    <w:basedOn w:val="Tekstkomentarza"/>
    <w:next w:val="Tekstkomentarza"/>
    <w:link w:val="TematkomentarzaZnak"/>
    <w:uiPriority w:val="99"/>
    <w:semiHidden/>
    <w:unhideWhenUsed/>
    <w:rsid w:val="001A5761"/>
    <w:pPr>
      <w:widowControl w:val="0"/>
      <w:autoSpaceDE w:val="0"/>
      <w:autoSpaceDN w:val="0"/>
      <w:adjustRightInd w:val="0"/>
      <w:spacing w:after="0"/>
    </w:pPr>
    <w:rPr>
      <w:rFonts w:ascii="Times New Roman" w:eastAsiaTheme="minorEastAsia" w:hAnsi="Times New Roman" w:cs="Arial"/>
      <w:b/>
      <w:bCs/>
      <w:lang w:eastAsia="pl-PL"/>
    </w:rPr>
  </w:style>
  <w:style w:type="character" w:customStyle="1" w:styleId="TematkomentarzaZnak">
    <w:name w:val="Temat komentarza Znak"/>
    <w:basedOn w:val="TekstkomentarzaZnak"/>
    <w:link w:val="Tematkomentarza"/>
    <w:uiPriority w:val="99"/>
    <w:semiHidden/>
    <w:rsid w:val="001A5761"/>
    <w:rPr>
      <w:rFonts w:ascii="Times New Roman" w:eastAsiaTheme="minorEastAsia" w:hAnsi="Times New Roman" w:cs="Arial"/>
      <w:b/>
      <w:bCs/>
      <w:sz w:val="20"/>
      <w:szCs w:val="20"/>
      <w:lang w:eastAsia="pl-PL"/>
    </w:rPr>
  </w:style>
  <w:style w:type="character" w:customStyle="1" w:styleId="Nagwek1Znak">
    <w:name w:val="Nagłówek 1 Znak"/>
    <w:basedOn w:val="Domylnaczcionkaakapitu"/>
    <w:link w:val="Nagwek1"/>
    <w:uiPriority w:val="9"/>
    <w:rsid w:val="00AF23C3"/>
    <w:rPr>
      <w:rFonts w:ascii="Times New Roman" w:eastAsia="Times New Roman" w:hAnsi="Times New Roman" w:cs="Times New Roman"/>
      <w:b/>
      <w:bCs/>
      <w:kern w:val="36"/>
      <w:sz w:val="48"/>
      <w:szCs w:val="48"/>
      <w:lang w:eastAsia="pl-PL"/>
    </w:rPr>
  </w:style>
  <w:style w:type="paragraph" w:customStyle="1" w:styleId="mainpub">
    <w:name w:val="mainpub"/>
    <w:basedOn w:val="Normalny"/>
    <w:rsid w:val="00AF23C3"/>
    <w:pPr>
      <w:widowControl/>
      <w:autoSpaceDE/>
      <w:autoSpaceDN/>
      <w:adjustRightInd/>
      <w:spacing w:before="100" w:beforeAutospacing="1" w:after="100" w:afterAutospacing="1" w:line="240" w:lineRule="auto"/>
    </w:pPr>
    <w:rPr>
      <w:rFonts w:eastAsia="Times New Roman" w:cs="Times New Roman"/>
      <w:szCs w:val="24"/>
    </w:rPr>
  </w:style>
  <w:style w:type="paragraph" w:styleId="NormalnyWeb">
    <w:name w:val="Normal (Web)"/>
    <w:basedOn w:val="Normalny"/>
    <w:uiPriority w:val="99"/>
    <w:semiHidden/>
    <w:unhideWhenUsed/>
    <w:rsid w:val="00AB0A83"/>
    <w:pPr>
      <w:widowControl/>
      <w:autoSpaceDE/>
      <w:autoSpaceDN/>
      <w:adjustRightInd/>
      <w:spacing w:before="100" w:beforeAutospacing="1" w:after="100" w:afterAutospacing="1" w:line="240" w:lineRule="auto"/>
    </w:pPr>
    <w:rPr>
      <w:rFonts w:ascii="Calibri" w:eastAsiaTheme="minorHAnsi" w:hAnsi="Calibri" w:cs="Calibri"/>
      <w:sz w:val="22"/>
      <w:szCs w:val="22"/>
    </w:rPr>
  </w:style>
  <w:style w:type="paragraph" w:styleId="Stopka">
    <w:name w:val="footer"/>
    <w:basedOn w:val="Normalny"/>
    <w:link w:val="StopkaZnak"/>
    <w:uiPriority w:val="99"/>
    <w:unhideWhenUsed/>
    <w:rsid w:val="0079000F"/>
    <w:pPr>
      <w:tabs>
        <w:tab w:val="center" w:pos="4536"/>
        <w:tab w:val="right" w:pos="9072"/>
      </w:tabs>
      <w:spacing w:line="240" w:lineRule="auto"/>
    </w:pPr>
  </w:style>
  <w:style w:type="character" w:customStyle="1" w:styleId="StopkaZnak">
    <w:name w:val="Stopka Znak"/>
    <w:basedOn w:val="Domylnaczcionkaakapitu"/>
    <w:link w:val="Stopka"/>
    <w:uiPriority w:val="99"/>
    <w:rsid w:val="0079000F"/>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895766">
      <w:bodyDiv w:val="1"/>
      <w:marLeft w:val="0"/>
      <w:marRight w:val="0"/>
      <w:marTop w:val="0"/>
      <w:marBottom w:val="0"/>
      <w:divBdr>
        <w:top w:val="none" w:sz="0" w:space="0" w:color="auto"/>
        <w:left w:val="none" w:sz="0" w:space="0" w:color="auto"/>
        <w:bottom w:val="none" w:sz="0" w:space="0" w:color="auto"/>
        <w:right w:val="none" w:sz="0" w:space="0" w:color="auto"/>
      </w:divBdr>
    </w:div>
    <w:div w:id="707804417">
      <w:bodyDiv w:val="1"/>
      <w:marLeft w:val="0"/>
      <w:marRight w:val="0"/>
      <w:marTop w:val="0"/>
      <w:marBottom w:val="0"/>
      <w:divBdr>
        <w:top w:val="none" w:sz="0" w:space="0" w:color="auto"/>
        <w:left w:val="none" w:sz="0" w:space="0" w:color="auto"/>
        <w:bottom w:val="none" w:sz="0" w:space="0" w:color="auto"/>
        <w:right w:val="none" w:sz="0" w:space="0" w:color="auto"/>
      </w:divBdr>
    </w:div>
    <w:div w:id="868378810">
      <w:bodyDiv w:val="1"/>
      <w:marLeft w:val="0"/>
      <w:marRight w:val="0"/>
      <w:marTop w:val="0"/>
      <w:marBottom w:val="0"/>
      <w:divBdr>
        <w:top w:val="none" w:sz="0" w:space="0" w:color="auto"/>
        <w:left w:val="none" w:sz="0" w:space="0" w:color="auto"/>
        <w:bottom w:val="none" w:sz="0" w:space="0" w:color="auto"/>
        <w:right w:val="none" w:sz="0" w:space="0" w:color="auto"/>
      </w:divBdr>
    </w:div>
    <w:div w:id="907575289">
      <w:bodyDiv w:val="1"/>
      <w:marLeft w:val="0"/>
      <w:marRight w:val="0"/>
      <w:marTop w:val="0"/>
      <w:marBottom w:val="0"/>
      <w:divBdr>
        <w:top w:val="none" w:sz="0" w:space="0" w:color="auto"/>
        <w:left w:val="none" w:sz="0" w:space="0" w:color="auto"/>
        <w:bottom w:val="none" w:sz="0" w:space="0" w:color="auto"/>
        <w:right w:val="none" w:sz="0" w:space="0" w:color="auto"/>
      </w:divBdr>
    </w:div>
    <w:div w:id="959382838">
      <w:bodyDiv w:val="1"/>
      <w:marLeft w:val="0"/>
      <w:marRight w:val="0"/>
      <w:marTop w:val="0"/>
      <w:marBottom w:val="0"/>
      <w:divBdr>
        <w:top w:val="none" w:sz="0" w:space="0" w:color="auto"/>
        <w:left w:val="none" w:sz="0" w:space="0" w:color="auto"/>
        <w:bottom w:val="none" w:sz="0" w:space="0" w:color="auto"/>
        <w:right w:val="none" w:sz="0" w:space="0" w:color="auto"/>
      </w:divBdr>
      <w:divsChild>
        <w:div w:id="872696879">
          <w:marLeft w:val="0"/>
          <w:marRight w:val="0"/>
          <w:marTop w:val="0"/>
          <w:marBottom w:val="0"/>
          <w:divBdr>
            <w:top w:val="none" w:sz="0" w:space="0" w:color="auto"/>
            <w:left w:val="none" w:sz="0" w:space="0" w:color="auto"/>
            <w:bottom w:val="none" w:sz="0" w:space="0" w:color="auto"/>
            <w:right w:val="none" w:sz="0" w:space="0" w:color="auto"/>
          </w:divBdr>
        </w:div>
      </w:divsChild>
    </w:div>
    <w:div w:id="1990867579">
      <w:bodyDiv w:val="1"/>
      <w:marLeft w:val="0"/>
      <w:marRight w:val="0"/>
      <w:marTop w:val="0"/>
      <w:marBottom w:val="0"/>
      <w:divBdr>
        <w:top w:val="none" w:sz="0" w:space="0" w:color="auto"/>
        <w:left w:val="none" w:sz="0" w:space="0" w:color="auto"/>
        <w:bottom w:val="none" w:sz="0" w:space="0" w:color="auto"/>
        <w:right w:val="none" w:sz="0" w:space="0" w:color="auto"/>
      </w:divBdr>
    </w:div>
    <w:div w:id="2084835790">
      <w:bodyDiv w:val="1"/>
      <w:marLeft w:val="0"/>
      <w:marRight w:val="0"/>
      <w:marTop w:val="0"/>
      <w:marBottom w:val="0"/>
      <w:divBdr>
        <w:top w:val="none" w:sz="0" w:space="0" w:color="auto"/>
        <w:left w:val="none" w:sz="0" w:space="0" w:color="auto"/>
        <w:bottom w:val="none" w:sz="0" w:space="0" w:color="auto"/>
        <w:right w:val="none" w:sz="0" w:space="0" w:color="auto"/>
      </w:divBdr>
    </w:div>
    <w:div w:id="210148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AD18-B44C-4442-8BF7-199A1AA2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2036</Words>
  <Characters>12216</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Klamczyńska Alicja  (DL)</dc:creator>
  <cp:lastModifiedBy>Wójcik Aleksandra</cp:lastModifiedBy>
  <cp:revision>5</cp:revision>
  <dcterms:created xsi:type="dcterms:W3CDTF">2020-11-04T12:52:00Z</dcterms:created>
  <dcterms:modified xsi:type="dcterms:W3CDTF">2020-11-04T16:25:00Z</dcterms:modified>
</cp:coreProperties>
</file>