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8815EA" w14:textId="7CD85B06" w:rsidR="00AF5637" w:rsidRPr="00AF5637" w:rsidRDefault="00AF5637" w:rsidP="00AF5637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78BD9E0E" w14:textId="77777777" w:rsidR="00AF5637" w:rsidRDefault="00AF5637" w:rsidP="008E13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D656D15" w14:textId="77777777" w:rsidR="00AF5637" w:rsidRDefault="00AF5637" w:rsidP="008E13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7168AFB" w14:textId="77777777" w:rsidR="008E139A" w:rsidRDefault="008E139A" w:rsidP="00AF563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Stanowisko Rządu</w:t>
      </w:r>
      <w:r w:rsidR="00AF5637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wobec </w:t>
      </w:r>
      <w:r w:rsidR="00AF5637">
        <w:rPr>
          <w:rFonts w:ascii="Times New Roman" w:hAnsi="Times New Roman" w:cs="Times New Roman"/>
          <w:b/>
          <w:sz w:val="24"/>
          <w:szCs w:val="24"/>
        </w:rPr>
        <w:t>komisyjnego</w:t>
      </w:r>
      <w:r>
        <w:rPr>
          <w:rFonts w:ascii="Times New Roman" w:hAnsi="Times New Roman" w:cs="Times New Roman"/>
          <w:b/>
          <w:sz w:val="24"/>
          <w:szCs w:val="24"/>
        </w:rPr>
        <w:t xml:space="preserve"> projektu ustawy</w:t>
      </w:r>
    </w:p>
    <w:p w14:paraId="4CF4D442" w14:textId="77777777" w:rsidR="000222D6" w:rsidRDefault="008E139A" w:rsidP="00AF5637">
      <w:pPr>
        <w:pStyle w:val="Akapitzlist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 </w:t>
      </w:r>
      <w:r w:rsidR="00AF5637">
        <w:rPr>
          <w:rFonts w:ascii="Times New Roman" w:hAnsi="Times New Roman" w:cs="Times New Roman"/>
          <w:b/>
          <w:sz w:val="24"/>
          <w:szCs w:val="24"/>
        </w:rPr>
        <w:t xml:space="preserve">zmianie niektórych ustaw w celu poprawy spójności terminologicznej </w:t>
      </w:r>
    </w:p>
    <w:p w14:paraId="16DE9C8C" w14:textId="27A3AB71" w:rsidR="008E139A" w:rsidRDefault="00AF5637" w:rsidP="00AF5637">
      <w:pPr>
        <w:pStyle w:val="Akapitzlist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systemu prawnego</w:t>
      </w:r>
      <w:r w:rsidR="008E139A">
        <w:rPr>
          <w:rFonts w:ascii="Times New Roman" w:hAnsi="Times New Roman" w:cs="Times New Roman"/>
          <w:b/>
          <w:sz w:val="24"/>
          <w:szCs w:val="24"/>
        </w:rPr>
        <w:t xml:space="preserve"> (druk nr </w:t>
      </w:r>
      <w:r>
        <w:rPr>
          <w:rFonts w:ascii="Times New Roman" w:hAnsi="Times New Roman" w:cs="Times New Roman"/>
          <w:b/>
          <w:sz w:val="24"/>
          <w:szCs w:val="24"/>
        </w:rPr>
        <w:t>744</w:t>
      </w:r>
      <w:r w:rsidR="008E139A">
        <w:rPr>
          <w:rFonts w:ascii="Times New Roman" w:hAnsi="Times New Roman" w:cs="Times New Roman"/>
          <w:b/>
          <w:sz w:val="24"/>
          <w:szCs w:val="24"/>
        </w:rPr>
        <w:t>)</w:t>
      </w:r>
    </w:p>
    <w:p w14:paraId="612E1796" w14:textId="404BB121" w:rsidR="0022551E" w:rsidRDefault="0022551E" w:rsidP="00AF5637">
      <w:pPr>
        <w:pStyle w:val="Textbody"/>
        <w:spacing w:after="200"/>
        <w:jc w:val="both"/>
      </w:pPr>
    </w:p>
    <w:p w14:paraId="1FB951D1" w14:textId="22EC95A6" w:rsidR="002753E1" w:rsidRDefault="0022551E" w:rsidP="009B63B9">
      <w:pPr>
        <w:pStyle w:val="Akapitzlist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551E">
        <w:rPr>
          <w:rFonts w:ascii="Times New Roman" w:hAnsi="Times New Roman" w:cs="Times New Roman"/>
          <w:sz w:val="24"/>
          <w:szCs w:val="24"/>
        </w:rPr>
        <w:t xml:space="preserve">Z uzasadnienia </w:t>
      </w:r>
      <w:r w:rsidRPr="0022551E">
        <w:rPr>
          <w:rFonts w:ascii="Times New Roman" w:hAnsi="Times New Roman" w:cs="Times New Roman"/>
          <w:i/>
          <w:iCs/>
          <w:sz w:val="24"/>
          <w:szCs w:val="24"/>
        </w:rPr>
        <w:t>projektu ustawy o zmianie niektórych ustaw w celu poprawy spójności terminologicznej systemu prawnego (druk nr 744)</w:t>
      </w:r>
      <w:r w:rsidRPr="0022551E">
        <w:rPr>
          <w:rFonts w:ascii="Times New Roman" w:hAnsi="Times New Roman" w:cs="Times New Roman"/>
          <w:sz w:val="24"/>
          <w:szCs w:val="24"/>
        </w:rPr>
        <w:t xml:space="preserve"> wynika, że projektowana ustawa jest reakcją Komisji do Spraw Petycji Sejmu RP na petycje skierowane do Sejmu RP</w:t>
      </w:r>
      <w:r w:rsidR="00AD4AAB">
        <w:rPr>
          <w:rFonts w:ascii="Times New Roman" w:hAnsi="Times New Roman" w:cs="Times New Roman"/>
          <w:sz w:val="24"/>
          <w:szCs w:val="24"/>
        </w:rPr>
        <w:t>,</w:t>
      </w:r>
      <w:r w:rsidRPr="0022551E">
        <w:rPr>
          <w:rFonts w:ascii="Times New Roman" w:hAnsi="Times New Roman" w:cs="Times New Roman"/>
          <w:sz w:val="24"/>
          <w:szCs w:val="24"/>
        </w:rPr>
        <w:t xml:space="preserve"> które komisja uznała za zasadne. Celem ustawy jest dokonanie drobnych legislacyjno-redakcyjnych zmian w</w:t>
      </w:r>
      <w:r w:rsidR="000222D6">
        <w:rPr>
          <w:rFonts w:ascii="Times New Roman" w:hAnsi="Times New Roman" w:cs="Times New Roman"/>
          <w:sz w:val="24"/>
          <w:szCs w:val="24"/>
        </w:rPr>
        <w:t> </w:t>
      </w:r>
      <w:r w:rsidRPr="0022551E">
        <w:rPr>
          <w:rFonts w:ascii="Times New Roman" w:hAnsi="Times New Roman" w:cs="Times New Roman"/>
          <w:sz w:val="24"/>
          <w:szCs w:val="24"/>
        </w:rPr>
        <w:t>trzynastu ustawach, dostosowujących występującą w nich terminologię do aktualnego stanu prawnego. Wprowadzenie tych zmian ułatwi adresatom nowelizowanych aktów prawnych ich</w:t>
      </w:r>
      <w:r w:rsidR="001B7AFC">
        <w:rPr>
          <w:rFonts w:ascii="Times New Roman" w:hAnsi="Times New Roman" w:cs="Times New Roman"/>
          <w:sz w:val="24"/>
          <w:szCs w:val="24"/>
        </w:rPr>
        <w:t> </w:t>
      </w:r>
      <w:r w:rsidRPr="0022551E">
        <w:rPr>
          <w:rFonts w:ascii="Times New Roman" w:hAnsi="Times New Roman" w:cs="Times New Roman"/>
          <w:sz w:val="24"/>
          <w:szCs w:val="24"/>
        </w:rPr>
        <w:t xml:space="preserve">zrozumienie i właściwe stosowanie w obecnym otoczeniu normatywnym. </w:t>
      </w:r>
      <w:r w:rsidR="002753E1">
        <w:rPr>
          <w:rFonts w:ascii="Times New Roman" w:hAnsi="Times New Roman" w:cs="Times New Roman"/>
          <w:sz w:val="24"/>
          <w:szCs w:val="24"/>
        </w:rPr>
        <w:t>Jak wskazano</w:t>
      </w:r>
      <w:r w:rsidR="00A8235F">
        <w:rPr>
          <w:rFonts w:ascii="Times New Roman" w:hAnsi="Times New Roman" w:cs="Times New Roman"/>
          <w:sz w:val="24"/>
          <w:szCs w:val="24"/>
        </w:rPr>
        <w:t xml:space="preserve"> w</w:t>
      </w:r>
      <w:r w:rsidR="001B7AFC">
        <w:rPr>
          <w:rFonts w:ascii="Times New Roman" w:hAnsi="Times New Roman" w:cs="Times New Roman"/>
          <w:sz w:val="24"/>
          <w:szCs w:val="24"/>
        </w:rPr>
        <w:t> </w:t>
      </w:r>
      <w:r w:rsidR="00A8235F">
        <w:rPr>
          <w:rFonts w:ascii="Times New Roman" w:hAnsi="Times New Roman" w:cs="Times New Roman"/>
          <w:sz w:val="24"/>
          <w:szCs w:val="24"/>
        </w:rPr>
        <w:t>uzasadnieniu projektu</w:t>
      </w:r>
      <w:r w:rsidR="002753E1">
        <w:rPr>
          <w:rFonts w:ascii="Times New Roman" w:hAnsi="Times New Roman" w:cs="Times New Roman"/>
          <w:sz w:val="24"/>
          <w:szCs w:val="24"/>
        </w:rPr>
        <w:t xml:space="preserve">, ze </w:t>
      </w:r>
      <w:r w:rsidR="002753E1" w:rsidRPr="00227010">
        <w:rPr>
          <w:rFonts w:ascii="Times New Roman" w:hAnsi="Times New Roman" w:cs="Times New Roman"/>
          <w:sz w:val="24"/>
          <w:szCs w:val="24"/>
        </w:rPr>
        <w:t xml:space="preserve">względu na swój charakter i ograniczony zasięg ustawa nie wywoła skutków gospodarczych, nie wywoła także skutków finansowych, w tym nie będzie miała wpływu na finanse sektora publicznego. </w:t>
      </w:r>
    </w:p>
    <w:p w14:paraId="76BA3BFC" w14:textId="119C28F0" w:rsidR="00B63185" w:rsidRPr="00F77E5B" w:rsidRDefault="000D705D" w:rsidP="009B63B9">
      <w:pPr>
        <w:pStyle w:val="Akapitzlist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 w:rsidR="009420B8" w:rsidRPr="00F77E5B">
        <w:rPr>
          <w:rFonts w:ascii="Times New Roman" w:hAnsi="Times New Roman" w:cs="Times New Roman"/>
          <w:sz w:val="24"/>
          <w:szCs w:val="24"/>
        </w:rPr>
        <w:t xml:space="preserve">ormuła tworzenia osobnej ustawy dla usunięcia błędów </w:t>
      </w:r>
      <w:r w:rsidR="00A046FD">
        <w:rPr>
          <w:rFonts w:ascii="Times New Roman" w:hAnsi="Times New Roman" w:cs="Times New Roman"/>
          <w:sz w:val="24"/>
          <w:szCs w:val="24"/>
        </w:rPr>
        <w:t xml:space="preserve">legislacyjno-redakcyjnych </w:t>
      </w:r>
      <w:r w:rsidR="009420B8" w:rsidRPr="00F77E5B">
        <w:rPr>
          <w:rFonts w:ascii="Times New Roman" w:hAnsi="Times New Roman" w:cs="Times New Roman"/>
          <w:sz w:val="24"/>
          <w:szCs w:val="24"/>
        </w:rPr>
        <w:t>i</w:t>
      </w:r>
      <w:r w:rsidR="001B7AFC">
        <w:rPr>
          <w:rFonts w:ascii="Times New Roman" w:hAnsi="Times New Roman" w:cs="Times New Roman"/>
          <w:sz w:val="24"/>
          <w:szCs w:val="24"/>
        </w:rPr>
        <w:t> </w:t>
      </w:r>
      <w:r w:rsidR="009420B8" w:rsidRPr="00F77E5B">
        <w:rPr>
          <w:rFonts w:ascii="Times New Roman" w:hAnsi="Times New Roman" w:cs="Times New Roman"/>
          <w:sz w:val="24"/>
          <w:szCs w:val="24"/>
        </w:rPr>
        <w:t xml:space="preserve">dostosowania terminologii ustawowej do aktualnego stanu prawnego jest poprawna i zgodna z techniką legislacyjną. </w:t>
      </w:r>
      <w:r>
        <w:rPr>
          <w:rFonts w:ascii="Times New Roman" w:hAnsi="Times New Roman" w:cs="Times New Roman"/>
          <w:sz w:val="24"/>
          <w:szCs w:val="24"/>
        </w:rPr>
        <w:t xml:space="preserve">Jednak </w:t>
      </w:r>
      <w:r w:rsidR="009420B8" w:rsidRPr="00F77E5B">
        <w:rPr>
          <w:rFonts w:ascii="Times New Roman" w:hAnsi="Times New Roman" w:cs="Times New Roman"/>
          <w:sz w:val="24"/>
          <w:szCs w:val="24"/>
        </w:rPr>
        <w:t xml:space="preserve">zmiana ustaw będących kodeksami podlega szczególnej procedurze ustawodawczej, która może wydłużyć procedowanie projektowanej ustawy, </w:t>
      </w:r>
      <w:r w:rsidR="00A046FD">
        <w:rPr>
          <w:rFonts w:ascii="Times New Roman" w:hAnsi="Times New Roman" w:cs="Times New Roman"/>
          <w:sz w:val="24"/>
          <w:szCs w:val="24"/>
        </w:rPr>
        <w:t xml:space="preserve">zatem </w:t>
      </w:r>
      <w:r w:rsidR="009420B8" w:rsidRPr="00F77E5B">
        <w:rPr>
          <w:rFonts w:ascii="Times New Roman" w:hAnsi="Times New Roman" w:cs="Times New Roman"/>
          <w:sz w:val="24"/>
          <w:szCs w:val="24"/>
        </w:rPr>
        <w:t>pod rozwagę należy poddać zasadność umieszczania w projekcie</w:t>
      </w:r>
      <w:r w:rsidR="00A046FD">
        <w:rPr>
          <w:rFonts w:ascii="Times New Roman" w:hAnsi="Times New Roman" w:cs="Times New Roman"/>
          <w:sz w:val="24"/>
          <w:szCs w:val="24"/>
        </w:rPr>
        <w:t xml:space="preserve"> ustawy</w:t>
      </w:r>
      <w:r w:rsidR="00F77E5B" w:rsidRPr="00F77E5B">
        <w:rPr>
          <w:rFonts w:ascii="Times New Roman" w:hAnsi="Times New Roman" w:cs="Times New Roman"/>
          <w:sz w:val="24"/>
          <w:szCs w:val="24"/>
        </w:rPr>
        <w:t xml:space="preserve"> zmian kodeksów. Ewentualnie jako lepsze rozwiązanie można zaproponować zaplanowanie powyższych zmian w przypadku nowelizacji ustaw ujętych w komisyjnym projekcie ustawy.</w:t>
      </w:r>
      <w:r w:rsidR="00F77E5B">
        <w:rPr>
          <w:rFonts w:ascii="Times New Roman" w:hAnsi="Times New Roman" w:cs="Times New Roman"/>
          <w:sz w:val="24"/>
          <w:szCs w:val="24"/>
        </w:rPr>
        <w:t xml:space="preserve"> Abstrahując od</w:t>
      </w:r>
      <w:r w:rsidR="00BE6B21">
        <w:rPr>
          <w:rFonts w:ascii="Times New Roman" w:hAnsi="Times New Roman" w:cs="Times New Roman"/>
          <w:sz w:val="24"/>
          <w:szCs w:val="24"/>
        </w:rPr>
        <w:t> </w:t>
      </w:r>
      <w:r w:rsidR="00F77E5B">
        <w:rPr>
          <w:rFonts w:ascii="Times New Roman" w:hAnsi="Times New Roman" w:cs="Times New Roman"/>
          <w:sz w:val="24"/>
          <w:szCs w:val="24"/>
        </w:rPr>
        <w:t xml:space="preserve">powyższego, należy </w:t>
      </w:r>
      <w:r w:rsidR="00473D34">
        <w:rPr>
          <w:rFonts w:ascii="Times New Roman" w:hAnsi="Times New Roman" w:cs="Times New Roman"/>
          <w:sz w:val="24"/>
          <w:szCs w:val="24"/>
        </w:rPr>
        <w:t>wskazać na następujące kwestie</w:t>
      </w:r>
      <w:r w:rsidR="00AD36B8">
        <w:rPr>
          <w:rFonts w:ascii="Times New Roman" w:hAnsi="Times New Roman" w:cs="Times New Roman"/>
          <w:sz w:val="24"/>
          <w:szCs w:val="24"/>
        </w:rPr>
        <w:t>.</w:t>
      </w:r>
    </w:p>
    <w:p w14:paraId="05F854BA" w14:textId="2EDFEB67" w:rsidR="00976886" w:rsidRDefault="00AD36B8" w:rsidP="009B63B9">
      <w:pPr>
        <w:pStyle w:val="Akapitzlist"/>
        <w:numPr>
          <w:ilvl w:val="0"/>
          <w:numId w:val="6"/>
        </w:numPr>
        <w:spacing w:after="0" w:line="360" w:lineRule="auto"/>
        <w:ind w:left="0" w:firstLine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21510C" w:rsidRPr="000C0649">
        <w:rPr>
          <w:rFonts w:ascii="Times New Roman" w:hAnsi="Times New Roman" w:cs="Times New Roman"/>
          <w:sz w:val="24"/>
          <w:szCs w:val="24"/>
        </w:rPr>
        <w:t xml:space="preserve"> art. </w:t>
      </w:r>
      <w:r w:rsidR="004F429E" w:rsidRPr="000C0649">
        <w:rPr>
          <w:rFonts w:ascii="Times New Roman" w:hAnsi="Times New Roman" w:cs="Times New Roman"/>
          <w:sz w:val="24"/>
          <w:szCs w:val="24"/>
        </w:rPr>
        <w:t xml:space="preserve">4 projektu ustawy zaproponowano zmianę art. 19 § 2 ustawy z dnia 17 czerwca 1966 r. </w:t>
      </w:r>
      <w:r w:rsidR="004F429E" w:rsidRPr="007029A8">
        <w:rPr>
          <w:rFonts w:ascii="Times New Roman" w:hAnsi="Times New Roman" w:cs="Times New Roman"/>
          <w:iCs/>
          <w:sz w:val="24"/>
          <w:szCs w:val="24"/>
        </w:rPr>
        <w:t>o</w:t>
      </w:r>
      <w:r w:rsidR="004F429E" w:rsidRPr="000C0649">
        <w:rPr>
          <w:rFonts w:ascii="Times New Roman" w:hAnsi="Times New Roman" w:cs="Times New Roman"/>
          <w:i/>
          <w:sz w:val="24"/>
          <w:szCs w:val="24"/>
        </w:rPr>
        <w:t> </w:t>
      </w:r>
      <w:r w:rsidR="004F429E" w:rsidRPr="000C0649">
        <w:rPr>
          <w:rFonts w:ascii="Times New Roman" w:hAnsi="Times New Roman" w:cs="Times New Roman"/>
          <w:iCs/>
          <w:sz w:val="24"/>
          <w:szCs w:val="24"/>
        </w:rPr>
        <w:t>postępowaniu egzekucyjnym w administracji</w:t>
      </w:r>
      <w:r w:rsidR="006D7B60">
        <w:rPr>
          <w:rFonts w:ascii="Times New Roman" w:hAnsi="Times New Roman" w:cs="Times New Roman"/>
          <w:iCs/>
          <w:sz w:val="24"/>
          <w:szCs w:val="24"/>
        </w:rPr>
        <w:t xml:space="preserve"> (dalej jako „</w:t>
      </w:r>
      <w:proofErr w:type="spellStart"/>
      <w:r w:rsidR="006D7B60">
        <w:rPr>
          <w:rFonts w:ascii="Times New Roman" w:hAnsi="Times New Roman" w:cs="Times New Roman"/>
          <w:iCs/>
          <w:sz w:val="24"/>
          <w:szCs w:val="24"/>
        </w:rPr>
        <w:t>u.p.e.a</w:t>
      </w:r>
      <w:proofErr w:type="spellEnd"/>
      <w:r w:rsidR="006D7B60">
        <w:rPr>
          <w:rFonts w:ascii="Times New Roman" w:hAnsi="Times New Roman" w:cs="Times New Roman"/>
          <w:iCs/>
          <w:sz w:val="24"/>
          <w:szCs w:val="24"/>
        </w:rPr>
        <w:t>.”)</w:t>
      </w:r>
      <w:r w:rsidR="004F429E" w:rsidRPr="000C0649">
        <w:rPr>
          <w:rFonts w:ascii="Times New Roman" w:hAnsi="Times New Roman" w:cs="Times New Roman"/>
          <w:sz w:val="24"/>
          <w:szCs w:val="24"/>
        </w:rPr>
        <w:t>,</w:t>
      </w:r>
      <w:r w:rsidR="004F429E" w:rsidRPr="000C064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F429E" w:rsidRPr="000C0649">
        <w:rPr>
          <w:rFonts w:ascii="Times New Roman" w:hAnsi="Times New Roman" w:cs="Times New Roman"/>
          <w:sz w:val="24"/>
          <w:szCs w:val="24"/>
        </w:rPr>
        <w:t>polegającą na</w:t>
      </w:r>
      <w:r w:rsidR="00C710D0">
        <w:rPr>
          <w:rFonts w:ascii="Times New Roman" w:hAnsi="Times New Roman" w:cs="Times New Roman"/>
          <w:sz w:val="24"/>
          <w:szCs w:val="24"/>
        </w:rPr>
        <w:t> </w:t>
      </w:r>
      <w:r w:rsidR="004F429E" w:rsidRPr="000C0649">
        <w:rPr>
          <w:rFonts w:ascii="Times New Roman" w:hAnsi="Times New Roman" w:cs="Times New Roman"/>
          <w:sz w:val="24"/>
          <w:szCs w:val="24"/>
        </w:rPr>
        <w:t>zastąpieniu wyrazów „</w:t>
      </w:r>
      <w:r w:rsidR="004F429E" w:rsidRPr="000C0649">
        <w:rPr>
          <w:rFonts w:ascii="Times New Roman" w:hAnsi="Times New Roman" w:cs="Times New Roman"/>
          <w:i/>
          <w:sz w:val="24"/>
          <w:szCs w:val="24"/>
        </w:rPr>
        <w:t>gminy wchodzącej w skład powiatu warszawskiego</w:t>
      </w:r>
      <w:r w:rsidR="004F429E" w:rsidRPr="000C0649">
        <w:rPr>
          <w:rFonts w:ascii="Times New Roman" w:hAnsi="Times New Roman" w:cs="Times New Roman"/>
          <w:sz w:val="24"/>
          <w:szCs w:val="24"/>
        </w:rPr>
        <w:t>” wyrazami „</w:t>
      </w:r>
      <w:r w:rsidR="004F429E" w:rsidRPr="000C0649">
        <w:rPr>
          <w:rFonts w:ascii="Times New Roman" w:hAnsi="Times New Roman" w:cs="Times New Roman"/>
          <w:i/>
          <w:sz w:val="24"/>
          <w:szCs w:val="24"/>
        </w:rPr>
        <w:t>dzielnicy miasta stołecznego Warszawy</w:t>
      </w:r>
      <w:r w:rsidR="004F429E" w:rsidRPr="000C0649">
        <w:rPr>
          <w:rFonts w:ascii="Times New Roman" w:hAnsi="Times New Roman" w:cs="Times New Roman"/>
          <w:sz w:val="24"/>
          <w:szCs w:val="24"/>
        </w:rPr>
        <w:t>”. Należy zauważyć, iż przepisy ustawy z dnia 15</w:t>
      </w:r>
      <w:r w:rsidR="00BE6B21">
        <w:rPr>
          <w:rFonts w:ascii="Times New Roman" w:hAnsi="Times New Roman" w:cs="Times New Roman"/>
          <w:sz w:val="24"/>
          <w:szCs w:val="24"/>
        </w:rPr>
        <w:t> </w:t>
      </w:r>
      <w:r w:rsidR="004F429E" w:rsidRPr="000C0649">
        <w:rPr>
          <w:rFonts w:ascii="Times New Roman" w:hAnsi="Times New Roman" w:cs="Times New Roman"/>
          <w:sz w:val="24"/>
          <w:szCs w:val="24"/>
        </w:rPr>
        <w:t xml:space="preserve">marca 2002 r. </w:t>
      </w:r>
      <w:r w:rsidR="004F429E" w:rsidRPr="006A5FA7">
        <w:rPr>
          <w:rFonts w:ascii="Times New Roman" w:hAnsi="Times New Roman" w:cs="Times New Roman"/>
          <w:iCs/>
          <w:sz w:val="24"/>
          <w:szCs w:val="24"/>
        </w:rPr>
        <w:t xml:space="preserve">o </w:t>
      </w:r>
      <w:r w:rsidR="004F429E" w:rsidRPr="000C0649">
        <w:rPr>
          <w:rFonts w:ascii="Times New Roman" w:hAnsi="Times New Roman" w:cs="Times New Roman"/>
          <w:iCs/>
          <w:sz w:val="24"/>
          <w:szCs w:val="24"/>
        </w:rPr>
        <w:t>ustroju miasta stołecznego Warszawy</w:t>
      </w:r>
      <w:r w:rsidR="004F429E" w:rsidRPr="000C0649">
        <w:rPr>
          <w:rFonts w:ascii="Times New Roman" w:hAnsi="Times New Roman" w:cs="Times New Roman"/>
          <w:sz w:val="24"/>
          <w:szCs w:val="24"/>
        </w:rPr>
        <w:t xml:space="preserve"> </w:t>
      </w:r>
      <w:r w:rsidR="006A5FA7">
        <w:rPr>
          <w:rFonts w:ascii="Times New Roman" w:hAnsi="Times New Roman" w:cs="Times New Roman"/>
          <w:sz w:val="24"/>
          <w:szCs w:val="24"/>
        </w:rPr>
        <w:t xml:space="preserve">(Dz. U. z 2018 r. poz. 1817) </w:t>
      </w:r>
      <w:r w:rsidR="004F429E" w:rsidRPr="000C0649">
        <w:rPr>
          <w:rFonts w:ascii="Times New Roman" w:hAnsi="Times New Roman" w:cs="Times New Roman"/>
          <w:sz w:val="24"/>
          <w:szCs w:val="24"/>
        </w:rPr>
        <w:t xml:space="preserve">zniosły m.in. gminy warszawskie oraz powiat warszawski. Zgodnie z art. 1 ust. 1 </w:t>
      </w:r>
      <w:r w:rsidR="00473D34">
        <w:rPr>
          <w:rFonts w:ascii="Times New Roman" w:hAnsi="Times New Roman" w:cs="Times New Roman"/>
          <w:sz w:val="24"/>
          <w:szCs w:val="24"/>
        </w:rPr>
        <w:t xml:space="preserve">tej </w:t>
      </w:r>
      <w:r w:rsidR="0040465E">
        <w:rPr>
          <w:rFonts w:ascii="Times New Roman" w:hAnsi="Times New Roman" w:cs="Times New Roman"/>
          <w:sz w:val="24"/>
          <w:szCs w:val="24"/>
        </w:rPr>
        <w:t>ustawy</w:t>
      </w:r>
      <w:r w:rsidR="004F429E" w:rsidRPr="000C0649">
        <w:rPr>
          <w:rFonts w:ascii="Times New Roman" w:hAnsi="Times New Roman" w:cs="Times New Roman"/>
          <w:sz w:val="24"/>
          <w:szCs w:val="24"/>
        </w:rPr>
        <w:t xml:space="preserve"> stolica Rzeczypospolitej Polskiej miasto stołeczne Warszawa jest gminą mającą status miasta na</w:t>
      </w:r>
      <w:r w:rsidR="00BE6B21">
        <w:rPr>
          <w:rFonts w:ascii="Times New Roman" w:hAnsi="Times New Roman" w:cs="Times New Roman"/>
          <w:sz w:val="24"/>
          <w:szCs w:val="24"/>
        </w:rPr>
        <w:t> </w:t>
      </w:r>
      <w:r w:rsidR="004F429E" w:rsidRPr="000C0649">
        <w:rPr>
          <w:rFonts w:ascii="Times New Roman" w:hAnsi="Times New Roman" w:cs="Times New Roman"/>
          <w:sz w:val="24"/>
          <w:szCs w:val="24"/>
        </w:rPr>
        <w:t>prawach powiatu</w:t>
      </w:r>
      <w:r w:rsidR="004F429E" w:rsidRPr="00AE4206">
        <w:rPr>
          <w:rFonts w:ascii="Times New Roman" w:hAnsi="Times New Roman" w:cs="Times New Roman"/>
          <w:sz w:val="24"/>
          <w:szCs w:val="24"/>
        </w:rPr>
        <w:t xml:space="preserve">. </w:t>
      </w:r>
      <w:r w:rsidR="00D25B7B" w:rsidRPr="00AE4206">
        <w:rPr>
          <w:rFonts w:ascii="Times New Roman" w:hAnsi="Times New Roman" w:cs="Times New Roman"/>
          <w:sz w:val="24"/>
          <w:szCs w:val="24"/>
        </w:rPr>
        <w:t>D</w:t>
      </w:r>
      <w:r w:rsidR="004F429E" w:rsidRPr="00AE4206">
        <w:rPr>
          <w:rFonts w:ascii="Times New Roman" w:hAnsi="Times New Roman" w:cs="Times New Roman"/>
          <w:sz w:val="24"/>
          <w:szCs w:val="24"/>
        </w:rPr>
        <w:t>zielnice m.st. Warszawy są</w:t>
      </w:r>
      <w:r w:rsidR="004F429E" w:rsidRPr="000C0649">
        <w:rPr>
          <w:rFonts w:ascii="Times New Roman" w:hAnsi="Times New Roman" w:cs="Times New Roman"/>
          <w:sz w:val="24"/>
          <w:szCs w:val="24"/>
        </w:rPr>
        <w:t xml:space="preserve"> jednostkami pomocniczymi, ustanawianymi przez Radę m.st. Warszawy, na podstawie art. 5 tej u</w:t>
      </w:r>
      <w:r w:rsidR="0040465E">
        <w:rPr>
          <w:rFonts w:ascii="Times New Roman" w:hAnsi="Times New Roman" w:cs="Times New Roman"/>
          <w:sz w:val="24"/>
          <w:szCs w:val="24"/>
        </w:rPr>
        <w:t>stawy. Zgodnie z art. 31 ustawy</w:t>
      </w:r>
      <w:r w:rsidR="004F429E" w:rsidRPr="000C0649">
        <w:rPr>
          <w:rFonts w:ascii="Times New Roman" w:hAnsi="Times New Roman" w:cs="Times New Roman"/>
          <w:sz w:val="24"/>
          <w:szCs w:val="24"/>
        </w:rPr>
        <w:t xml:space="preserve"> ilekroć </w:t>
      </w:r>
      <w:r w:rsidR="004F429E" w:rsidRPr="000C0649">
        <w:rPr>
          <w:rFonts w:ascii="Times New Roman" w:hAnsi="Times New Roman" w:cs="Times New Roman"/>
          <w:sz w:val="24"/>
          <w:szCs w:val="24"/>
        </w:rPr>
        <w:lastRenderedPageBreak/>
        <w:t>w</w:t>
      </w:r>
      <w:r w:rsidR="009616C0">
        <w:rPr>
          <w:rFonts w:ascii="Times New Roman" w:hAnsi="Times New Roman" w:cs="Times New Roman"/>
          <w:sz w:val="24"/>
          <w:szCs w:val="24"/>
        </w:rPr>
        <w:t> </w:t>
      </w:r>
      <w:r w:rsidR="004F429E" w:rsidRPr="000C0649">
        <w:rPr>
          <w:rFonts w:ascii="Times New Roman" w:hAnsi="Times New Roman" w:cs="Times New Roman"/>
          <w:sz w:val="24"/>
          <w:szCs w:val="24"/>
        </w:rPr>
        <w:t xml:space="preserve">odrębnych przepisach jest mowa o m.st. Warszawie </w:t>
      </w:r>
      <w:r w:rsidR="0040465E" w:rsidRPr="009B63B9">
        <w:rPr>
          <w:rFonts w:ascii="Times New Roman" w:hAnsi="Times New Roman" w:cs="Times New Roman"/>
          <w:sz w:val="24"/>
          <w:szCs w:val="24"/>
        </w:rPr>
        <w:t>–</w:t>
      </w:r>
      <w:r w:rsidR="004F429E" w:rsidRPr="00EE7D97">
        <w:rPr>
          <w:rFonts w:ascii="Times New Roman" w:hAnsi="Times New Roman" w:cs="Times New Roman"/>
          <w:sz w:val="24"/>
          <w:szCs w:val="24"/>
        </w:rPr>
        <w:t xml:space="preserve"> związku komunalnym,</w:t>
      </w:r>
      <w:r w:rsidR="004F429E" w:rsidRPr="000C0649">
        <w:rPr>
          <w:rFonts w:ascii="Times New Roman" w:hAnsi="Times New Roman" w:cs="Times New Roman"/>
          <w:sz w:val="24"/>
          <w:szCs w:val="24"/>
        </w:rPr>
        <w:t xml:space="preserve"> m.st. Warszawie </w:t>
      </w:r>
      <w:r w:rsidR="0040465E" w:rsidRPr="009B63B9">
        <w:rPr>
          <w:rFonts w:ascii="Times New Roman" w:hAnsi="Times New Roman" w:cs="Times New Roman"/>
          <w:sz w:val="24"/>
          <w:szCs w:val="24"/>
        </w:rPr>
        <w:t>–</w:t>
      </w:r>
      <w:r w:rsidR="004F429E" w:rsidRPr="000C0649">
        <w:rPr>
          <w:rFonts w:ascii="Times New Roman" w:hAnsi="Times New Roman" w:cs="Times New Roman"/>
          <w:sz w:val="24"/>
          <w:szCs w:val="24"/>
        </w:rPr>
        <w:t xml:space="preserve"> </w:t>
      </w:r>
      <w:r w:rsidR="00402F86">
        <w:rPr>
          <w:rFonts w:ascii="Times New Roman" w:hAnsi="Times New Roman" w:cs="Times New Roman"/>
          <w:sz w:val="24"/>
          <w:szCs w:val="24"/>
        </w:rPr>
        <w:t>ob</w:t>
      </w:r>
      <w:r w:rsidR="004F429E" w:rsidRPr="000C0649">
        <w:rPr>
          <w:rFonts w:ascii="Times New Roman" w:hAnsi="Times New Roman" w:cs="Times New Roman"/>
          <w:sz w:val="24"/>
          <w:szCs w:val="24"/>
        </w:rPr>
        <w:t>ligatoryjnym związku gmin lub powiecie warszawskim, należy przez to</w:t>
      </w:r>
      <w:r w:rsidR="009616C0">
        <w:rPr>
          <w:rFonts w:ascii="Times New Roman" w:hAnsi="Times New Roman" w:cs="Times New Roman"/>
          <w:sz w:val="24"/>
          <w:szCs w:val="24"/>
        </w:rPr>
        <w:t> </w:t>
      </w:r>
      <w:bookmarkStart w:id="0" w:name="_GoBack"/>
      <w:bookmarkEnd w:id="0"/>
      <w:r w:rsidR="004F429E" w:rsidRPr="000C0649">
        <w:rPr>
          <w:rFonts w:ascii="Times New Roman" w:hAnsi="Times New Roman" w:cs="Times New Roman"/>
          <w:sz w:val="24"/>
          <w:szCs w:val="24"/>
        </w:rPr>
        <w:t xml:space="preserve">rozumieć m.st. Warszawę. </w:t>
      </w:r>
      <w:r w:rsidR="00976886" w:rsidRPr="00402F86">
        <w:rPr>
          <w:rFonts w:ascii="Times New Roman" w:hAnsi="Times New Roman" w:cs="Times New Roman"/>
          <w:sz w:val="24"/>
          <w:szCs w:val="24"/>
        </w:rPr>
        <w:t>Zaznaczyć należy, że zgodnie</w:t>
      </w:r>
      <w:r w:rsidR="0036526B">
        <w:rPr>
          <w:rFonts w:ascii="Times New Roman" w:hAnsi="Times New Roman" w:cs="Times New Roman"/>
          <w:sz w:val="24"/>
          <w:szCs w:val="24"/>
        </w:rPr>
        <w:t xml:space="preserve"> </w:t>
      </w:r>
      <w:r w:rsidR="00976886" w:rsidRPr="00402F86">
        <w:rPr>
          <w:rFonts w:ascii="Times New Roman" w:hAnsi="Times New Roman" w:cs="Times New Roman"/>
          <w:sz w:val="24"/>
          <w:szCs w:val="24"/>
        </w:rPr>
        <w:t>z art. 19 § 2</w:t>
      </w:r>
      <w:r w:rsidR="00EE7D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6886" w:rsidRPr="00402F86">
        <w:rPr>
          <w:rFonts w:ascii="Times New Roman" w:hAnsi="Times New Roman" w:cs="Times New Roman"/>
          <w:sz w:val="24"/>
          <w:szCs w:val="24"/>
        </w:rPr>
        <w:t>u</w:t>
      </w:r>
      <w:r w:rsidR="00082E3F" w:rsidRPr="00402F86">
        <w:rPr>
          <w:rFonts w:ascii="Times New Roman" w:hAnsi="Times New Roman" w:cs="Times New Roman"/>
          <w:sz w:val="24"/>
          <w:szCs w:val="24"/>
        </w:rPr>
        <w:t>.</w:t>
      </w:r>
      <w:r w:rsidR="00976886" w:rsidRPr="00402F86">
        <w:rPr>
          <w:rFonts w:ascii="Times New Roman" w:hAnsi="Times New Roman" w:cs="Times New Roman"/>
          <w:sz w:val="24"/>
          <w:szCs w:val="24"/>
        </w:rPr>
        <w:t>p</w:t>
      </w:r>
      <w:r w:rsidR="00082E3F" w:rsidRPr="00402F86">
        <w:rPr>
          <w:rFonts w:ascii="Times New Roman" w:hAnsi="Times New Roman" w:cs="Times New Roman"/>
          <w:sz w:val="24"/>
          <w:szCs w:val="24"/>
        </w:rPr>
        <w:t>.</w:t>
      </w:r>
      <w:r w:rsidR="00976886" w:rsidRPr="00402F86">
        <w:rPr>
          <w:rFonts w:ascii="Times New Roman" w:hAnsi="Times New Roman" w:cs="Times New Roman"/>
          <w:sz w:val="24"/>
          <w:szCs w:val="24"/>
        </w:rPr>
        <w:t>e</w:t>
      </w:r>
      <w:r w:rsidR="00082E3F" w:rsidRPr="00402F86">
        <w:rPr>
          <w:rFonts w:ascii="Times New Roman" w:hAnsi="Times New Roman" w:cs="Times New Roman"/>
          <w:sz w:val="24"/>
          <w:szCs w:val="24"/>
        </w:rPr>
        <w:t>.</w:t>
      </w:r>
      <w:r w:rsidR="00976886" w:rsidRPr="00402F86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082E3F" w:rsidRPr="00402F86">
        <w:rPr>
          <w:rFonts w:ascii="Times New Roman" w:hAnsi="Times New Roman" w:cs="Times New Roman"/>
          <w:sz w:val="24"/>
          <w:szCs w:val="24"/>
        </w:rPr>
        <w:t>.</w:t>
      </w:r>
      <w:r w:rsidR="00976886" w:rsidRPr="00402F86">
        <w:rPr>
          <w:rFonts w:ascii="Times New Roman" w:hAnsi="Times New Roman" w:cs="Times New Roman"/>
          <w:sz w:val="24"/>
          <w:szCs w:val="24"/>
        </w:rPr>
        <w:t xml:space="preserve"> organem egzekucyjnym jest organ właściwy do ustalania lub określania i pobierania należności. Zgodnie z § 2 ust. 6 statutu miasta stołecznego Warszawy</w:t>
      </w:r>
      <w:r w:rsidR="0036526B">
        <w:rPr>
          <w:rFonts w:ascii="Times New Roman" w:hAnsi="Times New Roman" w:cs="Times New Roman"/>
          <w:sz w:val="24"/>
          <w:szCs w:val="24"/>
        </w:rPr>
        <w:t xml:space="preserve"> </w:t>
      </w:r>
      <w:r w:rsidR="00976886" w:rsidRPr="00402F86">
        <w:rPr>
          <w:rFonts w:ascii="Times New Roman" w:hAnsi="Times New Roman" w:cs="Times New Roman"/>
          <w:sz w:val="24"/>
          <w:szCs w:val="24"/>
        </w:rPr>
        <w:t xml:space="preserve">(Dz. Urz. Woj. </w:t>
      </w:r>
      <w:proofErr w:type="spellStart"/>
      <w:r w:rsidR="00976886" w:rsidRPr="00402F86">
        <w:rPr>
          <w:rFonts w:ascii="Times New Roman" w:hAnsi="Times New Roman" w:cs="Times New Roman"/>
          <w:sz w:val="24"/>
          <w:szCs w:val="24"/>
        </w:rPr>
        <w:t>Maz</w:t>
      </w:r>
      <w:proofErr w:type="spellEnd"/>
      <w:r w:rsidR="00976886" w:rsidRPr="00402F86">
        <w:rPr>
          <w:rFonts w:ascii="Times New Roman" w:hAnsi="Times New Roman" w:cs="Times New Roman"/>
          <w:sz w:val="24"/>
          <w:szCs w:val="24"/>
        </w:rPr>
        <w:t xml:space="preserve">. z 2019 r. poz. 14465) </w:t>
      </w:r>
      <w:r w:rsidR="00291783">
        <w:rPr>
          <w:rFonts w:ascii="Times New Roman" w:hAnsi="Times New Roman" w:cs="Times New Roman"/>
          <w:sz w:val="24"/>
          <w:szCs w:val="24"/>
        </w:rPr>
        <w:t>P</w:t>
      </w:r>
      <w:r w:rsidR="00976886" w:rsidRPr="00402F86">
        <w:rPr>
          <w:rFonts w:ascii="Times New Roman" w:hAnsi="Times New Roman" w:cs="Times New Roman"/>
          <w:sz w:val="24"/>
          <w:szCs w:val="24"/>
        </w:rPr>
        <w:t xml:space="preserve">rezydent m.st. Warszawy jest organem wykonawczym m.st. Warszawy. </w:t>
      </w:r>
      <w:r w:rsidR="00473D34">
        <w:rPr>
          <w:rFonts w:ascii="Times New Roman" w:hAnsi="Times New Roman" w:cs="Times New Roman"/>
          <w:sz w:val="24"/>
          <w:szCs w:val="24"/>
        </w:rPr>
        <w:t>Zgodnie</w:t>
      </w:r>
      <w:r w:rsidR="00976886" w:rsidRPr="00402F86">
        <w:rPr>
          <w:rFonts w:ascii="Times New Roman" w:hAnsi="Times New Roman" w:cs="Times New Roman"/>
          <w:sz w:val="24"/>
          <w:szCs w:val="24"/>
        </w:rPr>
        <w:t xml:space="preserve"> z art. 5 ust. 1 ustawy </w:t>
      </w:r>
      <w:r w:rsidR="00082E3F" w:rsidRPr="00402F86">
        <w:rPr>
          <w:rFonts w:ascii="Times New Roman" w:hAnsi="Times New Roman" w:cs="Times New Roman"/>
          <w:sz w:val="24"/>
          <w:szCs w:val="24"/>
        </w:rPr>
        <w:t xml:space="preserve">z dnia 15 marca 2002 r. </w:t>
      </w:r>
      <w:r w:rsidR="00976886" w:rsidRPr="00402F86">
        <w:rPr>
          <w:rFonts w:ascii="Times New Roman" w:hAnsi="Times New Roman" w:cs="Times New Roman"/>
          <w:sz w:val="24"/>
          <w:szCs w:val="24"/>
        </w:rPr>
        <w:t xml:space="preserve">o ustroju miasta stołecznego Warszawy miasto to jest jedyną gminą w Polsce na prawach powiatu, w której funkcjonują obligatoryjne jednostki podziału pomocniczego (dzielnice) posiadające pewne atrybuty gmin. W związku z wejściem w życie ustawy </w:t>
      </w:r>
      <w:r w:rsidR="00082E3F" w:rsidRPr="00402F86">
        <w:rPr>
          <w:rFonts w:ascii="Times New Roman" w:hAnsi="Times New Roman" w:cs="Times New Roman"/>
          <w:sz w:val="24"/>
          <w:szCs w:val="24"/>
        </w:rPr>
        <w:t>z dnia 15</w:t>
      </w:r>
      <w:r w:rsidR="00BE6B21">
        <w:rPr>
          <w:rFonts w:ascii="Times New Roman" w:hAnsi="Times New Roman" w:cs="Times New Roman"/>
          <w:sz w:val="24"/>
          <w:szCs w:val="24"/>
        </w:rPr>
        <w:t> </w:t>
      </w:r>
      <w:r w:rsidR="00082E3F" w:rsidRPr="00402F86">
        <w:rPr>
          <w:rFonts w:ascii="Times New Roman" w:hAnsi="Times New Roman" w:cs="Times New Roman"/>
          <w:sz w:val="24"/>
          <w:szCs w:val="24"/>
        </w:rPr>
        <w:t xml:space="preserve">marca 2002 r. </w:t>
      </w:r>
      <w:r w:rsidR="00976886" w:rsidRPr="00402F86">
        <w:rPr>
          <w:rFonts w:ascii="Times New Roman" w:hAnsi="Times New Roman" w:cs="Times New Roman"/>
          <w:sz w:val="24"/>
          <w:szCs w:val="24"/>
        </w:rPr>
        <w:t>o ustroju miasta stołecznego Warszawy nowa gmina przejęła całość zadań przewidzianych w przepisach dotyczących samorządu gminnego i powiatowego, a nadto wykonuje zadania wynikające ze stołecznego charakteru miasta. Wszystkie jednostki organizacyjne dotychczasowych gmin warszawskich, związku komunalnego m.st. Warszawy i</w:t>
      </w:r>
      <w:r w:rsidR="00BE6B21">
        <w:rPr>
          <w:rFonts w:ascii="Times New Roman" w:hAnsi="Times New Roman" w:cs="Times New Roman"/>
          <w:sz w:val="24"/>
          <w:szCs w:val="24"/>
        </w:rPr>
        <w:t> </w:t>
      </w:r>
      <w:r w:rsidR="00976886" w:rsidRPr="00402F86">
        <w:rPr>
          <w:rFonts w:ascii="Times New Roman" w:hAnsi="Times New Roman" w:cs="Times New Roman"/>
          <w:sz w:val="24"/>
          <w:szCs w:val="24"/>
        </w:rPr>
        <w:t>powiatu warszawskiego wraz ze służbami, inspekcjami i strażami stały się jednostkami jednej gminy: m.st. Warszawy. W orzecznictwie wskazano jednak, że utworzenie dzielnic w gminie warszawskiej związane jest z przekazaniem dzielnicom określonych zadań i kompetencji należących do gminy, a zatem dzielnica i jej organy wykonują działalność gminną</w:t>
      </w:r>
      <w:r w:rsidR="00473D34">
        <w:rPr>
          <w:rFonts w:ascii="Times New Roman" w:hAnsi="Times New Roman" w:cs="Times New Roman"/>
          <w:sz w:val="24"/>
          <w:szCs w:val="24"/>
        </w:rPr>
        <w:t>,</w:t>
      </w:r>
      <w:r w:rsidR="00976886" w:rsidRPr="00402F86">
        <w:rPr>
          <w:rFonts w:ascii="Times New Roman" w:hAnsi="Times New Roman" w:cs="Times New Roman"/>
          <w:sz w:val="24"/>
          <w:szCs w:val="24"/>
        </w:rPr>
        <w:t xml:space="preserve"> jak gmina i</w:t>
      </w:r>
      <w:r w:rsidR="00BE6B21">
        <w:rPr>
          <w:rFonts w:ascii="Times New Roman" w:hAnsi="Times New Roman" w:cs="Times New Roman"/>
          <w:sz w:val="24"/>
          <w:szCs w:val="24"/>
        </w:rPr>
        <w:t> </w:t>
      </w:r>
      <w:r w:rsidR="00976886" w:rsidRPr="00402F86">
        <w:rPr>
          <w:rFonts w:ascii="Times New Roman" w:hAnsi="Times New Roman" w:cs="Times New Roman"/>
          <w:sz w:val="24"/>
          <w:szCs w:val="24"/>
        </w:rPr>
        <w:t xml:space="preserve">jej organy (wyrok NSA z dnia 6 listopada 2000 r., OSA 2/00, ONSA 2001, nr 2, poz. 48). Jeżeli zatem organem wyposażonym w kompetencje do rozstrzygania spraw indywidualnych, w tym również do ustalania lub określania i pobierania należności, został </w:t>
      </w:r>
      <w:r w:rsidR="00685BEC">
        <w:rPr>
          <w:rFonts w:ascii="Times New Roman" w:hAnsi="Times New Roman" w:cs="Times New Roman"/>
          <w:sz w:val="24"/>
          <w:szCs w:val="24"/>
        </w:rPr>
        <w:t>P</w:t>
      </w:r>
      <w:r w:rsidR="00976886" w:rsidRPr="00402F86">
        <w:rPr>
          <w:rFonts w:ascii="Times New Roman" w:hAnsi="Times New Roman" w:cs="Times New Roman"/>
          <w:sz w:val="24"/>
          <w:szCs w:val="24"/>
        </w:rPr>
        <w:t xml:space="preserve">rezydent m.st. Warszawy (burmistrz dzielnicy może działać tylko z upoważnienia </w:t>
      </w:r>
      <w:r w:rsidR="00685BEC">
        <w:rPr>
          <w:rFonts w:ascii="Times New Roman" w:hAnsi="Times New Roman" w:cs="Times New Roman"/>
          <w:sz w:val="24"/>
          <w:szCs w:val="24"/>
        </w:rPr>
        <w:t>P</w:t>
      </w:r>
      <w:r w:rsidR="00976886" w:rsidRPr="00402F86">
        <w:rPr>
          <w:rFonts w:ascii="Times New Roman" w:hAnsi="Times New Roman" w:cs="Times New Roman"/>
          <w:sz w:val="24"/>
          <w:szCs w:val="24"/>
        </w:rPr>
        <w:t xml:space="preserve">rezydenta m.st. Warszawy), to ten właśnie organ </w:t>
      </w:r>
      <w:r w:rsidR="00473D34">
        <w:rPr>
          <w:rFonts w:ascii="Times New Roman" w:hAnsi="Times New Roman" w:cs="Times New Roman"/>
          <w:sz w:val="24"/>
          <w:szCs w:val="24"/>
        </w:rPr>
        <w:t>–</w:t>
      </w:r>
      <w:r w:rsidR="00976886" w:rsidRPr="00402F86">
        <w:rPr>
          <w:rFonts w:ascii="Times New Roman" w:hAnsi="Times New Roman" w:cs="Times New Roman"/>
          <w:sz w:val="24"/>
          <w:szCs w:val="24"/>
        </w:rPr>
        <w:t xml:space="preserve"> a nie organy poszczególnych dzielnic </w:t>
      </w:r>
      <w:r w:rsidR="00473D34">
        <w:rPr>
          <w:rFonts w:ascii="Times New Roman" w:hAnsi="Times New Roman" w:cs="Times New Roman"/>
          <w:sz w:val="24"/>
          <w:szCs w:val="24"/>
        </w:rPr>
        <w:t>–</w:t>
      </w:r>
      <w:r w:rsidR="00976886" w:rsidRPr="00402F86">
        <w:rPr>
          <w:rFonts w:ascii="Times New Roman" w:hAnsi="Times New Roman" w:cs="Times New Roman"/>
          <w:sz w:val="24"/>
          <w:szCs w:val="24"/>
        </w:rPr>
        <w:t xml:space="preserve"> jest jednocześnie organem egzekucyjnym. Prezydent m.st. Warszawy jest zatem organem egzekucyjnym uprawnionym do stosowania wszystkich środków egzekucyjnych, z wyjątkiem egzekucji z</w:t>
      </w:r>
      <w:r w:rsidR="00BE6B21">
        <w:rPr>
          <w:rFonts w:ascii="Times New Roman" w:hAnsi="Times New Roman" w:cs="Times New Roman"/>
          <w:sz w:val="24"/>
          <w:szCs w:val="24"/>
        </w:rPr>
        <w:t> </w:t>
      </w:r>
      <w:r w:rsidR="00976886" w:rsidRPr="00402F86">
        <w:rPr>
          <w:rFonts w:ascii="Times New Roman" w:hAnsi="Times New Roman" w:cs="Times New Roman"/>
          <w:sz w:val="24"/>
          <w:szCs w:val="24"/>
        </w:rPr>
        <w:t>nieruchomości, w egzekucji administracyjnej należności pieniężnych, do których ustalania lub określania i pobierania jest właściwy ten organ (P. Pietrasz [w:] Ustawa o postępowaniu egzekucyjnym w administracji. Komentarz, wyd. II, red. D. R. Kijowski, Warszawa 2015, art.</w:t>
      </w:r>
      <w:r w:rsidR="00BE6B21">
        <w:rPr>
          <w:rFonts w:ascii="Times New Roman" w:hAnsi="Times New Roman" w:cs="Times New Roman"/>
          <w:sz w:val="24"/>
          <w:szCs w:val="24"/>
        </w:rPr>
        <w:t> </w:t>
      </w:r>
      <w:r w:rsidR="00976886" w:rsidRPr="00402F86">
        <w:rPr>
          <w:rFonts w:ascii="Times New Roman" w:hAnsi="Times New Roman" w:cs="Times New Roman"/>
          <w:sz w:val="24"/>
          <w:szCs w:val="24"/>
        </w:rPr>
        <w:t xml:space="preserve">19). W art. 4 projektu przewidziano nowelizację art. 19 § 2 </w:t>
      </w:r>
      <w:proofErr w:type="spellStart"/>
      <w:r w:rsidR="00976886" w:rsidRPr="00402F86">
        <w:rPr>
          <w:rFonts w:ascii="Times New Roman" w:hAnsi="Times New Roman" w:cs="Times New Roman"/>
          <w:sz w:val="24"/>
          <w:szCs w:val="24"/>
        </w:rPr>
        <w:t>u</w:t>
      </w:r>
      <w:r w:rsidR="00082E3F" w:rsidRPr="00402F86">
        <w:rPr>
          <w:rFonts w:ascii="Times New Roman" w:hAnsi="Times New Roman" w:cs="Times New Roman"/>
          <w:sz w:val="24"/>
          <w:szCs w:val="24"/>
        </w:rPr>
        <w:t>.</w:t>
      </w:r>
      <w:r w:rsidR="00976886" w:rsidRPr="00402F86">
        <w:rPr>
          <w:rFonts w:ascii="Times New Roman" w:hAnsi="Times New Roman" w:cs="Times New Roman"/>
          <w:sz w:val="24"/>
          <w:szCs w:val="24"/>
        </w:rPr>
        <w:t>p</w:t>
      </w:r>
      <w:r w:rsidR="00082E3F" w:rsidRPr="00402F86">
        <w:rPr>
          <w:rFonts w:ascii="Times New Roman" w:hAnsi="Times New Roman" w:cs="Times New Roman"/>
          <w:sz w:val="24"/>
          <w:szCs w:val="24"/>
        </w:rPr>
        <w:t>.</w:t>
      </w:r>
      <w:r w:rsidR="00976886" w:rsidRPr="00402F86">
        <w:rPr>
          <w:rFonts w:ascii="Times New Roman" w:hAnsi="Times New Roman" w:cs="Times New Roman"/>
          <w:sz w:val="24"/>
          <w:szCs w:val="24"/>
        </w:rPr>
        <w:t>e</w:t>
      </w:r>
      <w:r w:rsidR="00082E3F" w:rsidRPr="00402F86">
        <w:rPr>
          <w:rFonts w:ascii="Times New Roman" w:hAnsi="Times New Roman" w:cs="Times New Roman"/>
          <w:sz w:val="24"/>
          <w:szCs w:val="24"/>
        </w:rPr>
        <w:t>.</w:t>
      </w:r>
      <w:r w:rsidR="00976886" w:rsidRPr="00402F86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082E3F" w:rsidRPr="00402F86">
        <w:rPr>
          <w:rFonts w:ascii="Times New Roman" w:hAnsi="Times New Roman" w:cs="Times New Roman"/>
          <w:sz w:val="24"/>
          <w:szCs w:val="24"/>
        </w:rPr>
        <w:t>.</w:t>
      </w:r>
      <w:r w:rsidR="00976886" w:rsidRPr="00402F86">
        <w:rPr>
          <w:rFonts w:ascii="Times New Roman" w:hAnsi="Times New Roman" w:cs="Times New Roman"/>
          <w:sz w:val="24"/>
          <w:szCs w:val="24"/>
        </w:rPr>
        <w:t>, polegającą na zmianie określenia organu egzekucyjnego uprawnionego do prowadzenia egzekucji administracyjnej należności pieniężnych nakładanych przez organy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76886" w:rsidRPr="00402F86">
        <w:rPr>
          <w:rFonts w:ascii="Times New Roman" w:hAnsi="Times New Roman" w:cs="Times New Roman"/>
          <w:sz w:val="24"/>
          <w:szCs w:val="24"/>
        </w:rPr>
        <w:t>m. st. Warszawy. Jako uzasadnienie tej</w:t>
      </w:r>
      <w:r w:rsidR="00BE6B21">
        <w:rPr>
          <w:rFonts w:ascii="Times New Roman" w:hAnsi="Times New Roman" w:cs="Times New Roman"/>
          <w:sz w:val="24"/>
          <w:szCs w:val="24"/>
        </w:rPr>
        <w:t> </w:t>
      </w:r>
      <w:r w:rsidR="00976886" w:rsidRPr="00402F86">
        <w:rPr>
          <w:rFonts w:ascii="Times New Roman" w:hAnsi="Times New Roman" w:cs="Times New Roman"/>
          <w:sz w:val="24"/>
          <w:szCs w:val="24"/>
        </w:rPr>
        <w:t xml:space="preserve">zmiany wskazano, że art. 19 § 2 </w:t>
      </w:r>
      <w:proofErr w:type="spellStart"/>
      <w:r w:rsidR="00976886" w:rsidRPr="00402F86">
        <w:rPr>
          <w:rFonts w:ascii="Times New Roman" w:hAnsi="Times New Roman" w:cs="Times New Roman"/>
          <w:sz w:val="24"/>
          <w:szCs w:val="24"/>
        </w:rPr>
        <w:t>u</w:t>
      </w:r>
      <w:r w:rsidR="00082E3F" w:rsidRPr="00402F86">
        <w:rPr>
          <w:rFonts w:ascii="Times New Roman" w:hAnsi="Times New Roman" w:cs="Times New Roman"/>
          <w:sz w:val="24"/>
          <w:szCs w:val="24"/>
        </w:rPr>
        <w:t>.</w:t>
      </w:r>
      <w:r w:rsidR="00976886" w:rsidRPr="00402F86">
        <w:rPr>
          <w:rFonts w:ascii="Times New Roman" w:hAnsi="Times New Roman" w:cs="Times New Roman"/>
          <w:sz w:val="24"/>
          <w:szCs w:val="24"/>
        </w:rPr>
        <w:t>p</w:t>
      </w:r>
      <w:r w:rsidR="00082E3F" w:rsidRPr="00402F86">
        <w:rPr>
          <w:rFonts w:ascii="Times New Roman" w:hAnsi="Times New Roman" w:cs="Times New Roman"/>
          <w:sz w:val="24"/>
          <w:szCs w:val="24"/>
        </w:rPr>
        <w:t>.</w:t>
      </w:r>
      <w:r w:rsidR="00976886" w:rsidRPr="00402F86">
        <w:rPr>
          <w:rFonts w:ascii="Times New Roman" w:hAnsi="Times New Roman" w:cs="Times New Roman"/>
          <w:sz w:val="24"/>
          <w:szCs w:val="24"/>
        </w:rPr>
        <w:t>e</w:t>
      </w:r>
      <w:r w:rsidR="00082E3F" w:rsidRPr="00402F86">
        <w:rPr>
          <w:rFonts w:ascii="Times New Roman" w:hAnsi="Times New Roman" w:cs="Times New Roman"/>
          <w:sz w:val="24"/>
          <w:szCs w:val="24"/>
        </w:rPr>
        <w:t>.</w:t>
      </w:r>
      <w:r w:rsidR="00976886" w:rsidRPr="00402F86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082E3F" w:rsidRPr="00402F86">
        <w:rPr>
          <w:rFonts w:ascii="Times New Roman" w:hAnsi="Times New Roman" w:cs="Times New Roman"/>
          <w:sz w:val="24"/>
          <w:szCs w:val="24"/>
        </w:rPr>
        <w:t>.</w:t>
      </w:r>
      <w:r w:rsidR="00EE7D97">
        <w:rPr>
          <w:rFonts w:ascii="Times New Roman" w:hAnsi="Times New Roman" w:cs="Times New Roman"/>
          <w:sz w:val="24"/>
          <w:szCs w:val="24"/>
        </w:rPr>
        <w:t xml:space="preserve"> </w:t>
      </w:r>
      <w:r w:rsidR="00976886" w:rsidRPr="00402F86">
        <w:rPr>
          <w:rFonts w:ascii="Times New Roman" w:hAnsi="Times New Roman" w:cs="Times New Roman"/>
          <w:sz w:val="24"/>
          <w:szCs w:val="24"/>
        </w:rPr>
        <w:t>w obowiązującym brzmieniu nie uwzględnia zmian wprowadzonych ustawą o ustroju miasta stołecznego Warszawy, zgodnie z którą Stolica Rzeczypospolitej Polskiej, miasto stołeczne Warszawa</w:t>
      </w:r>
      <w:r w:rsidR="00723FFE">
        <w:rPr>
          <w:rFonts w:ascii="Times New Roman" w:hAnsi="Times New Roman" w:cs="Times New Roman"/>
          <w:sz w:val="24"/>
          <w:szCs w:val="24"/>
        </w:rPr>
        <w:t>,</w:t>
      </w:r>
      <w:r w:rsidR="00976886" w:rsidRPr="00402F86">
        <w:rPr>
          <w:rFonts w:ascii="Times New Roman" w:hAnsi="Times New Roman" w:cs="Times New Roman"/>
          <w:sz w:val="24"/>
          <w:szCs w:val="24"/>
        </w:rPr>
        <w:t xml:space="preserve"> jest gminą mającą status miasta na</w:t>
      </w:r>
      <w:r w:rsidR="00BE6B21">
        <w:rPr>
          <w:rFonts w:ascii="Times New Roman" w:hAnsi="Times New Roman" w:cs="Times New Roman"/>
          <w:sz w:val="24"/>
          <w:szCs w:val="24"/>
        </w:rPr>
        <w:t> </w:t>
      </w:r>
      <w:r w:rsidR="00976886" w:rsidRPr="00402F86">
        <w:rPr>
          <w:rFonts w:ascii="Times New Roman" w:hAnsi="Times New Roman" w:cs="Times New Roman"/>
          <w:sz w:val="24"/>
          <w:szCs w:val="24"/>
        </w:rPr>
        <w:t xml:space="preserve">prawach powiatu. Zauważenia jednak wymaga, że projektowana zmiana art. 19 § 2 </w:t>
      </w:r>
      <w:proofErr w:type="spellStart"/>
      <w:r w:rsidR="00976886" w:rsidRPr="00402F86">
        <w:rPr>
          <w:rFonts w:ascii="Times New Roman" w:hAnsi="Times New Roman" w:cs="Times New Roman"/>
          <w:sz w:val="24"/>
          <w:szCs w:val="24"/>
        </w:rPr>
        <w:t>u</w:t>
      </w:r>
      <w:r w:rsidR="00082E3F" w:rsidRPr="00402F86">
        <w:rPr>
          <w:rFonts w:ascii="Times New Roman" w:hAnsi="Times New Roman" w:cs="Times New Roman"/>
          <w:sz w:val="24"/>
          <w:szCs w:val="24"/>
        </w:rPr>
        <w:t>.</w:t>
      </w:r>
      <w:r w:rsidR="00976886" w:rsidRPr="00402F86">
        <w:rPr>
          <w:rFonts w:ascii="Times New Roman" w:hAnsi="Times New Roman" w:cs="Times New Roman"/>
          <w:sz w:val="24"/>
          <w:szCs w:val="24"/>
        </w:rPr>
        <w:t>p</w:t>
      </w:r>
      <w:r w:rsidR="00082E3F" w:rsidRPr="00402F86">
        <w:rPr>
          <w:rFonts w:ascii="Times New Roman" w:hAnsi="Times New Roman" w:cs="Times New Roman"/>
          <w:sz w:val="24"/>
          <w:szCs w:val="24"/>
        </w:rPr>
        <w:t>.</w:t>
      </w:r>
      <w:r w:rsidR="00976886" w:rsidRPr="00402F86">
        <w:rPr>
          <w:rFonts w:ascii="Times New Roman" w:hAnsi="Times New Roman" w:cs="Times New Roman"/>
          <w:sz w:val="24"/>
          <w:szCs w:val="24"/>
        </w:rPr>
        <w:t>e</w:t>
      </w:r>
      <w:r w:rsidR="00082E3F" w:rsidRPr="00402F86">
        <w:rPr>
          <w:rFonts w:ascii="Times New Roman" w:hAnsi="Times New Roman" w:cs="Times New Roman"/>
          <w:sz w:val="24"/>
          <w:szCs w:val="24"/>
        </w:rPr>
        <w:t>.</w:t>
      </w:r>
      <w:r w:rsidR="00976886" w:rsidRPr="00402F86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082E3F" w:rsidRPr="00402F86">
        <w:rPr>
          <w:rFonts w:ascii="Times New Roman" w:hAnsi="Times New Roman" w:cs="Times New Roman"/>
          <w:sz w:val="24"/>
          <w:szCs w:val="24"/>
        </w:rPr>
        <w:t>.</w:t>
      </w:r>
      <w:r w:rsidR="00976886" w:rsidRPr="00402F86">
        <w:rPr>
          <w:rFonts w:ascii="Times New Roman" w:hAnsi="Times New Roman" w:cs="Times New Roman"/>
          <w:sz w:val="24"/>
          <w:szCs w:val="24"/>
        </w:rPr>
        <w:t xml:space="preserve">, </w:t>
      </w:r>
      <w:r w:rsidR="00976886" w:rsidRPr="00402F86">
        <w:rPr>
          <w:rFonts w:ascii="Times New Roman" w:hAnsi="Times New Roman" w:cs="Times New Roman"/>
          <w:sz w:val="24"/>
          <w:szCs w:val="24"/>
        </w:rPr>
        <w:lastRenderedPageBreak/>
        <w:t>polegająca na zastąpieniu wyrazów „</w:t>
      </w:r>
      <w:r w:rsidR="00976886" w:rsidRPr="00402F86">
        <w:rPr>
          <w:rFonts w:ascii="Times New Roman" w:hAnsi="Times New Roman" w:cs="Times New Roman"/>
          <w:i/>
          <w:iCs/>
          <w:sz w:val="24"/>
          <w:szCs w:val="24"/>
        </w:rPr>
        <w:t>gminy wchodzącej w skład powiatu warszawskiego</w:t>
      </w:r>
      <w:r w:rsidR="00976886" w:rsidRPr="00402F86">
        <w:rPr>
          <w:rFonts w:ascii="Times New Roman" w:hAnsi="Times New Roman" w:cs="Times New Roman"/>
          <w:sz w:val="24"/>
          <w:szCs w:val="24"/>
        </w:rPr>
        <w:t>” wyrazami „</w:t>
      </w:r>
      <w:r w:rsidR="00976886" w:rsidRPr="00402F86">
        <w:rPr>
          <w:rFonts w:ascii="Times New Roman" w:hAnsi="Times New Roman" w:cs="Times New Roman"/>
          <w:i/>
          <w:iCs/>
          <w:sz w:val="24"/>
          <w:szCs w:val="24"/>
        </w:rPr>
        <w:t>dzielnicy miasta stołecznego Warszawy</w:t>
      </w:r>
      <w:r w:rsidR="00976886" w:rsidRPr="00402F86">
        <w:rPr>
          <w:rFonts w:ascii="Times New Roman" w:hAnsi="Times New Roman" w:cs="Times New Roman"/>
          <w:sz w:val="24"/>
          <w:szCs w:val="24"/>
        </w:rPr>
        <w:t>” spowoduje zmianę właściwości rzeczowej organu egzekucyjnego upraw</w:t>
      </w:r>
      <w:r w:rsidR="004626D2">
        <w:rPr>
          <w:rFonts w:ascii="Times New Roman" w:hAnsi="Times New Roman" w:cs="Times New Roman"/>
          <w:sz w:val="24"/>
          <w:szCs w:val="24"/>
        </w:rPr>
        <w:t>n</w:t>
      </w:r>
      <w:r w:rsidR="00976886" w:rsidRPr="00402F86">
        <w:rPr>
          <w:rFonts w:ascii="Times New Roman" w:hAnsi="Times New Roman" w:cs="Times New Roman"/>
          <w:sz w:val="24"/>
          <w:szCs w:val="24"/>
        </w:rPr>
        <w:t>ionego do prowadzenia egzekucji administracyjnej tych należności pieniężnych. Ponadto należy wskazać, że wprowadzenie proponowanej zmiany wiązałoby się z koniecznością wprowadzenia licznych przepisów przejściowych i</w:t>
      </w:r>
      <w:r w:rsidR="00BE6B21">
        <w:rPr>
          <w:rFonts w:ascii="Times New Roman" w:hAnsi="Times New Roman" w:cs="Times New Roman"/>
          <w:sz w:val="24"/>
          <w:szCs w:val="24"/>
        </w:rPr>
        <w:t> </w:t>
      </w:r>
      <w:r w:rsidR="00976886" w:rsidRPr="00402F86">
        <w:rPr>
          <w:rFonts w:ascii="Times New Roman" w:hAnsi="Times New Roman" w:cs="Times New Roman"/>
          <w:sz w:val="24"/>
          <w:szCs w:val="24"/>
        </w:rPr>
        <w:t>dostosowujących regulujących sposób przejęcia postępowań egzekucyjnych przez organy poszczególnych dzielnic Warszawy. Niezbędne byłoby ustanowienie zasad przydziału konkretnych spraw egzekucyjnych konkretnym</w:t>
      </w:r>
      <w:r w:rsidR="00082E3F" w:rsidRPr="00402F86">
        <w:rPr>
          <w:rFonts w:ascii="Times New Roman" w:hAnsi="Times New Roman" w:cs="Times New Roman"/>
          <w:sz w:val="24"/>
          <w:szCs w:val="24"/>
        </w:rPr>
        <w:t xml:space="preserve"> </w:t>
      </w:r>
      <w:r w:rsidR="00976886" w:rsidRPr="00402F86">
        <w:rPr>
          <w:rFonts w:ascii="Times New Roman" w:hAnsi="Times New Roman" w:cs="Times New Roman"/>
          <w:sz w:val="24"/>
          <w:szCs w:val="24"/>
        </w:rPr>
        <w:t>dzielnicom, przekazanie akt poszczególnych spraw. Taka zmiana wymagałaby poniesienia wydatków związanych z wyszkoleniem kadry urzędniczej poszczególnych dzielnic, przeniesieniem akt egzekucyjnych, poinformowaniem zobowiązanych i dłużników zajętej wierzytelności o zmianie organu egzekucyjnego prowadzącego postępowanie egzekucyjne. W świetle powyższych argumentów, mając na</w:t>
      </w:r>
      <w:r w:rsidR="00BE6B21">
        <w:rPr>
          <w:rFonts w:ascii="Times New Roman" w:hAnsi="Times New Roman" w:cs="Times New Roman"/>
          <w:sz w:val="24"/>
          <w:szCs w:val="24"/>
        </w:rPr>
        <w:t> </w:t>
      </w:r>
      <w:r w:rsidR="00976886" w:rsidRPr="00402F86">
        <w:rPr>
          <w:rFonts w:ascii="Times New Roman" w:hAnsi="Times New Roman" w:cs="Times New Roman"/>
          <w:sz w:val="24"/>
          <w:szCs w:val="24"/>
        </w:rPr>
        <w:t xml:space="preserve">uwadze, że proponowana zmiana art. 19 § 2 </w:t>
      </w:r>
      <w:proofErr w:type="spellStart"/>
      <w:r w:rsidR="00976886" w:rsidRPr="00402F86">
        <w:rPr>
          <w:rFonts w:ascii="Times New Roman" w:hAnsi="Times New Roman" w:cs="Times New Roman"/>
          <w:sz w:val="24"/>
          <w:szCs w:val="24"/>
        </w:rPr>
        <w:t>u</w:t>
      </w:r>
      <w:r w:rsidR="00082E3F" w:rsidRPr="00402F86">
        <w:rPr>
          <w:rFonts w:ascii="Times New Roman" w:hAnsi="Times New Roman" w:cs="Times New Roman"/>
          <w:sz w:val="24"/>
          <w:szCs w:val="24"/>
        </w:rPr>
        <w:t>.</w:t>
      </w:r>
      <w:r w:rsidR="00976886" w:rsidRPr="00402F86">
        <w:rPr>
          <w:rFonts w:ascii="Times New Roman" w:hAnsi="Times New Roman" w:cs="Times New Roman"/>
          <w:sz w:val="24"/>
          <w:szCs w:val="24"/>
        </w:rPr>
        <w:t>p</w:t>
      </w:r>
      <w:r w:rsidR="00082E3F" w:rsidRPr="00402F86">
        <w:rPr>
          <w:rFonts w:ascii="Times New Roman" w:hAnsi="Times New Roman" w:cs="Times New Roman"/>
          <w:sz w:val="24"/>
          <w:szCs w:val="24"/>
        </w:rPr>
        <w:t>.</w:t>
      </w:r>
      <w:r w:rsidR="00976886" w:rsidRPr="00402F86">
        <w:rPr>
          <w:rFonts w:ascii="Times New Roman" w:hAnsi="Times New Roman" w:cs="Times New Roman"/>
          <w:sz w:val="24"/>
          <w:szCs w:val="24"/>
        </w:rPr>
        <w:t>e</w:t>
      </w:r>
      <w:r w:rsidR="00082E3F" w:rsidRPr="00402F86">
        <w:rPr>
          <w:rFonts w:ascii="Times New Roman" w:hAnsi="Times New Roman" w:cs="Times New Roman"/>
          <w:sz w:val="24"/>
          <w:szCs w:val="24"/>
        </w:rPr>
        <w:t>.</w:t>
      </w:r>
      <w:r w:rsidR="00976886" w:rsidRPr="00402F86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082E3F" w:rsidRPr="00402F86">
        <w:rPr>
          <w:rFonts w:ascii="Times New Roman" w:hAnsi="Times New Roman" w:cs="Times New Roman"/>
          <w:sz w:val="24"/>
          <w:szCs w:val="24"/>
        </w:rPr>
        <w:t>.</w:t>
      </w:r>
      <w:r w:rsidR="00976886" w:rsidRPr="00402F86">
        <w:rPr>
          <w:rFonts w:ascii="Times New Roman" w:hAnsi="Times New Roman" w:cs="Times New Roman"/>
          <w:sz w:val="24"/>
          <w:szCs w:val="24"/>
        </w:rPr>
        <w:t xml:space="preserve"> nie jest wyłącznie zmianą terminologiczną, należy z niej zrezygnować</w:t>
      </w:r>
      <w:r w:rsidR="00082E3F" w:rsidRPr="00402F86">
        <w:rPr>
          <w:rFonts w:ascii="Times New Roman" w:hAnsi="Times New Roman" w:cs="Times New Roman"/>
          <w:sz w:val="24"/>
          <w:szCs w:val="24"/>
        </w:rPr>
        <w:t xml:space="preserve"> lub rozważyć użycie w zmienianym art. 19 § 2 </w:t>
      </w:r>
      <w:proofErr w:type="spellStart"/>
      <w:r w:rsidR="00082E3F" w:rsidRPr="00402F86">
        <w:rPr>
          <w:rFonts w:ascii="Times New Roman" w:hAnsi="Times New Roman" w:cs="Times New Roman"/>
          <w:sz w:val="24"/>
          <w:szCs w:val="24"/>
        </w:rPr>
        <w:t>u.p.e.a</w:t>
      </w:r>
      <w:proofErr w:type="spellEnd"/>
      <w:r w:rsidR="00082E3F" w:rsidRPr="00402F86">
        <w:rPr>
          <w:rFonts w:ascii="Times New Roman" w:hAnsi="Times New Roman" w:cs="Times New Roman"/>
          <w:sz w:val="24"/>
          <w:szCs w:val="24"/>
        </w:rPr>
        <w:t>. wyrażenia „</w:t>
      </w:r>
      <w:r w:rsidR="00082E3F" w:rsidRPr="00402F86">
        <w:rPr>
          <w:rFonts w:ascii="Times New Roman" w:hAnsi="Times New Roman" w:cs="Times New Roman"/>
          <w:i/>
          <w:sz w:val="24"/>
          <w:szCs w:val="24"/>
        </w:rPr>
        <w:t>miasta stołecznego Warszawy</w:t>
      </w:r>
      <w:r w:rsidR="00082E3F" w:rsidRPr="00402F86">
        <w:rPr>
          <w:rFonts w:ascii="Times New Roman" w:hAnsi="Times New Roman" w:cs="Times New Roman"/>
          <w:sz w:val="24"/>
          <w:szCs w:val="24"/>
        </w:rPr>
        <w:t>” w miejsce wyrażenia „</w:t>
      </w:r>
      <w:r w:rsidR="00082E3F" w:rsidRPr="00402F86">
        <w:rPr>
          <w:rFonts w:ascii="Times New Roman" w:hAnsi="Times New Roman" w:cs="Times New Roman"/>
          <w:i/>
          <w:sz w:val="24"/>
          <w:szCs w:val="24"/>
        </w:rPr>
        <w:t>dzielnicy miasta stołecznego Warszawy</w:t>
      </w:r>
      <w:r w:rsidR="00082E3F" w:rsidRPr="00402F86">
        <w:rPr>
          <w:rFonts w:ascii="Times New Roman" w:hAnsi="Times New Roman" w:cs="Times New Roman"/>
          <w:sz w:val="24"/>
          <w:szCs w:val="24"/>
        </w:rPr>
        <w:t>”</w:t>
      </w:r>
      <w:r w:rsidR="00FD1DC9">
        <w:rPr>
          <w:rFonts w:ascii="Times New Roman" w:hAnsi="Times New Roman" w:cs="Times New Roman"/>
          <w:sz w:val="24"/>
          <w:szCs w:val="24"/>
        </w:rPr>
        <w:t>.</w:t>
      </w:r>
    </w:p>
    <w:p w14:paraId="008BA5AC" w14:textId="303067F2" w:rsidR="00FA383A" w:rsidRPr="009B63B9" w:rsidRDefault="00AD36B8" w:rsidP="009B63B9">
      <w:pPr>
        <w:pStyle w:val="Akapitzlist"/>
        <w:numPr>
          <w:ilvl w:val="0"/>
          <w:numId w:val="6"/>
        </w:numPr>
        <w:spacing w:after="0" w:line="360" w:lineRule="auto"/>
        <w:ind w:left="0" w:firstLine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8043A9" w:rsidRPr="009B63B9">
        <w:rPr>
          <w:rFonts w:ascii="Times New Roman" w:hAnsi="Times New Roman" w:cs="Times New Roman"/>
          <w:sz w:val="24"/>
          <w:szCs w:val="24"/>
        </w:rPr>
        <w:t xml:space="preserve"> aprobatą należy przyjąć zmianę</w:t>
      </w:r>
      <w:r w:rsidR="0037427E" w:rsidRPr="009B63B9">
        <w:rPr>
          <w:rFonts w:ascii="Times New Roman" w:hAnsi="Times New Roman" w:cs="Times New Roman"/>
          <w:sz w:val="24"/>
          <w:szCs w:val="24"/>
        </w:rPr>
        <w:t xml:space="preserve"> zaproponowaną </w:t>
      </w:r>
      <w:r w:rsidR="00E00566" w:rsidRPr="009B63B9">
        <w:rPr>
          <w:rFonts w:ascii="Times New Roman" w:hAnsi="Times New Roman" w:cs="Times New Roman"/>
          <w:sz w:val="24"/>
          <w:szCs w:val="24"/>
        </w:rPr>
        <w:t xml:space="preserve">w art. 5 projektu ustawy dot. </w:t>
      </w:r>
      <w:r w:rsidR="008043A9" w:rsidRPr="009B63B9">
        <w:rPr>
          <w:rFonts w:ascii="Times New Roman" w:hAnsi="Times New Roman" w:cs="Times New Roman"/>
          <w:sz w:val="24"/>
          <w:szCs w:val="24"/>
        </w:rPr>
        <w:t xml:space="preserve">art. </w:t>
      </w:r>
      <w:r w:rsidR="00AC0B11" w:rsidRPr="009B63B9">
        <w:rPr>
          <w:rFonts w:ascii="Times New Roman" w:hAnsi="Times New Roman" w:cs="Times New Roman"/>
          <w:sz w:val="24"/>
          <w:szCs w:val="24"/>
        </w:rPr>
        <w:t>31 § 2 ustawy z dnia 20 maja 1971 r. – Kodeks wykroczeń (dalej jako „</w:t>
      </w:r>
      <w:proofErr w:type="spellStart"/>
      <w:r w:rsidR="00AC0B11" w:rsidRPr="009B63B9">
        <w:rPr>
          <w:rFonts w:ascii="Times New Roman" w:hAnsi="Times New Roman" w:cs="Times New Roman"/>
          <w:sz w:val="24"/>
          <w:szCs w:val="24"/>
        </w:rPr>
        <w:t>k.w</w:t>
      </w:r>
      <w:proofErr w:type="spellEnd"/>
      <w:r w:rsidR="00AC0B11" w:rsidRPr="009B63B9">
        <w:rPr>
          <w:rFonts w:ascii="Times New Roman" w:hAnsi="Times New Roman" w:cs="Times New Roman"/>
          <w:sz w:val="24"/>
          <w:szCs w:val="24"/>
        </w:rPr>
        <w:t>.”), polegającą na</w:t>
      </w:r>
      <w:r w:rsidR="00BE6B21">
        <w:rPr>
          <w:rFonts w:ascii="Times New Roman" w:hAnsi="Times New Roman" w:cs="Times New Roman"/>
          <w:sz w:val="24"/>
          <w:szCs w:val="24"/>
        </w:rPr>
        <w:t> </w:t>
      </w:r>
      <w:r w:rsidR="00AC0B11" w:rsidRPr="009B63B9">
        <w:rPr>
          <w:rFonts w:ascii="Times New Roman" w:hAnsi="Times New Roman" w:cs="Times New Roman"/>
          <w:sz w:val="24"/>
          <w:szCs w:val="24"/>
        </w:rPr>
        <w:t xml:space="preserve">zastąpieniu wyrazów „Kara określona w § 1” wyrazami „Środek karny określony w § 1”. Zgodnie z art. 31 § 1 </w:t>
      </w:r>
      <w:proofErr w:type="spellStart"/>
      <w:r w:rsidR="00AC0B11" w:rsidRPr="009B63B9">
        <w:rPr>
          <w:rFonts w:ascii="Times New Roman" w:hAnsi="Times New Roman" w:cs="Times New Roman"/>
          <w:sz w:val="24"/>
          <w:szCs w:val="24"/>
        </w:rPr>
        <w:t>k.w</w:t>
      </w:r>
      <w:proofErr w:type="spellEnd"/>
      <w:r w:rsidR="00AC0B11" w:rsidRPr="009B63B9">
        <w:rPr>
          <w:rFonts w:ascii="Times New Roman" w:hAnsi="Times New Roman" w:cs="Times New Roman"/>
          <w:sz w:val="24"/>
          <w:szCs w:val="24"/>
        </w:rPr>
        <w:t>.</w:t>
      </w:r>
      <w:r w:rsidR="00FA383A" w:rsidRPr="009B63B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„</w:t>
      </w:r>
      <w:r w:rsidR="005E0032" w:rsidRPr="009B63B9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p</w:t>
      </w:r>
      <w:r w:rsidR="00FA383A" w:rsidRPr="009B63B9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odanie orzeczenia o ukaraniu do publicznej wiadomości w</w:t>
      </w:r>
      <w:r w:rsidR="00BE6B21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 </w:t>
      </w:r>
      <w:r w:rsidR="00FA383A" w:rsidRPr="009B63B9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szczególny sposób orzeka się wtedy, gdy może to mieć znaczenie wychowawcze</w:t>
      </w:r>
      <w:r w:rsidR="00FA383A" w:rsidRPr="009B63B9">
        <w:rPr>
          <w:rFonts w:ascii="Times New Roman" w:eastAsia="Times New Roman" w:hAnsi="Times New Roman" w:cs="Times New Roman"/>
          <w:sz w:val="24"/>
          <w:szCs w:val="24"/>
          <w:lang w:eastAsia="pl-PL"/>
        </w:rPr>
        <w:t>”. Natomiast zgodnie z aktualnym brzmieniem § 2 tego przepisu, „</w:t>
      </w:r>
      <w:r w:rsidR="005E0032" w:rsidRPr="009B63B9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k</w:t>
      </w:r>
      <w:r w:rsidR="00FA383A" w:rsidRPr="009B63B9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ara określona w § 1 polega na ogłoszeniu orzeczenia w zakładzie pracy, w uczelni, w miejscu zamieszkania ukaranego, w innym właściwym miejscu lub w inny stosowny sposób. Ogłoszenie może nastąpić na koszt ukaranego</w:t>
      </w:r>
      <w:r w:rsidR="00FA383A" w:rsidRPr="009B63B9">
        <w:rPr>
          <w:rFonts w:ascii="Times New Roman" w:eastAsia="Times New Roman" w:hAnsi="Times New Roman" w:cs="Times New Roman"/>
          <w:sz w:val="24"/>
          <w:szCs w:val="24"/>
          <w:lang w:eastAsia="pl-PL"/>
        </w:rPr>
        <w:t>”.</w:t>
      </w:r>
      <w:r w:rsidR="005E0032" w:rsidRPr="009B63B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FA383A" w:rsidRPr="009B63B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Jak wynika z art. 18 </w:t>
      </w:r>
      <w:proofErr w:type="spellStart"/>
      <w:r w:rsidR="00FA383A" w:rsidRPr="009B63B9">
        <w:rPr>
          <w:rFonts w:ascii="Times New Roman" w:eastAsia="Times New Roman" w:hAnsi="Times New Roman" w:cs="Times New Roman"/>
          <w:sz w:val="24"/>
          <w:szCs w:val="24"/>
          <w:lang w:eastAsia="pl-PL"/>
        </w:rPr>
        <w:t>k.w</w:t>
      </w:r>
      <w:proofErr w:type="spellEnd"/>
      <w:r w:rsidR="00FA383A" w:rsidRPr="009B63B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katalog kar jest katalogiem zamkniętym i nie zawiera się w nim podania orzeczenia o ukaraniu do publicznej wiadomości w szczególny sposób. Z kolei art. 28 § 1 </w:t>
      </w:r>
      <w:proofErr w:type="spellStart"/>
      <w:r w:rsidR="00FA383A" w:rsidRPr="009B63B9">
        <w:rPr>
          <w:rFonts w:ascii="Times New Roman" w:eastAsia="Times New Roman" w:hAnsi="Times New Roman" w:cs="Times New Roman"/>
          <w:sz w:val="24"/>
          <w:szCs w:val="24"/>
          <w:lang w:eastAsia="pl-PL"/>
        </w:rPr>
        <w:t>k.w</w:t>
      </w:r>
      <w:proofErr w:type="spellEnd"/>
      <w:r w:rsidR="00FA383A" w:rsidRPr="009B63B9">
        <w:rPr>
          <w:rFonts w:ascii="Times New Roman" w:eastAsia="Times New Roman" w:hAnsi="Times New Roman" w:cs="Times New Roman"/>
          <w:sz w:val="24"/>
          <w:szCs w:val="24"/>
          <w:lang w:eastAsia="pl-PL"/>
        </w:rPr>
        <w:t>. zawiera katalog środków kar</w:t>
      </w:r>
      <w:r w:rsidR="00BE6B21">
        <w:rPr>
          <w:rFonts w:ascii="Times New Roman" w:eastAsia="Times New Roman" w:hAnsi="Times New Roman" w:cs="Times New Roman"/>
          <w:sz w:val="24"/>
          <w:szCs w:val="24"/>
          <w:lang w:eastAsia="pl-PL"/>
        </w:rPr>
        <w:t>nych, wśród których ustawodawca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FA383A" w:rsidRPr="009B63B9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="00BE6B21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FA383A" w:rsidRPr="009B63B9">
        <w:rPr>
          <w:rFonts w:ascii="Times New Roman" w:eastAsia="Times New Roman" w:hAnsi="Times New Roman" w:cs="Times New Roman"/>
          <w:sz w:val="24"/>
          <w:szCs w:val="24"/>
          <w:lang w:eastAsia="pl-PL"/>
        </w:rPr>
        <w:t>pkt</w:t>
      </w:r>
      <w:r w:rsidR="00BE6B21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FA383A" w:rsidRPr="009B63B9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="00BE6B21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FA383A" w:rsidRPr="009B63B9">
        <w:rPr>
          <w:rFonts w:ascii="Times New Roman" w:eastAsia="Times New Roman" w:hAnsi="Times New Roman" w:cs="Times New Roman"/>
          <w:sz w:val="24"/>
          <w:szCs w:val="24"/>
          <w:lang w:eastAsia="pl-PL"/>
        </w:rPr>
        <w:t>wymienił podanie orzeczenia o ukaraniu do publicznej wiadomości w szczególny sposób.</w:t>
      </w:r>
      <w:r w:rsidR="005E0032" w:rsidRPr="009B63B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FA383A" w:rsidRPr="009B63B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budzi </w:t>
      </w:r>
      <w:r w:rsidR="005E0032" w:rsidRPr="009B63B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zatem </w:t>
      </w:r>
      <w:r w:rsidR="00FA383A" w:rsidRPr="009B63B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wątpliwości, że podanie orzeczenia o ukaraniu do publicznej wiadomości nie jest karą, lecz środkiem karnym, zgodnie z katalogiem określonym w art. 28 </w:t>
      </w:r>
      <w:proofErr w:type="spellStart"/>
      <w:r w:rsidR="00FA383A" w:rsidRPr="009B63B9">
        <w:rPr>
          <w:rFonts w:ascii="Times New Roman" w:eastAsia="Times New Roman" w:hAnsi="Times New Roman" w:cs="Times New Roman"/>
          <w:sz w:val="24"/>
          <w:szCs w:val="24"/>
          <w:lang w:eastAsia="pl-PL"/>
        </w:rPr>
        <w:t>k.w</w:t>
      </w:r>
      <w:proofErr w:type="spellEnd"/>
      <w:r w:rsidR="00FA383A" w:rsidRPr="009B63B9">
        <w:rPr>
          <w:rFonts w:ascii="Times New Roman" w:eastAsia="Times New Roman" w:hAnsi="Times New Roman" w:cs="Times New Roman"/>
          <w:sz w:val="24"/>
          <w:szCs w:val="24"/>
          <w:lang w:eastAsia="pl-PL"/>
        </w:rPr>
        <w:t>. (wcześniejsza jego treść określała natomiast katalog tzw. kar dodatkowych, do których zaliczano m.in. podanie orzeczenia o ukaraniu do publicznej wiadomości). Przy czym na</w:t>
      </w:r>
      <w:r w:rsidR="00BE6B21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FA383A" w:rsidRPr="009B63B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podstawie aktualnego brzmienia art. 28 </w:t>
      </w:r>
      <w:proofErr w:type="spellStart"/>
      <w:r w:rsidR="00FA383A" w:rsidRPr="009B63B9">
        <w:rPr>
          <w:rFonts w:ascii="Times New Roman" w:eastAsia="Times New Roman" w:hAnsi="Times New Roman" w:cs="Times New Roman"/>
          <w:sz w:val="24"/>
          <w:szCs w:val="24"/>
          <w:lang w:eastAsia="pl-PL"/>
        </w:rPr>
        <w:t>k.w</w:t>
      </w:r>
      <w:proofErr w:type="spellEnd"/>
      <w:r w:rsidR="00FA383A" w:rsidRPr="009B63B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możliwym jest określenie, że podanie orzeczenia do publicznej wiadomości jest środkiem karnym, wbrew brzmieniu art. 31 § 2 </w:t>
      </w:r>
      <w:proofErr w:type="spellStart"/>
      <w:r w:rsidR="00FA383A" w:rsidRPr="009B63B9">
        <w:rPr>
          <w:rFonts w:ascii="Times New Roman" w:eastAsia="Times New Roman" w:hAnsi="Times New Roman" w:cs="Times New Roman"/>
          <w:sz w:val="24"/>
          <w:szCs w:val="24"/>
          <w:lang w:eastAsia="pl-PL"/>
        </w:rPr>
        <w:t>k.w</w:t>
      </w:r>
      <w:proofErr w:type="spellEnd"/>
      <w:r w:rsidR="00FA383A" w:rsidRPr="009B63B9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5E0032" w:rsidRPr="009B63B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5E0032" w:rsidRPr="009B63B9">
        <w:rPr>
          <w:rFonts w:ascii="Times New Roman" w:eastAsia="Calibri" w:hAnsi="Times New Roman" w:cs="Times New Roman"/>
          <w:sz w:val="24"/>
          <w:szCs w:val="24"/>
        </w:rPr>
        <w:lastRenderedPageBreak/>
        <w:t>Ta</w:t>
      </w:r>
      <w:r w:rsidR="00FA383A" w:rsidRPr="009B63B9">
        <w:rPr>
          <w:rFonts w:ascii="Times New Roman" w:eastAsia="Calibri" w:hAnsi="Times New Roman" w:cs="Times New Roman"/>
          <w:sz w:val="24"/>
          <w:szCs w:val="24"/>
        </w:rPr>
        <w:t xml:space="preserve"> drobna niespójność pojęciowa </w:t>
      </w:r>
      <w:r w:rsidR="005E0032" w:rsidRPr="009B63B9">
        <w:rPr>
          <w:rFonts w:ascii="Times New Roman" w:eastAsia="Calibri" w:hAnsi="Times New Roman" w:cs="Times New Roman"/>
          <w:sz w:val="24"/>
          <w:szCs w:val="24"/>
        </w:rPr>
        <w:t>co prawda</w:t>
      </w:r>
      <w:r w:rsidR="00FA383A" w:rsidRPr="009B63B9">
        <w:rPr>
          <w:rFonts w:ascii="Times New Roman" w:eastAsia="Calibri" w:hAnsi="Times New Roman" w:cs="Times New Roman"/>
          <w:sz w:val="24"/>
          <w:szCs w:val="24"/>
        </w:rPr>
        <w:t xml:space="preserve"> nie uniemożliwi</w:t>
      </w:r>
      <w:r w:rsidR="005E0032" w:rsidRPr="009B63B9">
        <w:rPr>
          <w:rFonts w:ascii="Times New Roman" w:eastAsia="Calibri" w:hAnsi="Times New Roman" w:cs="Times New Roman"/>
          <w:sz w:val="24"/>
          <w:szCs w:val="24"/>
        </w:rPr>
        <w:t>a</w:t>
      </w:r>
      <w:r w:rsidR="00FA383A" w:rsidRPr="009B63B9">
        <w:rPr>
          <w:rFonts w:ascii="Times New Roman" w:eastAsia="Calibri" w:hAnsi="Times New Roman" w:cs="Times New Roman"/>
          <w:sz w:val="24"/>
          <w:szCs w:val="24"/>
        </w:rPr>
        <w:t xml:space="preserve"> jego skutecznego stosowania, to</w:t>
      </w:r>
      <w:r w:rsidR="00BE6B21">
        <w:rPr>
          <w:rFonts w:ascii="Times New Roman" w:eastAsia="Calibri" w:hAnsi="Times New Roman" w:cs="Times New Roman"/>
          <w:sz w:val="24"/>
          <w:szCs w:val="24"/>
        </w:rPr>
        <w:t> </w:t>
      </w:r>
      <w:r w:rsidR="00FA383A" w:rsidRPr="009B63B9">
        <w:rPr>
          <w:rFonts w:ascii="Times New Roman" w:eastAsia="Calibri" w:hAnsi="Times New Roman" w:cs="Times New Roman"/>
          <w:sz w:val="24"/>
          <w:szCs w:val="24"/>
        </w:rPr>
        <w:t xml:space="preserve">jednak </w:t>
      </w:r>
      <w:r w:rsidR="00F943E8" w:rsidRPr="009B63B9">
        <w:rPr>
          <w:rFonts w:ascii="Times New Roman" w:eastAsia="Calibri" w:hAnsi="Times New Roman" w:cs="Times New Roman"/>
          <w:sz w:val="24"/>
          <w:szCs w:val="24"/>
        </w:rPr>
        <w:t>zasadne jest</w:t>
      </w:r>
      <w:r w:rsidR="00FA383A" w:rsidRPr="009B63B9">
        <w:rPr>
          <w:rFonts w:ascii="Times New Roman" w:eastAsia="Calibri" w:hAnsi="Times New Roman" w:cs="Times New Roman"/>
          <w:sz w:val="24"/>
          <w:szCs w:val="24"/>
        </w:rPr>
        <w:t xml:space="preserve"> uaktualnienie brzmienia przepis</w:t>
      </w:r>
      <w:r w:rsidR="00F943E8" w:rsidRPr="009B63B9">
        <w:rPr>
          <w:rFonts w:ascii="Times New Roman" w:eastAsia="Calibri" w:hAnsi="Times New Roman" w:cs="Times New Roman"/>
          <w:sz w:val="24"/>
          <w:szCs w:val="24"/>
        </w:rPr>
        <w:t>u</w:t>
      </w:r>
      <w:r w:rsidR="00FA383A" w:rsidRPr="009B63B9">
        <w:rPr>
          <w:rFonts w:ascii="Times New Roman" w:eastAsia="Calibri" w:hAnsi="Times New Roman" w:cs="Times New Roman"/>
          <w:sz w:val="24"/>
          <w:szCs w:val="24"/>
        </w:rPr>
        <w:t xml:space="preserve"> i popraw</w:t>
      </w:r>
      <w:r w:rsidR="008938C2" w:rsidRPr="009B63B9">
        <w:rPr>
          <w:rFonts w:ascii="Times New Roman" w:eastAsia="Calibri" w:hAnsi="Times New Roman" w:cs="Times New Roman"/>
          <w:sz w:val="24"/>
          <w:szCs w:val="24"/>
        </w:rPr>
        <w:t>a</w:t>
      </w:r>
      <w:r w:rsidR="00FA383A" w:rsidRPr="009B63B9">
        <w:rPr>
          <w:rFonts w:ascii="Times New Roman" w:eastAsia="Calibri" w:hAnsi="Times New Roman" w:cs="Times New Roman"/>
          <w:sz w:val="24"/>
          <w:szCs w:val="24"/>
        </w:rPr>
        <w:t xml:space="preserve"> spójności terminologicznej systemu prawnego</w:t>
      </w:r>
      <w:r w:rsidR="00FD1DC9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85F8A2A" w14:textId="113683C8" w:rsidR="00A727B2" w:rsidRDefault="00AD36B8" w:rsidP="009B63B9">
      <w:pPr>
        <w:pStyle w:val="Akapitzlist"/>
        <w:numPr>
          <w:ilvl w:val="0"/>
          <w:numId w:val="6"/>
        </w:numPr>
        <w:spacing w:after="0" w:line="360" w:lineRule="auto"/>
        <w:ind w:left="0" w:firstLine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B27B85" w:rsidRPr="009B63B9">
        <w:rPr>
          <w:rFonts w:ascii="Times New Roman" w:hAnsi="Times New Roman" w:cs="Times New Roman"/>
          <w:sz w:val="24"/>
          <w:szCs w:val="24"/>
        </w:rPr>
        <w:t xml:space="preserve"> art. 13 projektu ustawy zaproponowano zmianę art. 6 ust. 2 ustawy z dnia 2 kwietnia 2009 r. o obywatelstwie polskim</w:t>
      </w:r>
      <w:r w:rsidR="00A727B2" w:rsidRPr="009B63B9">
        <w:rPr>
          <w:rFonts w:ascii="Times New Roman" w:hAnsi="Times New Roman" w:cs="Times New Roman"/>
          <w:sz w:val="24"/>
          <w:szCs w:val="24"/>
        </w:rPr>
        <w:t xml:space="preserve">. W uzasadnieniu projektu ustawy wskazano, że </w:t>
      </w:r>
      <w:r w:rsidR="009D3C3D" w:rsidRPr="009B63B9">
        <w:rPr>
          <w:rFonts w:ascii="Times New Roman" w:hAnsi="Times New Roman" w:cs="Times New Roman"/>
          <w:sz w:val="24"/>
          <w:szCs w:val="24"/>
        </w:rPr>
        <w:t>o</w:t>
      </w:r>
      <w:r w:rsidR="00A727B2" w:rsidRPr="009B63B9">
        <w:rPr>
          <w:rFonts w:ascii="Times New Roman" w:hAnsi="Times New Roman" w:cs="Times New Roman"/>
          <w:sz w:val="24"/>
          <w:szCs w:val="24"/>
        </w:rPr>
        <w:t xml:space="preserve">becne brzmienie </w:t>
      </w:r>
      <w:r w:rsidR="009D3C3D" w:rsidRPr="009B63B9">
        <w:rPr>
          <w:rFonts w:ascii="Times New Roman" w:hAnsi="Times New Roman" w:cs="Times New Roman"/>
          <w:sz w:val="24"/>
          <w:szCs w:val="24"/>
        </w:rPr>
        <w:t xml:space="preserve">przepisu </w:t>
      </w:r>
      <w:r w:rsidR="00A727B2" w:rsidRPr="009B63B9">
        <w:rPr>
          <w:rFonts w:ascii="Times New Roman" w:hAnsi="Times New Roman" w:cs="Times New Roman"/>
          <w:sz w:val="24"/>
          <w:szCs w:val="24"/>
        </w:rPr>
        <w:t>nie uwzględnia zmiany dokonanej ustawą z dnia 6 listopada 2008 r. o</w:t>
      </w:r>
      <w:r w:rsidR="00BE6B21">
        <w:rPr>
          <w:rFonts w:ascii="Times New Roman" w:hAnsi="Times New Roman" w:cs="Times New Roman"/>
          <w:sz w:val="24"/>
          <w:szCs w:val="24"/>
        </w:rPr>
        <w:t> </w:t>
      </w:r>
      <w:r w:rsidR="00A727B2" w:rsidRPr="009B63B9">
        <w:rPr>
          <w:rFonts w:ascii="Times New Roman" w:hAnsi="Times New Roman" w:cs="Times New Roman"/>
          <w:sz w:val="24"/>
          <w:szCs w:val="24"/>
        </w:rPr>
        <w:t xml:space="preserve">zmianie ustawy – Kodeks rodzinny i opiekuńczy oraz niektórych innych ustaw, która spowodowała zastąpienie instytucji unieważnienia uznania ojcostwa ustaleniem bezskuteczności uznania ojcostwa. </w:t>
      </w:r>
      <w:r w:rsidR="00394C7C" w:rsidRPr="009B63B9">
        <w:rPr>
          <w:rFonts w:ascii="Times New Roman" w:hAnsi="Times New Roman" w:cs="Times New Roman"/>
          <w:sz w:val="24"/>
          <w:szCs w:val="24"/>
        </w:rPr>
        <w:t>Ponadto wskazano, że w</w:t>
      </w:r>
      <w:r w:rsidR="00A727B2" w:rsidRPr="009B63B9">
        <w:rPr>
          <w:rFonts w:ascii="Times New Roman" w:hAnsi="Times New Roman" w:cs="Times New Roman"/>
          <w:sz w:val="24"/>
          <w:szCs w:val="24"/>
        </w:rPr>
        <w:t xml:space="preserve">prawdzie w art. 7 ust. 1 </w:t>
      </w:r>
      <w:r w:rsidR="00B44A9A" w:rsidRPr="009B63B9">
        <w:rPr>
          <w:rFonts w:ascii="Times New Roman" w:hAnsi="Times New Roman" w:cs="Times New Roman"/>
          <w:sz w:val="24"/>
          <w:szCs w:val="24"/>
        </w:rPr>
        <w:t xml:space="preserve">ww. </w:t>
      </w:r>
      <w:r w:rsidR="00A727B2" w:rsidRPr="009B63B9">
        <w:rPr>
          <w:rFonts w:ascii="Times New Roman" w:hAnsi="Times New Roman" w:cs="Times New Roman"/>
          <w:sz w:val="24"/>
          <w:szCs w:val="24"/>
        </w:rPr>
        <w:t>ustawy zawarto postanowienie, że ilekroć w dotychczasowych przepisach jest mowa o uznaniu dziecka</w:t>
      </w:r>
      <w:r w:rsidR="00607A97">
        <w:rPr>
          <w:rFonts w:ascii="Times New Roman" w:hAnsi="Times New Roman" w:cs="Times New Roman"/>
          <w:sz w:val="24"/>
          <w:szCs w:val="24"/>
        </w:rPr>
        <w:t>,</w:t>
      </w:r>
      <w:r w:rsidR="00A727B2" w:rsidRPr="009B63B9">
        <w:rPr>
          <w:rFonts w:ascii="Times New Roman" w:hAnsi="Times New Roman" w:cs="Times New Roman"/>
          <w:sz w:val="24"/>
          <w:szCs w:val="24"/>
        </w:rPr>
        <w:t xml:space="preserve"> należy przez to rozumieć uznanie ojcostwa, a gdy mowa jest o unieważnieniu uznania, należy przez to rozumieć ustalenie bezskuteczności uznania – dla przejrzystości prawa celowym jest zapewnienie spójności terminologicznej w tak ważnym akcie prawnym. </w:t>
      </w:r>
      <w:r w:rsidR="00394C7C" w:rsidRPr="009B63B9">
        <w:rPr>
          <w:rFonts w:ascii="Times New Roman" w:hAnsi="Times New Roman" w:cs="Times New Roman"/>
          <w:sz w:val="24"/>
          <w:szCs w:val="24"/>
        </w:rPr>
        <w:t xml:space="preserve">Wskazania wymaga, że </w:t>
      </w:r>
      <w:r w:rsidR="00AF57ED" w:rsidRPr="009B63B9">
        <w:rPr>
          <w:rFonts w:ascii="Times New Roman" w:hAnsi="Times New Roman" w:cs="Times New Roman"/>
          <w:sz w:val="24"/>
          <w:szCs w:val="24"/>
        </w:rPr>
        <w:t xml:space="preserve">przepis art. 9 ust. 3 </w:t>
      </w:r>
      <w:r w:rsidR="00394C7C" w:rsidRPr="009B63B9">
        <w:rPr>
          <w:rFonts w:ascii="Times New Roman" w:hAnsi="Times New Roman" w:cs="Times New Roman"/>
          <w:sz w:val="24"/>
          <w:szCs w:val="24"/>
        </w:rPr>
        <w:t xml:space="preserve">ww. </w:t>
      </w:r>
      <w:r w:rsidR="00AF57ED" w:rsidRPr="009B63B9">
        <w:rPr>
          <w:rFonts w:ascii="Times New Roman" w:hAnsi="Times New Roman" w:cs="Times New Roman"/>
          <w:sz w:val="24"/>
          <w:szCs w:val="24"/>
        </w:rPr>
        <w:t>ustawy jednoznacznie stanowi, że do uznania dziecka, które nastąpiło przed dniem wejścia w życie tej ustawy, stosuje się dotychczasowe przepisy o uznaniu dziecka, w związku z czym nadal zapadają orzeczenia o unieważnieniu uznania. W związku z</w:t>
      </w:r>
      <w:r w:rsidR="00BE6B21">
        <w:rPr>
          <w:rFonts w:ascii="Times New Roman" w:hAnsi="Times New Roman" w:cs="Times New Roman"/>
          <w:sz w:val="24"/>
          <w:szCs w:val="24"/>
        </w:rPr>
        <w:t> </w:t>
      </w:r>
      <w:r w:rsidR="00AF57ED" w:rsidRPr="009B63B9">
        <w:rPr>
          <w:rFonts w:ascii="Times New Roman" w:hAnsi="Times New Roman" w:cs="Times New Roman"/>
          <w:sz w:val="24"/>
          <w:szCs w:val="24"/>
        </w:rPr>
        <w:t>powyższym wydaje się, że proponowana zmiana może budzić wątpliwości interpretacyjne co</w:t>
      </w:r>
      <w:r w:rsidR="00BE6B21">
        <w:rPr>
          <w:rFonts w:ascii="Times New Roman" w:hAnsi="Times New Roman" w:cs="Times New Roman"/>
          <w:sz w:val="24"/>
          <w:szCs w:val="24"/>
        </w:rPr>
        <w:t> </w:t>
      </w:r>
      <w:r w:rsidR="00AF57ED" w:rsidRPr="009B63B9">
        <w:rPr>
          <w:rFonts w:ascii="Times New Roman" w:hAnsi="Times New Roman" w:cs="Times New Roman"/>
          <w:sz w:val="24"/>
          <w:szCs w:val="24"/>
        </w:rPr>
        <w:t xml:space="preserve">do tego, czy po jej wprowadzeniu przepis art. 6 ust. 2 ustawy </w:t>
      </w:r>
      <w:r w:rsidR="00DA2068" w:rsidRPr="009B63B9">
        <w:rPr>
          <w:rFonts w:ascii="Times New Roman" w:hAnsi="Times New Roman" w:cs="Times New Roman"/>
          <w:sz w:val="24"/>
          <w:szCs w:val="24"/>
        </w:rPr>
        <w:t>z</w:t>
      </w:r>
      <w:r w:rsidR="00607A97">
        <w:rPr>
          <w:rFonts w:ascii="Times New Roman" w:hAnsi="Times New Roman" w:cs="Times New Roman"/>
          <w:sz w:val="24"/>
          <w:szCs w:val="24"/>
        </w:rPr>
        <w:t> </w:t>
      </w:r>
      <w:r w:rsidR="00DA2068" w:rsidRPr="009B63B9">
        <w:rPr>
          <w:rFonts w:ascii="Times New Roman" w:hAnsi="Times New Roman" w:cs="Times New Roman"/>
          <w:sz w:val="24"/>
          <w:szCs w:val="24"/>
        </w:rPr>
        <w:t xml:space="preserve">dnia 2 kwietnia 2009 r. </w:t>
      </w:r>
      <w:r w:rsidR="00AF57ED" w:rsidRPr="009B63B9">
        <w:rPr>
          <w:rFonts w:ascii="Times New Roman" w:hAnsi="Times New Roman" w:cs="Times New Roman"/>
          <w:sz w:val="24"/>
          <w:szCs w:val="24"/>
        </w:rPr>
        <w:t>o</w:t>
      </w:r>
      <w:r w:rsidR="00BE6B21">
        <w:rPr>
          <w:rFonts w:ascii="Times New Roman" w:hAnsi="Times New Roman" w:cs="Times New Roman"/>
          <w:sz w:val="24"/>
          <w:szCs w:val="24"/>
        </w:rPr>
        <w:t> </w:t>
      </w:r>
      <w:r w:rsidR="00AF57ED" w:rsidRPr="009B63B9">
        <w:rPr>
          <w:rFonts w:ascii="Times New Roman" w:hAnsi="Times New Roman" w:cs="Times New Roman"/>
          <w:sz w:val="24"/>
          <w:szCs w:val="24"/>
        </w:rPr>
        <w:t>obywatelstwie polskim będzie miał zastosowanie także do</w:t>
      </w:r>
      <w:r w:rsidR="00607A97">
        <w:rPr>
          <w:rFonts w:ascii="Times New Roman" w:hAnsi="Times New Roman" w:cs="Times New Roman"/>
          <w:sz w:val="24"/>
          <w:szCs w:val="24"/>
        </w:rPr>
        <w:t> </w:t>
      </w:r>
      <w:r w:rsidR="00AF57ED" w:rsidRPr="009B63B9">
        <w:rPr>
          <w:rFonts w:ascii="Times New Roman" w:hAnsi="Times New Roman" w:cs="Times New Roman"/>
          <w:sz w:val="24"/>
          <w:szCs w:val="24"/>
        </w:rPr>
        <w:t>wydawanych wciąż orzeczeń o</w:t>
      </w:r>
      <w:r w:rsidR="00BE6B21">
        <w:rPr>
          <w:rFonts w:ascii="Times New Roman" w:hAnsi="Times New Roman" w:cs="Times New Roman"/>
          <w:sz w:val="24"/>
          <w:szCs w:val="24"/>
        </w:rPr>
        <w:t> </w:t>
      </w:r>
      <w:r w:rsidR="00AF57ED" w:rsidRPr="009B63B9">
        <w:rPr>
          <w:rFonts w:ascii="Times New Roman" w:hAnsi="Times New Roman" w:cs="Times New Roman"/>
          <w:sz w:val="24"/>
          <w:szCs w:val="24"/>
        </w:rPr>
        <w:t>unieważnieniu uznania. Natomiast obecnie obowiązujące regulacje takich wątpliwości nie</w:t>
      </w:r>
      <w:r w:rsidR="00BE6B21">
        <w:rPr>
          <w:rFonts w:ascii="Times New Roman" w:hAnsi="Times New Roman" w:cs="Times New Roman"/>
          <w:sz w:val="24"/>
          <w:szCs w:val="24"/>
        </w:rPr>
        <w:t> </w:t>
      </w:r>
      <w:r w:rsidR="00AF57ED" w:rsidRPr="009B63B9">
        <w:rPr>
          <w:rFonts w:ascii="Times New Roman" w:hAnsi="Times New Roman" w:cs="Times New Roman"/>
          <w:sz w:val="24"/>
          <w:szCs w:val="24"/>
        </w:rPr>
        <w:t>budzą</w:t>
      </w:r>
      <w:r w:rsidR="00394C7C" w:rsidRPr="009B63B9">
        <w:rPr>
          <w:rFonts w:ascii="Times New Roman" w:hAnsi="Times New Roman" w:cs="Times New Roman"/>
          <w:sz w:val="24"/>
          <w:szCs w:val="24"/>
        </w:rPr>
        <w:t>. Rozważenia wymaga zatem zrezygnowanie z</w:t>
      </w:r>
      <w:r w:rsidR="00607A97">
        <w:rPr>
          <w:rFonts w:ascii="Times New Roman" w:hAnsi="Times New Roman" w:cs="Times New Roman"/>
          <w:sz w:val="24"/>
          <w:szCs w:val="24"/>
        </w:rPr>
        <w:t> </w:t>
      </w:r>
      <w:r w:rsidR="00394C7C" w:rsidRPr="009B63B9">
        <w:rPr>
          <w:rFonts w:ascii="Times New Roman" w:hAnsi="Times New Roman" w:cs="Times New Roman"/>
          <w:sz w:val="24"/>
          <w:szCs w:val="24"/>
        </w:rPr>
        <w:t>projektowanej regulacji art. 13</w:t>
      </w:r>
      <w:r w:rsidR="00FD1DC9">
        <w:rPr>
          <w:rFonts w:ascii="Times New Roman" w:hAnsi="Times New Roman" w:cs="Times New Roman"/>
          <w:sz w:val="24"/>
          <w:szCs w:val="24"/>
        </w:rPr>
        <w:t>.</w:t>
      </w:r>
    </w:p>
    <w:p w14:paraId="37ABAFE2" w14:textId="64A7F0E7" w:rsidR="00FA383A" w:rsidRPr="009B63B9" w:rsidRDefault="00CE72C2" w:rsidP="009B63B9">
      <w:pPr>
        <w:pStyle w:val="Akapitzlist"/>
        <w:numPr>
          <w:ilvl w:val="0"/>
          <w:numId w:val="6"/>
        </w:numPr>
        <w:spacing w:after="0" w:line="360" w:lineRule="auto"/>
        <w:ind w:left="0" w:firstLine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P</w:t>
      </w:r>
      <w:r w:rsidR="009A4A8B" w:rsidRPr="009B63B9">
        <w:rPr>
          <w:rFonts w:ascii="Times New Roman" w:eastAsia="Calibri" w:hAnsi="Times New Roman" w:cs="Times New Roman"/>
          <w:sz w:val="24"/>
          <w:szCs w:val="24"/>
        </w:rPr>
        <w:t xml:space="preserve">onadto </w:t>
      </w:r>
      <w:r w:rsidR="00B63185" w:rsidRPr="009B63B9">
        <w:rPr>
          <w:rFonts w:ascii="Times New Roman" w:eastAsia="Calibri" w:hAnsi="Times New Roman" w:cs="Times New Roman"/>
          <w:sz w:val="24"/>
          <w:szCs w:val="24"/>
        </w:rPr>
        <w:t xml:space="preserve">projekt ustawy wymaga dopracowania pod względem </w:t>
      </w:r>
      <w:r w:rsidR="00B63185" w:rsidRPr="00C75AE5">
        <w:rPr>
          <w:rFonts w:ascii="Times New Roman" w:eastAsia="Calibri" w:hAnsi="Times New Roman" w:cs="Times New Roman"/>
          <w:sz w:val="24"/>
          <w:szCs w:val="24"/>
        </w:rPr>
        <w:t>legislacyjno</w:t>
      </w:r>
      <w:r w:rsidR="00BE6B21">
        <w:rPr>
          <w:rFonts w:ascii="Times New Roman" w:eastAsia="Calibri" w:hAnsi="Times New Roman" w:cs="Times New Roman"/>
          <w:sz w:val="24"/>
          <w:szCs w:val="24"/>
        </w:rPr>
        <w:t>-</w:t>
      </w:r>
      <w:r w:rsidR="00B63185" w:rsidRPr="00C75AE5">
        <w:rPr>
          <w:rFonts w:ascii="Times New Roman" w:eastAsia="Calibri" w:hAnsi="Times New Roman" w:cs="Times New Roman"/>
          <w:sz w:val="24"/>
          <w:szCs w:val="24"/>
        </w:rPr>
        <w:t>redakcyjnym,</w:t>
      </w:r>
      <w:r w:rsidR="00B63185" w:rsidRPr="009B63B9">
        <w:rPr>
          <w:rFonts w:ascii="Times New Roman" w:eastAsia="Calibri" w:hAnsi="Times New Roman" w:cs="Times New Roman"/>
          <w:sz w:val="24"/>
          <w:szCs w:val="24"/>
        </w:rPr>
        <w:t xml:space="preserve"> w szczególności uaktualnienia wymagają publikatory zmienianych ustaw</w:t>
      </w:r>
      <w:r w:rsidR="009A4A8B" w:rsidRPr="009B63B9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6E830F0" w14:textId="4ABB1259" w:rsidR="0068445D" w:rsidRPr="00BE6B21" w:rsidRDefault="008E139A" w:rsidP="00BE6B21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63B9">
        <w:rPr>
          <w:rFonts w:ascii="Times New Roman" w:hAnsi="Times New Roman" w:cs="Times New Roman"/>
          <w:b/>
          <w:sz w:val="24"/>
          <w:szCs w:val="24"/>
          <w:lang w:eastAsia="pl-PL"/>
        </w:rPr>
        <w:t>Reasumując</w:t>
      </w:r>
      <w:r w:rsidR="00BE6B21">
        <w:rPr>
          <w:rFonts w:ascii="Times New Roman" w:hAnsi="Times New Roman" w:cs="Times New Roman"/>
          <w:b/>
          <w:sz w:val="24"/>
          <w:szCs w:val="24"/>
          <w:lang w:eastAsia="pl-PL"/>
        </w:rPr>
        <w:t>,</w:t>
      </w:r>
      <w:r w:rsidRPr="009B63B9">
        <w:rPr>
          <w:rFonts w:ascii="Times New Roman" w:hAnsi="Times New Roman" w:cs="Times New Roman"/>
          <w:b/>
          <w:sz w:val="24"/>
          <w:szCs w:val="24"/>
          <w:lang w:eastAsia="pl-PL"/>
        </w:rPr>
        <w:t xml:space="preserve"> Rada Ministrów uznaje za zasadne procedowanie przedłożon</w:t>
      </w:r>
      <w:r w:rsidR="00F77E5B" w:rsidRPr="009B63B9">
        <w:rPr>
          <w:rFonts w:ascii="Times New Roman" w:hAnsi="Times New Roman" w:cs="Times New Roman"/>
          <w:b/>
          <w:sz w:val="24"/>
          <w:szCs w:val="24"/>
          <w:lang w:eastAsia="pl-PL"/>
        </w:rPr>
        <w:t>ego</w:t>
      </w:r>
      <w:r w:rsidRPr="009B63B9">
        <w:rPr>
          <w:rFonts w:ascii="Times New Roman" w:hAnsi="Times New Roman" w:cs="Times New Roman"/>
          <w:b/>
          <w:sz w:val="24"/>
          <w:szCs w:val="24"/>
          <w:lang w:eastAsia="pl-PL"/>
        </w:rPr>
        <w:t xml:space="preserve"> projekt</w:t>
      </w:r>
      <w:r w:rsidR="00F77E5B" w:rsidRPr="009B63B9">
        <w:rPr>
          <w:rFonts w:ascii="Times New Roman" w:hAnsi="Times New Roman" w:cs="Times New Roman"/>
          <w:b/>
          <w:sz w:val="24"/>
          <w:szCs w:val="24"/>
          <w:lang w:eastAsia="pl-PL"/>
        </w:rPr>
        <w:t>u</w:t>
      </w:r>
      <w:r w:rsidRPr="009B63B9">
        <w:rPr>
          <w:rFonts w:ascii="Times New Roman" w:hAnsi="Times New Roman" w:cs="Times New Roman"/>
          <w:b/>
          <w:sz w:val="24"/>
          <w:szCs w:val="24"/>
          <w:lang w:eastAsia="pl-PL"/>
        </w:rPr>
        <w:t xml:space="preserve"> ustaw</w:t>
      </w:r>
      <w:r w:rsidR="00F77E5B" w:rsidRPr="009B63B9">
        <w:rPr>
          <w:rFonts w:ascii="Times New Roman" w:hAnsi="Times New Roman" w:cs="Times New Roman"/>
          <w:b/>
          <w:sz w:val="24"/>
          <w:szCs w:val="24"/>
          <w:lang w:eastAsia="pl-PL"/>
        </w:rPr>
        <w:t xml:space="preserve">y pod warunkiem uwzględnienia </w:t>
      </w:r>
      <w:r w:rsidR="009A4A8B" w:rsidRPr="009B63B9">
        <w:rPr>
          <w:rFonts w:ascii="Times New Roman" w:hAnsi="Times New Roman" w:cs="Times New Roman"/>
          <w:b/>
          <w:sz w:val="24"/>
          <w:szCs w:val="24"/>
          <w:lang w:eastAsia="pl-PL"/>
        </w:rPr>
        <w:t>w</w:t>
      </w:r>
      <w:r w:rsidR="0043361D">
        <w:rPr>
          <w:rFonts w:ascii="Times New Roman" w:hAnsi="Times New Roman" w:cs="Times New Roman"/>
          <w:b/>
          <w:sz w:val="24"/>
          <w:szCs w:val="24"/>
          <w:lang w:eastAsia="pl-PL"/>
        </w:rPr>
        <w:t>skazanych w stanowisku</w:t>
      </w:r>
      <w:r w:rsidR="009A4A8B" w:rsidRPr="009B63B9">
        <w:rPr>
          <w:rFonts w:ascii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F77E5B" w:rsidRPr="009B63B9">
        <w:rPr>
          <w:rFonts w:ascii="Times New Roman" w:hAnsi="Times New Roman" w:cs="Times New Roman"/>
          <w:b/>
          <w:sz w:val="24"/>
          <w:szCs w:val="24"/>
          <w:lang w:eastAsia="pl-PL"/>
        </w:rPr>
        <w:t>uwag</w:t>
      </w:r>
      <w:r w:rsidRPr="009B63B9">
        <w:rPr>
          <w:rFonts w:ascii="Times New Roman" w:hAnsi="Times New Roman" w:cs="Times New Roman"/>
          <w:b/>
          <w:sz w:val="24"/>
          <w:szCs w:val="24"/>
          <w:lang w:eastAsia="pl-PL"/>
        </w:rPr>
        <w:t>.</w:t>
      </w:r>
    </w:p>
    <w:sectPr w:rsidR="0068445D" w:rsidRPr="00BE6B21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34D711" w14:textId="77777777" w:rsidR="008B1759" w:rsidRDefault="008B1759" w:rsidP="001A011B">
      <w:pPr>
        <w:spacing w:after="0" w:line="240" w:lineRule="auto"/>
      </w:pPr>
      <w:r>
        <w:separator/>
      </w:r>
    </w:p>
  </w:endnote>
  <w:endnote w:type="continuationSeparator" w:id="0">
    <w:p w14:paraId="410F5075" w14:textId="77777777" w:rsidR="008B1759" w:rsidRDefault="008B1759" w:rsidP="001A01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00210291"/>
      <w:docPartObj>
        <w:docPartGallery w:val="Page Numbers (Bottom of Page)"/>
        <w:docPartUnique/>
      </w:docPartObj>
    </w:sdtPr>
    <w:sdtEndPr/>
    <w:sdtContent>
      <w:p w14:paraId="0CB42F02" w14:textId="3B513553" w:rsidR="001A011B" w:rsidRDefault="001A011B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16C0">
          <w:rPr>
            <w:noProof/>
          </w:rPr>
          <w:t>4</w:t>
        </w:r>
        <w:r>
          <w:fldChar w:fldCharType="end"/>
        </w:r>
      </w:p>
    </w:sdtContent>
  </w:sdt>
  <w:p w14:paraId="60D71762" w14:textId="77777777" w:rsidR="001A011B" w:rsidRDefault="001A011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17F894" w14:textId="77777777" w:rsidR="008B1759" w:rsidRDefault="008B1759" w:rsidP="001A011B">
      <w:pPr>
        <w:spacing w:after="0" w:line="240" w:lineRule="auto"/>
      </w:pPr>
      <w:r>
        <w:separator/>
      </w:r>
    </w:p>
  </w:footnote>
  <w:footnote w:type="continuationSeparator" w:id="0">
    <w:p w14:paraId="79FF2166" w14:textId="77777777" w:rsidR="008B1759" w:rsidRDefault="008B1759" w:rsidP="001A01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809B6"/>
    <w:multiLevelType w:val="hybridMultilevel"/>
    <w:tmpl w:val="BE428496"/>
    <w:lvl w:ilvl="0" w:tplc="DBF2642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  <w:sz w:val="24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863ADE"/>
    <w:multiLevelType w:val="hybridMultilevel"/>
    <w:tmpl w:val="62F0EC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20471F"/>
    <w:multiLevelType w:val="hybridMultilevel"/>
    <w:tmpl w:val="6BE827DC"/>
    <w:lvl w:ilvl="0" w:tplc="76C03F34">
      <w:start w:val="1"/>
      <w:numFmt w:val="lowerLetter"/>
      <w:lvlText w:val="%1)"/>
      <w:lvlJc w:val="left"/>
      <w:pPr>
        <w:ind w:left="717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" w15:restartNumberingAfterBreak="0">
    <w:nsid w:val="25FA1999"/>
    <w:multiLevelType w:val="hybridMultilevel"/>
    <w:tmpl w:val="4D5C1488"/>
    <w:lvl w:ilvl="0" w:tplc="0415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3FE324FC"/>
    <w:multiLevelType w:val="hybridMultilevel"/>
    <w:tmpl w:val="0D42E296"/>
    <w:lvl w:ilvl="0" w:tplc="AA805BDA">
      <w:numFmt w:val="bullet"/>
      <w:lvlText w:val=""/>
      <w:lvlJc w:val="left"/>
      <w:pPr>
        <w:ind w:left="717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5" w15:restartNumberingAfterBreak="0">
    <w:nsid w:val="75B040FA"/>
    <w:multiLevelType w:val="hybridMultilevel"/>
    <w:tmpl w:val="0A46777C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139A"/>
    <w:rsid w:val="00017395"/>
    <w:rsid w:val="000222D6"/>
    <w:rsid w:val="0004141D"/>
    <w:rsid w:val="00082E3F"/>
    <w:rsid w:val="000C0649"/>
    <w:rsid w:val="000D705D"/>
    <w:rsid w:val="00176AEB"/>
    <w:rsid w:val="001A011B"/>
    <w:rsid w:val="001B7AFC"/>
    <w:rsid w:val="001F1FF0"/>
    <w:rsid w:val="0021510C"/>
    <w:rsid w:val="0022551E"/>
    <w:rsid w:val="00227010"/>
    <w:rsid w:val="002753E1"/>
    <w:rsid w:val="00291783"/>
    <w:rsid w:val="002D7AD1"/>
    <w:rsid w:val="0036526B"/>
    <w:rsid w:val="0037427E"/>
    <w:rsid w:val="00394C7C"/>
    <w:rsid w:val="003C59DC"/>
    <w:rsid w:val="00402F86"/>
    <w:rsid w:val="0040465E"/>
    <w:rsid w:val="0043361D"/>
    <w:rsid w:val="004626D2"/>
    <w:rsid w:val="00473D34"/>
    <w:rsid w:val="004C57D8"/>
    <w:rsid w:val="004F429E"/>
    <w:rsid w:val="00515F31"/>
    <w:rsid w:val="00550384"/>
    <w:rsid w:val="0055512E"/>
    <w:rsid w:val="0059136A"/>
    <w:rsid w:val="005A6C59"/>
    <w:rsid w:val="005C54D6"/>
    <w:rsid w:val="005E0032"/>
    <w:rsid w:val="00607A97"/>
    <w:rsid w:val="0068445D"/>
    <w:rsid w:val="00685BEC"/>
    <w:rsid w:val="00692640"/>
    <w:rsid w:val="006A5FA7"/>
    <w:rsid w:val="006D5FE4"/>
    <w:rsid w:val="006D7B60"/>
    <w:rsid w:val="006F5E89"/>
    <w:rsid w:val="007029A8"/>
    <w:rsid w:val="007148CD"/>
    <w:rsid w:val="00723FFE"/>
    <w:rsid w:val="00731239"/>
    <w:rsid w:val="007905E5"/>
    <w:rsid w:val="008043A9"/>
    <w:rsid w:val="008938C2"/>
    <w:rsid w:val="008A7000"/>
    <w:rsid w:val="008B1759"/>
    <w:rsid w:val="008E139A"/>
    <w:rsid w:val="00917D6E"/>
    <w:rsid w:val="009420B8"/>
    <w:rsid w:val="009616C0"/>
    <w:rsid w:val="00976886"/>
    <w:rsid w:val="009A4A8B"/>
    <w:rsid w:val="009B63B9"/>
    <w:rsid w:val="009D3C3D"/>
    <w:rsid w:val="009D6E79"/>
    <w:rsid w:val="00A046FD"/>
    <w:rsid w:val="00A6581E"/>
    <w:rsid w:val="00A727B2"/>
    <w:rsid w:val="00A8235F"/>
    <w:rsid w:val="00AB2F83"/>
    <w:rsid w:val="00AC0B11"/>
    <w:rsid w:val="00AD36B8"/>
    <w:rsid w:val="00AD4AAB"/>
    <w:rsid w:val="00AE4206"/>
    <w:rsid w:val="00AF5637"/>
    <w:rsid w:val="00AF57ED"/>
    <w:rsid w:val="00B27B85"/>
    <w:rsid w:val="00B3479E"/>
    <w:rsid w:val="00B44A9A"/>
    <w:rsid w:val="00B63185"/>
    <w:rsid w:val="00BD7700"/>
    <w:rsid w:val="00BE680F"/>
    <w:rsid w:val="00BE6B21"/>
    <w:rsid w:val="00C04CFA"/>
    <w:rsid w:val="00C710D0"/>
    <w:rsid w:val="00C75AE5"/>
    <w:rsid w:val="00CB226C"/>
    <w:rsid w:val="00CE72C2"/>
    <w:rsid w:val="00CF3C29"/>
    <w:rsid w:val="00D014EE"/>
    <w:rsid w:val="00D25B7B"/>
    <w:rsid w:val="00DA2068"/>
    <w:rsid w:val="00E00566"/>
    <w:rsid w:val="00E77621"/>
    <w:rsid w:val="00EE7D97"/>
    <w:rsid w:val="00F440A9"/>
    <w:rsid w:val="00F60759"/>
    <w:rsid w:val="00F77E5B"/>
    <w:rsid w:val="00F943E8"/>
    <w:rsid w:val="00FA383A"/>
    <w:rsid w:val="00FD1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D22118"/>
  <w15:chartTrackingRefBased/>
  <w15:docId w15:val="{249CA748-1AA8-48A3-B30B-0AB798BFC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E139A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E139A"/>
    <w:pPr>
      <w:ind w:left="720"/>
      <w:contextualSpacing/>
    </w:pPr>
  </w:style>
  <w:style w:type="paragraph" w:customStyle="1" w:styleId="Textbody">
    <w:name w:val="Text body"/>
    <w:basedOn w:val="Normalny"/>
    <w:rsid w:val="008E139A"/>
    <w:pPr>
      <w:suppressAutoHyphens/>
      <w:autoSpaceDN w:val="0"/>
      <w:spacing w:after="12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Nagwek">
    <w:name w:val="header"/>
    <w:basedOn w:val="Normalny"/>
    <w:link w:val="NagwekZnak"/>
    <w:uiPriority w:val="99"/>
    <w:unhideWhenUsed/>
    <w:rsid w:val="001A01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A011B"/>
  </w:style>
  <w:style w:type="paragraph" w:styleId="Stopka">
    <w:name w:val="footer"/>
    <w:basedOn w:val="Normalny"/>
    <w:link w:val="StopkaZnak"/>
    <w:uiPriority w:val="99"/>
    <w:unhideWhenUsed/>
    <w:rsid w:val="001A01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A01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752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4</Pages>
  <Words>1467</Words>
  <Characters>8808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Koza Jarosław  (DLPK)</dc:creator>
  <cp:keywords/>
  <dc:description/>
  <cp:lastModifiedBy>Sabiniewicz Marcin</cp:lastModifiedBy>
  <cp:revision>10</cp:revision>
  <dcterms:created xsi:type="dcterms:W3CDTF">2021-05-19T09:33:00Z</dcterms:created>
  <dcterms:modified xsi:type="dcterms:W3CDTF">2021-05-19T14:24:00Z</dcterms:modified>
</cp:coreProperties>
</file>