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827" w:rsidRPr="00202325" w:rsidRDefault="005F5827" w:rsidP="008477BF">
      <w:pPr>
        <w:pStyle w:val="OZNRODZAKTUtznustawalubrozporzdzenieiorganwydajcy"/>
        <w:rPr>
          <w:rFonts w:ascii="Arial" w:hAnsi="Arial" w:cs="Arial"/>
        </w:rPr>
      </w:pPr>
      <w:bookmarkStart w:id="0" w:name="_GoBack"/>
      <w:bookmarkEnd w:id="0"/>
      <w:r w:rsidRPr="00202325">
        <w:rPr>
          <w:rFonts w:ascii="Arial" w:hAnsi="Arial" w:cs="Arial"/>
        </w:rPr>
        <w:t>Uzasadnienie</w:t>
      </w:r>
    </w:p>
    <w:p w:rsidR="005F5827" w:rsidRPr="00202325" w:rsidRDefault="005F5827" w:rsidP="008477BF">
      <w:pPr>
        <w:spacing w:after="120" w:line="360" w:lineRule="auto"/>
      </w:pPr>
    </w:p>
    <w:p w:rsidR="005F5827" w:rsidRPr="00202325" w:rsidRDefault="005F5827" w:rsidP="008477BF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202325">
        <w:rPr>
          <w:rStyle w:val="Ppogrubienie"/>
          <w:rFonts w:ascii="Arial" w:hAnsi="Arial"/>
          <w:szCs w:val="24"/>
        </w:rPr>
        <w:t>1.</w:t>
      </w:r>
      <w:r w:rsidRPr="00202325">
        <w:rPr>
          <w:rStyle w:val="Ppogrubienie"/>
          <w:rFonts w:ascii="Arial" w:hAnsi="Arial"/>
          <w:szCs w:val="24"/>
        </w:rPr>
        <w:tab/>
        <w:t>Potrzeba i cel uchwalenia ustawy</w:t>
      </w:r>
    </w:p>
    <w:p w:rsidR="00F168DF" w:rsidRPr="00202325" w:rsidRDefault="00E3001D" w:rsidP="008477B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02325">
        <w:rPr>
          <w:rFonts w:ascii="Arial" w:hAnsi="Arial"/>
          <w:sz w:val="24"/>
        </w:rPr>
        <w:t>Projektowana ustawa jest reakcją Komisji do Spraw Petycji Sejmu RP na petycj</w:t>
      </w:r>
      <w:r w:rsidR="00234AC6" w:rsidRPr="00202325">
        <w:rPr>
          <w:rFonts w:ascii="Arial" w:hAnsi="Arial"/>
          <w:sz w:val="24"/>
        </w:rPr>
        <w:t>e skierowane</w:t>
      </w:r>
      <w:r w:rsidRPr="00202325">
        <w:rPr>
          <w:rFonts w:ascii="Arial" w:hAnsi="Arial"/>
          <w:sz w:val="24"/>
        </w:rPr>
        <w:t xml:space="preserve"> do Sejmu RP przez pana Sebastiana Adamowicza </w:t>
      </w:r>
      <w:r w:rsidR="00EE48AB" w:rsidRPr="00202325">
        <w:rPr>
          <w:rFonts w:ascii="Arial" w:hAnsi="Arial"/>
          <w:sz w:val="24"/>
        </w:rPr>
        <w:t>(nr</w:t>
      </w:r>
      <w:r w:rsidR="00747100" w:rsidRPr="00202325">
        <w:rPr>
          <w:rFonts w:ascii="Arial" w:hAnsi="Arial"/>
          <w:sz w:val="24"/>
        </w:rPr>
        <w:t xml:space="preserve"> </w:t>
      </w:r>
      <w:r w:rsidR="00EE48AB" w:rsidRPr="00202325">
        <w:rPr>
          <w:rFonts w:ascii="Arial" w:hAnsi="Arial"/>
          <w:sz w:val="24"/>
        </w:rPr>
        <w:t xml:space="preserve"> </w:t>
      </w:r>
      <w:r w:rsidR="00747100" w:rsidRPr="00202325">
        <w:rPr>
          <w:rFonts w:ascii="Arial" w:hAnsi="Arial"/>
          <w:sz w:val="24"/>
        </w:rPr>
        <w:t>BKSP-145-391/18,</w:t>
      </w:r>
      <w:r w:rsidR="00747100" w:rsidRPr="00202325">
        <w:t xml:space="preserve"> </w:t>
      </w:r>
      <w:r w:rsidR="00C05E83" w:rsidRPr="00202325">
        <w:rPr>
          <w:rFonts w:ascii="Arial" w:hAnsi="Arial"/>
          <w:sz w:val="24"/>
        </w:rPr>
        <w:t xml:space="preserve">BKSP-145-398/18, </w:t>
      </w:r>
      <w:r w:rsidR="00747100" w:rsidRPr="00202325">
        <w:rPr>
          <w:rFonts w:ascii="Arial" w:hAnsi="Arial"/>
          <w:sz w:val="24"/>
        </w:rPr>
        <w:t xml:space="preserve">BKSP-145-401/18, </w:t>
      </w:r>
      <w:r w:rsidR="00C05E83" w:rsidRPr="00202325">
        <w:rPr>
          <w:rFonts w:ascii="Arial" w:hAnsi="Arial"/>
          <w:sz w:val="24"/>
        </w:rPr>
        <w:t xml:space="preserve">BKSP-145-414/18, </w:t>
      </w:r>
      <w:r w:rsidR="009553A2" w:rsidRPr="00202325">
        <w:rPr>
          <w:rFonts w:ascii="Arial" w:hAnsi="Arial"/>
          <w:sz w:val="24"/>
        </w:rPr>
        <w:t xml:space="preserve">BKSP-145-426/18, </w:t>
      </w:r>
      <w:r w:rsidR="00747100" w:rsidRPr="00202325">
        <w:rPr>
          <w:rFonts w:ascii="Arial" w:hAnsi="Arial"/>
          <w:sz w:val="24"/>
        </w:rPr>
        <w:t>BKSP-145-436/18</w:t>
      </w:r>
      <w:r w:rsidR="007713A2" w:rsidRPr="00202325">
        <w:rPr>
          <w:rFonts w:ascii="Arial" w:hAnsi="Arial"/>
          <w:sz w:val="24"/>
        </w:rPr>
        <w:t>, BKSP-145-445/18</w:t>
      </w:r>
      <w:r w:rsidR="00C05E83" w:rsidRPr="00202325">
        <w:rPr>
          <w:rFonts w:ascii="Arial" w:hAnsi="Arial"/>
          <w:sz w:val="24"/>
        </w:rPr>
        <w:t>, BKSP-145-503/19</w:t>
      </w:r>
      <w:r w:rsidR="00747100" w:rsidRPr="00202325">
        <w:rPr>
          <w:rFonts w:ascii="Arial" w:hAnsi="Arial"/>
          <w:sz w:val="24"/>
        </w:rPr>
        <w:t xml:space="preserve">) </w:t>
      </w:r>
      <w:r w:rsidRPr="00202325">
        <w:rPr>
          <w:rFonts w:ascii="Arial" w:hAnsi="Arial"/>
          <w:sz w:val="24"/>
        </w:rPr>
        <w:t>– któr</w:t>
      </w:r>
      <w:r w:rsidR="00EE48AB" w:rsidRPr="00202325">
        <w:rPr>
          <w:rFonts w:ascii="Arial" w:hAnsi="Arial"/>
          <w:sz w:val="24"/>
        </w:rPr>
        <w:t>e</w:t>
      </w:r>
      <w:r w:rsidRPr="00202325">
        <w:rPr>
          <w:rFonts w:ascii="Arial" w:hAnsi="Arial"/>
          <w:sz w:val="24"/>
        </w:rPr>
        <w:t xml:space="preserve"> komisja uznała za zasadn</w:t>
      </w:r>
      <w:r w:rsidR="00EE48AB" w:rsidRPr="00202325">
        <w:rPr>
          <w:rFonts w:ascii="Arial" w:hAnsi="Arial"/>
          <w:sz w:val="24"/>
        </w:rPr>
        <w:t>e</w:t>
      </w:r>
      <w:r w:rsidR="00F168DF" w:rsidRPr="00202325">
        <w:rPr>
          <w:rFonts w:ascii="Arial" w:hAnsi="Arial" w:cs="Arial"/>
          <w:sz w:val="24"/>
          <w:szCs w:val="24"/>
        </w:rPr>
        <w:t xml:space="preserve">. Celem ustawy jest dokonanie drobnych zmian w </w:t>
      </w:r>
      <w:r w:rsidR="00F47571" w:rsidRPr="00202325">
        <w:rPr>
          <w:rFonts w:ascii="Arial" w:hAnsi="Arial" w:cs="Arial"/>
          <w:sz w:val="24"/>
          <w:szCs w:val="24"/>
        </w:rPr>
        <w:t>trzynastu</w:t>
      </w:r>
      <w:r w:rsidR="00F168DF" w:rsidRPr="00202325">
        <w:rPr>
          <w:rFonts w:ascii="Arial" w:hAnsi="Arial" w:cs="Arial"/>
          <w:sz w:val="24"/>
          <w:szCs w:val="24"/>
        </w:rPr>
        <w:t xml:space="preserve"> ustawach, dostosowujących występującą w nich terminologię do aktualnego stanu prawnego. Wprowadzenie tych zmian ułatwi adresatom nowelizowanych aktów prawnych ich zrozumienie i właściwe stosowanie w obecnym otoczeniu normatywnym.</w:t>
      </w:r>
      <w:r w:rsidR="00EE48AB" w:rsidRPr="00202325">
        <w:rPr>
          <w:rFonts w:ascii="Arial" w:hAnsi="Arial" w:cs="Arial"/>
          <w:sz w:val="24"/>
          <w:szCs w:val="24"/>
        </w:rPr>
        <w:t xml:space="preserve"> Niektóre zmiany, wskazane przez autora petycji, nie zostały uwzględnione w projektowanej ustawie gdyż już zostały wprowadzone w ustawach uchwalonych przez Sejm.</w:t>
      </w:r>
    </w:p>
    <w:p w:rsidR="005F5827" w:rsidRPr="00202325" w:rsidRDefault="005F5827" w:rsidP="008477B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F5827" w:rsidRPr="00202325" w:rsidRDefault="005F5827" w:rsidP="008477BF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202325">
        <w:rPr>
          <w:rStyle w:val="Ppogrubienie"/>
          <w:rFonts w:ascii="Arial" w:hAnsi="Arial"/>
          <w:szCs w:val="24"/>
        </w:rPr>
        <w:t>2.</w:t>
      </w:r>
      <w:r w:rsidRPr="00202325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E046CE" w:rsidRPr="00202325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7713A2" w:rsidRPr="00202325" w:rsidRDefault="007713A2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Art. 3 § 1 pkt 2 ustawy </w:t>
      </w:r>
      <w:r w:rsidRPr="00202325">
        <w:rPr>
          <w:rFonts w:ascii="Arial" w:hAnsi="Arial" w:cs="Arial"/>
          <w:bCs/>
          <w:color w:val="auto"/>
        </w:rPr>
        <w:t xml:space="preserve">z dnia 14 czerwca 1960 r. Kodeks postępowania administracyjnego zawiera odesłanie do działu V tego Kodeksu, </w:t>
      </w:r>
      <w:r w:rsidRPr="00202325">
        <w:rPr>
          <w:rFonts w:ascii="Arial" w:hAnsi="Arial" w:cs="Arial"/>
          <w:color w:val="auto"/>
        </w:rPr>
        <w:t>który został uchylony z dniem 1 stycznia 2004 r. na mocy art. 4 pkt 7 ustawy z dnia 30 sierpnia 2002 r. - Przepisy wprowadzające ustawę - Prawo o ustroju sądów administracyjnych i ustawę - Prawo o postępowaniu przed sądami administracyjnymi. Art. 1 proponowanej ustawy zawiera propozycję likwidacji tego odesłanie do nieistniejącego działu.</w:t>
      </w:r>
    </w:p>
    <w:p w:rsidR="00EF796F" w:rsidRPr="00202325" w:rsidRDefault="00EF796F" w:rsidP="008477BF">
      <w:pPr>
        <w:pStyle w:val="Default"/>
        <w:spacing w:after="120" w:line="360" w:lineRule="auto"/>
        <w:ind w:firstLine="708"/>
        <w:jc w:val="both"/>
        <w:rPr>
          <w:rStyle w:val="Ppogrubienie"/>
          <w:rFonts w:ascii="Arial" w:hAnsi="Arial" w:cs="Arial"/>
          <w:b w:val="0"/>
          <w:color w:val="auto"/>
        </w:rPr>
      </w:pPr>
      <w:r w:rsidRPr="00202325">
        <w:rPr>
          <w:rFonts w:ascii="Arial" w:hAnsi="Arial" w:cs="Arial"/>
          <w:color w:val="auto"/>
        </w:rPr>
        <w:t>Art. 2a ustawy z dnia 29 czerwca 1963 r. o zagospodarowaniu wspólnot gruntowych zawiera odwołanie do ustawy z dnia 18 lipca 2001 r. - Prawo wodne, uchylonej z dniem 1 stycznia 2018 r. na podstawie art. 573 ustawy z dnia 20 lipca 2017 r. – Prawo wodne, która weszła w życie z dniem 1 stycznia 2018 r. Dlatego projektowana ustawa zawiera, w art.</w:t>
      </w:r>
      <w:r w:rsidR="007713A2" w:rsidRPr="00202325">
        <w:rPr>
          <w:rFonts w:ascii="Arial" w:hAnsi="Arial" w:cs="Arial"/>
          <w:color w:val="auto"/>
        </w:rPr>
        <w:t>2</w:t>
      </w:r>
      <w:r w:rsidRPr="00202325">
        <w:rPr>
          <w:rFonts w:ascii="Arial" w:hAnsi="Arial" w:cs="Arial"/>
          <w:color w:val="auto"/>
        </w:rPr>
        <w:t>, propozycję odpowiedniej aktualizacji tego odesłania.</w:t>
      </w:r>
    </w:p>
    <w:p w:rsidR="00806E16" w:rsidRPr="00202325" w:rsidRDefault="00806E16" w:rsidP="008477BF">
      <w:pPr>
        <w:pStyle w:val="Default"/>
        <w:spacing w:after="120" w:line="360" w:lineRule="auto"/>
        <w:ind w:firstLine="708"/>
        <w:jc w:val="both"/>
        <w:rPr>
          <w:rStyle w:val="Ppogrubienie"/>
          <w:rFonts w:ascii="Arial" w:hAnsi="Arial" w:cs="Arial"/>
          <w:b w:val="0"/>
          <w:color w:val="auto"/>
        </w:rPr>
      </w:pPr>
      <w:r w:rsidRPr="00202325">
        <w:rPr>
          <w:rFonts w:ascii="Arial" w:hAnsi="Arial" w:cs="Arial"/>
          <w:color w:val="auto"/>
        </w:rPr>
        <w:t>Art. 479</w:t>
      </w:r>
      <w:r w:rsidRPr="00202325">
        <w:rPr>
          <w:rFonts w:ascii="Arial" w:hAnsi="Arial" w:cs="Arial"/>
          <w:color w:val="auto"/>
          <w:vertAlign w:val="superscript"/>
        </w:rPr>
        <w:t>68</w:t>
      </w:r>
      <w:r w:rsidRPr="00202325">
        <w:rPr>
          <w:rFonts w:ascii="Arial" w:hAnsi="Arial" w:cs="Arial"/>
          <w:color w:val="auto"/>
        </w:rPr>
        <w:t xml:space="preserve"> pkt. 2 ustawy z dnia 17 listopada 1964 r. Kodeks postępowania cywilnego zawiera odesłanie do nieobowiązującej już ustawy z dnia 27 czerwca 1997 </w:t>
      </w:r>
      <w:r w:rsidRPr="00202325">
        <w:rPr>
          <w:rFonts w:ascii="Arial" w:hAnsi="Arial" w:cs="Arial"/>
          <w:color w:val="auto"/>
        </w:rPr>
        <w:lastRenderedPageBreak/>
        <w:t>r. o transporcie kolejowym</w:t>
      </w:r>
      <w:r w:rsidR="00C560F8" w:rsidRPr="00202325">
        <w:rPr>
          <w:rFonts w:ascii="Arial" w:hAnsi="Arial" w:cs="Arial"/>
          <w:color w:val="auto"/>
        </w:rPr>
        <w:t>. Propozycja zawarta w art. 3 projektowanej ustawy zmierza do wprowadzenia prawidłowego odesłania – do ustawy z dnia 28 marca 2003 r. o transporcie kolejowym.</w:t>
      </w:r>
    </w:p>
    <w:p w:rsidR="00A37B50" w:rsidRPr="00202325" w:rsidRDefault="00A37B50" w:rsidP="008477BF">
      <w:pPr>
        <w:pStyle w:val="Default"/>
        <w:spacing w:after="120" w:line="360" w:lineRule="auto"/>
        <w:ind w:firstLine="708"/>
        <w:jc w:val="both"/>
        <w:rPr>
          <w:rStyle w:val="Ppogrubienie"/>
          <w:rFonts w:ascii="Arial" w:hAnsi="Arial" w:cs="Arial"/>
          <w:b w:val="0"/>
          <w:color w:val="auto"/>
        </w:rPr>
      </w:pPr>
      <w:r w:rsidRPr="00202325">
        <w:rPr>
          <w:rStyle w:val="Ppogrubienie"/>
          <w:rFonts w:ascii="Arial" w:hAnsi="Arial" w:cs="Arial"/>
          <w:b w:val="0"/>
          <w:color w:val="auto"/>
        </w:rPr>
        <w:t xml:space="preserve">W art. 19 § 2 </w:t>
      </w:r>
      <w:r w:rsidRPr="00202325">
        <w:rPr>
          <w:rFonts w:ascii="Arial" w:hAnsi="Arial" w:cs="Arial"/>
          <w:color w:val="auto"/>
        </w:rPr>
        <w:t>ustawy z dnia 17 czerwca 1966 r. o postępowaniu egzekucyjnym w administracji przywołuje się „gminy wchodzącej w skład powiatu warszawskiego”. Przepis ten nie uwzględnia zmian wprowadzonych ustawą z dnia 15 marca 2002 r. o ustroju miasta stołecznego Warszawy</w:t>
      </w:r>
      <w:r w:rsidR="00301487" w:rsidRPr="00202325">
        <w:rPr>
          <w:rFonts w:ascii="Arial" w:hAnsi="Arial" w:cs="Arial"/>
          <w:color w:val="auto"/>
        </w:rPr>
        <w:t>, zgodnie z którą „Stolica Rzeczypospolitej Polskiej, miasto stołeczne Warszawa, jest gminą mającą status miasta na prawach powiatu.”.Dlatego w art.</w:t>
      </w:r>
      <w:r w:rsidR="00174AB4" w:rsidRPr="00202325">
        <w:rPr>
          <w:rFonts w:ascii="Arial" w:hAnsi="Arial" w:cs="Arial"/>
          <w:color w:val="auto"/>
        </w:rPr>
        <w:t xml:space="preserve"> </w:t>
      </w:r>
      <w:r w:rsidR="001D0A9D" w:rsidRPr="00202325">
        <w:rPr>
          <w:rFonts w:ascii="Arial" w:hAnsi="Arial" w:cs="Arial"/>
          <w:color w:val="auto"/>
        </w:rPr>
        <w:t>4</w:t>
      </w:r>
      <w:r w:rsidR="00301487" w:rsidRPr="00202325">
        <w:rPr>
          <w:rFonts w:ascii="Arial" w:hAnsi="Arial" w:cs="Arial"/>
          <w:color w:val="auto"/>
        </w:rPr>
        <w:t xml:space="preserve"> proponowanej ustawy znalazła się propozycja niezbędnej zmiany.</w:t>
      </w:r>
    </w:p>
    <w:p w:rsidR="002F4C2E" w:rsidRPr="00202325" w:rsidRDefault="002F4C2E" w:rsidP="008477BF">
      <w:pPr>
        <w:pStyle w:val="Default"/>
        <w:spacing w:after="120" w:line="360" w:lineRule="auto"/>
        <w:ind w:firstLine="708"/>
        <w:jc w:val="both"/>
        <w:rPr>
          <w:rStyle w:val="Ppogrubienie"/>
          <w:rFonts w:ascii="Arial" w:hAnsi="Arial" w:cs="Arial"/>
          <w:b w:val="0"/>
          <w:color w:val="auto"/>
        </w:rPr>
      </w:pPr>
      <w:r w:rsidRPr="00202325">
        <w:rPr>
          <w:rFonts w:ascii="Arial" w:hAnsi="Arial" w:cs="Arial"/>
          <w:color w:val="auto"/>
        </w:rPr>
        <w:t xml:space="preserve">Jak wynika z art. 18 </w:t>
      </w:r>
      <w:r w:rsidR="00174AB4" w:rsidRPr="00202325">
        <w:rPr>
          <w:rFonts w:ascii="Arial" w:hAnsi="Arial" w:cs="Arial"/>
          <w:bCs/>
          <w:color w:val="auto"/>
        </w:rPr>
        <w:t xml:space="preserve">ustawy </w:t>
      </w:r>
      <w:r w:rsidR="00174AB4" w:rsidRPr="00202325">
        <w:rPr>
          <w:rFonts w:ascii="Arial" w:hAnsi="Arial" w:cs="Arial"/>
          <w:color w:val="auto"/>
        </w:rPr>
        <w:t>z dnia 20 maja 1971 r. Kodeks wykroczeń (</w:t>
      </w:r>
      <w:r w:rsidR="00595EDF" w:rsidRPr="00202325">
        <w:rPr>
          <w:rFonts w:ascii="Arial" w:hAnsi="Arial" w:cs="Arial"/>
          <w:color w:val="auto"/>
        </w:rPr>
        <w:t>K</w:t>
      </w:r>
      <w:r w:rsidR="00174AB4" w:rsidRPr="00202325">
        <w:rPr>
          <w:rFonts w:ascii="Arial" w:hAnsi="Arial" w:cs="Arial"/>
          <w:color w:val="auto"/>
        </w:rPr>
        <w:t xml:space="preserve">.w.) </w:t>
      </w:r>
      <w:r w:rsidRPr="00202325">
        <w:rPr>
          <w:rFonts w:ascii="Arial" w:hAnsi="Arial" w:cs="Arial"/>
          <w:color w:val="auto"/>
        </w:rPr>
        <w:t>katalog kar jest katalogiem zamkniętym i nie zawiera się w nim podanie orzeczenia o ukaraniu do publicznej wiadomości w szczególny sposób. Natomiast art. 28 §</w:t>
      </w:r>
      <w:r w:rsidR="00174AB4" w:rsidRPr="00202325">
        <w:rPr>
          <w:rFonts w:ascii="Arial" w:hAnsi="Arial" w:cs="Arial"/>
          <w:color w:val="auto"/>
        </w:rPr>
        <w:t xml:space="preserve"> </w:t>
      </w:r>
      <w:r w:rsidR="00595EDF" w:rsidRPr="00202325">
        <w:rPr>
          <w:rFonts w:ascii="Arial" w:hAnsi="Arial" w:cs="Arial"/>
          <w:color w:val="auto"/>
        </w:rPr>
        <w:t>1 K</w:t>
      </w:r>
      <w:r w:rsidRPr="00202325">
        <w:rPr>
          <w:rFonts w:ascii="Arial" w:hAnsi="Arial" w:cs="Arial"/>
          <w:color w:val="auto"/>
        </w:rPr>
        <w:t>.w. zawiera katalog środków karnych, wśród których ustawodawca w pkt 5 wymienił podanie orzeczenia o ukaraniu do publicznej wiadomości w szczególny sposób.</w:t>
      </w:r>
      <w:r w:rsidR="00174AB4" w:rsidRPr="00202325">
        <w:rPr>
          <w:rFonts w:ascii="Arial" w:hAnsi="Arial" w:cs="Arial"/>
          <w:color w:val="auto"/>
        </w:rPr>
        <w:t xml:space="preserve"> Dlatego aktualna norma zawarta w art. 31 § 2 K.w. („Kara określona w § 1 polega na ogłoszeniu orzeczenia w zakładzie pracy, w uczelni, w miejscu zamieszkania ukaranego, w innym właściwym miejscu lub w inny stosowny sposób.”) zawiera błędną terminologię – przepis powinien stanowić nie o karze lecz o środku karnym. Dlatego art. </w:t>
      </w:r>
      <w:r w:rsidR="001D0A9D" w:rsidRPr="00202325">
        <w:rPr>
          <w:rFonts w:ascii="Arial" w:hAnsi="Arial" w:cs="Arial"/>
          <w:color w:val="auto"/>
        </w:rPr>
        <w:t>5</w:t>
      </w:r>
      <w:r w:rsidR="00174AB4" w:rsidRPr="00202325">
        <w:rPr>
          <w:rFonts w:ascii="Arial" w:hAnsi="Arial" w:cs="Arial"/>
          <w:color w:val="auto"/>
        </w:rPr>
        <w:t xml:space="preserve"> projektowanej ustawy zawiera propozycję odpowiedniej zmiany, likwidującej opisaną nieprawidłowość. </w:t>
      </w:r>
    </w:p>
    <w:p w:rsidR="00F168DF" w:rsidRPr="00202325" w:rsidRDefault="00F168DF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Style w:val="Ppogrubienie"/>
          <w:rFonts w:ascii="Arial" w:hAnsi="Arial" w:cs="Arial"/>
          <w:b w:val="0"/>
          <w:color w:val="auto"/>
        </w:rPr>
        <w:t xml:space="preserve">W </w:t>
      </w:r>
      <w:r w:rsidRPr="00202325">
        <w:rPr>
          <w:rFonts w:ascii="Arial" w:hAnsi="Arial" w:cs="Arial"/>
          <w:color w:val="auto"/>
        </w:rPr>
        <w:t xml:space="preserve">art. </w:t>
      </w:r>
      <w:r w:rsidR="00EE48AB" w:rsidRPr="00202325">
        <w:rPr>
          <w:rFonts w:ascii="Arial" w:hAnsi="Arial" w:cs="Arial"/>
          <w:color w:val="auto"/>
        </w:rPr>
        <w:t xml:space="preserve">10 w pkt. 2 ustawy z dnia 6 lipca 1982 r. o radcach prawnych </w:t>
      </w:r>
      <w:r w:rsidRPr="00202325">
        <w:rPr>
          <w:rFonts w:ascii="Arial" w:hAnsi="Arial" w:cs="Arial"/>
          <w:color w:val="auto"/>
        </w:rPr>
        <w:t>występuje przywołanie nieistniejąc</w:t>
      </w:r>
      <w:r w:rsidR="00EE48AB" w:rsidRPr="00202325">
        <w:rPr>
          <w:rFonts w:ascii="Arial" w:hAnsi="Arial" w:cs="Arial"/>
          <w:color w:val="auto"/>
        </w:rPr>
        <w:t>ego</w:t>
      </w:r>
      <w:r w:rsidRPr="00202325">
        <w:rPr>
          <w:rFonts w:ascii="Arial" w:hAnsi="Arial" w:cs="Arial"/>
          <w:color w:val="auto"/>
        </w:rPr>
        <w:t xml:space="preserve"> już w polskim systemie sądowniczym sąd</w:t>
      </w:r>
      <w:r w:rsidR="00EE48AB" w:rsidRPr="00202325">
        <w:rPr>
          <w:rFonts w:ascii="Arial" w:hAnsi="Arial" w:cs="Arial"/>
          <w:color w:val="auto"/>
        </w:rPr>
        <w:t>u wojewódzkiego</w:t>
      </w:r>
      <w:r w:rsidRPr="00202325">
        <w:rPr>
          <w:rFonts w:ascii="Arial" w:hAnsi="Arial" w:cs="Arial"/>
          <w:color w:val="auto"/>
        </w:rPr>
        <w:t>. Sądy wojewódzkie na podstawie art. 2 ustawy z dnia 18 grudnia 1998 r. o zmianie ustawy – Prawo o ustroju sądów powszechnych (Dz. U. z 1998 r. Nr 160, poz. 1064) stały się sądami okręgowymi</w:t>
      </w:r>
      <w:r w:rsidR="00EE48AB" w:rsidRPr="00202325">
        <w:rPr>
          <w:rFonts w:ascii="Arial" w:hAnsi="Arial" w:cs="Arial"/>
          <w:color w:val="auto"/>
        </w:rPr>
        <w:t>. Wprawdzie</w:t>
      </w:r>
      <w:r w:rsidRPr="00202325">
        <w:rPr>
          <w:rFonts w:ascii="Arial" w:hAnsi="Arial" w:cs="Arial"/>
          <w:color w:val="auto"/>
        </w:rPr>
        <w:t xml:space="preserve"> przepis art. 4 tej ustawy nakazuje, by ilekroć w obowiązujących przepisach jest mowa o sądzie wojewódzkim, </w:t>
      </w:r>
      <w:r w:rsidR="00EE48AB" w:rsidRPr="00202325">
        <w:rPr>
          <w:rFonts w:ascii="Arial" w:hAnsi="Arial" w:cs="Arial"/>
          <w:color w:val="auto"/>
        </w:rPr>
        <w:t xml:space="preserve">należy </w:t>
      </w:r>
      <w:r w:rsidRPr="00202325">
        <w:rPr>
          <w:rFonts w:ascii="Arial" w:hAnsi="Arial" w:cs="Arial"/>
          <w:color w:val="auto"/>
        </w:rPr>
        <w:t>rozumieć przez to sąd okręgowy</w:t>
      </w:r>
      <w:r w:rsidR="00595EDF" w:rsidRPr="00202325">
        <w:rPr>
          <w:rFonts w:ascii="Arial" w:hAnsi="Arial" w:cs="Arial"/>
          <w:color w:val="auto"/>
        </w:rPr>
        <w:t>,</w:t>
      </w:r>
      <w:r w:rsidR="00EE48AB" w:rsidRPr="00202325">
        <w:rPr>
          <w:rFonts w:ascii="Arial" w:hAnsi="Arial" w:cs="Arial"/>
          <w:color w:val="auto"/>
        </w:rPr>
        <w:t xml:space="preserve"> ale dla przejrzystości aktów prawnych należy uznać takie rozwiązanie za tymczasowe, do czasu dokonania zmiany porządkującej terminologię. Dlatego w art. </w:t>
      </w:r>
      <w:r w:rsidR="001D0A9D" w:rsidRPr="00202325">
        <w:rPr>
          <w:rFonts w:ascii="Arial" w:hAnsi="Arial" w:cs="Arial"/>
          <w:color w:val="auto"/>
        </w:rPr>
        <w:t>6</w:t>
      </w:r>
      <w:r w:rsidR="00EE48AB" w:rsidRPr="00202325">
        <w:rPr>
          <w:rFonts w:ascii="Arial" w:hAnsi="Arial" w:cs="Arial"/>
          <w:color w:val="auto"/>
        </w:rPr>
        <w:t xml:space="preserve"> pkt 1 przedkładanego projektu ustawy została zawarta propozycja stosowanej zmiany.</w:t>
      </w:r>
    </w:p>
    <w:p w:rsidR="00983A06" w:rsidRPr="00202325" w:rsidRDefault="00983A06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W art. 4b ust. 3 ustawy z dnia 26 maja 1982 r. Prawo o adwokaturze oraz w  art. 8 ust. 6 ustawy z dnia 6 lipca 1982 r. o radcach prawnych wymienia się </w:t>
      </w:r>
      <w:r w:rsidRPr="00202325">
        <w:rPr>
          <w:rFonts w:ascii="Arial" w:hAnsi="Arial" w:cs="Arial"/>
          <w:color w:val="auto"/>
        </w:rPr>
        <w:lastRenderedPageBreak/>
        <w:t xml:space="preserve">pracowników naukowych i naukowo-dydaktycznych, podczas gdy </w:t>
      </w:r>
      <w:r w:rsidR="00595EDF" w:rsidRPr="00202325">
        <w:rPr>
          <w:rFonts w:ascii="Arial" w:hAnsi="Arial" w:cs="Arial"/>
          <w:color w:val="auto"/>
        </w:rPr>
        <w:t>p</w:t>
      </w:r>
      <w:r w:rsidRPr="00202325">
        <w:rPr>
          <w:rFonts w:ascii="Arial" w:hAnsi="Arial" w:cs="Arial"/>
          <w:color w:val="auto"/>
        </w:rPr>
        <w:t>ojęcie „pracowników naukowych i naukowo-dydaktycznych” występowało w art. 108 ustawy z dnia 27 lipca 2015 r. – Prawo o szkolnictwie wyższym, jednak ustawa ta straciła moc z dniem 1 października 2018 r., tzn. z dniem wejścia w życie ustawy z dnia 3 lipca 2018 r. – Przepisy wprowadzające ustawę – Prawo o szkolnictwie wyższym i nauce. Zgodnie z art. 247 ust. 1 tej ustawy nauczyciele akademiccy</w:t>
      </w:r>
      <w:r w:rsidR="00BE693B" w:rsidRPr="00202325">
        <w:rPr>
          <w:rFonts w:ascii="Arial" w:hAnsi="Arial" w:cs="Arial"/>
          <w:color w:val="auto"/>
        </w:rPr>
        <w:t>,</w:t>
      </w:r>
      <w:r w:rsidRPr="00202325">
        <w:rPr>
          <w:rFonts w:ascii="Arial" w:hAnsi="Arial" w:cs="Arial"/>
          <w:color w:val="auto"/>
        </w:rPr>
        <w:t xml:space="preserve"> </w:t>
      </w:r>
      <w:r w:rsidR="00BE693B" w:rsidRPr="00202325">
        <w:rPr>
          <w:rFonts w:ascii="Arial" w:hAnsi="Arial" w:cs="Arial"/>
          <w:color w:val="auto"/>
        </w:rPr>
        <w:t>którzy</w:t>
      </w:r>
      <w:r w:rsidRPr="00202325">
        <w:rPr>
          <w:rFonts w:ascii="Arial" w:hAnsi="Arial" w:cs="Arial"/>
          <w:color w:val="auto"/>
        </w:rPr>
        <w:t xml:space="preserve"> w dniu wejścia w życie ustawy </w:t>
      </w:r>
      <w:r w:rsidR="00BE693B" w:rsidRPr="00202325">
        <w:rPr>
          <w:rFonts w:ascii="Arial" w:hAnsi="Arial" w:cs="Arial"/>
          <w:color w:val="auto"/>
        </w:rPr>
        <w:t xml:space="preserve">z dnia 20 lipca 2018 r. </w:t>
      </w:r>
      <w:r w:rsidRPr="00202325">
        <w:rPr>
          <w:rFonts w:ascii="Arial" w:hAnsi="Arial" w:cs="Arial"/>
          <w:color w:val="auto"/>
        </w:rPr>
        <w:t xml:space="preserve">– Prawo o szkolnictwie wyższym i nauce </w:t>
      </w:r>
      <w:r w:rsidR="00BE693B" w:rsidRPr="00202325">
        <w:rPr>
          <w:rFonts w:ascii="Arial" w:hAnsi="Arial" w:cs="Arial"/>
          <w:color w:val="auto"/>
        </w:rPr>
        <w:t xml:space="preserve">byli </w:t>
      </w:r>
      <w:r w:rsidRPr="00202325">
        <w:rPr>
          <w:rFonts w:ascii="Arial" w:hAnsi="Arial" w:cs="Arial"/>
          <w:color w:val="auto"/>
        </w:rPr>
        <w:t xml:space="preserve">pracownikami naukowo-dydaktycznymi </w:t>
      </w:r>
      <w:r w:rsidR="00BE693B" w:rsidRPr="00202325">
        <w:rPr>
          <w:rFonts w:ascii="Arial" w:hAnsi="Arial" w:cs="Arial"/>
          <w:color w:val="auto"/>
        </w:rPr>
        <w:t xml:space="preserve">- </w:t>
      </w:r>
      <w:r w:rsidRPr="00202325">
        <w:rPr>
          <w:rFonts w:ascii="Arial" w:hAnsi="Arial" w:cs="Arial"/>
          <w:color w:val="auto"/>
        </w:rPr>
        <w:t>stali się pracownikami badawczo-dydaktycznymi a nauczyciele będący pracownikami naukowymi stali się pracownikami badawczymi.</w:t>
      </w:r>
      <w:r w:rsidR="00BE693B" w:rsidRPr="00202325">
        <w:rPr>
          <w:rFonts w:ascii="Arial" w:hAnsi="Arial" w:cs="Arial"/>
          <w:color w:val="auto"/>
        </w:rPr>
        <w:t xml:space="preserve"> Dlatego w art. </w:t>
      </w:r>
      <w:r w:rsidR="001D0A9D" w:rsidRPr="00202325">
        <w:rPr>
          <w:rFonts w:ascii="Arial" w:hAnsi="Arial" w:cs="Arial"/>
          <w:color w:val="auto"/>
        </w:rPr>
        <w:t>6</w:t>
      </w:r>
      <w:r w:rsidR="00BE693B" w:rsidRPr="00202325">
        <w:rPr>
          <w:rFonts w:ascii="Arial" w:hAnsi="Arial" w:cs="Arial"/>
          <w:color w:val="auto"/>
        </w:rPr>
        <w:t xml:space="preserve"> pkt 2 oraz w art. </w:t>
      </w:r>
      <w:r w:rsidR="001D0A9D" w:rsidRPr="00202325">
        <w:rPr>
          <w:rFonts w:ascii="Arial" w:hAnsi="Arial" w:cs="Arial"/>
          <w:color w:val="auto"/>
        </w:rPr>
        <w:t>7</w:t>
      </w:r>
      <w:r w:rsidR="00BE693B" w:rsidRPr="00202325">
        <w:rPr>
          <w:rFonts w:ascii="Arial" w:hAnsi="Arial" w:cs="Arial"/>
          <w:color w:val="auto"/>
        </w:rPr>
        <w:t xml:space="preserve">  przedkładanego projektu ustawy została zawarta propozycja stosowanej zmiany</w:t>
      </w:r>
    </w:p>
    <w:p w:rsidR="00EF0B47" w:rsidRPr="00202325" w:rsidRDefault="00EF0B47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Art. 2 ust. 1 pkt 2 ustawy z dnia 7 stycznia 1993 r. o planowaniu rodziny, ochronie płodu ludzkiego i warunkach dopuszczalności przerywania ciąży zawiera odesłanie do </w:t>
      </w:r>
      <w:r w:rsidR="00D222CB" w:rsidRPr="00202325">
        <w:rPr>
          <w:rFonts w:ascii="Arial" w:hAnsi="Arial" w:cs="Arial"/>
          <w:color w:val="auto"/>
        </w:rPr>
        <w:t xml:space="preserve">nieobowiązującej już </w:t>
      </w:r>
      <w:r w:rsidRPr="00202325">
        <w:rPr>
          <w:rFonts w:ascii="Arial" w:hAnsi="Arial" w:cs="Arial"/>
          <w:color w:val="auto"/>
        </w:rPr>
        <w:t xml:space="preserve">ustawy z dnia 29 listopada 1990 r. o pomocy społecznej. Utraciła ona moc obowiązującą na podstawie art. 160 ustawy z dnia 12 marca 2004 r. o pomocy społecznej. Uznanie, że odesłanie zawarte w treści art. 2 ust. 1 pkt 2 </w:t>
      </w:r>
      <w:r w:rsidR="00D222CB" w:rsidRPr="00202325">
        <w:rPr>
          <w:rFonts w:ascii="Arial" w:hAnsi="Arial" w:cs="Arial"/>
          <w:color w:val="auto"/>
        </w:rPr>
        <w:t xml:space="preserve">proponowanej do zmiany ustawy </w:t>
      </w:r>
      <w:r w:rsidRPr="00202325">
        <w:rPr>
          <w:rFonts w:ascii="Arial" w:hAnsi="Arial" w:cs="Arial"/>
          <w:color w:val="auto"/>
        </w:rPr>
        <w:t>należy</w:t>
      </w:r>
      <w:r w:rsidR="00D222CB" w:rsidRPr="00202325">
        <w:rPr>
          <w:rFonts w:ascii="Arial" w:hAnsi="Arial" w:cs="Arial"/>
          <w:color w:val="auto"/>
        </w:rPr>
        <w:t xml:space="preserve"> obecnie</w:t>
      </w:r>
      <w:r w:rsidRPr="00202325">
        <w:rPr>
          <w:rFonts w:ascii="Arial" w:hAnsi="Arial" w:cs="Arial"/>
          <w:color w:val="auto"/>
        </w:rPr>
        <w:t xml:space="preserve"> odczytywać jako odesłanie do us</w:t>
      </w:r>
      <w:r w:rsidR="00D222CB" w:rsidRPr="00202325">
        <w:rPr>
          <w:rFonts w:ascii="Arial" w:hAnsi="Arial" w:cs="Arial"/>
          <w:color w:val="auto"/>
        </w:rPr>
        <w:t xml:space="preserve">tawy z dnia 12 marca 2004 r. o pomocy społecznej </w:t>
      </w:r>
      <w:r w:rsidRPr="00202325">
        <w:rPr>
          <w:rFonts w:ascii="Arial" w:hAnsi="Arial" w:cs="Arial"/>
          <w:color w:val="auto"/>
        </w:rPr>
        <w:t>może budzić wątpliwości</w:t>
      </w:r>
      <w:r w:rsidR="00D222CB" w:rsidRPr="00202325">
        <w:rPr>
          <w:rFonts w:ascii="Arial" w:hAnsi="Arial" w:cs="Arial"/>
          <w:color w:val="auto"/>
        </w:rPr>
        <w:t>, ponieważ</w:t>
      </w:r>
      <w:r w:rsidRPr="00202325">
        <w:rPr>
          <w:rFonts w:ascii="Arial" w:hAnsi="Arial" w:cs="Arial"/>
          <w:color w:val="auto"/>
        </w:rPr>
        <w:t xml:space="preserve"> ustawa z 2004 r. nie zawiera przepisu, który nakazywałby traktować odesłania do ustawy z 1990 r. jako odesłania do ustawy z 2004 r.</w:t>
      </w:r>
      <w:r w:rsidR="00D222CB" w:rsidRPr="00202325">
        <w:rPr>
          <w:rFonts w:ascii="Arial" w:hAnsi="Arial" w:cs="Arial"/>
          <w:color w:val="auto"/>
        </w:rPr>
        <w:t xml:space="preserve"> Dlatego projektowana ustawa zawiera, w art.</w:t>
      </w:r>
      <w:r w:rsidR="007713A2" w:rsidRPr="00202325">
        <w:rPr>
          <w:rFonts w:ascii="Arial" w:hAnsi="Arial" w:cs="Arial"/>
          <w:color w:val="auto"/>
        </w:rPr>
        <w:t xml:space="preserve"> </w:t>
      </w:r>
      <w:r w:rsidR="001D0A9D" w:rsidRPr="00202325">
        <w:rPr>
          <w:rFonts w:ascii="Arial" w:hAnsi="Arial" w:cs="Arial"/>
          <w:color w:val="auto"/>
        </w:rPr>
        <w:t>8</w:t>
      </w:r>
      <w:r w:rsidR="00D222CB" w:rsidRPr="00202325">
        <w:rPr>
          <w:rFonts w:ascii="Arial" w:hAnsi="Arial" w:cs="Arial"/>
          <w:color w:val="auto"/>
        </w:rPr>
        <w:t xml:space="preserve">, propozycję </w:t>
      </w:r>
      <w:r w:rsidR="00595EDF" w:rsidRPr="00202325">
        <w:rPr>
          <w:rFonts w:ascii="Arial" w:hAnsi="Arial" w:cs="Arial"/>
          <w:color w:val="auto"/>
        </w:rPr>
        <w:t xml:space="preserve">odpowiedniej </w:t>
      </w:r>
      <w:r w:rsidR="00D222CB" w:rsidRPr="00202325">
        <w:rPr>
          <w:rFonts w:ascii="Arial" w:hAnsi="Arial" w:cs="Arial"/>
          <w:color w:val="auto"/>
        </w:rPr>
        <w:t xml:space="preserve"> zmiany.</w:t>
      </w:r>
    </w:p>
    <w:p w:rsidR="00EE48AB" w:rsidRPr="00202325" w:rsidRDefault="00EE48AB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P</w:t>
      </w:r>
      <w:r w:rsidR="00F168DF" w:rsidRPr="00202325">
        <w:rPr>
          <w:rFonts w:ascii="Arial" w:hAnsi="Arial" w:cs="Arial"/>
          <w:color w:val="auto"/>
        </w:rPr>
        <w:t xml:space="preserve">otrzebne wydaje się </w:t>
      </w:r>
      <w:r w:rsidR="00343D38" w:rsidRPr="00202325">
        <w:rPr>
          <w:rFonts w:ascii="Arial" w:hAnsi="Arial" w:cs="Arial"/>
          <w:color w:val="auto"/>
        </w:rPr>
        <w:t xml:space="preserve">także </w:t>
      </w:r>
      <w:r w:rsidR="00F168DF" w:rsidRPr="00202325">
        <w:rPr>
          <w:rFonts w:ascii="Arial" w:hAnsi="Arial" w:cs="Arial"/>
          <w:color w:val="auto"/>
        </w:rPr>
        <w:t xml:space="preserve">dokonanie analogicznej nowelizacji ustawy z dnia </w:t>
      </w:r>
      <w:r w:rsidRPr="00202325">
        <w:rPr>
          <w:rFonts w:ascii="Arial" w:hAnsi="Arial" w:cs="Arial"/>
          <w:color w:val="auto"/>
        </w:rPr>
        <w:t>29 sierpnia 1997 r. – Pr</w:t>
      </w:r>
      <w:r w:rsidR="00343D38" w:rsidRPr="00202325">
        <w:rPr>
          <w:rFonts w:ascii="Arial" w:hAnsi="Arial" w:cs="Arial"/>
          <w:color w:val="auto"/>
        </w:rPr>
        <w:t>aw</w:t>
      </w:r>
      <w:r w:rsidRPr="00202325">
        <w:rPr>
          <w:rFonts w:ascii="Arial" w:hAnsi="Arial" w:cs="Arial"/>
          <w:color w:val="auto"/>
        </w:rPr>
        <w:t xml:space="preserve">o bankowe, w której w art. 112 występuje termin: </w:t>
      </w:r>
      <w:r w:rsidR="00343D38" w:rsidRPr="00202325">
        <w:rPr>
          <w:rFonts w:ascii="Arial" w:hAnsi="Arial" w:cs="Arial"/>
          <w:color w:val="auto"/>
        </w:rPr>
        <w:t>„</w:t>
      </w:r>
      <w:r w:rsidRPr="00202325">
        <w:rPr>
          <w:rFonts w:ascii="Arial" w:hAnsi="Arial" w:cs="Arial"/>
          <w:color w:val="auto"/>
        </w:rPr>
        <w:t>Sąd Wojewódzki w Warszawie – Sąd Gospodarczy</w:t>
      </w:r>
      <w:r w:rsidR="00343D38" w:rsidRPr="00202325">
        <w:rPr>
          <w:rFonts w:ascii="Arial" w:hAnsi="Arial" w:cs="Arial"/>
          <w:color w:val="auto"/>
        </w:rPr>
        <w:t xml:space="preserve">” gdy właściwym jest termin: „Sąd Okręgowy w Warszawie – Sąd Gospodarczy”. Dlatego w art. </w:t>
      </w:r>
      <w:r w:rsidR="001D0A9D" w:rsidRPr="00202325">
        <w:rPr>
          <w:rFonts w:ascii="Arial" w:hAnsi="Arial" w:cs="Arial"/>
          <w:color w:val="auto"/>
        </w:rPr>
        <w:t>9</w:t>
      </w:r>
      <w:r w:rsidR="00343D38" w:rsidRPr="00202325">
        <w:rPr>
          <w:rFonts w:ascii="Arial" w:hAnsi="Arial" w:cs="Arial"/>
          <w:color w:val="auto"/>
        </w:rPr>
        <w:t xml:space="preserve"> przedkładanego projektu ustawy została zawarta propozycja stosowanej zmiany.</w:t>
      </w:r>
    </w:p>
    <w:p w:rsidR="00D63DEE" w:rsidRPr="00202325" w:rsidRDefault="00D63DEE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Art. 18 § 2 ustawy z dnia 15 września 2000 r. Kodeks spółek handlowych zawiera odesłanie do art. 585 tej ustawy. Jest to odesłanie błędne, bowiem przepis ten utracił moc z dniem 13 lipca 2011 r. na podstawie art. 3 ustawy z dnia 9 czerwca 2011 r. o zmianie ustawy - Kodeks karny oraz niektórych innych ustaw. Zawarta w art. </w:t>
      </w:r>
      <w:r w:rsidR="001D0A9D" w:rsidRPr="00202325">
        <w:rPr>
          <w:rFonts w:ascii="Arial" w:hAnsi="Arial" w:cs="Arial"/>
          <w:color w:val="auto"/>
        </w:rPr>
        <w:t>10</w:t>
      </w:r>
      <w:r w:rsidRPr="00202325">
        <w:rPr>
          <w:rFonts w:ascii="Arial" w:hAnsi="Arial" w:cs="Arial"/>
          <w:color w:val="auto"/>
        </w:rPr>
        <w:t xml:space="preserve"> propozycja zmierza do usunięcia odesłania do nieistniejącego przepisu.</w:t>
      </w:r>
    </w:p>
    <w:p w:rsidR="00F47571" w:rsidRPr="00202325" w:rsidRDefault="00F47571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Art. 2 ust. 2 pkt 5 ustawy z dnia 17 listopada 2006 r. o systemie oceny zgodności wyrobów przeznaczonych na potrzeby obronności i bezpieczeństwa </w:t>
      </w:r>
      <w:r w:rsidRPr="00202325">
        <w:rPr>
          <w:rFonts w:ascii="Arial" w:hAnsi="Arial" w:cs="Arial"/>
          <w:color w:val="auto"/>
        </w:rPr>
        <w:lastRenderedPageBreak/>
        <w:t>państwa zawiera odesłanie do nieobowiązującej ustawy z dnia 28 października 2002 r. o przewozie drogowym towarów niebezpiecznych, która utraciła moc na podstawie art. 134 pkt 1 ustawy z dnia 19 sierpnia 2011 r. o przewozie towarów niebezpiecznych. Proponowany art. 11 przedkładanego projektu ustawy zawiera odesłanie do aktualnie obowiązującej ustawy.</w:t>
      </w:r>
    </w:p>
    <w:p w:rsidR="007A407A" w:rsidRPr="00202325" w:rsidRDefault="007A407A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W art. 18 ust. 6, art. 20 ust. 5 i art. 21 ust. 5 ustawy z dnia 4 września 2008 r. o ochronie żeglugi i portów morskich znajduje się odesłanie do art. 15 ustawy z dnia 5 czerwca 1998 r. o administracji rządowej w województwie. Ustawa ta została uchylona z dniem 1 kwietnia 2009 r. na podstawie art. 82 ustawy z dnia 23 stycznia 2009 r. o wojewodzie i administracji rządowej w województwie, która weszła w życie z dniem 1 kwietnia 2009 r  Odpowiednikiem normy zawartej w art. 15 ustawy z 1998 r. jest art. 22 w ustawie z 2009 r. Z tego powodu w art. </w:t>
      </w:r>
      <w:r w:rsidR="002F4C2E" w:rsidRPr="00202325">
        <w:rPr>
          <w:rFonts w:ascii="Arial" w:hAnsi="Arial" w:cs="Arial"/>
          <w:color w:val="auto"/>
        </w:rPr>
        <w:t>1</w:t>
      </w:r>
      <w:r w:rsidR="00F47571" w:rsidRPr="00202325">
        <w:rPr>
          <w:rFonts w:ascii="Arial" w:hAnsi="Arial" w:cs="Arial"/>
          <w:color w:val="auto"/>
        </w:rPr>
        <w:t>2</w:t>
      </w:r>
      <w:r w:rsidRPr="00202325">
        <w:rPr>
          <w:rFonts w:ascii="Arial" w:hAnsi="Arial" w:cs="Arial"/>
          <w:color w:val="auto"/>
        </w:rPr>
        <w:t xml:space="preserve"> proponowanego projektu ustawy została zawarta propozycja </w:t>
      </w:r>
      <w:r w:rsidR="00E32980" w:rsidRPr="00202325">
        <w:rPr>
          <w:rFonts w:ascii="Arial" w:hAnsi="Arial" w:cs="Arial"/>
          <w:color w:val="auto"/>
        </w:rPr>
        <w:t xml:space="preserve">odpowiedniej </w:t>
      </w:r>
      <w:r w:rsidRPr="00202325">
        <w:rPr>
          <w:rFonts w:ascii="Arial" w:hAnsi="Arial" w:cs="Arial"/>
          <w:color w:val="auto"/>
        </w:rPr>
        <w:t>zmiany.</w:t>
      </w:r>
    </w:p>
    <w:p w:rsidR="00EE48AB" w:rsidRPr="00202325" w:rsidRDefault="002B02E1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Obecne brzmienie art. 6 ust. 2 ustawy z dnia 2 kwietnia 2009 r. o obywatelstwie polskim („Zmiany w ustaleniu osoby ojca, wynikające z orzeczenia sądu wydanego na skutek powództwa o zaprzeczenie ojcostwa albo o unieważnienie uznania, podlegają uwzględnieniu przy określeniu obywatelstwa małoletniego, chyba że małoletni osiągnął już pełnoletność lub za jego zgodą, jeżeli ukończył 16 lat.”) nie uwzględnia zmiany dokonanej ustawą z dnia 6 listopada 2008 r. o zmianie ustawy – Kodeks rodzinny i opiekuńczy oraz niektórych innych ustaw, która spowodowała zastąpienie instytucji unieważnienia uznania ojcostwa ustaleniem bezskuteczności uznania ojcostwa. Wprawdzie w art. 7 ust. 1 wskazanej ustawy z 2008 r. zawarto postanowienie, że ilekroć w dotychczasowych przepisach jest mowa o uznaniu dziecka należy przez to rozumieć uznanie ojcostwa, a gdy mowa jest o unieważnieniu uznania, należy przez to rozumieć ustalenie bezskuteczności uznania – dla przejrzystości prawa celowym jest zapewnienie spójności terminologicznej w tak ważnym akcie prawnym. Dlatego zawarta w art. 1</w:t>
      </w:r>
      <w:r w:rsidR="00F47571" w:rsidRPr="00202325">
        <w:rPr>
          <w:rFonts w:ascii="Arial" w:hAnsi="Arial" w:cs="Arial"/>
          <w:color w:val="auto"/>
        </w:rPr>
        <w:t>3</w:t>
      </w:r>
      <w:r w:rsidRPr="00202325">
        <w:rPr>
          <w:rFonts w:ascii="Arial" w:hAnsi="Arial" w:cs="Arial"/>
          <w:color w:val="auto"/>
        </w:rPr>
        <w:t xml:space="preserve"> proponowanej ustawy propozycja ma na celu nadanie nowego brzmienia omawianego przepisu, zawierającego aktualną terminologię.  </w:t>
      </w:r>
    </w:p>
    <w:p w:rsidR="00242138" w:rsidRPr="00202325" w:rsidRDefault="00242138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</w:p>
    <w:p w:rsidR="00242138" w:rsidRPr="00202325" w:rsidRDefault="00242138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</w:p>
    <w:p w:rsidR="00242138" w:rsidRPr="00202325" w:rsidRDefault="00242138" w:rsidP="008477BF">
      <w:pPr>
        <w:pStyle w:val="Default"/>
        <w:spacing w:after="120" w:line="360" w:lineRule="auto"/>
        <w:ind w:firstLine="708"/>
        <w:jc w:val="both"/>
        <w:rPr>
          <w:rFonts w:ascii="Arial" w:hAnsi="Arial" w:cs="Arial"/>
          <w:color w:val="auto"/>
        </w:rPr>
      </w:pPr>
    </w:p>
    <w:p w:rsidR="005F5827" w:rsidRPr="00202325" w:rsidRDefault="00E046CE" w:rsidP="008477BF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202325">
        <w:rPr>
          <w:rStyle w:val="Ppogrubienie"/>
          <w:rFonts w:ascii="Arial" w:hAnsi="Arial"/>
          <w:szCs w:val="24"/>
        </w:rPr>
        <w:lastRenderedPageBreak/>
        <w:t>3</w:t>
      </w:r>
      <w:r w:rsidR="005F5827" w:rsidRPr="00202325">
        <w:rPr>
          <w:rStyle w:val="Ppogrubienie"/>
          <w:rFonts w:ascii="Arial" w:hAnsi="Arial"/>
          <w:szCs w:val="24"/>
        </w:rPr>
        <w:t>.</w:t>
      </w:r>
      <w:r w:rsidR="005F5827" w:rsidRPr="00202325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5F5827" w:rsidRPr="00202325" w:rsidRDefault="005F5827" w:rsidP="008477BF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  <w:r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Zasadniczym skutkiem społecznym </w:t>
      </w:r>
      <w:r w:rsidR="002129D2"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i prawnym </w:t>
      </w:r>
      <w:r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projektowanej ustawy będzie </w:t>
      </w:r>
      <w:r w:rsidR="002129D2"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poprawa spójności i przejrzystości systemu prawnego</w:t>
      </w:r>
      <w:r w:rsidRPr="00202325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.</w:t>
      </w:r>
    </w:p>
    <w:p w:rsidR="00E046CE" w:rsidRPr="00202325" w:rsidRDefault="00E046CE" w:rsidP="008477BF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202325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Ze względu na swój charakter i ograniczony zasięg ustawa nie wywoła </w:t>
      </w:r>
      <w:r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skutków gospodarczych, </w:t>
      </w:r>
      <w:r w:rsidR="00202325"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nie wywoła także skutków finansowych, w tym nie będzie miała wpływu na finanse sektora publicznego</w:t>
      </w:r>
      <w:r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.</w:t>
      </w:r>
      <w:r w:rsidR="00D74BC1"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Nie będzie miała także wpływu na </w:t>
      </w:r>
      <w:r w:rsidR="00202325" w:rsidRPr="00202325">
        <w:rPr>
          <w:rFonts w:ascii="Arial" w:hAnsi="Arial"/>
          <w:szCs w:val="24"/>
        </w:rPr>
        <w:t xml:space="preserve">majątkowe prawa i obowiązki przedsiębiorców lub prawa i obowiązki przedsiębiorców wobec organów administracji publicznej, </w:t>
      </w:r>
      <w:r w:rsidR="00D74BC1"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w tym mikroprzedsiębiorców oraz małych i średnich przedsiębiorstw.</w:t>
      </w:r>
    </w:p>
    <w:p w:rsidR="00060267" w:rsidRPr="00202325" w:rsidRDefault="002129D2" w:rsidP="008477BF">
      <w:pPr>
        <w:pStyle w:val="PKTpunkt"/>
        <w:spacing w:after="120"/>
        <w:ind w:left="0" w:firstLine="0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20232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</w:p>
    <w:p w:rsidR="005F5827" w:rsidRPr="00202325" w:rsidRDefault="00E046CE" w:rsidP="008477BF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202325">
        <w:rPr>
          <w:rStyle w:val="Ppogrubienie"/>
          <w:rFonts w:ascii="Arial" w:hAnsi="Arial"/>
          <w:szCs w:val="24"/>
        </w:rPr>
        <w:t>4</w:t>
      </w:r>
      <w:r w:rsidR="005F5827" w:rsidRPr="00202325">
        <w:rPr>
          <w:rStyle w:val="Ppogrubienie"/>
          <w:rFonts w:ascii="Arial" w:hAnsi="Arial"/>
          <w:szCs w:val="24"/>
        </w:rPr>
        <w:t>.</w:t>
      </w:r>
      <w:r w:rsidR="005F5827" w:rsidRPr="00202325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D86056" w:rsidRPr="00202325" w:rsidRDefault="005F5827" w:rsidP="008477BF">
      <w:pPr>
        <w:pStyle w:val="PKTpunkt"/>
        <w:spacing w:after="120"/>
        <w:ind w:left="0" w:firstLine="708"/>
        <w:rPr>
          <w:rStyle w:val="Ppogrubienie"/>
          <w:rFonts w:ascii="Arial" w:eastAsia="Calibri" w:hAnsi="Arial" w:cstheme="minorBidi"/>
          <w:b w:val="0"/>
          <w:sz w:val="22"/>
        </w:rPr>
      </w:pPr>
      <w:r w:rsidRPr="00202325">
        <w:rPr>
          <w:rStyle w:val="Ppogrubienie"/>
          <w:rFonts w:ascii="Arial" w:eastAsia="Calibri" w:hAnsi="Arial"/>
          <w:b w:val="0"/>
          <w:bCs w:val="0"/>
          <w:szCs w:val="24"/>
        </w:rPr>
        <w:t>Przedmiot projektowanej</w:t>
      </w:r>
      <w:r w:rsidRPr="00202325">
        <w:rPr>
          <w:rStyle w:val="Ppogrubienie"/>
          <w:rFonts w:ascii="Arial" w:eastAsia="Calibri" w:hAnsi="Arial"/>
          <w:b w:val="0"/>
          <w:bCs w:val="0"/>
        </w:rPr>
        <w:t xml:space="preserve"> regulacji nie jest objęty prawem Unii Europejskiej</w:t>
      </w:r>
      <w:r w:rsidR="00E046CE" w:rsidRPr="00202325">
        <w:rPr>
          <w:rStyle w:val="Ppogrubienie"/>
          <w:rFonts w:ascii="Arial" w:eastAsia="Calibri" w:hAnsi="Arial"/>
          <w:b w:val="0"/>
          <w:bCs w:val="0"/>
        </w:rPr>
        <w:t>.</w:t>
      </w:r>
    </w:p>
    <w:sectPr w:rsidR="00D86056" w:rsidRPr="00202325" w:rsidSect="009E2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4B4" w:rsidRDefault="003E24B4" w:rsidP="000449FE">
      <w:pPr>
        <w:spacing w:after="0" w:line="240" w:lineRule="auto"/>
      </w:pPr>
      <w:r>
        <w:separator/>
      </w:r>
    </w:p>
  </w:endnote>
  <w:endnote w:type="continuationSeparator" w:id="0">
    <w:p w:rsidR="003E24B4" w:rsidRDefault="003E24B4" w:rsidP="00044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4B4" w:rsidRDefault="003E24B4" w:rsidP="000449FE">
      <w:pPr>
        <w:spacing w:after="0" w:line="240" w:lineRule="auto"/>
      </w:pPr>
      <w:r>
        <w:separator/>
      </w:r>
    </w:p>
  </w:footnote>
  <w:footnote w:type="continuationSeparator" w:id="0">
    <w:p w:rsidR="003E24B4" w:rsidRDefault="003E24B4" w:rsidP="00044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0D28"/>
    <w:multiLevelType w:val="hybridMultilevel"/>
    <w:tmpl w:val="2236E2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051B4"/>
    <w:multiLevelType w:val="hybridMultilevel"/>
    <w:tmpl w:val="B2E4730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49FE"/>
    <w:rsid w:val="00003C2E"/>
    <w:rsid w:val="000138C7"/>
    <w:rsid w:val="000449FE"/>
    <w:rsid w:val="000479A3"/>
    <w:rsid w:val="00060267"/>
    <w:rsid w:val="000A2A4D"/>
    <w:rsid w:val="000D552D"/>
    <w:rsid w:val="000F4AAF"/>
    <w:rsid w:val="001166A7"/>
    <w:rsid w:val="001262FB"/>
    <w:rsid w:val="00144770"/>
    <w:rsid w:val="00147B9D"/>
    <w:rsid w:val="00160356"/>
    <w:rsid w:val="00161BB2"/>
    <w:rsid w:val="00174AB4"/>
    <w:rsid w:val="00191904"/>
    <w:rsid w:val="001A1278"/>
    <w:rsid w:val="001B3382"/>
    <w:rsid w:val="001C382A"/>
    <w:rsid w:val="001D0A9D"/>
    <w:rsid w:val="001D29F8"/>
    <w:rsid w:val="001E27DA"/>
    <w:rsid w:val="001E415E"/>
    <w:rsid w:val="001F477F"/>
    <w:rsid w:val="001F6CD0"/>
    <w:rsid w:val="00202325"/>
    <w:rsid w:val="002129D2"/>
    <w:rsid w:val="00225E4C"/>
    <w:rsid w:val="00233D24"/>
    <w:rsid w:val="00234AC6"/>
    <w:rsid w:val="002356B7"/>
    <w:rsid w:val="0023718E"/>
    <w:rsid w:val="00240BD8"/>
    <w:rsid w:val="00242138"/>
    <w:rsid w:val="002B02E1"/>
    <w:rsid w:val="002E111B"/>
    <w:rsid w:val="002F0BCD"/>
    <w:rsid w:val="002F4C2E"/>
    <w:rsid w:val="00301487"/>
    <w:rsid w:val="0033463A"/>
    <w:rsid w:val="00343D38"/>
    <w:rsid w:val="00344575"/>
    <w:rsid w:val="00351632"/>
    <w:rsid w:val="00393627"/>
    <w:rsid w:val="00393A97"/>
    <w:rsid w:val="003A1AC8"/>
    <w:rsid w:val="003C3BA9"/>
    <w:rsid w:val="003E24B4"/>
    <w:rsid w:val="003E334F"/>
    <w:rsid w:val="004275E2"/>
    <w:rsid w:val="004678DE"/>
    <w:rsid w:val="00475709"/>
    <w:rsid w:val="004803B9"/>
    <w:rsid w:val="004A6FF6"/>
    <w:rsid w:val="004C296E"/>
    <w:rsid w:val="004C4A9F"/>
    <w:rsid w:val="004E0D54"/>
    <w:rsid w:val="004E2845"/>
    <w:rsid w:val="00501504"/>
    <w:rsid w:val="00501517"/>
    <w:rsid w:val="00505E4A"/>
    <w:rsid w:val="00506F08"/>
    <w:rsid w:val="00514F4B"/>
    <w:rsid w:val="00546CBE"/>
    <w:rsid w:val="00560AFE"/>
    <w:rsid w:val="00570B2B"/>
    <w:rsid w:val="00592613"/>
    <w:rsid w:val="00595EDF"/>
    <w:rsid w:val="005965FB"/>
    <w:rsid w:val="005F23AB"/>
    <w:rsid w:val="005F3E37"/>
    <w:rsid w:val="005F5827"/>
    <w:rsid w:val="00602EB4"/>
    <w:rsid w:val="00604A2D"/>
    <w:rsid w:val="00637344"/>
    <w:rsid w:val="006646D9"/>
    <w:rsid w:val="00667D04"/>
    <w:rsid w:val="0068642A"/>
    <w:rsid w:val="0069300A"/>
    <w:rsid w:val="006A0291"/>
    <w:rsid w:val="006A16ED"/>
    <w:rsid w:val="006B4049"/>
    <w:rsid w:val="006C4490"/>
    <w:rsid w:val="00711EA0"/>
    <w:rsid w:val="00736C34"/>
    <w:rsid w:val="0074400C"/>
    <w:rsid w:val="00747100"/>
    <w:rsid w:val="007713A2"/>
    <w:rsid w:val="00782E01"/>
    <w:rsid w:val="00783981"/>
    <w:rsid w:val="00790370"/>
    <w:rsid w:val="007A3ECE"/>
    <w:rsid w:val="007A407A"/>
    <w:rsid w:val="007D0193"/>
    <w:rsid w:val="007E6B5D"/>
    <w:rsid w:val="007F1921"/>
    <w:rsid w:val="00806E16"/>
    <w:rsid w:val="00813E55"/>
    <w:rsid w:val="0081579E"/>
    <w:rsid w:val="008305DD"/>
    <w:rsid w:val="00831B2C"/>
    <w:rsid w:val="008477BF"/>
    <w:rsid w:val="0086722A"/>
    <w:rsid w:val="00893D8D"/>
    <w:rsid w:val="008A48E5"/>
    <w:rsid w:val="008A7A9F"/>
    <w:rsid w:val="008D3093"/>
    <w:rsid w:val="008D4655"/>
    <w:rsid w:val="008E54DC"/>
    <w:rsid w:val="008F31B7"/>
    <w:rsid w:val="00902004"/>
    <w:rsid w:val="00907382"/>
    <w:rsid w:val="00912C42"/>
    <w:rsid w:val="00921ED6"/>
    <w:rsid w:val="009438F2"/>
    <w:rsid w:val="00944A9B"/>
    <w:rsid w:val="00947E04"/>
    <w:rsid w:val="009553A2"/>
    <w:rsid w:val="009743F1"/>
    <w:rsid w:val="00976553"/>
    <w:rsid w:val="00983A06"/>
    <w:rsid w:val="009921D2"/>
    <w:rsid w:val="009B0A95"/>
    <w:rsid w:val="009C2100"/>
    <w:rsid w:val="009E21A0"/>
    <w:rsid w:val="009E264B"/>
    <w:rsid w:val="00A237D6"/>
    <w:rsid w:val="00A37B50"/>
    <w:rsid w:val="00A63953"/>
    <w:rsid w:val="00A66430"/>
    <w:rsid w:val="00AB00BE"/>
    <w:rsid w:val="00AF16B6"/>
    <w:rsid w:val="00AF2964"/>
    <w:rsid w:val="00AF55C2"/>
    <w:rsid w:val="00B12FBB"/>
    <w:rsid w:val="00B2534A"/>
    <w:rsid w:val="00B259CF"/>
    <w:rsid w:val="00B355BF"/>
    <w:rsid w:val="00B648A8"/>
    <w:rsid w:val="00B72A8F"/>
    <w:rsid w:val="00BE693B"/>
    <w:rsid w:val="00C05E83"/>
    <w:rsid w:val="00C111E5"/>
    <w:rsid w:val="00C22678"/>
    <w:rsid w:val="00C414E7"/>
    <w:rsid w:val="00C41F87"/>
    <w:rsid w:val="00C560F8"/>
    <w:rsid w:val="00C70995"/>
    <w:rsid w:val="00C82308"/>
    <w:rsid w:val="00C90D46"/>
    <w:rsid w:val="00C92A45"/>
    <w:rsid w:val="00CA55CF"/>
    <w:rsid w:val="00CB54E1"/>
    <w:rsid w:val="00CD4927"/>
    <w:rsid w:val="00D07D3D"/>
    <w:rsid w:val="00D222CB"/>
    <w:rsid w:val="00D26A21"/>
    <w:rsid w:val="00D40FAC"/>
    <w:rsid w:val="00D61515"/>
    <w:rsid w:val="00D63DEE"/>
    <w:rsid w:val="00D74BC1"/>
    <w:rsid w:val="00D86056"/>
    <w:rsid w:val="00D90B71"/>
    <w:rsid w:val="00D939D5"/>
    <w:rsid w:val="00DF3462"/>
    <w:rsid w:val="00E046CE"/>
    <w:rsid w:val="00E07212"/>
    <w:rsid w:val="00E3001D"/>
    <w:rsid w:val="00E32980"/>
    <w:rsid w:val="00E53B95"/>
    <w:rsid w:val="00E610F6"/>
    <w:rsid w:val="00E9023F"/>
    <w:rsid w:val="00E90B07"/>
    <w:rsid w:val="00E978A7"/>
    <w:rsid w:val="00EE48AB"/>
    <w:rsid w:val="00EF0B47"/>
    <w:rsid w:val="00EF6237"/>
    <w:rsid w:val="00EF7604"/>
    <w:rsid w:val="00EF796F"/>
    <w:rsid w:val="00F065CE"/>
    <w:rsid w:val="00F159ED"/>
    <w:rsid w:val="00F168DF"/>
    <w:rsid w:val="00F47571"/>
    <w:rsid w:val="00F56DC4"/>
    <w:rsid w:val="00F62EA6"/>
    <w:rsid w:val="00F92494"/>
    <w:rsid w:val="00FC0869"/>
    <w:rsid w:val="00FD15BE"/>
    <w:rsid w:val="00FD5A2A"/>
    <w:rsid w:val="00FD5F1C"/>
    <w:rsid w:val="00F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7787E-93BF-4FF8-8752-1E28830E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0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449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49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4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49FE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582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5F5827"/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5F582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5F582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5F582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hAnsi="Times" w:cs="Arial"/>
      <w:bCs/>
      <w:sz w:val="24"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5F582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5F5827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43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43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43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3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3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3F1"/>
    <w:rPr>
      <w:rFonts w:ascii="Segoe UI" w:hAnsi="Segoe UI" w:cs="Segoe UI"/>
      <w:sz w:val="18"/>
      <w:szCs w:val="18"/>
    </w:rPr>
  </w:style>
  <w:style w:type="paragraph" w:customStyle="1" w:styleId="Notatkanamarginesie">
    <w:name w:val="Notatka na marginesie"/>
    <w:basedOn w:val="Normalny"/>
    <w:qFormat/>
    <w:rsid w:val="00637344"/>
    <w:pPr>
      <w:spacing w:after="0" w:line="240" w:lineRule="auto"/>
      <w:jc w:val="both"/>
    </w:pPr>
    <w:rPr>
      <w:rFonts w:ascii="Times" w:eastAsia="Times New Roman" w:hAnsi="Times" w:cs="Times New Roman"/>
      <w:sz w:val="20"/>
      <w:szCs w:val="20"/>
    </w:rPr>
  </w:style>
  <w:style w:type="character" w:customStyle="1" w:styleId="Kkursywa">
    <w:name w:val="_K_ – kursywa"/>
    <w:basedOn w:val="Domylnaczcionkaakapitu"/>
    <w:uiPriority w:val="1"/>
    <w:qFormat/>
    <w:rsid w:val="008D3093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8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922BA-4987-4FDE-AF03-9E1078891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1395</Words>
  <Characters>8376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Pater</dc:creator>
  <cp:lastModifiedBy>Grzegorz Molesztak</cp:lastModifiedBy>
  <cp:revision>5</cp:revision>
  <cp:lastPrinted>2020-01-31T08:37:00Z</cp:lastPrinted>
  <dcterms:created xsi:type="dcterms:W3CDTF">2020-02-06T23:48:00Z</dcterms:created>
  <dcterms:modified xsi:type="dcterms:W3CDTF">2020-11-18T10:12:00Z</dcterms:modified>
</cp:coreProperties>
</file>