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094" w:rsidRDefault="00E04094" w:rsidP="00B6638B">
      <w:pPr>
        <w:pStyle w:val="PKTpunkt"/>
        <w:spacing w:after="120"/>
        <w:jc w:val="center"/>
        <w:rPr>
          <w:rStyle w:val="Ppogrubienie"/>
          <w:rFonts w:ascii="Arial" w:hAnsi="Arial"/>
          <w:szCs w:val="24"/>
        </w:rPr>
      </w:pPr>
      <w:bookmarkStart w:id="0" w:name="_GoBack"/>
      <w:bookmarkEnd w:id="0"/>
      <w:r>
        <w:rPr>
          <w:rStyle w:val="Ppogrubienie"/>
          <w:rFonts w:ascii="Arial" w:hAnsi="Arial"/>
          <w:szCs w:val="24"/>
        </w:rPr>
        <w:t>UZASADNIENIE</w:t>
      </w:r>
    </w:p>
    <w:p w:rsidR="00E04094" w:rsidRDefault="00E04094" w:rsidP="00B6638B">
      <w:pPr>
        <w:pStyle w:val="PKTpunkt"/>
        <w:spacing w:after="120"/>
        <w:rPr>
          <w:rStyle w:val="Ppogrubienie"/>
          <w:rFonts w:ascii="Arial" w:hAnsi="Arial"/>
          <w:szCs w:val="24"/>
        </w:rPr>
      </w:pPr>
    </w:p>
    <w:p w:rsidR="00E04094" w:rsidRPr="00513E77" w:rsidRDefault="00E04094" w:rsidP="00B6638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Pr="00513E77">
        <w:rPr>
          <w:rStyle w:val="Ppogrubienie"/>
          <w:rFonts w:ascii="Arial" w:hAnsi="Arial"/>
          <w:szCs w:val="24"/>
        </w:rPr>
        <w:tab/>
        <w:t>Potrzeba i cel uchwalenia ustawy</w:t>
      </w:r>
    </w:p>
    <w:p w:rsidR="00E04094" w:rsidRDefault="00E04094" w:rsidP="00B6638B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13E77">
        <w:rPr>
          <w:rFonts w:ascii="Arial" w:hAnsi="Arial" w:cs="Arial"/>
          <w:sz w:val="24"/>
          <w:szCs w:val="24"/>
        </w:rPr>
        <w:t>Projektowana ustawa jest reakcją Komisji do Spraw Petycji Sejmu</w:t>
      </w:r>
      <w:r w:rsidRPr="009064D5">
        <w:rPr>
          <w:rFonts w:ascii="Arial" w:hAnsi="Arial" w:cs="Arial"/>
          <w:sz w:val="24"/>
          <w:szCs w:val="24"/>
        </w:rPr>
        <w:t xml:space="preserve"> RP na petycję skierowaną do Sejmu RP</w:t>
      </w:r>
      <w:r>
        <w:rPr>
          <w:rFonts w:ascii="Arial" w:hAnsi="Arial" w:cs="Arial"/>
          <w:sz w:val="24"/>
          <w:szCs w:val="24"/>
        </w:rPr>
        <w:t xml:space="preserve"> Nr </w:t>
      </w:r>
      <w:r w:rsidRPr="00040158">
        <w:rPr>
          <w:rFonts w:ascii="Arial" w:hAnsi="Arial" w:cs="Arial"/>
          <w:sz w:val="24"/>
          <w:szCs w:val="24"/>
        </w:rPr>
        <w:t>BKSP-145-38</w:t>
      </w:r>
      <w:r w:rsidR="00072DE6">
        <w:rPr>
          <w:rFonts w:ascii="Arial" w:hAnsi="Arial" w:cs="Arial"/>
          <w:sz w:val="24"/>
          <w:szCs w:val="24"/>
        </w:rPr>
        <w:t>1</w:t>
      </w:r>
      <w:r w:rsidRPr="00040158">
        <w:rPr>
          <w:rFonts w:ascii="Arial" w:hAnsi="Arial" w:cs="Arial"/>
          <w:sz w:val="24"/>
          <w:szCs w:val="24"/>
        </w:rPr>
        <w:t>/18</w:t>
      </w:r>
      <w:r>
        <w:rPr>
          <w:rFonts w:ascii="Arial" w:hAnsi="Arial" w:cs="Arial"/>
          <w:sz w:val="24"/>
          <w:szCs w:val="24"/>
        </w:rPr>
        <w:t xml:space="preserve"> </w:t>
      </w:r>
      <w:r w:rsidR="007D4034">
        <w:rPr>
          <w:rFonts w:ascii="Arial" w:hAnsi="Arial" w:cs="Arial"/>
          <w:sz w:val="24"/>
          <w:szCs w:val="24"/>
        </w:rPr>
        <w:t xml:space="preserve">(autor petycji nie wyraził zgody na ujawnienie danych osobowych) </w:t>
      </w:r>
      <w:r w:rsidR="00494393">
        <w:rPr>
          <w:rFonts w:ascii="Arial" w:hAnsi="Arial" w:cs="Arial"/>
          <w:sz w:val="24"/>
          <w:szCs w:val="24"/>
        </w:rPr>
        <w:t xml:space="preserve">oraz Komisji do Spraw Petycji IX kadencji </w:t>
      </w:r>
      <w:r w:rsidR="007D4034">
        <w:rPr>
          <w:rFonts w:ascii="Arial" w:hAnsi="Arial" w:cs="Arial"/>
          <w:sz w:val="24"/>
          <w:szCs w:val="24"/>
        </w:rPr>
        <w:t xml:space="preserve">na </w:t>
      </w:r>
      <w:r w:rsidR="00494393">
        <w:rPr>
          <w:rFonts w:ascii="Arial" w:hAnsi="Arial" w:cs="Arial"/>
          <w:sz w:val="24"/>
          <w:szCs w:val="24"/>
        </w:rPr>
        <w:t xml:space="preserve">petycję </w:t>
      </w:r>
      <w:r w:rsidR="007D4034">
        <w:rPr>
          <w:rFonts w:ascii="Arial" w:hAnsi="Arial" w:cs="Arial"/>
          <w:sz w:val="24"/>
          <w:szCs w:val="24"/>
        </w:rPr>
        <w:t xml:space="preserve">Nr </w:t>
      </w:r>
      <w:r w:rsidR="007D4034" w:rsidRPr="00040158">
        <w:rPr>
          <w:rFonts w:ascii="Arial" w:hAnsi="Arial" w:cs="Arial"/>
          <w:sz w:val="24"/>
          <w:szCs w:val="24"/>
        </w:rPr>
        <w:t>BKSP-145-</w:t>
      </w:r>
      <w:r w:rsidR="007D4034">
        <w:rPr>
          <w:rFonts w:ascii="Arial" w:hAnsi="Arial" w:cs="Arial"/>
          <w:sz w:val="24"/>
          <w:szCs w:val="24"/>
        </w:rPr>
        <w:t>IX-29</w:t>
      </w:r>
      <w:r w:rsidR="007D4034" w:rsidRPr="00040158">
        <w:rPr>
          <w:rFonts w:ascii="Arial" w:hAnsi="Arial" w:cs="Arial"/>
          <w:sz w:val="24"/>
          <w:szCs w:val="24"/>
        </w:rPr>
        <w:t>/1</w:t>
      </w:r>
      <w:r w:rsidR="007D4034">
        <w:rPr>
          <w:rFonts w:ascii="Arial" w:hAnsi="Arial" w:cs="Arial"/>
          <w:sz w:val="24"/>
          <w:szCs w:val="24"/>
        </w:rPr>
        <w:t>9 (wniesioną przez p. Józefa Bogdaszewskiego) oraz petycję</w:t>
      </w:r>
      <w:r w:rsidR="007D4034" w:rsidRPr="007D4034">
        <w:rPr>
          <w:rFonts w:ascii="Arial" w:hAnsi="Arial" w:cs="Arial"/>
          <w:sz w:val="24"/>
          <w:szCs w:val="24"/>
        </w:rPr>
        <w:t xml:space="preserve"> </w:t>
      </w:r>
      <w:r w:rsidR="007D4034">
        <w:rPr>
          <w:rFonts w:ascii="Arial" w:hAnsi="Arial" w:cs="Arial"/>
          <w:sz w:val="24"/>
          <w:szCs w:val="24"/>
        </w:rPr>
        <w:t xml:space="preserve">Nr </w:t>
      </w:r>
      <w:r w:rsidR="007D4034" w:rsidRPr="00040158">
        <w:rPr>
          <w:rFonts w:ascii="Arial" w:hAnsi="Arial" w:cs="Arial"/>
          <w:sz w:val="24"/>
          <w:szCs w:val="24"/>
        </w:rPr>
        <w:t>BKSP-145-</w:t>
      </w:r>
      <w:r w:rsidR="007D4034">
        <w:rPr>
          <w:rFonts w:ascii="Arial" w:hAnsi="Arial" w:cs="Arial"/>
          <w:sz w:val="24"/>
          <w:szCs w:val="24"/>
        </w:rPr>
        <w:t>IX-</w:t>
      </w:r>
      <w:r w:rsidR="007D4034" w:rsidRPr="00040158">
        <w:rPr>
          <w:rFonts w:ascii="Arial" w:hAnsi="Arial" w:cs="Arial"/>
          <w:sz w:val="24"/>
          <w:szCs w:val="24"/>
        </w:rPr>
        <w:t>3</w:t>
      </w:r>
      <w:r w:rsidR="007D4034">
        <w:rPr>
          <w:rFonts w:ascii="Arial" w:hAnsi="Arial" w:cs="Arial"/>
          <w:sz w:val="24"/>
          <w:szCs w:val="24"/>
        </w:rPr>
        <w:t>7</w:t>
      </w:r>
      <w:r w:rsidR="007D4034" w:rsidRPr="00040158">
        <w:rPr>
          <w:rFonts w:ascii="Arial" w:hAnsi="Arial" w:cs="Arial"/>
          <w:sz w:val="24"/>
          <w:szCs w:val="24"/>
        </w:rPr>
        <w:t>/1</w:t>
      </w:r>
      <w:r w:rsidR="007D4034">
        <w:rPr>
          <w:rFonts w:ascii="Arial" w:hAnsi="Arial" w:cs="Arial"/>
          <w:sz w:val="24"/>
          <w:szCs w:val="24"/>
        </w:rPr>
        <w:t>9 (autor petycji nie wyraził zgody na ujawnienie danych osobowych)</w:t>
      </w:r>
      <w:r w:rsidR="005C1063">
        <w:rPr>
          <w:rFonts w:ascii="Arial" w:hAnsi="Arial" w:cs="Arial"/>
          <w:sz w:val="24"/>
          <w:szCs w:val="24"/>
        </w:rPr>
        <w:t>. Komisj</w:t>
      </w:r>
      <w:r w:rsidR="00494393">
        <w:rPr>
          <w:rFonts w:ascii="Arial" w:hAnsi="Arial" w:cs="Arial"/>
          <w:sz w:val="24"/>
          <w:szCs w:val="24"/>
        </w:rPr>
        <w:t>e</w:t>
      </w:r>
      <w:r w:rsidR="005C1063">
        <w:rPr>
          <w:rFonts w:ascii="Arial" w:hAnsi="Arial" w:cs="Arial"/>
          <w:sz w:val="24"/>
          <w:szCs w:val="24"/>
        </w:rPr>
        <w:t xml:space="preserve"> </w:t>
      </w:r>
      <w:r w:rsidR="00494393">
        <w:rPr>
          <w:rFonts w:ascii="Arial" w:hAnsi="Arial" w:cs="Arial"/>
          <w:sz w:val="24"/>
          <w:szCs w:val="24"/>
        </w:rPr>
        <w:t>uznały</w:t>
      </w:r>
      <w:r>
        <w:rPr>
          <w:rFonts w:ascii="Arial" w:hAnsi="Arial" w:cs="Arial"/>
          <w:sz w:val="24"/>
          <w:szCs w:val="24"/>
        </w:rPr>
        <w:t xml:space="preserve"> za zasadne przedłożenie projektu ustawy, zmierzającego do rozwiązania problemu wskazanego w petycj</w:t>
      </w:r>
      <w:r w:rsidR="00494393">
        <w:rPr>
          <w:rFonts w:ascii="Arial" w:hAnsi="Arial" w:cs="Arial"/>
          <w:sz w:val="24"/>
          <w:szCs w:val="24"/>
        </w:rPr>
        <w:t>ach</w:t>
      </w:r>
      <w:r>
        <w:rPr>
          <w:rFonts w:ascii="Arial" w:hAnsi="Arial" w:cs="Arial"/>
          <w:sz w:val="24"/>
          <w:szCs w:val="24"/>
        </w:rPr>
        <w:t xml:space="preserve">. </w:t>
      </w:r>
    </w:p>
    <w:p w:rsidR="00E04094" w:rsidRDefault="00E04094" w:rsidP="00B6638B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Celem</w:t>
      </w:r>
      <w:r w:rsidR="00E25D30">
        <w:rPr>
          <w:rFonts w:ascii="Arial" w:hAnsi="Arial" w:cs="Arial"/>
          <w:sz w:val="24"/>
          <w:szCs w:val="24"/>
        </w:rPr>
        <w:t xml:space="preserve"> projektowanej </w:t>
      </w:r>
      <w:r w:rsidRPr="009064D5">
        <w:rPr>
          <w:rFonts w:ascii="Arial" w:hAnsi="Arial" w:cs="Arial"/>
          <w:sz w:val="24"/>
          <w:szCs w:val="24"/>
        </w:rPr>
        <w:t>ustawy jest</w:t>
      </w:r>
      <w:r>
        <w:rPr>
          <w:rFonts w:ascii="Arial" w:hAnsi="Arial" w:cs="Arial"/>
          <w:sz w:val="24"/>
          <w:szCs w:val="24"/>
        </w:rPr>
        <w:t xml:space="preserve"> </w:t>
      </w:r>
      <w:r w:rsidR="00E25D30">
        <w:rPr>
          <w:rFonts w:ascii="Arial" w:hAnsi="Arial" w:cs="Arial"/>
          <w:sz w:val="24"/>
          <w:szCs w:val="24"/>
        </w:rPr>
        <w:t>zrównanie kwoty świadczeń, którą mogą otrzymać osoby sprawujące przez całe życie opiekę nad swoim niepełnosprawnym dzieckiem</w:t>
      </w:r>
      <w:r w:rsidR="009E76DC">
        <w:rPr>
          <w:rFonts w:ascii="Arial" w:hAnsi="Arial" w:cs="Arial"/>
          <w:sz w:val="24"/>
          <w:szCs w:val="24"/>
        </w:rPr>
        <w:t>,</w:t>
      </w:r>
      <w:r w:rsidR="00E25D30">
        <w:rPr>
          <w:rFonts w:ascii="Arial" w:hAnsi="Arial" w:cs="Arial"/>
          <w:sz w:val="24"/>
          <w:szCs w:val="24"/>
        </w:rPr>
        <w:t xml:space="preserve"> a obecnie pobierające rentę lub emeryturę</w:t>
      </w:r>
      <w:r w:rsidR="009E76DC">
        <w:rPr>
          <w:rFonts w:ascii="Arial" w:hAnsi="Arial" w:cs="Arial"/>
          <w:sz w:val="24"/>
          <w:szCs w:val="24"/>
        </w:rPr>
        <w:t>,</w:t>
      </w:r>
      <w:r w:rsidR="00E25D30">
        <w:rPr>
          <w:rFonts w:ascii="Arial" w:hAnsi="Arial" w:cs="Arial"/>
          <w:sz w:val="24"/>
          <w:szCs w:val="24"/>
        </w:rPr>
        <w:t xml:space="preserve"> z kwotą</w:t>
      </w:r>
      <w:r w:rsidR="009E76DC">
        <w:rPr>
          <w:rFonts w:ascii="Arial" w:hAnsi="Arial" w:cs="Arial"/>
          <w:sz w:val="24"/>
          <w:szCs w:val="24"/>
        </w:rPr>
        <w:t>,</w:t>
      </w:r>
      <w:r w:rsidR="00E25D30">
        <w:rPr>
          <w:rFonts w:ascii="Arial" w:hAnsi="Arial" w:cs="Arial"/>
          <w:sz w:val="24"/>
          <w:szCs w:val="24"/>
        </w:rPr>
        <w:t xml:space="preserve"> która przysługuje osobom w takiej samej sytuacji, którym jeszcze nie przyznano prawa do emerytury lub renty i które w związku z tym mają prawo do świadczenia pielęgnacyjnego.</w:t>
      </w:r>
    </w:p>
    <w:p w:rsidR="00E04094" w:rsidRDefault="00E04094" w:rsidP="00B6638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EB69DD">
        <w:rPr>
          <w:rStyle w:val="Ppogrubienie"/>
          <w:rFonts w:ascii="Arial" w:hAnsi="Arial"/>
          <w:szCs w:val="24"/>
        </w:rPr>
        <w:t>2.</w:t>
      </w:r>
      <w:r w:rsidRPr="00EB69DD">
        <w:rPr>
          <w:rStyle w:val="Ppogrubienie"/>
          <w:rFonts w:ascii="Arial" w:hAnsi="Arial"/>
          <w:szCs w:val="24"/>
        </w:rPr>
        <w:tab/>
        <w:t>Rzeczywisty stan w dziedzinie, która ma być unormowana oraz różnice pomiędzy dotychczasowym a projektowanym stanem prawnym</w:t>
      </w:r>
    </w:p>
    <w:p w:rsidR="000813C5" w:rsidRPr="000813C5" w:rsidRDefault="00E26721" w:rsidP="00B6638B">
      <w:pPr>
        <w:pStyle w:val="PKTpunkt"/>
        <w:spacing w:after="120"/>
        <w:ind w:left="0" w:firstLine="0"/>
        <w:rPr>
          <w:rFonts w:ascii="Arial" w:hAnsi="Arial"/>
        </w:rPr>
      </w:pPr>
      <w:r>
        <w:rPr>
          <w:rStyle w:val="Ppogrubienie"/>
          <w:rFonts w:ascii="Arial" w:hAnsi="Arial"/>
          <w:b w:val="0"/>
          <w:szCs w:val="24"/>
        </w:rPr>
        <w:tab/>
      </w:r>
      <w:r w:rsidR="00E25D30" w:rsidRPr="00E26721">
        <w:rPr>
          <w:rStyle w:val="Ppogrubienie"/>
          <w:rFonts w:ascii="Arial" w:hAnsi="Arial"/>
          <w:b w:val="0"/>
          <w:szCs w:val="24"/>
        </w:rPr>
        <w:t xml:space="preserve">Zgonie z aktualnym stanem prawnym </w:t>
      </w:r>
      <w:r>
        <w:rPr>
          <w:rStyle w:val="Ppogrubienie"/>
          <w:rFonts w:ascii="Arial" w:hAnsi="Arial"/>
          <w:b w:val="0"/>
          <w:szCs w:val="24"/>
        </w:rPr>
        <w:t>ś</w:t>
      </w:r>
      <w:r w:rsidR="00E25D30" w:rsidRPr="00E26721">
        <w:rPr>
          <w:rFonts w:ascii="Arial" w:hAnsi="Arial"/>
        </w:rPr>
        <w:t xml:space="preserve">wiadczenie pielęgnacyjne </w:t>
      </w:r>
      <w:r>
        <w:rPr>
          <w:rFonts w:ascii="Arial" w:hAnsi="Arial"/>
        </w:rPr>
        <w:t>przysługuje</w:t>
      </w:r>
      <w:r w:rsidR="000813C5">
        <w:rPr>
          <w:rFonts w:ascii="Arial" w:hAnsi="Arial"/>
        </w:rPr>
        <w:t>,</w:t>
      </w:r>
      <w:r>
        <w:rPr>
          <w:rFonts w:ascii="Arial" w:hAnsi="Arial"/>
        </w:rPr>
        <w:t xml:space="preserve"> jeżeli osoba </w:t>
      </w:r>
      <w:r w:rsidRPr="00E26721">
        <w:rPr>
          <w:rFonts w:ascii="Arial" w:hAnsi="Arial"/>
        </w:rPr>
        <w:t>nie podejmuj</w:t>
      </w:r>
      <w:r>
        <w:rPr>
          <w:rFonts w:ascii="Arial" w:hAnsi="Arial"/>
        </w:rPr>
        <w:t>e</w:t>
      </w:r>
      <w:r w:rsidRPr="00E26721">
        <w:rPr>
          <w:rFonts w:ascii="Arial" w:hAnsi="Arial"/>
        </w:rPr>
        <w:t xml:space="preserve"> lub rezygnuj</w:t>
      </w:r>
      <w:r>
        <w:rPr>
          <w:rFonts w:ascii="Arial" w:hAnsi="Arial"/>
        </w:rPr>
        <w:t>e</w:t>
      </w:r>
      <w:r w:rsidRPr="00E26721">
        <w:rPr>
          <w:rFonts w:ascii="Arial" w:hAnsi="Arial"/>
        </w:rPr>
        <w:t xml:space="preserve"> z zatrudnienia lub innej pracy zarobkowej w celu sprawowania opieki nad </w:t>
      </w:r>
      <w:r>
        <w:rPr>
          <w:rFonts w:ascii="Arial" w:hAnsi="Arial"/>
        </w:rPr>
        <w:t>dzieckiem</w:t>
      </w:r>
      <w:r w:rsidRPr="00E26721">
        <w:rPr>
          <w:rFonts w:ascii="Arial" w:hAnsi="Arial"/>
        </w:rPr>
        <w:t xml:space="preserve"> </w:t>
      </w:r>
      <w:r w:rsidR="000813C5">
        <w:rPr>
          <w:rFonts w:ascii="Arial" w:hAnsi="Arial"/>
        </w:rPr>
        <w:t>(bez względu na wiek tego dziecka)</w:t>
      </w:r>
      <w:r w:rsidR="009E76DC">
        <w:rPr>
          <w:rFonts w:ascii="Arial" w:hAnsi="Arial"/>
        </w:rPr>
        <w:t>,</w:t>
      </w:r>
      <w:r w:rsidR="000813C5">
        <w:rPr>
          <w:rFonts w:ascii="Arial" w:hAnsi="Arial"/>
        </w:rPr>
        <w:t xml:space="preserve"> </w:t>
      </w:r>
      <w:r w:rsidRPr="00E26721">
        <w:rPr>
          <w:rFonts w:ascii="Arial" w:hAnsi="Arial"/>
        </w:rPr>
        <w:t>legitymując</w:t>
      </w:r>
      <w:r w:rsidR="00D06EFB">
        <w:rPr>
          <w:rFonts w:ascii="Arial" w:hAnsi="Arial"/>
        </w:rPr>
        <w:t>ym</w:t>
      </w:r>
      <w:r w:rsidRPr="00E26721">
        <w:rPr>
          <w:rFonts w:ascii="Arial" w:hAnsi="Arial"/>
        </w:rPr>
        <w:t xml:space="preserve"> się orzeczeniem o znacznym stopniu niepełnosprawności albo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</w:t>
      </w:r>
      <w:r w:rsidRPr="000813C5">
        <w:rPr>
          <w:rFonts w:ascii="Arial" w:hAnsi="Arial"/>
        </w:rPr>
        <w:t>jego leczenia, rehabilitacji i edukacji.</w:t>
      </w:r>
      <w:r w:rsidR="000813C5" w:rsidRPr="000813C5">
        <w:rPr>
          <w:rFonts w:ascii="Arial" w:hAnsi="Arial"/>
        </w:rPr>
        <w:t xml:space="preserve"> Innym ważnym warunkiem uprawniającym do uzyskania świadczenia pielęgnacyjnego jest moment powstania niepełnosprawności dziecka – musi to nastąpić nie później niż do ukończenia 18. roku życia lub w trakcie nauki w szkole lub w szkole wyższej, jednak nie później niż do ukończenia 25. roku życia</w:t>
      </w:r>
      <w:r w:rsidR="000813C5">
        <w:rPr>
          <w:rFonts w:ascii="Arial" w:hAnsi="Arial"/>
        </w:rPr>
        <w:t xml:space="preserve"> (art. 17 ust. 1 i 1b ustawy o świadczeniach rodzinnych).</w:t>
      </w:r>
    </w:p>
    <w:p w:rsidR="00D06EFB" w:rsidRDefault="000813C5" w:rsidP="00B6638B">
      <w:pPr>
        <w:pStyle w:val="PKTpunkt"/>
        <w:spacing w:after="120"/>
        <w:ind w:left="0" w:firstLine="708"/>
        <w:rPr>
          <w:rFonts w:ascii="Arial" w:hAnsi="Arial"/>
        </w:rPr>
      </w:pPr>
      <w:r w:rsidRPr="000813C5">
        <w:rPr>
          <w:rFonts w:ascii="Arial" w:hAnsi="Arial"/>
        </w:rPr>
        <w:t>Świadczenie takie nie przysługuje jednak</w:t>
      </w:r>
      <w:r w:rsidR="005C1063">
        <w:rPr>
          <w:rFonts w:ascii="Arial" w:hAnsi="Arial"/>
        </w:rPr>
        <w:t>,</w:t>
      </w:r>
      <w:r w:rsidRPr="000813C5">
        <w:rPr>
          <w:rFonts w:ascii="Arial" w:hAnsi="Arial"/>
        </w:rPr>
        <w:t xml:space="preserve"> jeżeli osoba sprawująca opiekę nad dzieckiem ma ustalone prawo do emerytury, renty, renty rodzinnej z tytułu śmierci </w:t>
      </w:r>
      <w:r w:rsidRPr="000813C5">
        <w:rPr>
          <w:rFonts w:ascii="Arial" w:hAnsi="Arial"/>
        </w:rPr>
        <w:lastRenderedPageBreak/>
        <w:t>małżonka przyznanej w przypadku zbiegu prawa do renty rodzinnej i innego świadczenia emerytalno-rentowego, renty socjalnej, zasiłku stałego, nauczycielskiego świadczenia kompensacyjnego, zasiłku przedemerytalnego, świadczenia przedemerytalnego lub rodzicielskiego świadczenia uzupełniającego, o którym mowa w ustawie z dnia 31 stycznia 2019 r. o rodzicielskim świadczeniu uzupełniającym</w:t>
      </w:r>
      <w:r>
        <w:rPr>
          <w:rFonts w:ascii="Arial" w:hAnsi="Arial"/>
        </w:rPr>
        <w:t>.</w:t>
      </w:r>
    </w:p>
    <w:p w:rsidR="000813C5" w:rsidRPr="00A62E23" w:rsidRDefault="000813C5" w:rsidP="00B6638B">
      <w:pPr>
        <w:pStyle w:val="PKTpunkt"/>
        <w:spacing w:after="120"/>
        <w:ind w:left="0" w:firstLine="708"/>
        <w:rPr>
          <w:rFonts w:ascii="Arial" w:hAnsi="Arial"/>
        </w:rPr>
      </w:pPr>
      <w:r>
        <w:rPr>
          <w:rFonts w:ascii="Arial" w:hAnsi="Arial"/>
        </w:rPr>
        <w:t>W praktyce osoby (</w:t>
      </w:r>
      <w:r w:rsidR="00D06EFB">
        <w:rPr>
          <w:rFonts w:ascii="Arial" w:hAnsi="Arial"/>
        </w:rPr>
        <w:t>prawie zawsze</w:t>
      </w:r>
      <w:r>
        <w:rPr>
          <w:rFonts w:ascii="Arial" w:hAnsi="Arial"/>
        </w:rPr>
        <w:t xml:space="preserve"> rodzice) sprawujący wieloletnią opiekę nad swoimi niepełnosprawnymi dziećmi są podzieleni na dwie grupy. Pierwsza z nich to osoby, które w momencie wprowadzenia wspomnianych przepisów</w:t>
      </w:r>
      <w:r w:rsidR="009E76DC">
        <w:rPr>
          <w:rFonts w:ascii="Arial" w:hAnsi="Arial"/>
        </w:rPr>
        <w:t>,</w:t>
      </w:r>
      <w:r>
        <w:rPr>
          <w:rFonts w:ascii="Arial" w:hAnsi="Arial"/>
        </w:rPr>
        <w:t xml:space="preserve"> określających </w:t>
      </w:r>
      <w:r w:rsidR="005C1063">
        <w:rPr>
          <w:rFonts w:ascii="Arial" w:hAnsi="Arial"/>
        </w:rPr>
        <w:t xml:space="preserve">w aktualnym brzmieniu </w:t>
      </w:r>
      <w:r>
        <w:rPr>
          <w:rFonts w:ascii="Arial" w:hAnsi="Arial"/>
        </w:rPr>
        <w:t>uprawnienia do świadczenia pielęgnacyjnego</w:t>
      </w:r>
      <w:r w:rsidR="009E76DC">
        <w:rPr>
          <w:rFonts w:ascii="Arial" w:hAnsi="Arial"/>
        </w:rPr>
        <w:t>,</w:t>
      </w:r>
      <w:r>
        <w:rPr>
          <w:rFonts w:ascii="Arial" w:hAnsi="Arial"/>
        </w:rPr>
        <w:t xml:space="preserve"> nie miały ustalonego prawa do emerytury lub renty. Ponieważ zdecydowana większość takich osób, z uwagi na </w:t>
      </w:r>
      <w:r w:rsidR="005C1063">
        <w:rPr>
          <w:rFonts w:ascii="Arial" w:hAnsi="Arial"/>
        </w:rPr>
        <w:t>niewielki okres zatrudnienia a tym samym niewielki okres ubezpieczenia emerytalnego</w:t>
      </w:r>
      <w:r>
        <w:rPr>
          <w:rFonts w:ascii="Arial" w:hAnsi="Arial"/>
        </w:rPr>
        <w:t>, ma prawo jedynie do emerytury lub renty w minimalnej</w:t>
      </w:r>
      <w:r w:rsidR="00D06EFB">
        <w:rPr>
          <w:rFonts w:ascii="Arial" w:hAnsi="Arial"/>
        </w:rPr>
        <w:t>,</w:t>
      </w:r>
      <w:r>
        <w:rPr>
          <w:rFonts w:ascii="Arial" w:hAnsi="Arial"/>
        </w:rPr>
        <w:t xml:space="preserve"> gwarantowanej ustawowo wysokości, </w:t>
      </w:r>
      <w:r w:rsidR="00D06EFB">
        <w:rPr>
          <w:rFonts w:ascii="Arial" w:hAnsi="Arial"/>
        </w:rPr>
        <w:t>nie występują o świadczenie z systemu ubezpieczeń społecznych i korzystają z praktycznie dożywotniego prawa do świadczenia pielęgnacyjnego. Druga grupa to osoby, które w momencie wprowadzenia aktualnych przepisów miały już ustalone prawo do emerytury lub renty. Te osoby, nawet jeśli ich świadczenie z systemu ubezpieczenia społecznego jest niższe niż kwota świadczenia pielęgnacyjnego, nie mogą „cofnąć czasu” i skorzystać z prawa do świadczenia pielęgnacyjnego, mimo że ich</w:t>
      </w:r>
      <w:r w:rsidR="005C1063">
        <w:rPr>
          <w:rFonts w:ascii="Arial" w:hAnsi="Arial"/>
        </w:rPr>
        <w:t xml:space="preserve"> i ich rodzin</w:t>
      </w:r>
      <w:r w:rsidR="00D06EFB">
        <w:rPr>
          <w:rFonts w:ascii="Arial" w:hAnsi="Arial"/>
        </w:rPr>
        <w:t xml:space="preserve"> faktyczna sytuacja jest dokładnie taka </w:t>
      </w:r>
      <w:r w:rsidR="00DB6BAD">
        <w:rPr>
          <w:rFonts w:ascii="Arial" w:hAnsi="Arial"/>
        </w:rPr>
        <w:t>s</w:t>
      </w:r>
      <w:r w:rsidR="00D06EFB">
        <w:rPr>
          <w:rFonts w:ascii="Arial" w:hAnsi="Arial"/>
        </w:rPr>
        <w:t xml:space="preserve">ama jak osób z opisanej powyżej pierwszej grupy. W tym gronie znajdują się też osoby, które w XX wieku skorzystały z prawa do wcześniejszej emerytury, w związku ze sprawowaniem opieki nad niepełnosprawnym </w:t>
      </w:r>
      <w:r w:rsidR="00D06EFB" w:rsidRPr="00A62E23">
        <w:rPr>
          <w:rFonts w:ascii="Arial" w:hAnsi="Arial"/>
        </w:rPr>
        <w:t>dzieckiem.</w:t>
      </w:r>
    </w:p>
    <w:p w:rsidR="002C584E" w:rsidRDefault="002C584E" w:rsidP="00B6638B">
      <w:pPr>
        <w:pStyle w:val="PKTpunkt"/>
        <w:spacing w:after="120"/>
        <w:ind w:left="0" w:firstLine="708"/>
        <w:rPr>
          <w:rFonts w:ascii="Arial" w:hAnsi="Arial"/>
        </w:rPr>
      </w:pPr>
      <w:r w:rsidRPr="00A62E23">
        <w:rPr>
          <w:rFonts w:ascii="Arial" w:hAnsi="Arial"/>
        </w:rPr>
        <w:t xml:space="preserve">Projektowana ustawa wprowadza w systemie świadczeń rodzinnych nowe świadczenie – uzupełniające świadczenie pielęgnacyjne, które będzie przysługiwało osobom </w:t>
      </w:r>
      <w:r w:rsidR="00A62E23" w:rsidRPr="00A62E23">
        <w:rPr>
          <w:rFonts w:ascii="Arial" w:hAnsi="Arial"/>
        </w:rPr>
        <w:t>mającym ustalone prawo do emerytury, renty, renty rodzinnej z tytułu śmierci małżonka przyznanej w przypadku zbiegu prawa do renty rodzinnej i innego świadczenia emerytalno-rentowego, renty socjalnej, zasiłku stałego, nauczycielskiego świadczenia kompensacyjnego, zasiłku przedemerytalnego, świadczenia przedemerytalnego lub rodzicielskiego świadczenia uzupełniającego</w:t>
      </w:r>
      <w:r w:rsidR="005C1063">
        <w:rPr>
          <w:rFonts w:ascii="Arial" w:hAnsi="Arial"/>
        </w:rPr>
        <w:t xml:space="preserve"> </w:t>
      </w:r>
      <w:r w:rsidR="00A62E23">
        <w:rPr>
          <w:rFonts w:ascii="Arial" w:hAnsi="Arial"/>
        </w:rPr>
        <w:t>i pod warunkiem spełnienia identycznych wymogów jakie są stawiane osobie uprawnionej do otrzymywania świadczenia pielęgnacyjnego. Dodatkowym warunkiem, w przypadku uzupełniającego świadczenia pielęgnacyjnego</w:t>
      </w:r>
      <w:r w:rsidR="005C1063">
        <w:rPr>
          <w:rFonts w:ascii="Arial" w:hAnsi="Arial"/>
        </w:rPr>
        <w:t>,</w:t>
      </w:r>
      <w:r w:rsidR="00A62E23">
        <w:rPr>
          <w:rFonts w:ascii="Arial" w:hAnsi="Arial"/>
        </w:rPr>
        <w:t xml:space="preserve"> jest wymóg, aby osoba wymagająca opieki zamieszkiwała w jednym gospodarstwie domowym z osobą sprawującą opiekę.</w:t>
      </w:r>
    </w:p>
    <w:p w:rsidR="00DB6BAD" w:rsidRDefault="00DB6BAD" w:rsidP="00B6638B">
      <w:pPr>
        <w:pStyle w:val="PKTpunkt"/>
        <w:spacing w:after="120"/>
        <w:ind w:left="0" w:firstLine="708"/>
        <w:rPr>
          <w:rFonts w:ascii="Arial" w:hAnsi="Arial"/>
        </w:rPr>
      </w:pPr>
      <w:r w:rsidRPr="00CD7279">
        <w:rPr>
          <w:rFonts w:ascii="Arial" w:hAnsi="Arial"/>
          <w:szCs w:val="24"/>
        </w:rPr>
        <w:lastRenderedPageBreak/>
        <w:t xml:space="preserve">Kwota uzupełniającego świadczenia pielęgnacyjnego </w:t>
      </w:r>
      <w:r>
        <w:rPr>
          <w:rFonts w:ascii="Arial" w:hAnsi="Arial"/>
          <w:szCs w:val="24"/>
        </w:rPr>
        <w:t>będzie</w:t>
      </w:r>
      <w:r w:rsidRPr="00CD7279">
        <w:rPr>
          <w:rFonts w:ascii="Arial" w:hAnsi="Arial"/>
          <w:szCs w:val="24"/>
        </w:rPr>
        <w:t xml:space="preserve"> ustalana indywidualnie dla każdego świadczeniobiorcy poprzez odjęcie od  kwoty </w:t>
      </w:r>
      <w:r>
        <w:rPr>
          <w:rFonts w:ascii="Arial" w:hAnsi="Arial"/>
          <w:szCs w:val="24"/>
        </w:rPr>
        <w:t>świadczenia pielęgnacyjnego</w:t>
      </w:r>
      <w:r w:rsidRPr="00CD7279">
        <w:rPr>
          <w:rFonts w:ascii="Arial" w:hAnsi="Arial"/>
          <w:szCs w:val="24"/>
        </w:rPr>
        <w:t xml:space="preserve"> sumy świadczeń</w:t>
      </w:r>
      <w:r w:rsidR="009E76DC">
        <w:rPr>
          <w:rFonts w:ascii="Arial" w:hAnsi="Arial"/>
          <w:szCs w:val="24"/>
        </w:rPr>
        <w:t>,</w:t>
      </w:r>
      <w:r w:rsidRPr="00CD7279">
        <w:rPr>
          <w:rFonts w:ascii="Arial" w:hAnsi="Arial"/>
          <w:szCs w:val="24"/>
        </w:rPr>
        <w:t xml:space="preserve"> o których mowa w art. 17 ust. 1 pkt 5 lit. a</w:t>
      </w:r>
      <w:r>
        <w:rPr>
          <w:rFonts w:ascii="Arial" w:hAnsi="Arial"/>
          <w:szCs w:val="24"/>
        </w:rPr>
        <w:t xml:space="preserve"> zmienianej ustawy (</w:t>
      </w:r>
      <w:r w:rsidRPr="00A62E23">
        <w:rPr>
          <w:rFonts w:ascii="Arial" w:hAnsi="Arial"/>
        </w:rPr>
        <w:t>emerytury, renty, renty rodzinnej, renty socjalnej, zasiłku stałego, nauczycielskiego świadczenia kompensacyjnego, zasiłku przedemerytalnego, świadczenia przedemerytalnego lub rodzicielskiego świadczenia uzupełniającego</w:t>
      </w:r>
      <w:r>
        <w:rPr>
          <w:rFonts w:ascii="Arial" w:hAnsi="Arial"/>
        </w:rPr>
        <w:t>).</w:t>
      </w:r>
      <w:r w:rsidR="00DE4754">
        <w:rPr>
          <w:rFonts w:ascii="Arial" w:hAnsi="Arial"/>
        </w:rPr>
        <w:t xml:space="preserve"> </w:t>
      </w:r>
      <w:r w:rsidR="00B34169">
        <w:rPr>
          <w:rFonts w:ascii="Arial" w:hAnsi="Arial"/>
        </w:rPr>
        <w:t xml:space="preserve">Kwota ta będzie, stosownie do art. 21 ust. 1 pkt 8 ustawy z dnia 26 lipca 1991r. o podatku dochodowym od osób fizycznych, wolna od podatku dochodowego od osób fizycznych. Opodatkowaniu będą jedynie podlegały, na dotychczasowych zasadach, kwoty świadczeń </w:t>
      </w:r>
      <w:r w:rsidR="00B34169" w:rsidRPr="00CD7279">
        <w:rPr>
          <w:rFonts w:ascii="Arial" w:hAnsi="Arial"/>
          <w:szCs w:val="24"/>
        </w:rPr>
        <w:t>o których mowa w art. 17 ust. 1 pkt 5 lit. a</w:t>
      </w:r>
      <w:r w:rsidR="00B34169">
        <w:rPr>
          <w:rFonts w:ascii="Arial" w:hAnsi="Arial"/>
          <w:szCs w:val="24"/>
        </w:rPr>
        <w:t xml:space="preserve"> zmienianej ustawy. </w:t>
      </w:r>
      <w:r w:rsidR="00DE4754">
        <w:rPr>
          <w:rFonts w:ascii="Arial" w:hAnsi="Arial"/>
        </w:rPr>
        <w:t>W ten sposób kwota</w:t>
      </w:r>
      <w:r w:rsidR="002F526D">
        <w:rPr>
          <w:rFonts w:ascii="Arial" w:hAnsi="Arial"/>
        </w:rPr>
        <w:t xml:space="preserve"> netto</w:t>
      </w:r>
      <w:r w:rsidR="00DE4754">
        <w:rPr>
          <w:rFonts w:ascii="Arial" w:hAnsi="Arial"/>
        </w:rPr>
        <w:t xml:space="preserve"> świadczeń </w:t>
      </w:r>
      <w:r w:rsidR="002F526D">
        <w:rPr>
          <w:rFonts w:ascii="Arial" w:hAnsi="Arial"/>
        </w:rPr>
        <w:t xml:space="preserve">otrzymywanych </w:t>
      </w:r>
      <w:r w:rsidR="00DE4754">
        <w:rPr>
          <w:rFonts w:ascii="Arial" w:hAnsi="Arial"/>
        </w:rPr>
        <w:t xml:space="preserve">z szeroko rozumianego systemu zabezpieczenia społecznego </w:t>
      </w:r>
      <w:r w:rsidR="002F526D">
        <w:rPr>
          <w:rFonts w:ascii="Arial" w:hAnsi="Arial"/>
        </w:rPr>
        <w:t xml:space="preserve">przez </w:t>
      </w:r>
      <w:r w:rsidR="00DE4754">
        <w:rPr>
          <w:rFonts w:ascii="Arial" w:hAnsi="Arial"/>
        </w:rPr>
        <w:t>os</w:t>
      </w:r>
      <w:r w:rsidR="002F526D">
        <w:rPr>
          <w:rFonts w:ascii="Arial" w:hAnsi="Arial"/>
        </w:rPr>
        <w:t>o</w:t>
      </w:r>
      <w:r w:rsidR="00DE4754">
        <w:rPr>
          <w:rFonts w:ascii="Arial" w:hAnsi="Arial"/>
        </w:rPr>
        <w:t>b</w:t>
      </w:r>
      <w:r w:rsidR="002F526D">
        <w:rPr>
          <w:rFonts w:ascii="Arial" w:hAnsi="Arial"/>
        </w:rPr>
        <w:t>y</w:t>
      </w:r>
      <w:r w:rsidR="00DE4754">
        <w:rPr>
          <w:rFonts w:ascii="Arial" w:hAnsi="Arial"/>
        </w:rPr>
        <w:t xml:space="preserve"> będąc</w:t>
      </w:r>
      <w:r w:rsidR="002F526D">
        <w:rPr>
          <w:rFonts w:ascii="Arial" w:hAnsi="Arial"/>
        </w:rPr>
        <w:t>e</w:t>
      </w:r>
      <w:r w:rsidR="00DE4754">
        <w:rPr>
          <w:rFonts w:ascii="Arial" w:hAnsi="Arial"/>
        </w:rPr>
        <w:t xml:space="preserve"> w identycznej sytuacji faktycznej będzie </w:t>
      </w:r>
      <w:r w:rsidR="00B34169">
        <w:rPr>
          <w:rFonts w:ascii="Arial" w:hAnsi="Arial"/>
        </w:rPr>
        <w:t xml:space="preserve"> bardzo zbliżona</w:t>
      </w:r>
      <w:r w:rsidR="00DE4754">
        <w:rPr>
          <w:rFonts w:ascii="Arial" w:hAnsi="Arial"/>
        </w:rPr>
        <w:t>.</w:t>
      </w:r>
      <w:r w:rsidR="00B34169">
        <w:rPr>
          <w:rFonts w:ascii="Arial" w:hAnsi="Arial"/>
        </w:rPr>
        <w:t xml:space="preserve"> </w:t>
      </w:r>
    </w:p>
    <w:p w:rsidR="00DA11BA" w:rsidRDefault="00DA11BA" w:rsidP="00B6638B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 xml:space="preserve">W 2020 r. świadczenie pielęgnacyjne wynosi 1830 zł </w:t>
      </w:r>
      <w:r w:rsidR="00D966E3">
        <w:rPr>
          <w:rStyle w:val="Ppogrubienie"/>
          <w:rFonts w:ascii="Arial" w:hAnsi="Arial"/>
          <w:b w:val="0"/>
          <w:szCs w:val="24"/>
        </w:rPr>
        <w:t xml:space="preserve">i jest wolne od podatku dochodowego od osób fizycznych </w:t>
      </w:r>
      <w:r>
        <w:rPr>
          <w:rStyle w:val="Ppogrubienie"/>
          <w:rFonts w:ascii="Arial" w:hAnsi="Arial"/>
          <w:b w:val="0"/>
          <w:szCs w:val="24"/>
        </w:rPr>
        <w:t>a kwota najniższej emerytury</w:t>
      </w:r>
      <w:r w:rsidR="00D966E3">
        <w:rPr>
          <w:rStyle w:val="Ppogrubienie"/>
          <w:rFonts w:ascii="Arial" w:hAnsi="Arial"/>
          <w:b w:val="0"/>
          <w:szCs w:val="24"/>
        </w:rPr>
        <w:t>, podlegającej opodatkowaniu podatkiem dochodowym od osób fizycznych</w:t>
      </w:r>
      <w:r>
        <w:rPr>
          <w:rStyle w:val="Ppogrubienie"/>
          <w:rFonts w:ascii="Arial" w:hAnsi="Arial"/>
          <w:b w:val="0"/>
          <w:szCs w:val="24"/>
        </w:rPr>
        <w:t xml:space="preserve"> to 1200 zł. Tak więc dla dużej liczby osób będących beneficjentami tej ustawy oznaczać to będzie podwyżkę świadczeń o 630 zł. Należy jednak podkreślić</w:t>
      </w:r>
      <w:r w:rsidR="009E76DC">
        <w:rPr>
          <w:rStyle w:val="Ppogrubienie"/>
          <w:rFonts w:ascii="Arial" w:hAnsi="Arial"/>
          <w:b w:val="0"/>
          <w:szCs w:val="24"/>
        </w:rPr>
        <w:t>,</w:t>
      </w:r>
      <w:r>
        <w:rPr>
          <w:rStyle w:val="Ppogrubienie"/>
          <w:rFonts w:ascii="Arial" w:hAnsi="Arial"/>
          <w:b w:val="0"/>
          <w:szCs w:val="24"/>
        </w:rPr>
        <w:t xml:space="preserve"> że w tym gronie są też osoby, które nie mają prawa do najniższej emerytury – im ustawa zapewni większe środki finansowe</w:t>
      </w:r>
      <w:r w:rsidR="005C1063">
        <w:rPr>
          <w:rStyle w:val="Ppogrubienie"/>
          <w:rFonts w:ascii="Arial" w:hAnsi="Arial"/>
          <w:b w:val="0"/>
          <w:szCs w:val="24"/>
        </w:rPr>
        <w:t>, a także osoby mające prawo do emerytury lub renty w kwocie wyższej niż minimalna</w:t>
      </w:r>
      <w:r>
        <w:rPr>
          <w:rStyle w:val="Ppogrubienie"/>
          <w:rFonts w:ascii="Arial" w:hAnsi="Arial"/>
          <w:b w:val="0"/>
          <w:szCs w:val="24"/>
        </w:rPr>
        <w:t>.</w:t>
      </w:r>
    </w:p>
    <w:p w:rsidR="00DA11BA" w:rsidRDefault="00DA11BA" w:rsidP="00B6638B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 xml:space="preserve">Pomimo że </w:t>
      </w:r>
      <w:r w:rsidR="009E76DC">
        <w:rPr>
          <w:rStyle w:val="Ppogrubienie"/>
          <w:rFonts w:ascii="Arial" w:hAnsi="Arial"/>
          <w:b w:val="0"/>
          <w:szCs w:val="24"/>
        </w:rPr>
        <w:t xml:space="preserve">w powyższym </w:t>
      </w:r>
      <w:r>
        <w:rPr>
          <w:rStyle w:val="Ppogrubienie"/>
          <w:rFonts w:ascii="Arial" w:hAnsi="Arial"/>
          <w:b w:val="0"/>
          <w:szCs w:val="24"/>
        </w:rPr>
        <w:t>porówn</w:t>
      </w:r>
      <w:r w:rsidR="009E76DC">
        <w:rPr>
          <w:rStyle w:val="Ppogrubienie"/>
          <w:rFonts w:ascii="Arial" w:hAnsi="Arial"/>
          <w:b w:val="0"/>
          <w:szCs w:val="24"/>
        </w:rPr>
        <w:t>aniu</w:t>
      </w:r>
      <w:r>
        <w:rPr>
          <w:rStyle w:val="Ppogrubienie"/>
          <w:rFonts w:ascii="Arial" w:hAnsi="Arial"/>
          <w:b w:val="0"/>
          <w:szCs w:val="24"/>
        </w:rPr>
        <w:t xml:space="preserve"> </w:t>
      </w:r>
      <w:r w:rsidR="009E76DC">
        <w:rPr>
          <w:rStyle w:val="Ppogrubienie"/>
          <w:rFonts w:ascii="Arial" w:hAnsi="Arial"/>
          <w:b w:val="0"/>
          <w:szCs w:val="24"/>
        </w:rPr>
        <w:t xml:space="preserve">występują </w:t>
      </w:r>
      <w:r>
        <w:rPr>
          <w:rStyle w:val="Ppogrubienie"/>
          <w:rFonts w:ascii="Arial" w:hAnsi="Arial"/>
          <w:b w:val="0"/>
          <w:szCs w:val="24"/>
        </w:rPr>
        <w:t>świadczenia wypłacane z różnych systemów,</w:t>
      </w:r>
      <w:r w:rsidR="00706F77">
        <w:rPr>
          <w:rStyle w:val="Ppogrubienie"/>
          <w:rFonts w:ascii="Arial" w:hAnsi="Arial"/>
          <w:b w:val="0"/>
          <w:szCs w:val="24"/>
        </w:rPr>
        <w:t>– na problem należy spojrzeć kompleksowo – z punktu widzenia osoby</w:t>
      </w:r>
      <w:r w:rsidR="009E76DC">
        <w:rPr>
          <w:rStyle w:val="Ppogrubienie"/>
          <w:rFonts w:ascii="Arial" w:hAnsi="Arial"/>
          <w:b w:val="0"/>
          <w:szCs w:val="24"/>
        </w:rPr>
        <w:t>,</w:t>
      </w:r>
      <w:r w:rsidR="00706F77">
        <w:rPr>
          <w:rStyle w:val="Ppogrubienie"/>
          <w:rFonts w:ascii="Arial" w:hAnsi="Arial"/>
          <w:b w:val="0"/>
          <w:szCs w:val="24"/>
        </w:rPr>
        <w:t xml:space="preserve"> która przez wiele lat sprawuje opiekę nad swoim niepełnosprawnym dzieckiem i w budżecie gospodarstwa domowego uwzględnia całość wpływów z systemu zabezpieczenia społecznego, dla której kwoty poszczególnych świadczeń mających cząstkowy charakter nie mają znaczenia.</w:t>
      </w:r>
    </w:p>
    <w:p w:rsidR="000813C5" w:rsidRDefault="00687505" w:rsidP="00B6638B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 xml:space="preserve">Projektowana ustawa zakłada także wprowadzenie szeregu rozwiązań </w:t>
      </w:r>
      <w:r w:rsidR="009E76DC">
        <w:rPr>
          <w:rStyle w:val="Ppogrubienie"/>
          <w:rFonts w:ascii="Arial" w:hAnsi="Arial"/>
          <w:b w:val="0"/>
          <w:szCs w:val="24"/>
        </w:rPr>
        <w:t xml:space="preserve">identycznych </w:t>
      </w:r>
      <w:r>
        <w:rPr>
          <w:rStyle w:val="Ppogrubienie"/>
          <w:rFonts w:ascii="Arial" w:hAnsi="Arial"/>
          <w:b w:val="0"/>
          <w:szCs w:val="24"/>
        </w:rPr>
        <w:t xml:space="preserve">jak w przypadku świadczenia pielęgnacyjnego </w:t>
      </w:r>
      <w:r w:rsidR="009E76DC">
        <w:rPr>
          <w:rStyle w:val="Ppogrubienie"/>
          <w:rFonts w:ascii="Arial" w:hAnsi="Arial"/>
          <w:b w:val="0"/>
          <w:szCs w:val="24"/>
        </w:rPr>
        <w:t xml:space="preserve">- </w:t>
      </w:r>
      <w:r>
        <w:rPr>
          <w:rStyle w:val="Ppogrubienie"/>
          <w:rFonts w:ascii="Arial" w:hAnsi="Arial"/>
          <w:b w:val="0"/>
          <w:szCs w:val="24"/>
        </w:rPr>
        <w:t>w odniesieniu do zbiegu prawa do świadczeń, procedur związanych z uzyskiwaniem świadczenia, weryfikacją spełniania wymogów</w:t>
      </w:r>
      <w:r w:rsidR="00DB6BAD">
        <w:rPr>
          <w:rStyle w:val="Ppogrubienie"/>
          <w:rFonts w:ascii="Arial" w:hAnsi="Arial"/>
          <w:b w:val="0"/>
          <w:szCs w:val="24"/>
        </w:rPr>
        <w:t xml:space="preserve"> ustawowych przez wnioskodawcę oraz rozwiązania umożliwiające sprawne ustalenie kwoty uzupełniającego świadczenia pielęgnacyjnego.</w:t>
      </w:r>
    </w:p>
    <w:p w:rsidR="0069649D" w:rsidRDefault="0069649D" w:rsidP="00B6638B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lastRenderedPageBreak/>
        <w:t>Projektowana ustawa powinna wejść w życie od dnia 1 marca 2021r.</w:t>
      </w:r>
      <w:r w:rsidR="009E76DC">
        <w:rPr>
          <w:rStyle w:val="Ppogrubienie"/>
          <w:rFonts w:ascii="Arial" w:hAnsi="Arial"/>
          <w:b w:val="0"/>
          <w:szCs w:val="24"/>
        </w:rPr>
        <w:t>,</w:t>
      </w:r>
      <w:r>
        <w:rPr>
          <w:rStyle w:val="Ppogrubienie"/>
          <w:rFonts w:ascii="Arial" w:hAnsi="Arial"/>
          <w:b w:val="0"/>
          <w:szCs w:val="24"/>
        </w:rPr>
        <w:t xml:space="preserve"> co pozwoli na uwzględnienie jest skutków w budżecie na rok 2021 a równocześnie data  </w:t>
      </w:r>
      <w:r w:rsidR="005C1063">
        <w:rPr>
          <w:rStyle w:val="Ppogrubienie"/>
          <w:rFonts w:ascii="Arial" w:hAnsi="Arial"/>
          <w:b w:val="0"/>
          <w:szCs w:val="24"/>
        </w:rPr>
        <w:t xml:space="preserve">1 </w:t>
      </w:r>
      <w:r>
        <w:rPr>
          <w:rStyle w:val="Ppogrubienie"/>
          <w:rFonts w:ascii="Arial" w:hAnsi="Arial"/>
          <w:b w:val="0"/>
          <w:szCs w:val="24"/>
        </w:rPr>
        <w:t xml:space="preserve">marca pokrywa się z datą waloryzacji </w:t>
      </w:r>
      <w:r w:rsidR="005C1063">
        <w:rPr>
          <w:rStyle w:val="Ppogrubienie"/>
          <w:rFonts w:ascii="Arial" w:hAnsi="Arial"/>
          <w:b w:val="0"/>
          <w:szCs w:val="24"/>
        </w:rPr>
        <w:t xml:space="preserve">emerytur, rent i wielu innych </w:t>
      </w:r>
      <w:r>
        <w:rPr>
          <w:rStyle w:val="Ppogrubienie"/>
          <w:rFonts w:ascii="Arial" w:hAnsi="Arial"/>
          <w:b w:val="0"/>
          <w:szCs w:val="24"/>
        </w:rPr>
        <w:t xml:space="preserve">świadczeń – w ten sposób kwotę uzupełniającego świadczenia pielęgnacyjnego będzie można wyliczyć od razu na okres 12 miesięcy. </w:t>
      </w:r>
    </w:p>
    <w:p w:rsidR="00E04094" w:rsidRPr="008D47AA" w:rsidRDefault="00E04094" w:rsidP="00B6638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8D47AA">
        <w:rPr>
          <w:rStyle w:val="Ppogrubienie"/>
          <w:rFonts w:ascii="Arial" w:hAnsi="Arial"/>
          <w:szCs w:val="24"/>
        </w:rPr>
        <w:t>3.</w:t>
      </w:r>
      <w:r w:rsidRPr="008D47AA">
        <w:rPr>
          <w:rStyle w:val="Ppogrubienie"/>
          <w:rFonts w:ascii="Arial" w:hAnsi="Arial"/>
          <w:szCs w:val="24"/>
        </w:rPr>
        <w:tab/>
        <w:t xml:space="preserve">Skutki projektowanej ustawy </w:t>
      </w:r>
      <w:r w:rsidR="0078345F">
        <w:rPr>
          <w:rStyle w:val="Ppogrubienie"/>
          <w:rFonts w:ascii="Arial" w:hAnsi="Arial"/>
          <w:szCs w:val="24"/>
        </w:rPr>
        <w:t>oraz źródła finansowania</w:t>
      </w:r>
    </w:p>
    <w:p w:rsidR="00103765" w:rsidRDefault="00E04094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DE475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Zasadniczym skutkiem społecznym i prawnym projektowanej ustawy będzie likwidacja </w:t>
      </w:r>
      <w:r w:rsidR="00FC018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oczywistej niesprawiedliwości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DA11B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jaka istnieje w systemie świadczeń społecznych. </w:t>
      </w:r>
      <w:r w:rsidR="0010376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Istniejąca obecnie z</w:t>
      </w:r>
      <w:r w:rsidR="00DA11B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nacząca różnica w poziomie świadczeń </w:t>
      </w:r>
      <w:r w:rsidR="0010376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finansowanych ze środków publicznych, wynikająca wyłącznie z faktu czy ktoś już uzyskał prawo do emerytury lub renty albo innego świadczenia o podobnym charakterze czy też nie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10376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jest w oczywisty sposób sprzeczna z poczuciem sprawiedliwości społecznej.</w:t>
      </w:r>
    </w:p>
    <w:p w:rsidR="00103765" w:rsidRDefault="00E04094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DE475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Ustawa </w:t>
      </w:r>
      <w:r w:rsidR="0010376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nie </w:t>
      </w:r>
      <w:r w:rsidRPr="00DE475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wywoła skutk</w:t>
      </w:r>
      <w:r w:rsidR="0010376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ów</w:t>
      </w:r>
      <w:r w:rsidRPr="00DE475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gospodarcz</w:t>
      </w:r>
      <w:r w:rsidR="0010376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ych. </w:t>
      </w:r>
    </w:p>
    <w:p w:rsidR="00103765" w:rsidRDefault="00103765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Ustawa wywoła skutki finansowe dla sektora finansów publicznych – zarówno dla budżetu państwa jak i jednostek samorządu terytorialnego. Skutki te powinny być analizowane w dwóch aspektach – potencjalnych wydatków i potencjalnych </w:t>
      </w:r>
      <w:r w:rsidR="006D113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przychodów oraz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oszczędności.</w:t>
      </w:r>
    </w:p>
    <w:p w:rsidR="00103765" w:rsidRDefault="00103765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Ilość osób których może dotyczyć ustawa jest trudna do wyszacowania. Punktem wyjściowym do tego szacunku </w:t>
      </w:r>
      <w:r w:rsidR="001653E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powinna być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ilość osób uprawnionych do renty socjalnej </w:t>
      </w:r>
      <w:r w:rsidR="001653E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(czyli osób dorosłych spełniających zasadnicze warunki określone w 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omawianej </w:t>
      </w:r>
      <w:r w:rsidR="001653E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ustawie)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– 280 tys. W tym gronie ok. 35% to osoby w wieku od 40 lat – a więc (przy zastosowaniu pewnego uśrednienia) osoby, których rodzice lub opiekunowie mogą być już w wieku emerytalnym. Ten wskaźnik 35% należy obniżyć, bowiem już od kil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k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 lat rosła atrakcyjność świadczenia 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pielęgnacyjnego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 a więc należy założyć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1653E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że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w ostatnich latach osoby uprawnione do świadczenia pielęgnacyjnego i mające prawo do emerytury nie korzystały już ze swoich uprawnień emerytalnych. </w:t>
      </w:r>
      <w:r w:rsidR="001653E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Dlatego do celów analizy wskaźnik ten zostaje obniżony o 6% (czyli połowę osób pobierających rentę socjalną będących w wieku 40-44 lata)</w:t>
      </w:r>
      <w:r w:rsidR="007D33B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–do poziomu 29%</w:t>
      </w:r>
      <w:r w:rsidR="005C106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7D33B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co w wymiarze ilościowym oznacza ok. 81 tys. osób</w:t>
      </w:r>
      <w:r w:rsidR="001653E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. </w:t>
      </w:r>
      <w:r w:rsidR="007D33B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Ponieważ według danych Ministerstwa Rodziny i Polityki Społecznej na koniec 2018 r. ok. 50 tys. świadczeń pielęgnacyjnych było wypłacanych z tytułu opieki nad osobą pełnoletnią, odwołując się do liczby ok. </w:t>
      </w:r>
      <w:r w:rsidR="007D33B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>182 tys. osób potencjalnie uprawnionych z przedziału wiekowego do 40 lat – można oszacować że ok. 27,5% osób mających prawo rezygnuje z zatrudnienia aby sprawować opiekę nad niepełnosprawnym dzieckiem, spełniającym kryteria ustawowe</w:t>
      </w:r>
      <w:r w:rsidR="00B6638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 w:rsidR="007D33BD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które pozwalają na uzyskanie świadczenia pielęgnacyjnego. Odnosząc następnie ten wskaźnik 27,5% do liczby 81 tys osób które potencjalnie mają rodziców uprawnionych do emerytury lub renty oznacza to ok. 22,3 tys. potencjalnych beneficjentów projektowanej ustawy. Dla ostrożności ilość tę należy powiększyć o połowę, gdyż w przypadku osób pobierających emerytury lub renty od wielu lat można z dużym prawdopodobieństwem szacować, że większość z nich jest niższa niż aktualna kwota świadczenia pielęgnacyjnego.</w:t>
      </w:r>
      <w:r w:rsidR="0067197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Tak więc dla celów dalszych szacunków przyjęto, że beneficjantami ustawy będzie ok. 33,5 tys. osób.</w:t>
      </w:r>
    </w:p>
    <w:p w:rsidR="0067197A" w:rsidRDefault="0067197A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Dla celów niniejszej ustawy przyjęto, że średnia wartość uzupełniającego świadczenia pielęgnacyjnego wyniesie 80% wspominanej w pkt. 2 uzasadnienia kwoty 6</w:t>
      </w:r>
      <w:r w:rsidR="00D966E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3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0zł</w:t>
      </w:r>
      <w:r w:rsidR="00B6638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co oznacza średnią wysokość tego świadczenia w kwocie </w:t>
      </w:r>
      <w:r w:rsidR="00D966E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504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zł. </w:t>
      </w:r>
    </w:p>
    <w:p w:rsidR="0067197A" w:rsidRDefault="0067197A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Można więc z dużym prawdopodobieństwem wyszacować, że roczny koszt wprowadzenia nowego świadczenie wyniesie ok. </w:t>
      </w:r>
      <w:r w:rsidR="00D966E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202,6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mln. zł.</w:t>
      </w:r>
    </w:p>
    <w:p w:rsidR="0069649D" w:rsidRDefault="0069649D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Sprawowanie opieki nad niepełnosprawnymi dziećmi przez rodziców odciąża w sposób istotny system publiczny, przede wszystkim domy pomocy społecznej (DPS). Wprawdzie w pokryciu kosztów pobytu osoby w domu pomocy społecznej partycypuje rodzina, jednakże w przypadku osób niepełnosprawnych od urodzenia albo wczesnej młodości są to prawie zawsze rodziny z na tyle niskim dochodem, że są zwolnione z obowiązku pokrywania kosztów pobytu takiego dziecka. A koszty te nie są małe – dla celów szacowania skutków finansowych ustawy przyjęto kwotę 3800 zł miesięcznie za pobyt. Przyjmując bardzo ostrożnie, że brak projektowanej ustawy zwiększyłby skłonność tylko 10% rodzin do powierzenia opieki nad niepełnosprawnym dzieckiem </w:t>
      </w:r>
      <w:r w:rsidR="006D113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specjalistycznej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placówce jaką jest DPS i opierając się na szacunkowym miesięcznym koszcie pobytu w wysokości 3,8 tys. zł – projektowana ustawa oznacza potencjalne oszczędności dla samorządów terytorialnych finansujących funkcjonowanie DPS w kwocie ok. 141 mln. zł.</w:t>
      </w:r>
    </w:p>
    <w:p w:rsidR="006D113F" w:rsidRDefault="006D113F" w:rsidP="00B6638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Pokrycie kosztów projektowanej ustawy, ze względu na jej niewielką skalę w porównaniu z globalną kwotą przychodów i wydatków budżetu państwa, powinno zostać osiągnięte poprzez racjonalizację wydatków </w:t>
      </w:r>
      <w:r w:rsidR="00B6638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budżetu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i usprawnienie ściągalności podatków. Jest to możliwe w 2021 r. – dlatego projektowana ustawa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>powinna wejść w życie od dnia 1 marca 2021r. Należy także brać pod uwagę, że szacowana kwota wydatków w 2021 r. wyniesie ok. 16</w:t>
      </w:r>
      <w:r w:rsidR="00D966E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8,8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mln. zł – z uwagi na wejście w życie ustawy od </w:t>
      </w:r>
      <w:r w:rsidR="00B6638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dnia 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1 marca</w:t>
      </w:r>
      <w:r w:rsidR="00B6638B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2021 r</w:t>
      </w: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.</w:t>
      </w:r>
    </w:p>
    <w:p w:rsidR="00E04094" w:rsidRDefault="00E04094" w:rsidP="00B6638B">
      <w:pPr>
        <w:pStyle w:val="PKTpunkt"/>
        <w:spacing w:after="120"/>
        <w:ind w:left="0" w:firstLine="708"/>
        <w:rPr>
          <w:rFonts w:ascii="Arial" w:hAnsi="Arial"/>
          <w:color w:val="000000"/>
          <w:szCs w:val="24"/>
          <w:shd w:val="clear" w:color="auto" w:fill="FFFFFF"/>
        </w:rPr>
      </w:pPr>
      <w:r w:rsidRPr="00DE475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Projektowana ustawa nie d</w:t>
      </w:r>
      <w:r w:rsidRPr="00DE4754">
        <w:rPr>
          <w:rFonts w:ascii="Arial" w:hAnsi="Arial"/>
          <w:color w:val="000000"/>
          <w:szCs w:val="24"/>
          <w:shd w:val="clear" w:color="auto" w:fill="FFFFFF"/>
        </w:rPr>
        <w:t>otyczy majątkowych praw i obowiązków mikroprzedsiębiorców oraz małych i średnich przedsiębiorców lub praw i obowiązków mikroprzedsiębiorców oraz małych i średnich przedsiębiorców wobec organów administracji publicznej.</w:t>
      </w:r>
    </w:p>
    <w:p w:rsidR="0078345F" w:rsidRDefault="00E04094" w:rsidP="00B6638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C20F04">
        <w:rPr>
          <w:rStyle w:val="Ppogrubienie"/>
          <w:rFonts w:ascii="Arial" w:hAnsi="Arial"/>
          <w:szCs w:val="24"/>
        </w:rPr>
        <w:t>4.</w:t>
      </w:r>
      <w:r w:rsidRPr="00C20F04">
        <w:rPr>
          <w:rStyle w:val="Ppogrubienie"/>
          <w:rFonts w:ascii="Arial" w:hAnsi="Arial"/>
          <w:szCs w:val="24"/>
        </w:rPr>
        <w:tab/>
      </w:r>
      <w:r w:rsidR="0078345F">
        <w:rPr>
          <w:rStyle w:val="Ppogrubienie"/>
          <w:rFonts w:ascii="Arial" w:hAnsi="Arial"/>
          <w:szCs w:val="24"/>
        </w:rPr>
        <w:t>Założenia podstawowych aktów wykonawczych</w:t>
      </w:r>
    </w:p>
    <w:p w:rsidR="0078345F" w:rsidRDefault="0078345F" w:rsidP="00B6638B">
      <w:pPr>
        <w:pStyle w:val="PKTpunkt"/>
        <w:spacing w:after="120"/>
        <w:ind w:left="0" w:firstLine="708"/>
        <w:rPr>
          <w:rFonts w:ascii="Arial" w:hAnsi="Arial"/>
        </w:rPr>
      </w:pPr>
      <w:r w:rsidRPr="00A118DB">
        <w:rPr>
          <w:rStyle w:val="Ppogrubienie"/>
          <w:rFonts w:ascii="Arial" w:hAnsi="Arial"/>
          <w:b w:val="0"/>
          <w:szCs w:val="24"/>
        </w:rPr>
        <w:t xml:space="preserve">Projektowana ustawa wymaga </w:t>
      </w:r>
      <w:r w:rsidR="00A118DB" w:rsidRPr="00A118DB">
        <w:rPr>
          <w:rStyle w:val="Ppogrubienie"/>
          <w:rFonts w:ascii="Arial" w:hAnsi="Arial"/>
          <w:b w:val="0"/>
          <w:szCs w:val="24"/>
        </w:rPr>
        <w:t xml:space="preserve">nowelizacji </w:t>
      </w:r>
      <w:r w:rsidR="00A118DB" w:rsidRPr="00A118DB">
        <w:rPr>
          <w:rFonts w:ascii="Arial" w:hAnsi="Arial"/>
        </w:rPr>
        <w:t xml:space="preserve">Rozporządzenia Ministra Rodziny </w:t>
      </w:r>
      <w:r w:rsidR="00A61013">
        <w:rPr>
          <w:rFonts w:ascii="Arial" w:hAnsi="Arial"/>
        </w:rPr>
        <w:t>i</w:t>
      </w:r>
      <w:r w:rsidR="00A118DB" w:rsidRPr="00A118DB">
        <w:rPr>
          <w:rFonts w:ascii="Arial" w:hAnsi="Arial"/>
        </w:rPr>
        <w:t xml:space="preserve"> Polityki Społecznej w sprawie sposobu i trybu postępowania w sprawach o przyznanie świadczeń rodzinnych oraz zakresu informacji, jakie mają być zawarte we wniosku, zaświadczeniach i oświadczeniach o ustalenie prawa do świadczeń rodzinnych</w:t>
      </w:r>
      <w:r w:rsidR="00A118DB">
        <w:rPr>
          <w:rFonts w:ascii="Arial" w:hAnsi="Arial"/>
        </w:rPr>
        <w:t>, wydanego na podstawie art. 23 ust. 5 ustawy. W projektowanym rozporządzeniu należy uwzględnić nowe świadczenie jakim jest uzupełniające świadczenie pielęgnacyjne. Najważniejszym rozstrzygnięciem merytorycznym będzie określenie sposobu przedstawienia informacji o rodzaju i kwocie świadczenia lub świadczeń jakie pobiera wnioskodawca – niezbędnej do ustalenia wysokości świadczenia. W tym celu Minister Rodziny</w:t>
      </w:r>
      <w:r w:rsidR="00A61013">
        <w:rPr>
          <w:rFonts w:ascii="Arial" w:hAnsi="Arial"/>
        </w:rPr>
        <w:t xml:space="preserve"> </w:t>
      </w:r>
      <w:r w:rsidR="00A118DB">
        <w:rPr>
          <w:rFonts w:ascii="Arial" w:hAnsi="Arial"/>
        </w:rPr>
        <w:t xml:space="preserve"> i Polityki Społecznej powinien przed wydaniem rozporządzenia przeprowadzić konsultacje z organami rentowymi, przede wszystkim z ZUS i KRUS.</w:t>
      </w:r>
    </w:p>
    <w:p w:rsidR="00E04094" w:rsidRPr="00C20F04" w:rsidRDefault="0078345F" w:rsidP="00B6638B">
      <w:pPr>
        <w:pStyle w:val="PKTpunkt"/>
        <w:spacing w:after="12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5.</w:t>
      </w:r>
      <w:r>
        <w:rPr>
          <w:rStyle w:val="Ppogrubienie"/>
          <w:rFonts w:ascii="Arial" w:hAnsi="Arial"/>
          <w:szCs w:val="24"/>
        </w:rPr>
        <w:tab/>
      </w:r>
      <w:r w:rsidR="00E04094" w:rsidRPr="00C20F04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E04094" w:rsidRDefault="00E04094" w:rsidP="00B6638B">
      <w:pPr>
        <w:pStyle w:val="NIEARTTEKSTtekstnieartykuowanynppodstprawnarozplubpreambua"/>
        <w:spacing w:before="0" w:after="120"/>
        <w:ind w:firstLine="708"/>
      </w:pPr>
      <w:r w:rsidRPr="00513E77">
        <w:rPr>
          <w:rFonts w:ascii="Arial" w:hAnsi="Arial"/>
          <w:szCs w:val="24"/>
        </w:rPr>
        <w:t>Przedmiot projektowanej regulacji nie jest objęty prawem Unii Europejskiej.</w:t>
      </w:r>
    </w:p>
    <w:sectPr w:rsidR="00E04094" w:rsidSect="00F27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18948" w16cex:dateUtc="2020-07-09T10:17:00Z"/>
  <w16cex:commentExtensible w16cex:durableId="22B167D8" w16cex:dateUtc="2020-07-09T07:54:00Z"/>
  <w16cex:commentExtensible w16cex:durableId="22B15D40" w16cex:dateUtc="2020-07-09T07:09:00Z"/>
  <w16cex:commentExtensible w16cex:durableId="22B16058" w16cex:dateUtc="2020-07-09T07:22:00Z"/>
  <w16cex:commentExtensible w16cex:durableId="22B16D1E" w16cex:dateUtc="2020-07-09T08:17:00Z"/>
  <w16cex:commentExtensible w16cex:durableId="22B16E3F" w16cex:dateUtc="2020-07-09T08:21:00Z"/>
  <w16cex:commentExtensible w16cex:durableId="22B16F35" w16cex:dateUtc="2020-07-09T08:25:00Z"/>
  <w16cex:commentExtensible w16cex:durableId="22B173BD" w16cex:dateUtc="2020-07-09T08:45:00Z"/>
  <w16cex:commentExtensible w16cex:durableId="22B17800" w16cex:dateUtc="2020-07-09T09:03:00Z"/>
  <w16cex:commentExtensible w16cex:durableId="22B1792E" w16cex:dateUtc="2020-07-09T09:08:00Z"/>
  <w16cex:commentExtensible w16cex:durableId="22B17A52" w16cex:dateUtc="2020-07-09T09:13:00Z"/>
  <w16cex:commentExtensible w16cex:durableId="22B17B2B" w16cex:dateUtc="2020-07-09T09:16:00Z"/>
  <w16cex:commentExtensible w16cex:durableId="22B17CF7" w16cex:dateUtc="2020-07-09T09:24:00Z"/>
  <w16cex:commentExtensible w16cex:durableId="22B17FB0" w16cex:dateUtc="2020-07-09T09:36:00Z"/>
  <w16cex:commentExtensible w16cex:durableId="22B18504" w16cex:dateUtc="2020-07-09T09:59:00Z"/>
  <w16cex:commentExtensible w16cex:durableId="22B18592" w16cex:dateUtc="2020-07-09T10:0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80E" w:rsidRDefault="00D8280E" w:rsidP="00B42B27">
      <w:pPr>
        <w:spacing w:after="0" w:line="240" w:lineRule="auto"/>
      </w:pPr>
      <w:r>
        <w:separator/>
      </w:r>
    </w:p>
  </w:endnote>
  <w:endnote w:type="continuationSeparator" w:id="0">
    <w:p w:rsidR="00D8280E" w:rsidRDefault="00D8280E" w:rsidP="00B4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80E" w:rsidRDefault="00D8280E" w:rsidP="00B42B27">
      <w:pPr>
        <w:spacing w:after="0" w:line="240" w:lineRule="auto"/>
      </w:pPr>
      <w:r>
        <w:separator/>
      </w:r>
    </w:p>
  </w:footnote>
  <w:footnote w:type="continuationSeparator" w:id="0">
    <w:p w:rsidR="00D8280E" w:rsidRDefault="00D8280E" w:rsidP="00B42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5C71"/>
    <w:multiLevelType w:val="hybridMultilevel"/>
    <w:tmpl w:val="B89014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870B6"/>
    <w:multiLevelType w:val="hybridMultilevel"/>
    <w:tmpl w:val="5BAEA1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7432345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DE"/>
    <w:rsid w:val="00020262"/>
    <w:rsid w:val="00047E3D"/>
    <w:rsid w:val="00072DE6"/>
    <w:rsid w:val="000813C5"/>
    <w:rsid w:val="000A5AE9"/>
    <w:rsid w:val="00103765"/>
    <w:rsid w:val="001044C0"/>
    <w:rsid w:val="00123A17"/>
    <w:rsid w:val="00124887"/>
    <w:rsid w:val="001571DE"/>
    <w:rsid w:val="001653ED"/>
    <w:rsid w:val="0019269C"/>
    <w:rsid w:val="001B1FC9"/>
    <w:rsid w:val="00243540"/>
    <w:rsid w:val="002475B0"/>
    <w:rsid w:val="00253911"/>
    <w:rsid w:val="00291601"/>
    <w:rsid w:val="0029724A"/>
    <w:rsid w:val="002A0CC7"/>
    <w:rsid w:val="002A0CDE"/>
    <w:rsid w:val="002A15C1"/>
    <w:rsid w:val="002A603F"/>
    <w:rsid w:val="002A6490"/>
    <w:rsid w:val="002C16BE"/>
    <w:rsid w:val="002C584E"/>
    <w:rsid w:val="002F526D"/>
    <w:rsid w:val="00321188"/>
    <w:rsid w:val="00347C3F"/>
    <w:rsid w:val="00361757"/>
    <w:rsid w:val="00386FA1"/>
    <w:rsid w:val="00394D82"/>
    <w:rsid w:val="003D2D7D"/>
    <w:rsid w:val="003F574F"/>
    <w:rsid w:val="004413AE"/>
    <w:rsid w:val="00456B9F"/>
    <w:rsid w:val="0046794A"/>
    <w:rsid w:val="0047114D"/>
    <w:rsid w:val="00482BBB"/>
    <w:rsid w:val="004925A1"/>
    <w:rsid w:val="00494393"/>
    <w:rsid w:val="004B0A6A"/>
    <w:rsid w:val="004C2AA6"/>
    <w:rsid w:val="004E743C"/>
    <w:rsid w:val="005204B2"/>
    <w:rsid w:val="00536F92"/>
    <w:rsid w:val="00543F2E"/>
    <w:rsid w:val="0055379D"/>
    <w:rsid w:val="00594376"/>
    <w:rsid w:val="005C1063"/>
    <w:rsid w:val="005D0267"/>
    <w:rsid w:val="005E2E0C"/>
    <w:rsid w:val="00641E75"/>
    <w:rsid w:val="0067197A"/>
    <w:rsid w:val="00686CF2"/>
    <w:rsid w:val="00687505"/>
    <w:rsid w:val="0069649D"/>
    <w:rsid w:val="006B3907"/>
    <w:rsid w:val="006D113F"/>
    <w:rsid w:val="007040FA"/>
    <w:rsid w:val="00706F77"/>
    <w:rsid w:val="0073262F"/>
    <w:rsid w:val="00743757"/>
    <w:rsid w:val="0078345F"/>
    <w:rsid w:val="00787127"/>
    <w:rsid w:val="00792D6F"/>
    <w:rsid w:val="007944A9"/>
    <w:rsid w:val="007B0882"/>
    <w:rsid w:val="007D33BD"/>
    <w:rsid w:val="007D4034"/>
    <w:rsid w:val="007F78D1"/>
    <w:rsid w:val="0080062F"/>
    <w:rsid w:val="008028C9"/>
    <w:rsid w:val="00831B78"/>
    <w:rsid w:val="0083511E"/>
    <w:rsid w:val="008513D0"/>
    <w:rsid w:val="00854A57"/>
    <w:rsid w:val="008839C6"/>
    <w:rsid w:val="00883F96"/>
    <w:rsid w:val="00886FE0"/>
    <w:rsid w:val="0089454F"/>
    <w:rsid w:val="008B0798"/>
    <w:rsid w:val="008B1CDC"/>
    <w:rsid w:val="008F4E15"/>
    <w:rsid w:val="008F6FAE"/>
    <w:rsid w:val="00913414"/>
    <w:rsid w:val="009152D8"/>
    <w:rsid w:val="00981BFA"/>
    <w:rsid w:val="009E76DC"/>
    <w:rsid w:val="00A0102E"/>
    <w:rsid w:val="00A118DB"/>
    <w:rsid w:val="00A33919"/>
    <w:rsid w:val="00A61013"/>
    <w:rsid w:val="00A62E23"/>
    <w:rsid w:val="00AD2C3A"/>
    <w:rsid w:val="00B247A9"/>
    <w:rsid w:val="00B308A3"/>
    <w:rsid w:val="00B34169"/>
    <w:rsid w:val="00B35E9A"/>
    <w:rsid w:val="00B42035"/>
    <w:rsid w:val="00B42B27"/>
    <w:rsid w:val="00B4644F"/>
    <w:rsid w:val="00B6638B"/>
    <w:rsid w:val="00BA0919"/>
    <w:rsid w:val="00C03AAE"/>
    <w:rsid w:val="00C1426C"/>
    <w:rsid w:val="00C31C81"/>
    <w:rsid w:val="00C62D61"/>
    <w:rsid w:val="00CA6D3C"/>
    <w:rsid w:val="00CD7279"/>
    <w:rsid w:val="00CF2C7F"/>
    <w:rsid w:val="00D06317"/>
    <w:rsid w:val="00D06EFB"/>
    <w:rsid w:val="00D23FE3"/>
    <w:rsid w:val="00D36173"/>
    <w:rsid w:val="00D8280E"/>
    <w:rsid w:val="00D87E10"/>
    <w:rsid w:val="00D966E3"/>
    <w:rsid w:val="00DA11BA"/>
    <w:rsid w:val="00DA453C"/>
    <w:rsid w:val="00DB6BAD"/>
    <w:rsid w:val="00DD42A4"/>
    <w:rsid w:val="00DE4754"/>
    <w:rsid w:val="00E04094"/>
    <w:rsid w:val="00E25D30"/>
    <w:rsid w:val="00E26721"/>
    <w:rsid w:val="00E40E48"/>
    <w:rsid w:val="00E54838"/>
    <w:rsid w:val="00E66DBE"/>
    <w:rsid w:val="00EA4044"/>
    <w:rsid w:val="00EB11B1"/>
    <w:rsid w:val="00EE5747"/>
    <w:rsid w:val="00EF60E4"/>
    <w:rsid w:val="00F146A6"/>
    <w:rsid w:val="00F215DE"/>
    <w:rsid w:val="00F2736B"/>
    <w:rsid w:val="00F34EEB"/>
    <w:rsid w:val="00F358BF"/>
    <w:rsid w:val="00F60EB1"/>
    <w:rsid w:val="00FB3BC5"/>
    <w:rsid w:val="00FC018C"/>
    <w:rsid w:val="00FC2151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3A613-C40A-4D15-9E13-D762DBED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73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42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42B27"/>
  </w:style>
  <w:style w:type="paragraph" w:styleId="Stopka">
    <w:name w:val="footer"/>
    <w:basedOn w:val="Normalny"/>
    <w:link w:val="StopkaZnak"/>
    <w:uiPriority w:val="99"/>
    <w:semiHidden/>
    <w:unhideWhenUsed/>
    <w:rsid w:val="00B42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42B27"/>
  </w:style>
  <w:style w:type="paragraph" w:customStyle="1" w:styleId="tekst">
    <w:name w:val="tekst"/>
    <w:basedOn w:val="Normalny"/>
    <w:uiPriority w:val="99"/>
    <w:rsid w:val="00B42B27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B42B27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B42B2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paragraph" w:styleId="Akapitzlist">
    <w:name w:val="List Paragraph"/>
    <w:basedOn w:val="Normalny"/>
    <w:uiPriority w:val="34"/>
    <w:qFormat/>
    <w:rsid w:val="00B42B27"/>
    <w:pPr>
      <w:ind w:left="720"/>
      <w:contextualSpacing/>
    </w:pPr>
  </w:style>
  <w:style w:type="paragraph" w:customStyle="1" w:styleId="PKTpunkt">
    <w:name w:val="PKT – punkt"/>
    <w:basedOn w:val="Normalny"/>
    <w:link w:val="PKTpunktZnak"/>
    <w:uiPriority w:val="16"/>
    <w:qFormat/>
    <w:rsid w:val="00E04094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E04094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0409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0409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3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9C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39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39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39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39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39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80070A-041B-4E07-BA5E-6FFC22420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1908</Words>
  <Characters>11449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4</cp:revision>
  <cp:lastPrinted>2020-11-18T10:23:00Z</cp:lastPrinted>
  <dcterms:created xsi:type="dcterms:W3CDTF">2020-10-21T11:41:00Z</dcterms:created>
  <dcterms:modified xsi:type="dcterms:W3CDTF">2020-11-18T10:23:00Z</dcterms:modified>
</cp:coreProperties>
</file>