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616" w:rsidRDefault="00D95616" w:rsidP="009B2102">
      <w:pPr>
        <w:spacing w:after="0" w:line="360" w:lineRule="auto"/>
        <w:ind w:firstLine="567"/>
        <w:jc w:val="center"/>
        <w:rPr>
          <w:rFonts w:ascii="Tahoma" w:hAnsi="Tahoma" w:cs="Tahoma"/>
          <w:bCs/>
          <w:sz w:val="24"/>
          <w:szCs w:val="24"/>
        </w:rPr>
      </w:pPr>
      <w:bookmarkStart w:id="0" w:name="_GoBack"/>
      <w:bookmarkEnd w:id="0"/>
    </w:p>
    <w:p w:rsidR="003844B6" w:rsidRPr="00C42CA3" w:rsidRDefault="003844B6" w:rsidP="009B2102">
      <w:pPr>
        <w:spacing w:after="0" w:line="360" w:lineRule="auto"/>
        <w:ind w:firstLine="567"/>
        <w:jc w:val="center"/>
        <w:rPr>
          <w:rFonts w:ascii="Tahoma" w:hAnsi="Tahoma" w:cs="Tahoma"/>
          <w:bCs/>
          <w:sz w:val="24"/>
          <w:szCs w:val="24"/>
        </w:rPr>
      </w:pPr>
    </w:p>
    <w:p w:rsidR="00F6225E" w:rsidRPr="001E23D6" w:rsidRDefault="001E23D6" w:rsidP="001E23D6">
      <w:pPr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Autopoprawka do projektu ustawy </w:t>
      </w:r>
      <w:r w:rsidR="003844B6" w:rsidRPr="003844B6">
        <w:rPr>
          <w:rFonts w:ascii="Tahoma" w:hAnsi="Tahoma" w:cs="Tahoma"/>
          <w:b/>
          <w:bCs/>
          <w:sz w:val="24"/>
          <w:szCs w:val="24"/>
        </w:rPr>
        <w:t>o zmianie ustawy o zapobieganiu oraz zwalczaniu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="003844B6" w:rsidRPr="003844B6">
        <w:rPr>
          <w:rFonts w:ascii="Tahoma" w:hAnsi="Tahoma" w:cs="Tahoma"/>
          <w:b/>
          <w:bCs/>
          <w:sz w:val="24"/>
          <w:szCs w:val="24"/>
        </w:rPr>
        <w:t>zakażeń i chorób zakaźnych u ludz</w:t>
      </w:r>
      <w:r w:rsidR="003844B6">
        <w:rPr>
          <w:rFonts w:ascii="Tahoma" w:hAnsi="Tahoma" w:cs="Tahoma"/>
          <w:b/>
          <w:bCs/>
          <w:sz w:val="24"/>
          <w:szCs w:val="24"/>
        </w:rPr>
        <w:t>i</w:t>
      </w:r>
      <w:r>
        <w:rPr>
          <w:rFonts w:ascii="Tahoma" w:hAnsi="Tahoma" w:cs="Tahoma"/>
          <w:b/>
          <w:bCs/>
          <w:sz w:val="24"/>
          <w:szCs w:val="24"/>
        </w:rPr>
        <w:t xml:space="preserve"> (</w:t>
      </w:r>
      <w:r w:rsidRPr="001E23D6">
        <w:rPr>
          <w:rFonts w:ascii="Tahoma" w:hAnsi="Tahoma" w:cs="Tahoma"/>
          <w:b/>
          <w:bCs/>
          <w:sz w:val="24"/>
          <w:szCs w:val="24"/>
        </w:rPr>
        <w:t>EW-020-297/20</w:t>
      </w:r>
      <w:r>
        <w:rPr>
          <w:rFonts w:ascii="Tahoma" w:hAnsi="Tahoma" w:cs="Tahoma"/>
          <w:b/>
          <w:bCs/>
          <w:sz w:val="24"/>
          <w:szCs w:val="24"/>
        </w:rPr>
        <w:t>)</w:t>
      </w:r>
    </w:p>
    <w:p w:rsidR="009B2102" w:rsidRPr="00C42CA3" w:rsidRDefault="009B2102" w:rsidP="009B2102">
      <w:pPr>
        <w:spacing w:after="0" w:line="360" w:lineRule="auto"/>
        <w:ind w:firstLine="567"/>
        <w:jc w:val="both"/>
        <w:rPr>
          <w:rFonts w:ascii="Tahoma" w:hAnsi="Tahoma" w:cs="Tahoma"/>
          <w:bCs/>
          <w:sz w:val="24"/>
          <w:szCs w:val="24"/>
        </w:rPr>
      </w:pPr>
    </w:p>
    <w:p w:rsidR="00A5040D" w:rsidRPr="001E23D6" w:rsidRDefault="00A5040D" w:rsidP="009B2102">
      <w:pPr>
        <w:spacing w:after="0" w:line="360" w:lineRule="auto"/>
        <w:ind w:firstLine="567"/>
        <w:jc w:val="both"/>
        <w:rPr>
          <w:rFonts w:ascii="Tahoma" w:hAnsi="Tahoma" w:cs="Tahoma"/>
          <w:bCs/>
          <w:sz w:val="24"/>
          <w:szCs w:val="24"/>
        </w:rPr>
      </w:pPr>
    </w:p>
    <w:p w:rsidR="00F6225E" w:rsidRPr="000754CA" w:rsidRDefault="000754CA" w:rsidP="000754CA">
      <w:pPr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0754CA">
        <w:rPr>
          <w:rFonts w:ascii="Tahoma" w:hAnsi="Tahoma" w:cs="Tahoma"/>
          <w:bCs/>
          <w:sz w:val="24"/>
          <w:szCs w:val="24"/>
        </w:rPr>
        <w:t>1)</w:t>
      </w:r>
      <w:r>
        <w:rPr>
          <w:rFonts w:ascii="Tahoma" w:hAnsi="Tahoma" w:cs="Tahoma"/>
          <w:bCs/>
          <w:sz w:val="24"/>
          <w:szCs w:val="24"/>
        </w:rPr>
        <w:t xml:space="preserve"> </w:t>
      </w:r>
      <w:r w:rsidR="001E23D6" w:rsidRPr="000754CA">
        <w:rPr>
          <w:rFonts w:ascii="Tahoma" w:hAnsi="Tahoma" w:cs="Tahoma"/>
          <w:bCs/>
          <w:sz w:val="24"/>
          <w:szCs w:val="24"/>
        </w:rPr>
        <w:t>W art. 1, dodawanemu art. 49a nadać brzmienie:</w:t>
      </w:r>
    </w:p>
    <w:p w:rsidR="004D2E75" w:rsidRDefault="003844B6" w:rsidP="00587767">
      <w:pPr>
        <w:spacing w:after="0" w:line="360" w:lineRule="auto"/>
        <w:ind w:left="284" w:firstLine="567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 xml:space="preserve">„Art. 49a. </w:t>
      </w:r>
      <w:r w:rsidRPr="003844B6">
        <w:rPr>
          <w:rFonts w:ascii="Tahoma" w:hAnsi="Tahoma" w:cs="Tahoma"/>
          <w:bCs/>
          <w:sz w:val="24"/>
          <w:szCs w:val="24"/>
        </w:rPr>
        <w:t>Kto w czasie stanu epidemii</w:t>
      </w:r>
      <w:r>
        <w:rPr>
          <w:rFonts w:ascii="Tahoma" w:hAnsi="Tahoma" w:cs="Tahoma"/>
          <w:bCs/>
          <w:sz w:val="24"/>
          <w:szCs w:val="24"/>
        </w:rPr>
        <w:t xml:space="preserve"> wbrew aktualnej wiedzy medycznej</w:t>
      </w:r>
      <w:r w:rsidRPr="003844B6">
        <w:rPr>
          <w:rFonts w:ascii="Tahoma" w:hAnsi="Tahoma" w:cs="Tahoma"/>
          <w:bCs/>
          <w:sz w:val="24"/>
          <w:szCs w:val="24"/>
        </w:rPr>
        <w:t xml:space="preserve"> publicznie zaprzecza zagrożeni</w:t>
      </w:r>
      <w:r>
        <w:rPr>
          <w:rFonts w:ascii="Tahoma" w:hAnsi="Tahoma" w:cs="Tahoma"/>
          <w:bCs/>
          <w:sz w:val="24"/>
          <w:szCs w:val="24"/>
        </w:rPr>
        <w:t>u</w:t>
      </w:r>
      <w:r w:rsidRPr="003844B6">
        <w:rPr>
          <w:rFonts w:ascii="Tahoma" w:hAnsi="Tahoma" w:cs="Tahoma"/>
          <w:bCs/>
          <w:sz w:val="24"/>
          <w:szCs w:val="24"/>
        </w:rPr>
        <w:t xml:space="preserve"> dla zdrowia publicznego lub podważa</w:t>
      </w:r>
      <w:r>
        <w:rPr>
          <w:rFonts w:ascii="Tahoma" w:hAnsi="Tahoma" w:cs="Tahoma"/>
          <w:bCs/>
          <w:sz w:val="24"/>
          <w:szCs w:val="24"/>
        </w:rPr>
        <w:t xml:space="preserve"> jego</w:t>
      </w:r>
      <w:r w:rsidRPr="003844B6">
        <w:rPr>
          <w:rFonts w:ascii="Tahoma" w:hAnsi="Tahoma" w:cs="Tahoma"/>
          <w:bCs/>
          <w:sz w:val="24"/>
          <w:szCs w:val="24"/>
        </w:rPr>
        <w:t xml:space="preserve"> istnienie, zachęca lub podżega do niewdrażania lub niestosowania procedur zapewniających ochronę przed zakażeniami oraz chorobami zakaźnymi</w:t>
      </w:r>
      <w:r w:rsidR="006D7E2D">
        <w:rPr>
          <w:rFonts w:ascii="Tahoma" w:hAnsi="Tahoma" w:cs="Tahoma"/>
          <w:bCs/>
          <w:sz w:val="24"/>
          <w:szCs w:val="24"/>
        </w:rPr>
        <w:t>,</w:t>
      </w:r>
      <w:r w:rsidRPr="003844B6">
        <w:rPr>
          <w:rFonts w:ascii="Tahoma" w:hAnsi="Tahoma" w:cs="Tahoma"/>
          <w:bCs/>
          <w:sz w:val="24"/>
          <w:szCs w:val="24"/>
        </w:rPr>
        <w:t xml:space="preserve"> podlega grzywnie</w:t>
      </w:r>
      <w:r w:rsidR="001E23D6">
        <w:rPr>
          <w:rFonts w:ascii="Tahoma" w:hAnsi="Tahoma" w:cs="Tahoma"/>
          <w:bCs/>
          <w:sz w:val="24"/>
          <w:szCs w:val="24"/>
        </w:rPr>
        <w:t>.</w:t>
      </w:r>
      <w:r>
        <w:rPr>
          <w:rFonts w:ascii="Tahoma" w:hAnsi="Tahoma" w:cs="Tahoma"/>
          <w:bCs/>
          <w:sz w:val="24"/>
          <w:szCs w:val="24"/>
        </w:rPr>
        <w:t>”</w:t>
      </w:r>
    </w:p>
    <w:p w:rsidR="00587767" w:rsidRDefault="00587767" w:rsidP="009B2102">
      <w:pPr>
        <w:spacing w:after="0" w:line="360" w:lineRule="auto"/>
        <w:ind w:firstLine="567"/>
        <w:jc w:val="both"/>
        <w:rPr>
          <w:rFonts w:ascii="Tahoma" w:hAnsi="Tahoma" w:cs="Tahoma"/>
          <w:bCs/>
          <w:sz w:val="24"/>
          <w:szCs w:val="24"/>
        </w:rPr>
      </w:pPr>
    </w:p>
    <w:p w:rsidR="00587767" w:rsidRDefault="00587767" w:rsidP="00587767">
      <w:pPr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2) Pkt 1 i 2 uzasadnienia nadać brzmienie:</w:t>
      </w:r>
    </w:p>
    <w:p w:rsidR="00587767" w:rsidRPr="00587767" w:rsidRDefault="00587767" w:rsidP="00587767">
      <w:pPr>
        <w:spacing w:after="0" w:line="360" w:lineRule="auto"/>
        <w:ind w:left="284"/>
        <w:jc w:val="both"/>
        <w:textAlignment w:val="baseline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 w:rsidRPr="00587767">
        <w:rPr>
          <w:rFonts w:ascii="Tahoma" w:hAnsi="Tahoma" w:cs="Tahoma"/>
          <w:bCs/>
          <w:sz w:val="24"/>
          <w:szCs w:val="24"/>
        </w:rPr>
        <w:t>„</w:t>
      </w:r>
      <w:r w:rsidRPr="00587767">
        <w:rPr>
          <w:rFonts w:ascii="Tahoma" w:hAnsi="Tahoma" w:cs="Tahoma"/>
          <w:b/>
          <w:bCs/>
          <w:sz w:val="24"/>
          <w:szCs w:val="24"/>
        </w:rPr>
        <w:t>1.</w:t>
      </w:r>
      <w:r w:rsidRPr="00587767">
        <w:rPr>
          <w:rFonts w:ascii="Tahoma" w:hAnsi="Tahoma" w:cs="Tahoma"/>
          <w:bCs/>
          <w:sz w:val="24"/>
          <w:szCs w:val="24"/>
        </w:rPr>
        <w:t xml:space="preserve"> </w:t>
      </w:r>
      <w:r w:rsidRPr="00587767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Potrzeba i cel projektu ustawy</w:t>
      </w:r>
    </w:p>
    <w:p w:rsidR="00587767" w:rsidRPr="00A5040D" w:rsidRDefault="00587767" w:rsidP="00587767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Projekt ustawy jest odpowiedzią na c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oraz częściej pojawiąjące się w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przestrzeni publicznej teorie i działania, które zaprzeczają istnieniu pandemii </w:t>
      </w:r>
      <w:proofErr w:type="spellStart"/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koronawirusa</w:t>
      </w:r>
      <w:proofErr w:type="spellEnd"/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SARS-CoV-2. Organizowane przez środowiska antynaukowe demonstracje i akcje społeczne mają na celu zaszczepienie w społeczeństwie przekonania, że albo pandemia nie istnieje, lub, jeśli dopuszcza się jej istnienie, to podważane są naukowo udowodnione tezy, że COVID-19 jest chorobą groźną i niebezpieczną dla całych populacji.</w:t>
      </w:r>
    </w:p>
    <w:p w:rsidR="00587767" w:rsidRPr="00A5040D" w:rsidRDefault="00587767" w:rsidP="00587767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Środowiska szerzące tego typu teorie zachęcają lub podżegają do nie wdrażania lub nie stosowania procedur zapewniających ochronę przed zakażeniami oraz chorobami zakaźnymi.</w:t>
      </w:r>
    </w:p>
    <w:p w:rsidR="00587767" w:rsidRPr="00A5040D" w:rsidRDefault="00587767" w:rsidP="00587767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Celem projektu ustawy jest zatem konieczność umożliwienia skutecznej odpowiedzi państwa na zagrożenie, jakie tego typu ruchy społeczne generują. </w:t>
      </w:r>
    </w:p>
    <w:p w:rsidR="00587767" w:rsidRPr="00A5040D" w:rsidRDefault="00587767" w:rsidP="00587767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Należy pamiętać, że obowiązek zapewnienia ochrony zdrowia jest obowiązkiem, który z mocy przepisów konstytucyjnych spoczywa na państwie. Prawo do ochrony zdrowia obejmuje nie tylko zapewnienie dostępu do systemu ochrony zdrowia, ale także oczekiwania od pa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ństwa skutecznej walki z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rozprzestrzenianiem się i walki z chorobami epidemicznymi. Działania 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środowisk podważających istnienie epidemii or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az zachęcające społeczeństwo do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negowania wprowadzanych na mocy ustawy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restrykcji przyczyniają się do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zagrożenia jednego z podstawowych praw gwarantowanych Konstytucją RP, czyli prawa do zdrowia Polek i Polaków. </w:t>
      </w:r>
    </w:p>
    <w:p w:rsidR="00587767" w:rsidRPr="00A5040D" w:rsidRDefault="00587767" w:rsidP="00587767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Proponowana ustawa wprowadza ograniczenia - głównie w kontekście wolności słowa i swobody ekspresji. Należy jednak pamiętać, że wolności te nie są wolnościami absolutnymi i mogą podlegać ograniczeniom. </w:t>
      </w:r>
    </w:p>
    <w:p w:rsidR="00587767" w:rsidRPr="00A5040D" w:rsidRDefault="00587767" w:rsidP="00587767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Zgodnie z przepisem art. 31. ust 3 Konstytucji „ograniczenia w zakresie korzystania z konstytucyjnych wolności i pr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aw mogą być ustanawiane tylko w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ustawie i tylko wtedy, gdy są konieczne w demokratycznym państwie dla jego bezpieczeństwa lub porządku publicznego, bądź dla ochrony środowiska, zdrowia i moralności publicznej, albo wolności i praw innych osób. Ograniczenia te nie mogą naruszać istoty wolności i praw.”</w:t>
      </w:r>
    </w:p>
    <w:p w:rsidR="00587767" w:rsidRPr="00A5040D" w:rsidRDefault="00587767" w:rsidP="00587767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Proponowany kształt przepisu, który wprowadza penalizacje określonych </w:t>
      </w:r>
      <w:proofErr w:type="spellStart"/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zachowań</w:t>
      </w:r>
      <w:proofErr w:type="spellEnd"/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spełnia obostrzenia narzucone przez </w:t>
      </w:r>
      <w:proofErr w:type="spellStart"/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ustrojodawcę</w:t>
      </w:r>
      <w:proofErr w:type="spellEnd"/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.  Z jednej strony kryminalizuje zachowania godzące w wartości konstytucyjne i w dobra innych osób. Z drugiej, przepis spełnia wymóg proporcjonalności limitowania korzystania z wolności osadzonych w ustawie zasadniczej. Przepis wprowadza jedynie możliwość zastosowania kary grzywny. </w:t>
      </w:r>
    </w:p>
    <w:p w:rsidR="00587767" w:rsidRDefault="00587767" w:rsidP="00587767">
      <w:pPr>
        <w:spacing w:before="240" w:after="240" w:line="360" w:lineRule="auto"/>
        <w:ind w:left="426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2.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R</w:t>
      </w: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óżnica pomiędzy dotychczasowym, a projektowanym stanem prawnym</w:t>
      </w:r>
    </w:p>
    <w:p w:rsidR="001E23D6" w:rsidRDefault="00587767" w:rsidP="00587767">
      <w:pPr>
        <w:spacing w:after="0" w:line="360" w:lineRule="auto"/>
        <w:ind w:left="709" w:firstLine="567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Proponuje się, aby w</w:t>
      </w:r>
      <w:r w:rsidRPr="003844B6">
        <w:rPr>
          <w:rFonts w:ascii="Tahoma" w:hAnsi="Tahoma" w:cs="Tahoma"/>
          <w:bCs/>
          <w:sz w:val="24"/>
          <w:szCs w:val="24"/>
        </w:rPr>
        <w:t xml:space="preserve">  ustawie  z  dnia  5  grudnia  2008  r.  o  zapobieganiu  oraz  zwalczaniu zakażeń i chorób zakaźnych u ludzi </w:t>
      </w:r>
      <w:r>
        <w:rPr>
          <w:rFonts w:ascii="Tahoma" w:hAnsi="Tahoma" w:cs="Tahoma"/>
          <w:bCs/>
          <w:sz w:val="24"/>
          <w:szCs w:val="24"/>
        </w:rPr>
        <w:t>dodać art. 49a, który wprowadza odpowiedzialność za publiczn</w:t>
      </w:r>
      <w:r w:rsidRPr="003844B6">
        <w:rPr>
          <w:rFonts w:ascii="Tahoma" w:hAnsi="Tahoma" w:cs="Tahoma"/>
          <w:bCs/>
          <w:sz w:val="24"/>
          <w:szCs w:val="24"/>
        </w:rPr>
        <w:t>e zaprzecza</w:t>
      </w:r>
      <w:r>
        <w:rPr>
          <w:rFonts w:ascii="Tahoma" w:hAnsi="Tahoma" w:cs="Tahoma"/>
          <w:bCs/>
          <w:sz w:val="24"/>
          <w:szCs w:val="24"/>
        </w:rPr>
        <w:t>nie</w:t>
      </w:r>
      <w:r w:rsidRPr="003844B6">
        <w:rPr>
          <w:rFonts w:ascii="Tahoma" w:hAnsi="Tahoma" w:cs="Tahoma"/>
          <w:bCs/>
          <w:sz w:val="24"/>
          <w:szCs w:val="24"/>
        </w:rPr>
        <w:t xml:space="preserve"> zagrożeni</w:t>
      </w:r>
      <w:r>
        <w:rPr>
          <w:rFonts w:ascii="Tahoma" w:hAnsi="Tahoma" w:cs="Tahoma"/>
          <w:bCs/>
          <w:sz w:val="24"/>
          <w:szCs w:val="24"/>
        </w:rPr>
        <w:t>u</w:t>
      </w:r>
      <w:r w:rsidRPr="003844B6">
        <w:rPr>
          <w:rFonts w:ascii="Tahoma" w:hAnsi="Tahoma" w:cs="Tahoma"/>
          <w:bCs/>
          <w:sz w:val="24"/>
          <w:szCs w:val="24"/>
        </w:rPr>
        <w:t xml:space="preserve"> dla zdrowia publicznego lub podważ</w:t>
      </w:r>
      <w:r>
        <w:rPr>
          <w:rFonts w:ascii="Tahoma" w:hAnsi="Tahoma" w:cs="Tahoma"/>
          <w:bCs/>
          <w:sz w:val="24"/>
          <w:szCs w:val="24"/>
        </w:rPr>
        <w:t>enie jego</w:t>
      </w:r>
      <w:r w:rsidRPr="003844B6">
        <w:rPr>
          <w:rFonts w:ascii="Tahoma" w:hAnsi="Tahoma" w:cs="Tahoma"/>
          <w:bCs/>
          <w:sz w:val="24"/>
          <w:szCs w:val="24"/>
        </w:rPr>
        <w:t xml:space="preserve"> istnieni</w:t>
      </w:r>
      <w:r>
        <w:rPr>
          <w:rFonts w:ascii="Tahoma" w:hAnsi="Tahoma" w:cs="Tahoma"/>
          <w:bCs/>
          <w:sz w:val="24"/>
          <w:szCs w:val="24"/>
        </w:rPr>
        <w:t>a. Wprowadza również kategorię pod</w:t>
      </w:r>
      <w:r w:rsidRPr="003844B6">
        <w:rPr>
          <w:rFonts w:ascii="Tahoma" w:hAnsi="Tahoma" w:cs="Tahoma"/>
          <w:bCs/>
          <w:sz w:val="24"/>
          <w:szCs w:val="24"/>
        </w:rPr>
        <w:t>żega</w:t>
      </w:r>
      <w:r>
        <w:rPr>
          <w:rFonts w:ascii="Tahoma" w:hAnsi="Tahoma" w:cs="Tahoma"/>
          <w:bCs/>
          <w:sz w:val="24"/>
          <w:szCs w:val="24"/>
        </w:rPr>
        <w:t>nia</w:t>
      </w:r>
      <w:r w:rsidRPr="003844B6">
        <w:rPr>
          <w:rFonts w:ascii="Tahoma" w:hAnsi="Tahoma" w:cs="Tahoma"/>
          <w:bCs/>
          <w:sz w:val="24"/>
          <w:szCs w:val="24"/>
        </w:rPr>
        <w:t xml:space="preserve"> do nie wdrażania lub nie stosowania procedur zapewniających ochronę przed zakażeniami oraz chorobami zakaźnymi</w:t>
      </w:r>
      <w:r>
        <w:rPr>
          <w:rFonts w:ascii="Tahoma" w:hAnsi="Tahoma" w:cs="Tahoma"/>
          <w:bCs/>
          <w:sz w:val="24"/>
          <w:szCs w:val="24"/>
        </w:rPr>
        <w:t>. Przewidziana sankcja odpowiada strukturze stosowanej w zmienianej ustawie – sprawca</w:t>
      </w:r>
      <w:r w:rsidRPr="003844B6">
        <w:rPr>
          <w:rFonts w:ascii="Tahoma" w:hAnsi="Tahoma" w:cs="Tahoma"/>
          <w:bCs/>
          <w:sz w:val="24"/>
          <w:szCs w:val="24"/>
        </w:rPr>
        <w:t xml:space="preserve"> podlega grzywnie</w:t>
      </w:r>
      <w:r>
        <w:rPr>
          <w:rFonts w:ascii="Tahoma" w:hAnsi="Tahoma" w:cs="Tahoma"/>
          <w:bCs/>
          <w:sz w:val="24"/>
          <w:szCs w:val="24"/>
        </w:rPr>
        <w:t>.”</w:t>
      </w:r>
    </w:p>
    <w:p w:rsidR="00587767" w:rsidRDefault="00587767" w:rsidP="00587767">
      <w:pPr>
        <w:spacing w:after="0" w:line="360" w:lineRule="auto"/>
        <w:ind w:left="709" w:firstLine="567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BB6B02" w:rsidRDefault="00BB6B02" w:rsidP="00587767">
      <w:pPr>
        <w:spacing w:after="0" w:line="360" w:lineRule="auto"/>
        <w:ind w:left="709" w:firstLine="567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EA08BB" w:rsidRDefault="00EA08BB" w:rsidP="00EA08BB">
      <w:pPr>
        <w:spacing w:after="24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Uzasadnienie</w:t>
      </w:r>
    </w:p>
    <w:p w:rsidR="00EA08BB" w:rsidRPr="00EA08BB" w:rsidRDefault="00EA08BB" w:rsidP="00EA08BB">
      <w:pPr>
        <w:spacing w:after="24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757CE8" w:rsidRPr="00C42CA3" w:rsidRDefault="00757CE8" w:rsidP="00757CE8">
      <w:pPr>
        <w:spacing w:after="0" w:line="360" w:lineRule="auto"/>
        <w:ind w:firstLine="567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Proponuje się, aby w</w:t>
      </w:r>
      <w:r w:rsidRPr="003844B6">
        <w:rPr>
          <w:rFonts w:ascii="Tahoma" w:hAnsi="Tahoma" w:cs="Tahoma"/>
          <w:bCs/>
          <w:sz w:val="24"/>
          <w:szCs w:val="24"/>
        </w:rPr>
        <w:t xml:space="preserve">  ustawie  z  dnia  5  grudnia  2008  r.  o  zapobieganiu  oraz  zwalczaniu zakażeń i chorób zakaźnych u ludzi </w:t>
      </w:r>
      <w:r>
        <w:rPr>
          <w:rFonts w:ascii="Tahoma" w:hAnsi="Tahoma" w:cs="Tahoma"/>
          <w:bCs/>
          <w:sz w:val="24"/>
          <w:szCs w:val="24"/>
        </w:rPr>
        <w:t>dodać art. 49a, który wprowadza odpowiedzialność za publiczn</w:t>
      </w:r>
      <w:r w:rsidRPr="003844B6">
        <w:rPr>
          <w:rFonts w:ascii="Tahoma" w:hAnsi="Tahoma" w:cs="Tahoma"/>
          <w:bCs/>
          <w:sz w:val="24"/>
          <w:szCs w:val="24"/>
        </w:rPr>
        <w:t>e zaprzecza</w:t>
      </w:r>
      <w:r>
        <w:rPr>
          <w:rFonts w:ascii="Tahoma" w:hAnsi="Tahoma" w:cs="Tahoma"/>
          <w:bCs/>
          <w:sz w:val="24"/>
          <w:szCs w:val="24"/>
        </w:rPr>
        <w:t>nie</w:t>
      </w:r>
      <w:r w:rsidRPr="003844B6">
        <w:rPr>
          <w:rFonts w:ascii="Tahoma" w:hAnsi="Tahoma" w:cs="Tahoma"/>
          <w:bCs/>
          <w:sz w:val="24"/>
          <w:szCs w:val="24"/>
        </w:rPr>
        <w:t xml:space="preserve"> zagrożeni</w:t>
      </w:r>
      <w:r>
        <w:rPr>
          <w:rFonts w:ascii="Tahoma" w:hAnsi="Tahoma" w:cs="Tahoma"/>
          <w:bCs/>
          <w:sz w:val="24"/>
          <w:szCs w:val="24"/>
        </w:rPr>
        <w:t>u</w:t>
      </w:r>
      <w:r w:rsidRPr="003844B6">
        <w:rPr>
          <w:rFonts w:ascii="Tahoma" w:hAnsi="Tahoma" w:cs="Tahoma"/>
          <w:bCs/>
          <w:sz w:val="24"/>
          <w:szCs w:val="24"/>
        </w:rPr>
        <w:t xml:space="preserve"> dla zdrowia publicznego lub podważ</w:t>
      </w:r>
      <w:r>
        <w:rPr>
          <w:rFonts w:ascii="Tahoma" w:hAnsi="Tahoma" w:cs="Tahoma"/>
          <w:bCs/>
          <w:sz w:val="24"/>
          <w:szCs w:val="24"/>
        </w:rPr>
        <w:t>enie jego</w:t>
      </w:r>
      <w:r w:rsidRPr="003844B6">
        <w:rPr>
          <w:rFonts w:ascii="Tahoma" w:hAnsi="Tahoma" w:cs="Tahoma"/>
          <w:bCs/>
          <w:sz w:val="24"/>
          <w:szCs w:val="24"/>
        </w:rPr>
        <w:t xml:space="preserve"> istnieni</w:t>
      </w:r>
      <w:r>
        <w:rPr>
          <w:rFonts w:ascii="Tahoma" w:hAnsi="Tahoma" w:cs="Tahoma"/>
          <w:bCs/>
          <w:sz w:val="24"/>
          <w:szCs w:val="24"/>
        </w:rPr>
        <w:t>a. Wprowadza również kategorię pod</w:t>
      </w:r>
      <w:r w:rsidRPr="003844B6">
        <w:rPr>
          <w:rFonts w:ascii="Tahoma" w:hAnsi="Tahoma" w:cs="Tahoma"/>
          <w:bCs/>
          <w:sz w:val="24"/>
          <w:szCs w:val="24"/>
        </w:rPr>
        <w:t>żega</w:t>
      </w:r>
      <w:r>
        <w:rPr>
          <w:rFonts w:ascii="Tahoma" w:hAnsi="Tahoma" w:cs="Tahoma"/>
          <w:bCs/>
          <w:sz w:val="24"/>
          <w:szCs w:val="24"/>
        </w:rPr>
        <w:t>nia</w:t>
      </w:r>
      <w:r w:rsidRPr="003844B6">
        <w:rPr>
          <w:rFonts w:ascii="Tahoma" w:hAnsi="Tahoma" w:cs="Tahoma"/>
          <w:bCs/>
          <w:sz w:val="24"/>
          <w:szCs w:val="24"/>
        </w:rPr>
        <w:t xml:space="preserve"> do nie wdrażania lub nie stosowania procedur zapewniających ochronę przed zakażeniami oraz chorobami zakaźnymi</w:t>
      </w:r>
      <w:r>
        <w:rPr>
          <w:rFonts w:ascii="Tahoma" w:hAnsi="Tahoma" w:cs="Tahoma"/>
          <w:bCs/>
          <w:sz w:val="24"/>
          <w:szCs w:val="24"/>
        </w:rPr>
        <w:t xml:space="preserve">. </w:t>
      </w:r>
      <w:r w:rsidR="001E23D6">
        <w:rPr>
          <w:rFonts w:ascii="Tahoma" w:hAnsi="Tahoma" w:cs="Tahoma"/>
          <w:bCs/>
          <w:sz w:val="24"/>
          <w:szCs w:val="24"/>
        </w:rPr>
        <w:t>Zmiana polega na dostosowaniu propozycji do struktury art. 50 i n.</w:t>
      </w:r>
      <w:r>
        <w:rPr>
          <w:rFonts w:ascii="Tahoma" w:hAnsi="Tahoma" w:cs="Tahoma"/>
          <w:bCs/>
          <w:sz w:val="24"/>
          <w:szCs w:val="24"/>
        </w:rPr>
        <w:t xml:space="preserve">  – sprawca</w:t>
      </w:r>
      <w:r w:rsidRPr="003844B6">
        <w:rPr>
          <w:rFonts w:ascii="Tahoma" w:hAnsi="Tahoma" w:cs="Tahoma"/>
          <w:bCs/>
          <w:sz w:val="24"/>
          <w:szCs w:val="24"/>
        </w:rPr>
        <w:t xml:space="preserve"> podlega</w:t>
      </w:r>
      <w:r w:rsidR="001E23D6">
        <w:rPr>
          <w:rFonts w:ascii="Tahoma" w:hAnsi="Tahoma" w:cs="Tahoma"/>
          <w:bCs/>
          <w:sz w:val="24"/>
          <w:szCs w:val="24"/>
        </w:rPr>
        <w:t>ć będzie</w:t>
      </w:r>
      <w:r w:rsidRPr="003844B6">
        <w:rPr>
          <w:rFonts w:ascii="Tahoma" w:hAnsi="Tahoma" w:cs="Tahoma"/>
          <w:bCs/>
          <w:sz w:val="24"/>
          <w:szCs w:val="24"/>
        </w:rPr>
        <w:t xml:space="preserve"> grzywnie</w:t>
      </w:r>
      <w:r>
        <w:rPr>
          <w:rFonts w:ascii="Tahoma" w:hAnsi="Tahoma" w:cs="Tahoma"/>
          <w:bCs/>
          <w:sz w:val="24"/>
          <w:szCs w:val="24"/>
        </w:rPr>
        <w:t>.</w:t>
      </w:r>
    </w:p>
    <w:p w:rsidR="00BB6B02" w:rsidRPr="00EA08BB" w:rsidRDefault="00BB6B02" w:rsidP="00BB6B02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Autopoprawka</w:t>
      </w: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nie wymaga wygospodarowania dodatkowych środków z budżetu państwa ani budżetów jednostek samorządu terytorialnego.</w:t>
      </w:r>
    </w:p>
    <w:p w:rsidR="00BB6B02" w:rsidRPr="00EA08BB" w:rsidRDefault="00BB6B02" w:rsidP="00BB6B02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W ocenie projektodawcy przedmiot projektowanej </w:t>
      </w:r>
      <w:r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autopoprawka</w:t>
      </w: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nie jest sprzeczny z prawem Unii Europejskiej.</w:t>
      </w:r>
    </w:p>
    <w:p w:rsidR="00BB6B02" w:rsidRPr="00EA08BB" w:rsidRDefault="00BB6B02" w:rsidP="00BB6B02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Autopoprawka</w:t>
      </w: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nie wymaga przedstawienia właściwym organom i instytucjom Unii Europejskiej, w tym Europejskiemu Bankowi Centralnemu, w celu uzyskania opinii, dokonania powiadomienia, konsultacji lub uzgodnienia.</w:t>
      </w:r>
    </w:p>
    <w:p w:rsidR="00BB6B02" w:rsidRPr="00EA08BB" w:rsidRDefault="00BB6B02" w:rsidP="00BB6B02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Autopoprawka</w:t>
      </w: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nie został</w:t>
      </w:r>
      <w:r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a</w:t>
      </w: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skierowan</w:t>
      </w:r>
      <w:r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a</w:t>
      </w: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do formalnych konsultacji społecznych.</w:t>
      </w:r>
    </w:p>
    <w:p w:rsidR="00BB6B02" w:rsidRPr="00EA08BB" w:rsidRDefault="00BB6B02" w:rsidP="00BB6B02">
      <w:pPr>
        <w:spacing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Autopoprawka</w:t>
      </w: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 xml:space="preserve"> nie wymaga wydania aktów wykonawczych.</w:t>
      </w:r>
    </w:p>
    <w:p w:rsidR="00BB6B02" w:rsidRPr="00C42CA3" w:rsidRDefault="00BB6B02" w:rsidP="00BB6B02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</w:rPr>
      </w:pPr>
    </w:p>
    <w:p w:rsidR="00EA08BB" w:rsidRPr="00C42CA3" w:rsidRDefault="00EA08BB" w:rsidP="009B2102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</w:rPr>
      </w:pPr>
    </w:p>
    <w:sectPr w:rsidR="00EA08BB" w:rsidRPr="00C42CA3" w:rsidSect="002E091E"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326" w:rsidRDefault="00A72326" w:rsidP="00F6225E">
      <w:pPr>
        <w:spacing w:after="0" w:line="240" w:lineRule="auto"/>
      </w:pPr>
      <w:r>
        <w:separator/>
      </w:r>
    </w:p>
  </w:endnote>
  <w:endnote w:type="continuationSeparator" w:id="0">
    <w:p w:rsidR="00A72326" w:rsidRDefault="00A72326" w:rsidP="00F62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7069187"/>
      <w:docPartObj>
        <w:docPartGallery w:val="Page Numbers (Bottom of Page)"/>
        <w:docPartUnique/>
      </w:docPartObj>
    </w:sdtPr>
    <w:sdtEndPr/>
    <w:sdtContent>
      <w:p w:rsidR="00EA08BB" w:rsidRDefault="00EA08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B02">
          <w:rPr>
            <w:noProof/>
          </w:rPr>
          <w:t>2</w:t>
        </w:r>
        <w:r>
          <w:fldChar w:fldCharType="end"/>
        </w:r>
      </w:p>
    </w:sdtContent>
  </w:sdt>
  <w:p w:rsidR="00EA08BB" w:rsidRDefault="00EA08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326" w:rsidRDefault="00A72326" w:rsidP="00F6225E">
      <w:pPr>
        <w:spacing w:after="0" w:line="240" w:lineRule="auto"/>
      </w:pPr>
      <w:r>
        <w:separator/>
      </w:r>
    </w:p>
  </w:footnote>
  <w:footnote w:type="continuationSeparator" w:id="0">
    <w:p w:rsidR="00A72326" w:rsidRDefault="00A72326" w:rsidP="00F62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04620"/>
    <w:multiLevelType w:val="hybridMultilevel"/>
    <w:tmpl w:val="35CC4E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B1CF4"/>
    <w:multiLevelType w:val="hybridMultilevel"/>
    <w:tmpl w:val="03FE943C"/>
    <w:lvl w:ilvl="0" w:tplc="0415000F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2" w15:restartNumberingAfterBreak="0">
    <w:nsid w:val="72E57B90"/>
    <w:multiLevelType w:val="multilevel"/>
    <w:tmpl w:val="2B12DBC8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entative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entative="1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entative="1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entative="1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entative="1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entative="1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5E"/>
    <w:rsid w:val="00021725"/>
    <w:rsid w:val="000754CA"/>
    <w:rsid w:val="000F3E65"/>
    <w:rsid w:val="001520FB"/>
    <w:rsid w:val="001D4A3C"/>
    <w:rsid w:val="001E23D6"/>
    <w:rsid w:val="002F2A53"/>
    <w:rsid w:val="002F77A6"/>
    <w:rsid w:val="003844B6"/>
    <w:rsid w:val="004A3028"/>
    <w:rsid w:val="004D2E75"/>
    <w:rsid w:val="00587767"/>
    <w:rsid w:val="005A0CA8"/>
    <w:rsid w:val="005C2536"/>
    <w:rsid w:val="006109A0"/>
    <w:rsid w:val="006D7E2D"/>
    <w:rsid w:val="00712167"/>
    <w:rsid w:val="00757CE8"/>
    <w:rsid w:val="0079290D"/>
    <w:rsid w:val="007F6D19"/>
    <w:rsid w:val="00857E8F"/>
    <w:rsid w:val="0097202D"/>
    <w:rsid w:val="009B2102"/>
    <w:rsid w:val="00A5040D"/>
    <w:rsid w:val="00A72326"/>
    <w:rsid w:val="00B74887"/>
    <w:rsid w:val="00B833F1"/>
    <w:rsid w:val="00B834C0"/>
    <w:rsid w:val="00BB6B02"/>
    <w:rsid w:val="00C42CA3"/>
    <w:rsid w:val="00C90223"/>
    <w:rsid w:val="00D83DF2"/>
    <w:rsid w:val="00D95616"/>
    <w:rsid w:val="00EA08BB"/>
    <w:rsid w:val="00F32224"/>
    <w:rsid w:val="00F6225E"/>
    <w:rsid w:val="00FC7254"/>
    <w:rsid w:val="00FC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E8D08-5983-41CE-83A1-73E3A08F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F6225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</w:rPr>
  </w:style>
  <w:style w:type="paragraph" w:styleId="Tekstprzypisudolnego">
    <w:name w:val="footnote text"/>
    <w:link w:val="TekstprzypisudolnegoZnak"/>
    <w:rsid w:val="00F622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rebuchet MS" w:eastAsia="Trebuchet MS" w:hAnsi="Trebuchet MS" w:cs="Trebuchet MS"/>
      <w:color w:val="000000"/>
      <w:sz w:val="20"/>
      <w:szCs w:val="20"/>
      <w:u w:color="000000"/>
      <w:bdr w:val="ni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6225E"/>
    <w:rPr>
      <w:rFonts w:ascii="Trebuchet MS" w:eastAsia="Trebuchet MS" w:hAnsi="Trebuchet MS" w:cs="Trebuchet MS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225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25E"/>
  </w:style>
  <w:style w:type="paragraph" w:styleId="Stopka">
    <w:name w:val="footer"/>
    <w:basedOn w:val="Normalny"/>
    <w:link w:val="StopkaZnak"/>
    <w:uiPriority w:val="99"/>
    <w:unhideWhenUsed/>
    <w:rsid w:val="00F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25E"/>
  </w:style>
  <w:style w:type="paragraph" w:styleId="Bezodstpw">
    <w:name w:val="No Spacing"/>
    <w:uiPriority w:val="1"/>
    <w:qFormat/>
    <w:rsid w:val="00F6225E"/>
    <w:pPr>
      <w:spacing w:after="0" w:line="240" w:lineRule="auto"/>
    </w:pPr>
  </w:style>
  <w:style w:type="character" w:customStyle="1" w:styleId="tabulatory">
    <w:name w:val="tabulatory"/>
    <w:basedOn w:val="Domylnaczcionkaakapitu"/>
    <w:rsid w:val="00C90223"/>
  </w:style>
  <w:style w:type="character" w:customStyle="1" w:styleId="luchili">
    <w:name w:val="luc_hili"/>
    <w:basedOn w:val="Domylnaczcionkaakapitu"/>
    <w:rsid w:val="00C90223"/>
  </w:style>
  <w:style w:type="paragraph" w:styleId="Tekstdymka">
    <w:name w:val="Balloon Text"/>
    <w:basedOn w:val="Normalny"/>
    <w:link w:val="TekstdymkaZnak"/>
    <w:uiPriority w:val="99"/>
    <w:semiHidden/>
    <w:unhideWhenUsed/>
    <w:rsid w:val="00D95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61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D2E7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A0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9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93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2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59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8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Tomasz Kuszłejko</cp:lastModifiedBy>
  <cp:revision>2</cp:revision>
  <cp:lastPrinted>2020-10-28T14:53:00Z</cp:lastPrinted>
  <dcterms:created xsi:type="dcterms:W3CDTF">2020-10-28T14:55:00Z</dcterms:created>
  <dcterms:modified xsi:type="dcterms:W3CDTF">2020-10-28T14:55:00Z</dcterms:modified>
</cp:coreProperties>
</file>