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8BB" w:rsidRDefault="00EA08BB" w:rsidP="00EA08BB">
      <w:pPr>
        <w:spacing w:after="240" w:line="360" w:lineRule="auto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bookmarkStart w:id="0" w:name="_GoBack"/>
      <w:bookmarkEnd w:id="0"/>
      <w:r w:rsidRPr="00EA08BB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pl-PL"/>
        </w:rPr>
        <w:t>Uzasadnienie</w:t>
      </w:r>
    </w:p>
    <w:p w:rsidR="00EA08BB" w:rsidRPr="00EA08BB" w:rsidRDefault="00EA08BB" w:rsidP="00EA08BB">
      <w:pPr>
        <w:spacing w:after="240" w:line="360" w:lineRule="auto"/>
        <w:jc w:val="center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:rsidR="00EA08BB" w:rsidRPr="00A5040D" w:rsidRDefault="00EA08BB" w:rsidP="00EA08BB">
      <w:pPr>
        <w:pStyle w:val="Akapitzlist"/>
        <w:numPr>
          <w:ilvl w:val="0"/>
          <w:numId w:val="2"/>
        </w:numPr>
        <w:spacing w:after="240" w:line="360" w:lineRule="auto"/>
        <w:ind w:left="709" w:hanging="643"/>
        <w:jc w:val="both"/>
        <w:textAlignment w:val="baseline"/>
        <w:rPr>
          <w:rFonts w:ascii="Tahoma" w:eastAsia="Times New Roman" w:hAnsi="Tahoma" w:cs="Tahoma"/>
          <w:b/>
          <w:color w:val="000000"/>
          <w:sz w:val="24"/>
          <w:szCs w:val="24"/>
          <w:lang w:eastAsia="pl-PL"/>
        </w:rPr>
      </w:pPr>
      <w:r w:rsidRPr="00EA08BB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pl-PL"/>
        </w:rPr>
        <w:t>Potrzeba i cel projektu ustawy</w:t>
      </w:r>
    </w:p>
    <w:p w:rsidR="00A5040D" w:rsidRDefault="00A5040D" w:rsidP="00A5040D">
      <w:pPr>
        <w:pStyle w:val="Akapitzlist"/>
        <w:spacing w:after="240" w:line="360" w:lineRule="auto"/>
        <w:ind w:left="709" w:firstLine="707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</w:p>
    <w:p w:rsidR="00A5040D" w:rsidRPr="00A5040D" w:rsidRDefault="00A5040D" w:rsidP="00A5040D">
      <w:pPr>
        <w:pStyle w:val="Akapitzlist"/>
        <w:spacing w:after="240" w:line="360" w:lineRule="auto"/>
        <w:ind w:left="709" w:firstLine="707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Projekt ustawy jest odpowiedzią na c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oraz częściej pojawiąjące się w </w:t>
      </w: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przestrzeni publicznej teorie i działania, które zaprzeczają istnieniu pandemii koronawirusa SARS-CoV-2. Organizowane przez środowiska antynaukowe demonstracje i akcje społeczne mają na celu zaszczepienie w społeczeństwie przekonania, że albo pandemia nie istnieje, lub, jeśli dopuszcza się jej istnienie, to podważane są naukowo udowodnione tezy, że COVID-19 jest chorobą groźną i niebezpieczną dla całych populacji.</w:t>
      </w:r>
    </w:p>
    <w:p w:rsidR="00A5040D" w:rsidRPr="00A5040D" w:rsidRDefault="00A5040D" w:rsidP="00A5040D">
      <w:pPr>
        <w:pStyle w:val="Akapitzlist"/>
        <w:spacing w:after="240" w:line="360" w:lineRule="auto"/>
        <w:ind w:left="709" w:firstLine="707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Środowiska szerzące tego typu teorie zachęcają lub podżegają do nie wdrażania lub nie stosowania procedur zapewniających ochronę przed zakażeniami oraz chorobami zakaźnymi.</w:t>
      </w:r>
    </w:p>
    <w:p w:rsidR="00A5040D" w:rsidRPr="00A5040D" w:rsidRDefault="00A5040D" w:rsidP="00A5040D">
      <w:pPr>
        <w:pStyle w:val="Akapitzlist"/>
        <w:spacing w:after="240" w:line="360" w:lineRule="auto"/>
        <w:ind w:left="709" w:firstLine="707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Celem projektu ustawy jest zatem konieczność umożliwienia skutecznej odpowiedzi państwa na zagrożenie, jakie tego typu ruchy społeczne generują. </w:t>
      </w:r>
    </w:p>
    <w:p w:rsidR="00A5040D" w:rsidRPr="00A5040D" w:rsidRDefault="00A5040D" w:rsidP="00A5040D">
      <w:pPr>
        <w:pStyle w:val="Akapitzlist"/>
        <w:spacing w:after="240" w:line="360" w:lineRule="auto"/>
        <w:ind w:left="709" w:firstLine="707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Należy pamiętać, że obowiązek zapewnienia ochrony zdrowia jest obowiązkiem, który z mocy przepisów konstytucyjnych spoczywa na państwie. Prawo do ochrony zdrowia obejmuje nie tylko zapewnienie dostępu do systemu ochrony zdrowia, ale także oczekiwania od pa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ństwa skutecznej walki z </w:t>
      </w: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rozprzestrzenianiem się i walki z chorobami epidemicznymi. Działania środowisk podważających istnienie epidemii or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az zachęcające społeczeństwo do </w:t>
      </w: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negowania wprowadzanych na mocy ustawy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 restrykcji przyczyniają się do </w:t>
      </w: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zagrożenia jednego z podstawowych praw gwarantowanych Konstytucją RP, czyli prawa do zdrowia Polek i Polaków. </w:t>
      </w:r>
    </w:p>
    <w:p w:rsidR="00A5040D" w:rsidRPr="00A5040D" w:rsidRDefault="00A5040D" w:rsidP="00A5040D">
      <w:pPr>
        <w:pStyle w:val="Akapitzlist"/>
        <w:spacing w:after="240" w:line="360" w:lineRule="auto"/>
        <w:ind w:left="709" w:firstLine="707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Proponowana ustawa wprowadza ograniczenia - głównie w kontekście wolności słowa i swobody ekspresji. Należy jednak pamiętać, że wolności te nie są wolnościami absolutnymi i mogą podlegać ograniczeniom. </w:t>
      </w:r>
    </w:p>
    <w:p w:rsidR="00A5040D" w:rsidRPr="00A5040D" w:rsidRDefault="00A5040D" w:rsidP="00A5040D">
      <w:pPr>
        <w:pStyle w:val="Akapitzlist"/>
        <w:spacing w:after="240" w:line="360" w:lineRule="auto"/>
        <w:ind w:left="709" w:firstLine="707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Zgodnie z przepisem art. 31. ust 3 Konstytucji „ograniczenia w zakresie korzystania z konstytucyjnych wolności i pr</w:t>
      </w:r>
      <w:r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>aw mogą być ustanawiane tylko w </w:t>
      </w: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ustawie i tylko wtedy, gdy są konieczne w demokratycznym państwie dla jego </w:t>
      </w: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lastRenderedPageBreak/>
        <w:t>bezpieczeństwa lub porządku publicznego, bądź dla ochrony środowiska, zdrowia i moralności publicznej, albo wolności i praw innych osób. Ograniczenia te nie mogą naruszać istoty wolności i praw.”</w:t>
      </w:r>
    </w:p>
    <w:p w:rsidR="00A5040D" w:rsidRPr="00A5040D" w:rsidRDefault="00A5040D" w:rsidP="00A5040D">
      <w:pPr>
        <w:pStyle w:val="Akapitzlist"/>
        <w:spacing w:after="240" w:line="360" w:lineRule="auto"/>
        <w:ind w:left="709" w:firstLine="707"/>
        <w:jc w:val="both"/>
        <w:textAlignment w:val="baseline"/>
        <w:rPr>
          <w:rFonts w:ascii="Tahoma" w:eastAsia="Times New Roman" w:hAnsi="Tahoma" w:cs="Tahoma"/>
          <w:color w:val="000000"/>
          <w:sz w:val="24"/>
          <w:szCs w:val="24"/>
          <w:lang w:eastAsia="pl-PL"/>
        </w:rPr>
      </w:pPr>
      <w:r w:rsidRPr="00A5040D">
        <w:rPr>
          <w:rFonts w:ascii="Tahoma" w:eastAsia="Times New Roman" w:hAnsi="Tahoma" w:cs="Tahoma"/>
          <w:color w:val="000000"/>
          <w:sz w:val="24"/>
          <w:szCs w:val="24"/>
          <w:lang w:eastAsia="pl-PL"/>
        </w:rPr>
        <w:t xml:space="preserve">Proponowany kształt przepisu, który wprowadza penalizacje określonych zachowań spełnia obostrzenia narzucone przez ustrojodawcę.  Z jednej strony kryminalizuje zachowania godzące w wartości konstytucyjne i w dobra innych osób. Z drugiej, przepis spełnia wymóg proporcjonalności limitowania korzystania z wolności osadzonych w ustawie zasadniczej. Przepis wprowadza jedynie możliwość zastosowania kary grzywny lub ograniczenia wolności. Ograniczenie jest wprowadzane ustawą z zachowaniem rygoru legislacyjnego dla tego typu obostrzeń.  </w:t>
      </w:r>
    </w:p>
    <w:p w:rsidR="00EA08BB" w:rsidRDefault="00EA08BB" w:rsidP="00EA08BB">
      <w:pPr>
        <w:spacing w:before="240" w:after="240" w:line="36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</w:pPr>
      <w:r w:rsidRPr="00EA08BB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 xml:space="preserve">2. 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ab/>
      </w:r>
      <w:r w:rsidR="00A5040D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R</w:t>
      </w:r>
      <w:r w:rsidRPr="00EA08BB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pl-PL"/>
        </w:rPr>
        <w:t>óżnica pomiędzy dotychczasowym, a projektowanym stanem prawnym</w:t>
      </w:r>
    </w:p>
    <w:p w:rsidR="00757CE8" w:rsidRPr="00C42CA3" w:rsidRDefault="00757CE8" w:rsidP="00757CE8">
      <w:pPr>
        <w:spacing w:after="0" w:line="360" w:lineRule="auto"/>
        <w:ind w:firstLine="567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eastAsia="Times New Roman" w:hAnsi="Tahoma" w:cs="Tahoma"/>
          <w:sz w:val="24"/>
          <w:szCs w:val="24"/>
          <w:lang w:eastAsia="pl-PL"/>
        </w:rPr>
        <w:t>Proponuje się, aby w</w:t>
      </w:r>
      <w:r w:rsidRPr="003844B6">
        <w:rPr>
          <w:rFonts w:ascii="Tahoma" w:hAnsi="Tahoma" w:cs="Tahoma"/>
          <w:bCs/>
          <w:sz w:val="24"/>
          <w:szCs w:val="24"/>
        </w:rPr>
        <w:t xml:space="preserve">  ustawie  z  dnia  5  grudnia  2008  r.  o  zapobieganiu  oraz  zwalczaniu zakażeń i chorób zakaźnych u ludzi </w:t>
      </w:r>
      <w:r>
        <w:rPr>
          <w:rFonts w:ascii="Tahoma" w:hAnsi="Tahoma" w:cs="Tahoma"/>
          <w:bCs/>
          <w:sz w:val="24"/>
          <w:szCs w:val="24"/>
        </w:rPr>
        <w:t>dodać art. 49a, który wprowadza odpowiedzialność za publiczn</w:t>
      </w:r>
      <w:r w:rsidRPr="003844B6">
        <w:rPr>
          <w:rFonts w:ascii="Tahoma" w:hAnsi="Tahoma" w:cs="Tahoma"/>
          <w:bCs/>
          <w:sz w:val="24"/>
          <w:szCs w:val="24"/>
        </w:rPr>
        <w:t>e zaprzecza</w:t>
      </w:r>
      <w:r>
        <w:rPr>
          <w:rFonts w:ascii="Tahoma" w:hAnsi="Tahoma" w:cs="Tahoma"/>
          <w:bCs/>
          <w:sz w:val="24"/>
          <w:szCs w:val="24"/>
        </w:rPr>
        <w:t>nie</w:t>
      </w:r>
      <w:r w:rsidRPr="003844B6">
        <w:rPr>
          <w:rFonts w:ascii="Tahoma" w:hAnsi="Tahoma" w:cs="Tahoma"/>
          <w:bCs/>
          <w:sz w:val="24"/>
          <w:szCs w:val="24"/>
        </w:rPr>
        <w:t xml:space="preserve"> zagrożeni</w:t>
      </w:r>
      <w:r>
        <w:rPr>
          <w:rFonts w:ascii="Tahoma" w:hAnsi="Tahoma" w:cs="Tahoma"/>
          <w:bCs/>
          <w:sz w:val="24"/>
          <w:szCs w:val="24"/>
        </w:rPr>
        <w:t>u</w:t>
      </w:r>
      <w:r w:rsidRPr="003844B6">
        <w:rPr>
          <w:rFonts w:ascii="Tahoma" w:hAnsi="Tahoma" w:cs="Tahoma"/>
          <w:bCs/>
          <w:sz w:val="24"/>
          <w:szCs w:val="24"/>
        </w:rPr>
        <w:t xml:space="preserve"> dla zdrowia publicznego lub podważ</w:t>
      </w:r>
      <w:r>
        <w:rPr>
          <w:rFonts w:ascii="Tahoma" w:hAnsi="Tahoma" w:cs="Tahoma"/>
          <w:bCs/>
          <w:sz w:val="24"/>
          <w:szCs w:val="24"/>
        </w:rPr>
        <w:t>enie jego</w:t>
      </w:r>
      <w:r w:rsidRPr="003844B6">
        <w:rPr>
          <w:rFonts w:ascii="Tahoma" w:hAnsi="Tahoma" w:cs="Tahoma"/>
          <w:bCs/>
          <w:sz w:val="24"/>
          <w:szCs w:val="24"/>
        </w:rPr>
        <w:t xml:space="preserve"> istnieni</w:t>
      </w:r>
      <w:r>
        <w:rPr>
          <w:rFonts w:ascii="Tahoma" w:hAnsi="Tahoma" w:cs="Tahoma"/>
          <w:bCs/>
          <w:sz w:val="24"/>
          <w:szCs w:val="24"/>
        </w:rPr>
        <w:t>a. Wprowadza również kategorię pod</w:t>
      </w:r>
      <w:r w:rsidRPr="003844B6">
        <w:rPr>
          <w:rFonts w:ascii="Tahoma" w:hAnsi="Tahoma" w:cs="Tahoma"/>
          <w:bCs/>
          <w:sz w:val="24"/>
          <w:szCs w:val="24"/>
        </w:rPr>
        <w:t>żega</w:t>
      </w:r>
      <w:r>
        <w:rPr>
          <w:rFonts w:ascii="Tahoma" w:hAnsi="Tahoma" w:cs="Tahoma"/>
          <w:bCs/>
          <w:sz w:val="24"/>
          <w:szCs w:val="24"/>
        </w:rPr>
        <w:t>nia</w:t>
      </w:r>
      <w:r w:rsidRPr="003844B6">
        <w:rPr>
          <w:rFonts w:ascii="Tahoma" w:hAnsi="Tahoma" w:cs="Tahoma"/>
          <w:bCs/>
          <w:sz w:val="24"/>
          <w:szCs w:val="24"/>
        </w:rPr>
        <w:t xml:space="preserve"> do nie wdrażania lub nie stosowania procedur zapewniających ochronę przed zakażeniami oraz chorobami zakaźnymi</w:t>
      </w:r>
      <w:r>
        <w:rPr>
          <w:rFonts w:ascii="Tahoma" w:hAnsi="Tahoma" w:cs="Tahoma"/>
          <w:bCs/>
          <w:sz w:val="24"/>
          <w:szCs w:val="24"/>
        </w:rPr>
        <w:t>. Przewidziana sankcja odpowiada strukturze stosowanej w zmienianej ustawie – sprawca</w:t>
      </w:r>
      <w:r w:rsidRPr="003844B6">
        <w:rPr>
          <w:rFonts w:ascii="Tahoma" w:hAnsi="Tahoma" w:cs="Tahoma"/>
          <w:bCs/>
          <w:sz w:val="24"/>
          <w:szCs w:val="24"/>
        </w:rPr>
        <w:t xml:space="preserve"> podlega grzywnie lub karze ograniczenia wolności</w:t>
      </w:r>
      <w:r>
        <w:rPr>
          <w:rFonts w:ascii="Tahoma" w:hAnsi="Tahoma" w:cs="Tahoma"/>
          <w:bCs/>
          <w:sz w:val="24"/>
          <w:szCs w:val="24"/>
        </w:rPr>
        <w:t>.</w:t>
      </w:r>
    </w:p>
    <w:p w:rsidR="00EA08BB" w:rsidRPr="00EA08BB" w:rsidRDefault="00EA08BB" w:rsidP="00EA08BB">
      <w:pPr>
        <w:spacing w:before="240" w:after="24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EA08BB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pl-PL"/>
        </w:rPr>
        <w:t>3.      Przewidywane skutki społeczne i gospodarcze</w:t>
      </w:r>
    </w:p>
    <w:p w:rsidR="00EA08BB" w:rsidRPr="00EA08BB" w:rsidRDefault="00EA08BB" w:rsidP="002F77A6">
      <w:pPr>
        <w:spacing w:before="240" w:after="240" w:line="360" w:lineRule="auto"/>
        <w:ind w:left="709"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EA08BB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Proponowany projekt ustawy stanowi realizację konstytucyjnej zasady demokratycznego państwa prawnego. </w:t>
      </w:r>
      <w:r w:rsidR="00757CE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P</w:t>
      </w:r>
      <w:r w:rsidR="00757CE8" w:rsidRPr="00757CE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rojekt przyczyni się do pełniejszej realizacji działań państwa w zakresie przeciwdziałania i zwalczania pandemii</w:t>
      </w:r>
      <w:r w:rsidR="00757CE8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.</w:t>
      </w:r>
    </w:p>
    <w:p w:rsidR="00EA08BB" w:rsidRPr="00EA08BB" w:rsidRDefault="00EA08BB" w:rsidP="00EA08BB">
      <w:pPr>
        <w:spacing w:before="240" w:after="24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EA08BB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4. 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pl-PL"/>
        </w:rPr>
        <w:tab/>
      </w:r>
      <w:r w:rsidRPr="00EA08BB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pl-PL"/>
        </w:rPr>
        <w:t>Źródła finansowania </w:t>
      </w:r>
    </w:p>
    <w:p w:rsidR="00EA08BB" w:rsidRPr="00EA08BB" w:rsidRDefault="00EA08BB" w:rsidP="002F77A6">
      <w:pPr>
        <w:spacing w:before="240" w:after="240" w:line="360" w:lineRule="auto"/>
        <w:ind w:left="709"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EA08BB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Projekt ustawy nie wymaga wygospodarowania dodatkowych środków z budżetu państwa ani budżetów jednostek samorządu terytorialnego.</w:t>
      </w:r>
    </w:p>
    <w:p w:rsidR="00EA08BB" w:rsidRPr="00EA08BB" w:rsidRDefault="00EA08BB" w:rsidP="00EA08BB">
      <w:pPr>
        <w:spacing w:before="240" w:after="24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EA08BB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pl-PL"/>
        </w:rPr>
        <w:lastRenderedPageBreak/>
        <w:t xml:space="preserve">5. 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pl-PL"/>
        </w:rPr>
        <w:tab/>
      </w:r>
      <w:r w:rsidRPr="00EA08BB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pl-PL"/>
        </w:rPr>
        <w:t>Oświadczenie o zgodności projektu ustawy z prawem Unii Europejskiej</w:t>
      </w:r>
    </w:p>
    <w:p w:rsidR="00EA08BB" w:rsidRPr="00EA08BB" w:rsidRDefault="00EA08BB" w:rsidP="002F77A6">
      <w:pPr>
        <w:spacing w:before="240" w:after="240" w:line="360" w:lineRule="auto"/>
        <w:ind w:left="709"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EA08BB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 W ocenie projektodawcy przedmiot projektowanej regulacji nie jest sprzeczny z prawem Unii Europejskiej.</w:t>
      </w:r>
    </w:p>
    <w:p w:rsidR="00EA08BB" w:rsidRPr="00EA08BB" w:rsidRDefault="00EA08BB" w:rsidP="00EA08BB">
      <w:pPr>
        <w:spacing w:before="240" w:after="24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EA08BB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6. </w:t>
      </w:r>
      <w:r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pl-PL"/>
        </w:rPr>
        <w:tab/>
      </w:r>
      <w:r w:rsidRPr="00EA08BB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pl-PL"/>
        </w:rPr>
        <w:t>Oświadczenie o notyfikacji zgodnie z przepisami dotyczącymi funkcjonowania krajowego sytemu notyfikacji norm i aktów prawnych</w:t>
      </w:r>
    </w:p>
    <w:p w:rsidR="00EA08BB" w:rsidRPr="00EA08BB" w:rsidRDefault="00EA08BB" w:rsidP="002F77A6">
      <w:pPr>
        <w:spacing w:before="240" w:after="240" w:line="360" w:lineRule="auto"/>
        <w:ind w:left="709"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EA08BB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 Projekt ustawy nie wymaga przedstawienia właściwym organom i instytucjom Unii Europejskiej, w tym Europejskiemu Bankowi Centralnemu, w celu uzyskania opinii, dokonania powiadomienia, konsultacji lub uzgodnienia.</w:t>
      </w:r>
    </w:p>
    <w:p w:rsidR="00EA08BB" w:rsidRPr="00EA08BB" w:rsidRDefault="00EA08BB" w:rsidP="00EA08BB">
      <w:pPr>
        <w:spacing w:before="240" w:after="24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EA08BB">
        <w:rPr>
          <w:rFonts w:ascii="Tahoma" w:eastAsia="Times New Roman" w:hAnsi="Tahoma" w:cs="Tahoma"/>
          <w:b/>
          <w:color w:val="000000"/>
          <w:sz w:val="24"/>
          <w:szCs w:val="24"/>
          <w:shd w:val="clear" w:color="auto" w:fill="FFFFFF"/>
          <w:lang w:eastAsia="pl-PL"/>
        </w:rPr>
        <w:t xml:space="preserve"> 7.      </w:t>
      </w:r>
      <w:r w:rsidRPr="00EA08BB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pl-PL"/>
        </w:rPr>
        <w:t>Konsultacje społeczne</w:t>
      </w:r>
    </w:p>
    <w:p w:rsidR="00EA08BB" w:rsidRPr="00EA08BB" w:rsidRDefault="00EA08BB" w:rsidP="00EA08BB">
      <w:pPr>
        <w:spacing w:before="240" w:after="24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EA08BB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Projekt nie został skierowany do formalnych konsultacji społecznych.</w:t>
      </w:r>
    </w:p>
    <w:p w:rsidR="00EA08BB" w:rsidRPr="00EA08BB" w:rsidRDefault="00EA08BB" w:rsidP="00EA08BB">
      <w:pPr>
        <w:spacing w:before="240" w:after="240" w:line="360" w:lineRule="auto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EA08BB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 </w:t>
      </w:r>
      <w:r w:rsidRPr="00EA08BB">
        <w:rPr>
          <w:rFonts w:ascii="Tahoma" w:eastAsia="Times New Roman" w:hAnsi="Tahoma" w:cs="Tahoma"/>
          <w:b/>
          <w:bCs/>
          <w:color w:val="000000"/>
          <w:sz w:val="24"/>
          <w:szCs w:val="24"/>
          <w:shd w:val="clear" w:color="auto" w:fill="FFFFFF"/>
          <w:lang w:eastAsia="pl-PL"/>
        </w:rPr>
        <w:t>8.      Akty wykonawcze do ustawy</w:t>
      </w:r>
    </w:p>
    <w:p w:rsidR="00EA08BB" w:rsidRPr="00EA08BB" w:rsidRDefault="00EA08BB" w:rsidP="00EA08BB">
      <w:pPr>
        <w:spacing w:after="240"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EA08BB">
        <w:rPr>
          <w:rFonts w:ascii="Tahoma" w:eastAsia="Times New Roman" w:hAnsi="Tahoma" w:cs="Tahoma"/>
          <w:color w:val="000000"/>
          <w:sz w:val="24"/>
          <w:szCs w:val="24"/>
          <w:shd w:val="clear" w:color="auto" w:fill="FFFFFF"/>
          <w:lang w:eastAsia="pl-PL"/>
        </w:rPr>
        <w:t>Projekt ustawy nie wymaga wydania aktów wykonawczych.</w:t>
      </w:r>
    </w:p>
    <w:p w:rsidR="00EA08BB" w:rsidRPr="00C42CA3" w:rsidRDefault="00EA08BB" w:rsidP="009B2102">
      <w:pPr>
        <w:tabs>
          <w:tab w:val="left" w:pos="567"/>
        </w:tabs>
        <w:spacing w:after="0" w:line="360" w:lineRule="auto"/>
        <w:ind w:firstLine="567"/>
        <w:jc w:val="both"/>
        <w:rPr>
          <w:rFonts w:ascii="Tahoma" w:hAnsi="Tahoma" w:cs="Tahoma"/>
        </w:rPr>
      </w:pPr>
    </w:p>
    <w:sectPr w:rsidR="00EA08BB" w:rsidRPr="00C42CA3" w:rsidSect="002E091E">
      <w:footerReference w:type="default" r:id="rId7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6E26" w:rsidRDefault="00A26E26" w:rsidP="00F6225E">
      <w:pPr>
        <w:spacing w:after="0" w:line="240" w:lineRule="auto"/>
      </w:pPr>
      <w:r>
        <w:separator/>
      </w:r>
    </w:p>
  </w:endnote>
  <w:endnote w:type="continuationSeparator" w:id="0">
    <w:p w:rsidR="00A26E26" w:rsidRDefault="00A26E26" w:rsidP="00F62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7069187"/>
      <w:docPartObj>
        <w:docPartGallery w:val="Page Numbers (Bottom of Page)"/>
        <w:docPartUnique/>
      </w:docPartObj>
    </w:sdtPr>
    <w:sdtEndPr/>
    <w:sdtContent>
      <w:p w:rsidR="00EA08BB" w:rsidRDefault="00EA08B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210C">
          <w:rPr>
            <w:noProof/>
          </w:rPr>
          <w:t>2</w:t>
        </w:r>
        <w:r>
          <w:fldChar w:fldCharType="end"/>
        </w:r>
      </w:p>
    </w:sdtContent>
  </w:sdt>
  <w:p w:rsidR="00EA08BB" w:rsidRDefault="00EA08B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6E26" w:rsidRDefault="00A26E26" w:rsidP="00F6225E">
      <w:pPr>
        <w:spacing w:after="0" w:line="240" w:lineRule="auto"/>
      </w:pPr>
      <w:r>
        <w:separator/>
      </w:r>
    </w:p>
  </w:footnote>
  <w:footnote w:type="continuationSeparator" w:id="0">
    <w:p w:rsidR="00A26E26" w:rsidRDefault="00A26E26" w:rsidP="00F622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5B1CF4"/>
    <w:multiLevelType w:val="hybridMultilevel"/>
    <w:tmpl w:val="03FE943C"/>
    <w:lvl w:ilvl="0" w:tplc="0415000F">
      <w:start w:val="1"/>
      <w:numFmt w:val="decimal"/>
      <w:lvlText w:val="%1."/>
      <w:lvlJc w:val="left"/>
      <w:pPr>
        <w:ind w:left="13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2" w:hanging="360"/>
      </w:pPr>
    </w:lvl>
    <w:lvl w:ilvl="2" w:tplc="0415001B" w:tentative="1">
      <w:start w:val="1"/>
      <w:numFmt w:val="lowerRoman"/>
      <w:lvlText w:val="%3."/>
      <w:lvlJc w:val="right"/>
      <w:pPr>
        <w:ind w:left="2802" w:hanging="180"/>
      </w:pPr>
    </w:lvl>
    <w:lvl w:ilvl="3" w:tplc="0415000F" w:tentative="1">
      <w:start w:val="1"/>
      <w:numFmt w:val="decimal"/>
      <w:lvlText w:val="%4."/>
      <w:lvlJc w:val="left"/>
      <w:pPr>
        <w:ind w:left="3522" w:hanging="360"/>
      </w:pPr>
    </w:lvl>
    <w:lvl w:ilvl="4" w:tplc="04150019" w:tentative="1">
      <w:start w:val="1"/>
      <w:numFmt w:val="lowerLetter"/>
      <w:lvlText w:val="%5."/>
      <w:lvlJc w:val="left"/>
      <w:pPr>
        <w:ind w:left="4242" w:hanging="360"/>
      </w:pPr>
    </w:lvl>
    <w:lvl w:ilvl="5" w:tplc="0415001B" w:tentative="1">
      <w:start w:val="1"/>
      <w:numFmt w:val="lowerRoman"/>
      <w:lvlText w:val="%6."/>
      <w:lvlJc w:val="right"/>
      <w:pPr>
        <w:ind w:left="4962" w:hanging="180"/>
      </w:pPr>
    </w:lvl>
    <w:lvl w:ilvl="6" w:tplc="0415000F" w:tentative="1">
      <w:start w:val="1"/>
      <w:numFmt w:val="decimal"/>
      <w:lvlText w:val="%7."/>
      <w:lvlJc w:val="left"/>
      <w:pPr>
        <w:ind w:left="5682" w:hanging="360"/>
      </w:pPr>
    </w:lvl>
    <w:lvl w:ilvl="7" w:tplc="04150019" w:tentative="1">
      <w:start w:val="1"/>
      <w:numFmt w:val="lowerLetter"/>
      <w:lvlText w:val="%8."/>
      <w:lvlJc w:val="left"/>
      <w:pPr>
        <w:ind w:left="6402" w:hanging="360"/>
      </w:pPr>
    </w:lvl>
    <w:lvl w:ilvl="8" w:tplc="0415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1" w15:restartNumberingAfterBreak="0">
    <w:nsid w:val="72E57B90"/>
    <w:multiLevelType w:val="multilevel"/>
    <w:tmpl w:val="2B12DBC8"/>
    <w:lvl w:ilvl="0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</w:lvl>
    <w:lvl w:ilvl="1" w:tentative="1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</w:lvl>
    <w:lvl w:ilvl="2" w:tentative="1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</w:lvl>
    <w:lvl w:ilvl="3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entative="1">
      <w:start w:val="1"/>
      <w:numFmt w:val="decimal"/>
      <w:lvlText w:val="%5."/>
      <w:lvlJc w:val="left"/>
      <w:pPr>
        <w:tabs>
          <w:tab w:val="num" w:pos="5016"/>
        </w:tabs>
        <w:ind w:left="5016" w:hanging="360"/>
      </w:pPr>
    </w:lvl>
    <w:lvl w:ilvl="5" w:tentative="1">
      <w:start w:val="1"/>
      <w:numFmt w:val="decimal"/>
      <w:lvlText w:val="%6."/>
      <w:lvlJc w:val="left"/>
      <w:pPr>
        <w:tabs>
          <w:tab w:val="num" w:pos="5736"/>
        </w:tabs>
        <w:ind w:left="5736" w:hanging="360"/>
      </w:pPr>
    </w:lvl>
    <w:lvl w:ilvl="6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entative="1">
      <w:start w:val="1"/>
      <w:numFmt w:val="decimal"/>
      <w:lvlText w:val="%8."/>
      <w:lvlJc w:val="left"/>
      <w:pPr>
        <w:tabs>
          <w:tab w:val="num" w:pos="7176"/>
        </w:tabs>
        <w:ind w:left="7176" w:hanging="360"/>
      </w:pPr>
    </w:lvl>
    <w:lvl w:ilvl="8" w:tentative="1">
      <w:start w:val="1"/>
      <w:numFmt w:val="decimal"/>
      <w:lvlText w:val="%9."/>
      <w:lvlJc w:val="left"/>
      <w:pPr>
        <w:tabs>
          <w:tab w:val="num" w:pos="7896"/>
        </w:tabs>
        <w:ind w:left="7896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25E"/>
    <w:rsid w:val="00021725"/>
    <w:rsid w:val="000F3E65"/>
    <w:rsid w:val="001520FB"/>
    <w:rsid w:val="001D4A3C"/>
    <w:rsid w:val="002F2A53"/>
    <w:rsid w:val="002F77A6"/>
    <w:rsid w:val="003844B6"/>
    <w:rsid w:val="004A3028"/>
    <w:rsid w:val="004D2E75"/>
    <w:rsid w:val="005A0CA8"/>
    <w:rsid w:val="005C2536"/>
    <w:rsid w:val="006109A0"/>
    <w:rsid w:val="006D7E2D"/>
    <w:rsid w:val="00712167"/>
    <w:rsid w:val="00757CE8"/>
    <w:rsid w:val="0079290D"/>
    <w:rsid w:val="007F6D19"/>
    <w:rsid w:val="00857E8F"/>
    <w:rsid w:val="0097202D"/>
    <w:rsid w:val="009B2102"/>
    <w:rsid w:val="00A26E26"/>
    <w:rsid w:val="00A5040D"/>
    <w:rsid w:val="00B74887"/>
    <w:rsid w:val="00C42CA3"/>
    <w:rsid w:val="00C90223"/>
    <w:rsid w:val="00CD210C"/>
    <w:rsid w:val="00D83DF2"/>
    <w:rsid w:val="00D95616"/>
    <w:rsid w:val="00EA08BB"/>
    <w:rsid w:val="00F32224"/>
    <w:rsid w:val="00F6225E"/>
    <w:rsid w:val="00FC7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E8D08-5983-41CE-83A1-73E3A08FE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istopka">
    <w:name w:val="Nagłówek i stopka"/>
    <w:rsid w:val="00F6225E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pl-PL"/>
    </w:rPr>
  </w:style>
  <w:style w:type="paragraph" w:styleId="Tekstprzypisudolnego">
    <w:name w:val="footnote text"/>
    <w:link w:val="TekstprzypisudolnegoZnak"/>
    <w:rsid w:val="00F6225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rebuchet MS" w:eastAsia="Trebuchet MS" w:hAnsi="Trebuchet MS" w:cs="Trebuchet MS"/>
      <w:color w:val="000000"/>
      <w:sz w:val="20"/>
      <w:szCs w:val="20"/>
      <w:u w:color="000000"/>
      <w:bdr w:val="nil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6225E"/>
    <w:rPr>
      <w:rFonts w:ascii="Trebuchet MS" w:eastAsia="Trebuchet MS" w:hAnsi="Trebuchet MS" w:cs="Trebuchet MS"/>
      <w:color w:val="000000"/>
      <w:sz w:val="20"/>
      <w:szCs w:val="20"/>
      <w:u w:color="000000"/>
      <w:bdr w:val="nil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225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62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225E"/>
  </w:style>
  <w:style w:type="paragraph" w:styleId="Stopka">
    <w:name w:val="footer"/>
    <w:basedOn w:val="Normalny"/>
    <w:link w:val="StopkaZnak"/>
    <w:uiPriority w:val="99"/>
    <w:unhideWhenUsed/>
    <w:rsid w:val="00F62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225E"/>
  </w:style>
  <w:style w:type="paragraph" w:styleId="Bezodstpw">
    <w:name w:val="No Spacing"/>
    <w:uiPriority w:val="1"/>
    <w:qFormat/>
    <w:rsid w:val="00F6225E"/>
    <w:pPr>
      <w:spacing w:after="0" w:line="240" w:lineRule="auto"/>
    </w:pPr>
  </w:style>
  <w:style w:type="character" w:customStyle="1" w:styleId="tabulatory">
    <w:name w:val="tabulatory"/>
    <w:basedOn w:val="Domylnaczcionkaakapitu"/>
    <w:rsid w:val="00C90223"/>
  </w:style>
  <w:style w:type="character" w:customStyle="1" w:styleId="luchili">
    <w:name w:val="luc_hili"/>
    <w:basedOn w:val="Domylnaczcionkaakapitu"/>
    <w:rsid w:val="00C90223"/>
  </w:style>
  <w:style w:type="paragraph" w:styleId="Tekstdymka">
    <w:name w:val="Balloon Text"/>
    <w:basedOn w:val="Normalny"/>
    <w:link w:val="TekstdymkaZnak"/>
    <w:uiPriority w:val="99"/>
    <w:semiHidden/>
    <w:unhideWhenUsed/>
    <w:rsid w:val="00D95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561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D2E75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EA0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9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99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93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18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62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6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9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21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659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837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41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625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4367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Standerski</dc:creator>
  <cp:keywords/>
  <dc:description/>
  <cp:lastModifiedBy>Grzegorz Molesztak</cp:lastModifiedBy>
  <cp:revision>3</cp:revision>
  <cp:lastPrinted>2020-10-19T09:02:00Z</cp:lastPrinted>
  <dcterms:created xsi:type="dcterms:W3CDTF">2020-10-21T10:16:00Z</dcterms:created>
  <dcterms:modified xsi:type="dcterms:W3CDTF">2020-11-18T10:29:00Z</dcterms:modified>
</cp:coreProperties>
</file>