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84F" w:rsidRPr="00B84309" w:rsidRDefault="0012784F" w:rsidP="00B84309">
      <w:pPr>
        <w:tabs>
          <w:tab w:val="left" w:pos="0"/>
          <w:tab w:val="left" w:pos="4320"/>
        </w:tabs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4309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Sprawowanie nadzoru nad specjalistycznymi uzbrojonymi formacjami ochronnymi znalazło ustawowe uregulowanie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ustawie z</w:t>
      </w:r>
      <w:r w:rsidR="00FF06C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22</w:t>
      </w:r>
      <w:r w:rsidR="00FF06C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 1997</w:t>
      </w:r>
      <w:r w:rsidR="00FF06C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r. o</w:t>
      </w:r>
      <w:r w:rsidR="00FF06C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ochronie osób </w:t>
      </w:r>
      <w:r w:rsidR="00192D6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mienia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(Dz.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2020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838), zwanej dalej „ustawą” i, co do zasady, należy do właściwości Komendanta Głównego Policji,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dwoma wyjątkami: nadzoru nad specjalistycznymi uzbrojonymi formacjami ochronnymi działającymi na terenach jednostek organizacyjnych podległych Ministrowi Obrony Narodowej lub przez niego nadzorowanych oraz kontroli bezpieczeństwa przeprowadzanej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portach lotniczych. </w:t>
      </w:r>
      <w:r w:rsidR="00192D6D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tym pierwszym przypadku ustawodawca przewidział właściwość Ministra Obrony Narodowej,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tym drugim – Komendanta Głównego Straży Granicznej.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nadzoru jest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tożsamy sposób określony dla wszystkich trzech uprawnionych organów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obejmuje zasady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sposoby realizacji zadań ochrony osób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mienia, sposoby użycia przez pracowników tych formacji środków przymusu bezpośredniego lub broni palnej oraz posiadanie przez pracowników ochrony niezbędnych kwalifikacji. 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jest sprawowany przez kontrolę organizacji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 działania, uzbrojenia </w:t>
      </w:r>
      <w:r w:rsidR="00192D6D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wyposażenia, współpracy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innymi formacjami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służbami oraz zgodności aktualnego stanu ochrony jednostki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planem ochrony jednostki wojskowej. Osobom wykonującym czynności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 nadzoru nad specjalistycznymi uzbrojonymi formacjami ochronnymi przysługuje prawo wstępu na teren obszarów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obiektów objętych ochroną, żądania wyjaśnień, dostępu do dokumentacji ochronnej, wstępu na teren siedziby przedsiębiorcy prowadzącego działalność ochronną oraz wydawania pisemnych zaleceń zmierzających do usunięcia stwierdzonych nieprawidłowości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dostosowania działalności specjalistycznej uzbrojonej formacji ochronnej do przepisów prawa. Przebieg czynności nadzoru będzie mógł być utrwalany za pomocą technik audiowizualnych. 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nad specjalistycznymi uzbrojonymi formacjami ochronnymi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resorcie obrony narodowej sprawuje Minister Obrony Narodowej za pośrednictwem Komendanta Głównego Żandarmerii Wojskowej.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projektowanej ustawie zostały również szczegółowo uregulowane zagadnienia związane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wydawaniem upoważnień do czynności nadzoru, a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także prawa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obowiązki nadzorującego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nadzorowanego. 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ramach nadzoru nad specjalistycznymi uzbrojonymi formacjami ochronnymi Żandarmeria Wojskowa będzie kontrolowała wpis na listę kwalifikowanych pracowników ochrony oraz dokumentację szkoleniową. 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Doświadczenia zebrane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funkcjonowaniem specjalistycznych uzbrojonych formacji ochronnych na terenach jednostek organizacyjnych podległych, podporządkowanych lub nadzorowanych przez Ministra Obrony Narodowej pozwalają stwierdzić, że mimo ogromnego znaczenia zagadnień związanych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realizacją zadań przez te podmioty, nadzór nad ich działalnością ma charakter iluzoryczny. Praktycznie bowiem nadzoru</w:t>
      </w:r>
      <w:r w:rsidR="007810A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jakim to przewidział ustawodawca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43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ustawy, </w:t>
      </w:r>
      <w:r w:rsidR="00192D6D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resorcie obrony narodowej nie wykonuje żaden podmiot.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ochrony terenów jednostek organizacyjnych podległych, podporządkowanych lub nadzorowanych przez Ministra Obrony Narodowej występują liczne nieprawidłowości, które są ujawniane przez Żandarmerię Wojskową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 realizowanych przez nią kontroli ochrony terenów przez specjalistyczne uzbrojone formacje ochronne, sprawowanej na podstawie art.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44 ust.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1a ustawy, o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czym Komendant Główny Żandarmerii Wojskowej corocznie składa Ministrowi Obrony Narodowej sprawozdanie. Wspomniane nieprawidłowości dotyczą przede wszystkim braków </w:t>
      </w:r>
      <w:r w:rsidR="00192D6D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wyposażeniu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wyszkoleniu pracowników specjalistycznych uzbrojonych formacji ochronnych, naruszeń przepisów o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czasie pracy mogących skutkować pogorszeniem jakości ochrony, czy też wykonywania pracy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stanie nietrzeźwości. Warto natomiast zwrócić uwagę, że zakres kontroli sprawowanej przez Żandarmerię Wojskową na podstawie art.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44 ust.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1a ustawy, a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co za tym idzie ujawnianych nieprawidłowości, jest znacząco węższy niż zakres nadzoru nad specjalistycznymi uzbrojonymi formacjami ochronnymi, przewidziany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43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ustawy. Dopiero nadzór jest realnym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skutecznym narzędziem weryfikacji prawidłowości ochrony terenów jednostek organizacyjnych podległych, podporządkowanych lub nadzorowanych przez Ministra Obrony Narodowej, uprawnia bowiem do wydawania osobie działającej </w:t>
      </w:r>
      <w:bookmarkStart w:id="0" w:name="_GoBack"/>
      <w:bookmarkEnd w:id="0"/>
      <w:r w:rsidR="00492170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49217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imieniu lub interesie przedsiębiorcy wiążących zaleceń zmierzających do usunięcia ujawnionych nieprawidłowości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dostosowania działalności do przepisów prawa.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Podkreślenia również wymaga, że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nowelizacją ustawy o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ochronie osób </w:t>
      </w:r>
      <w:r w:rsidR="00192D6D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mienia regulacje zawarte do tej pory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44 ust.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1a tej ustawy zostały przeniesione do art.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Calibri" w:hAnsi="Times New Roman" w:cs="Times New Roman"/>
          <w:sz w:val="24"/>
          <w:szCs w:val="24"/>
          <w:lang w:eastAsia="pl-PL"/>
        </w:rPr>
        <w:t>4 ust.</w:t>
      </w:r>
      <w:r w:rsidR="00FF06C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FF06C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Calibri" w:hAnsi="Times New Roman" w:cs="Times New Roman"/>
          <w:sz w:val="24"/>
          <w:szCs w:val="24"/>
          <w:lang w:eastAsia="pl-PL"/>
        </w:rPr>
        <w:t>jako pkt</w:t>
      </w:r>
      <w:r w:rsidR="00FF06C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16a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24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 2001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r. o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Żandarmerii Wojskowej </w:t>
      </w:r>
      <w:r w:rsidR="00192D6D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wojskowych organach porządkowych (Dz.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U.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2020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431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956) </w:t>
      </w:r>
      <w:r w:rsidRPr="0012784F">
        <w:rPr>
          <w:rFonts w:ascii="Times New Roman" w:eastAsia="Calibri" w:hAnsi="Times New Roman" w:cs="Times New Roman"/>
          <w:sz w:val="24"/>
          <w:szCs w:val="24"/>
          <w:lang w:eastAsia="pl-PL"/>
        </w:rPr>
        <w:t>– w</w:t>
      </w:r>
      <w:r w:rsidR="00FF06C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celu uporządkowania sposobu wykonywania zadań przez Żandarmerię Wojskową. 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Koncepcja powierzenia Żandarmerii Wojskowej wykonywania czynności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 sprawowanego przez Ministra Obrony Narodowej nadzoru nad specjalistycznymi uzbrojonymi formacjami ochronnymi wynika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ogólnej właściwości tej formacji do kontrolowania ochrony mienia wojskowego, a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szczególności przechowywania uzbrojenia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środków bojowych. Doświadczenia żołnierzy Żandarmerii Wojskowej </w:t>
      </w:r>
      <w:r w:rsidR="00192D6D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rzeczywistych potrzeb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problemów dotyczących ochrony terenów jednostek organizacyjnych podległych, podporządkowanych lub nadzorowanych przez Ministra Obrony Narodowej, pozwolą skutecznie podjąć nałożone nowe zadania związane </w:t>
      </w:r>
      <w:r w:rsidR="00192D6D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nadzorem nad specjalistycznymi uzbrojonymi formacjami ochronnymi.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dnia 7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lipca 2005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r. o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działalności lobbingowej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procesie stanowienia prawa (Dz.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U.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2017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248) projekt ustawy został umieszczony </w:t>
      </w:r>
      <w:r w:rsidR="00192D6D"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Biuletynie Informacji Publicznej na stronach internetowych Rządowego Centrum Legislacji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serwisie Rządowy Proces Legislacyjny. 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nie podlega notyfikacji zgodnie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procedurą określoną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rozporządzeniu Rady Ministrów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23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 2002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r.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sprawie sposobu funkcjonowania krajowego systemu notyfikacji norm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aktów prawnych (Dz.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U. poz.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2039,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późn. zm.).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</w:t>
      </w:r>
      <w:r w:rsidRPr="00A85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wskazać, iż Ocena Skutków Regulacji projektu nie była dokonywana </w:t>
      </w:r>
      <w:r w:rsidR="00192D6D" w:rsidRPr="00A8560A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8560A">
        <w:rPr>
          <w:rFonts w:ascii="Times New Roman" w:eastAsia="Times New Roman" w:hAnsi="Times New Roman" w:cs="Times New Roman"/>
          <w:sz w:val="24"/>
          <w:szCs w:val="24"/>
          <w:lang w:eastAsia="pl-PL"/>
        </w:rPr>
        <w:t>trybie §</w:t>
      </w:r>
      <w:r w:rsidR="00FF06CD" w:rsidRPr="00A85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8560A">
        <w:rPr>
          <w:rFonts w:ascii="Times New Roman" w:eastAsia="Times New Roman" w:hAnsi="Times New Roman" w:cs="Times New Roman"/>
          <w:sz w:val="24"/>
          <w:szCs w:val="24"/>
          <w:lang w:eastAsia="pl-PL"/>
        </w:rPr>
        <w:t>32</w:t>
      </w:r>
      <w:r w:rsidR="00FF06CD" w:rsidRP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92D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A8560A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chwały </w:t>
      </w:r>
      <w:r w:rsidR="00A8560A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FF06C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190</w:t>
      </w:r>
      <w:r w:rsidR="00FF06C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Rady Ministrów z</w:t>
      </w:r>
      <w:r w:rsidR="00FF06C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29</w:t>
      </w:r>
      <w:r w:rsidR="00FF06C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października 2013</w:t>
      </w:r>
      <w:r w:rsidR="00FF06CD"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0B69">
        <w:rPr>
          <w:rFonts w:ascii="Times New Roman" w:eastAsia="Times New Roman" w:hAnsi="Times New Roman" w:cs="Times New Roman"/>
          <w:sz w:val="24"/>
          <w:szCs w:val="24"/>
          <w:lang w:eastAsia="pl-PL"/>
        </w:rPr>
        <w:t>r. – Regulamin pracy Rady Ministrów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(M.P.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2016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1006, z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późn. zm.), lecz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trybie §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42 ust.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1 pkt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Regulaminu.</w:t>
      </w:r>
    </w:p>
    <w:p w:rsidR="0012784F" w:rsidRPr="0012784F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nie wymaga przedstawienia właściwym organom i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instytucjom Unii Europejskiej,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tym Europejskiemu Bankowi Centralnemu, w</w:t>
      </w:r>
      <w:r w:rsidR="00FF0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celu uzyskania opinii, dokonania powiadomienia, konsultacji albo uzgodnienia.</w:t>
      </w:r>
    </w:p>
    <w:p w:rsidR="00A6317B" w:rsidRDefault="0012784F" w:rsidP="00B84309">
      <w:pPr>
        <w:autoSpaceDE w:val="0"/>
        <w:autoSpaceDN w:val="0"/>
        <w:adjustRightInd w:val="0"/>
        <w:spacing w:before="120" w:after="0" w:line="360" w:lineRule="auto"/>
        <w:jc w:val="both"/>
      </w:pPr>
      <w:r w:rsidRPr="0012784F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nie jest sprzeczny z prawem Unii Europejskiej.</w:t>
      </w:r>
    </w:p>
    <w:sectPr w:rsidR="00A6317B" w:rsidSect="00B84309">
      <w:footerReference w:type="default" r:id="rId6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B5" w:rsidRDefault="007F3FB5" w:rsidP="00FF06CD">
      <w:pPr>
        <w:spacing w:after="0" w:line="240" w:lineRule="auto"/>
      </w:pPr>
      <w:r>
        <w:separator/>
      </w:r>
    </w:p>
  </w:endnote>
  <w:endnote w:type="continuationSeparator" w:id="0">
    <w:p w:rsidR="007F3FB5" w:rsidRDefault="007F3FB5" w:rsidP="00FF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274470736"/>
      <w:docPartObj>
        <w:docPartGallery w:val="Page Numbers (Bottom of Page)"/>
        <w:docPartUnique/>
      </w:docPartObj>
    </w:sdtPr>
    <w:sdtEndPr/>
    <w:sdtContent>
      <w:p w:rsidR="00FF06CD" w:rsidRPr="00B84309" w:rsidRDefault="00FF06C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43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430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843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21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430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F06CD" w:rsidRDefault="00FF06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B5" w:rsidRDefault="007F3FB5" w:rsidP="00FF06CD">
      <w:pPr>
        <w:spacing w:after="0" w:line="240" w:lineRule="auto"/>
      </w:pPr>
      <w:r>
        <w:separator/>
      </w:r>
    </w:p>
  </w:footnote>
  <w:footnote w:type="continuationSeparator" w:id="0">
    <w:p w:rsidR="007F3FB5" w:rsidRDefault="007F3FB5" w:rsidP="00FF06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84F"/>
    <w:rsid w:val="00060B69"/>
    <w:rsid w:val="0012784F"/>
    <w:rsid w:val="00192D6D"/>
    <w:rsid w:val="00215D19"/>
    <w:rsid w:val="00492170"/>
    <w:rsid w:val="0061725A"/>
    <w:rsid w:val="007163F7"/>
    <w:rsid w:val="007810A0"/>
    <w:rsid w:val="007C0E86"/>
    <w:rsid w:val="007F3FB5"/>
    <w:rsid w:val="008A1621"/>
    <w:rsid w:val="009F080F"/>
    <w:rsid w:val="00A6317B"/>
    <w:rsid w:val="00A8560A"/>
    <w:rsid w:val="00B84309"/>
    <w:rsid w:val="00CA4222"/>
    <w:rsid w:val="00D715E6"/>
    <w:rsid w:val="00E3689F"/>
    <w:rsid w:val="00FD4244"/>
    <w:rsid w:val="00FF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4460B"/>
  <w15:docId w15:val="{F083E1B3-AA98-4DA1-889D-59739BE5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F0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6C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F0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06CD"/>
  </w:style>
  <w:style w:type="paragraph" w:styleId="Stopka">
    <w:name w:val="footer"/>
    <w:basedOn w:val="Normalny"/>
    <w:link w:val="StopkaZnak"/>
    <w:uiPriority w:val="99"/>
    <w:unhideWhenUsed/>
    <w:rsid w:val="00FF0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0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938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Ćwiek Katarzyna</dc:creator>
  <cp:lastModifiedBy>Rybkowska Bożena</cp:lastModifiedBy>
  <cp:revision>5</cp:revision>
  <dcterms:created xsi:type="dcterms:W3CDTF">2020-11-16T06:15:00Z</dcterms:created>
  <dcterms:modified xsi:type="dcterms:W3CDTF">2020-11-16T09:40:00Z</dcterms:modified>
</cp:coreProperties>
</file>