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2AD6E" w14:textId="77777777" w:rsidR="009019A4" w:rsidRPr="006340EF" w:rsidRDefault="009019A4" w:rsidP="008A198A">
      <w:pPr>
        <w:tabs>
          <w:tab w:val="left" w:pos="852"/>
        </w:tabs>
        <w:autoSpaceDE w:val="0"/>
        <w:autoSpaceDN w:val="0"/>
        <w:adjustRightInd w:val="0"/>
        <w:spacing w:after="0" w:line="360" w:lineRule="auto"/>
        <w:jc w:val="center"/>
        <w:rPr>
          <w:rFonts w:ascii="Times New Roman" w:eastAsia="Times New Roman" w:hAnsi="Times New Roman" w:cs="Times New Roman"/>
          <w:sz w:val="24"/>
          <w:szCs w:val="24"/>
          <w:lang w:eastAsia="pl-PL"/>
        </w:rPr>
      </w:pPr>
      <w:r w:rsidRPr="006340EF">
        <w:rPr>
          <w:rFonts w:ascii="Times New Roman" w:eastAsia="Times New Roman" w:hAnsi="Times New Roman" w:cs="Times New Roman"/>
          <w:sz w:val="24"/>
          <w:szCs w:val="24"/>
          <w:lang w:eastAsia="pl-PL"/>
        </w:rPr>
        <w:t>UZASADNIENIE</w:t>
      </w:r>
    </w:p>
    <w:p w14:paraId="356FEF96" w14:textId="77777777" w:rsidR="00664A9A" w:rsidRPr="006340EF" w:rsidRDefault="00664A9A" w:rsidP="008A198A">
      <w:pPr>
        <w:pBdr>
          <w:top w:val="nil"/>
          <w:left w:val="nil"/>
          <w:bottom w:val="nil"/>
          <w:right w:val="nil"/>
          <w:between w:val="nil"/>
        </w:pBdr>
        <w:spacing w:after="0" w:line="360" w:lineRule="auto"/>
        <w:ind w:left="510" w:hanging="510"/>
        <w:jc w:val="both"/>
        <w:rPr>
          <w:rFonts w:ascii="Times New Roman" w:eastAsia="Times" w:hAnsi="Times New Roman" w:cs="Times New Roman"/>
          <w:sz w:val="24"/>
          <w:szCs w:val="24"/>
        </w:rPr>
      </w:pPr>
      <w:r w:rsidRPr="006340EF">
        <w:rPr>
          <w:rFonts w:ascii="Times New Roman" w:eastAsia="Times New Roman" w:hAnsi="Times New Roman" w:cs="Times New Roman"/>
          <w:b/>
          <w:sz w:val="24"/>
          <w:szCs w:val="24"/>
        </w:rPr>
        <w:t>I. Cel projektowanej regulacji.</w:t>
      </w:r>
    </w:p>
    <w:p w14:paraId="1DBCE510" w14:textId="77777777" w:rsidR="007D363E" w:rsidRPr="006340EF" w:rsidRDefault="007D363E"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Projekt ustawy o zmianie ustawy o umow</w:t>
      </w:r>
      <w:r w:rsidR="00C51D7F">
        <w:rPr>
          <w:rFonts w:ascii="Times New Roman" w:hAnsi="Times New Roman" w:cs="Times New Roman"/>
          <w:szCs w:val="24"/>
        </w:rPr>
        <w:t>ie</w:t>
      </w:r>
      <w:r w:rsidRPr="006340EF">
        <w:rPr>
          <w:rFonts w:ascii="Times New Roman" w:hAnsi="Times New Roman" w:cs="Times New Roman"/>
          <w:szCs w:val="24"/>
        </w:rPr>
        <w:t xml:space="preserve"> koncesji </w:t>
      </w:r>
      <w:r w:rsidR="00B63C4F">
        <w:rPr>
          <w:rFonts w:ascii="Times New Roman" w:hAnsi="Times New Roman" w:cs="Times New Roman"/>
          <w:szCs w:val="24"/>
        </w:rPr>
        <w:t>na roboty budowlane lub usługi oraz niektórych innych ustaw</w:t>
      </w:r>
      <w:r w:rsidRPr="006340EF">
        <w:rPr>
          <w:rFonts w:ascii="Times New Roman" w:hAnsi="Times New Roman" w:cs="Times New Roman"/>
          <w:szCs w:val="24"/>
        </w:rPr>
        <w:t>, dalej „projekt ustawy”, zawiera zmiany następujących ustaw:</w:t>
      </w:r>
    </w:p>
    <w:p w14:paraId="72AC5F57" w14:textId="77777777" w:rsidR="007D363E" w:rsidRPr="006340EF" w:rsidRDefault="007D363E" w:rsidP="008A198A">
      <w:pPr>
        <w:numPr>
          <w:ilvl w:val="0"/>
          <w:numId w:val="10"/>
        </w:numPr>
        <w:spacing w:after="0" w:line="360" w:lineRule="auto"/>
        <w:ind w:left="426" w:hanging="426"/>
        <w:contextualSpacing/>
        <w:jc w:val="both"/>
        <w:rPr>
          <w:rFonts w:ascii="Times New Roman" w:hAnsi="Times New Roman" w:cs="Times New Roman"/>
          <w:sz w:val="24"/>
          <w:szCs w:val="24"/>
        </w:rPr>
      </w:pPr>
      <w:r w:rsidRPr="006340EF">
        <w:rPr>
          <w:rFonts w:ascii="Times New Roman" w:hAnsi="Times New Roman" w:cs="Times New Roman"/>
          <w:sz w:val="24"/>
          <w:szCs w:val="24"/>
        </w:rPr>
        <w:t xml:space="preserve">z dnia 21 października 2016 r. o umowie koncesji na roboty budowlane lub usługi (Dz. U. z 2019 r. poz. 1528, 1655 i 2020), dalej „ustawa o umowie koncesji”; </w:t>
      </w:r>
    </w:p>
    <w:p w14:paraId="59D28636" w14:textId="6C080A55" w:rsidR="007D363E" w:rsidRPr="006340EF" w:rsidRDefault="007D363E" w:rsidP="00460F31">
      <w:pPr>
        <w:numPr>
          <w:ilvl w:val="0"/>
          <w:numId w:val="10"/>
        </w:numPr>
        <w:spacing w:after="0" w:line="360" w:lineRule="auto"/>
        <w:contextualSpacing/>
        <w:jc w:val="both"/>
        <w:rPr>
          <w:rFonts w:ascii="Times New Roman" w:hAnsi="Times New Roman" w:cs="Times New Roman"/>
          <w:sz w:val="24"/>
          <w:szCs w:val="24"/>
        </w:rPr>
      </w:pPr>
      <w:r w:rsidRPr="006340EF">
        <w:rPr>
          <w:rFonts w:ascii="Times New Roman" w:hAnsi="Times New Roman" w:cs="Times New Roman"/>
          <w:sz w:val="24"/>
          <w:szCs w:val="24"/>
        </w:rPr>
        <w:t>z dnia 11 września 2019 r. – Prawo zamówień publicznych (Dz. U. poz. 2019</w:t>
      </w:r>
      <w:r w:rsidR="00460F31" w:rsidRPr="00460F31">
        <w:t xml:space="preserve"> </w:t>
      </w:r>
      <w:r w:rsidR="00460F31" w:rsidRPr="00460F31">
        <w:rPr>
          <w:rFonts w:ascii="Times New Roman" w:hAnsi="Times New Roman" w:cs="Times New Roman"/>
          <w:sz w:val="24"/>
          <w:szCs w:val="24"/>
        </w:rPr>
        <w:t>oraz z 2020 r. 288, 1492 i 1517</w:t>
      </w:r>
      <w:r w:rsidRPr="006340EF">
        <w:rPr>
          <w:rFonts w:ascii="Times New Roman" w:hAnsi="Times New Roman" w:cs="Times New Roman"/>
          <w:sz w:val="24"/>
          <w:szCs w:val="24"/>
        </w:rPr>
        <w:t>), dalej „nowa ustawa Pzp”;</w:t>
      </w:r>
    </w:p>
    <w:p w14:paraId="7C73BE53" w14:textId="4F21BC56" w:rsidR="005A1CE4" w:rsidRDefault="007D363E" w:rsidP="00460F31">
      <w:pPr>
        <w:numPr>
          <w:ilvl w:val="0"/>
          <w:numId w:val="10"/>
        </w:numPr>
        <w:spacing w:after="0" w:line="360" w:lineRule="auto"/>
        <w:contextualSpacing/>
        <w:jc w:val="both"/>
        <w:rPr>
          <w:rFonts w:ascii="Times New Roman" w:hAnsi="Times New Roman" w:cs="Times New Roman"/>
          <w:sz w:val="24"/>
          <w:szCs w:val="24"/>
        </w:rPr>
      </w:pPr>
      <w:r w:rsidRPr="006340EF">
        <w:rPr>
          <w:rFonts w:ascii="Times New Roman" w:hAnsi="Times New Roman" w:cs="Times New Roman"/>
          <w:sz w:val="24"/>
          <w:szCs w:val="24"/>
        </w:rPr>
        <w:t>ustawy z dnia 11 września 2019 r. – Przepisy wprowadzające ustawę – Prawo zamówień publicznych (Dz. U. poz. 2020</w:t>
      </w:r>
      <w:r w:rsidR="00460F31" w:rsidRPr="00460F31">
        <w:t xml:space="preserve"> </w:t>
      </w:r>
      <w:r w:rsidR="00460F31" w:rsidRPr="00460F31">
        <w:rPr>
          <w:rFonts w:ascii="Times New Roman" w:hAnsi="Times New Roman" w:cs="Times New Roman"/>
          <w:sz w:val="24"/>
          <w:szCs w:val="24"/>
        </w:rPr>
        <w:t>oraz z 2020 r. poz. 1086</w:t>
      </w:r>
      <w:r w:rsidRPr="006340EF">
        <w:rPr>
          <w:rFonts w:ascii="Times New Roman" w:hAnsi="Times New Roman" w:cs="Times New Roman"/>
          <w:sz w:val="24"/>
          <w:szCs w:val="24"/>
        </w:rPr>
        <w:t>), dalej „</w:t>
      </w:r>
      <w:r w:rsidR="00BC773C" w:rsidRPr="006340EF">
        <w:rPr>
          <w:rFonts w:ascii="Times New Roman" w:hAnsi="Times New Roman" w:cs="Times New Roman"/>
          <w:sz w:val="24"/>
          <w:szCs w:val="24"/>
        </w:rPr>
        <w:t xml:space="preserve">ustawa </w:t>
      </w:r>
      <w:r w:rsidRPr="006340EF">
        <w:rPr>
          <w:rFonts w:ascii="Times New Roman" w:hAnsi="Times New Roman" w:cs="Times New Roman"/>
          <w:sz w:val="24"/>
          <w:szCs w:val="24"/>
        </w:rPr>
        <w:t>pwPzp”</w:t>
      </w:r>
      <w:r w:rsidR="00D4780C">
        <w:rPr>
          <w:rFonts w:ascii="Times New Roman" w:hAnsi="Times New Roman" w:cs="Times New Roman"/>
          <w:sz w:val="24"/>
          <w:szCs w:val="24"/>
        </w:rPr>
        <w:t>;</w:t>
      </w:r>
    </w:p>
    <w:p w14:paraId="7F5967E4" w14:textId="40830A2B" w:rsidR="007D363E" w:rsidRPr="006340EF" w:rsidRDefault="005A1CE4" w:rsidP="008A198A">
      <w:pPr>
        <w:numPr>
          <w:ilvl w:val="0"/>
          <w:numId w:val="10"/>
        </w:numPr>
        <w:spacing w:after="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 xml:space="preserve">ustawy z dnia </w:t>
      </w:r>
      <w:r w:rsidR="00C80D57">
        <w:rPr>
          <w:rFonts w:ascii="Times New Roman" w:hAnsi="Times New Roman" w:cs="Times New Roman"/>
          <w:sz w:val="24"/>
          <w:szCs w:val="24"/>
        </w:rPr>
        <w:t xml:space="preserve">19 grudnia 2008 r. o partnerstwie publiczno–prywatnym </w:t>
      </w:r>
      <w:r w:rsidR="00B63C4F">
        <w:rPr>
          <w:rFonts w:ascii="Times New Roman" w:hAnsi="Times New Roman" w:cs="Times New Roman"/>
          <w:sz w:val="24"/>
          <w:szCs w:val="24"/>
        </w:rPr>
        <w:br/>
      </w:r>
      <w:r w:rsidR="00C80D57">
        <w:rPr>
          <w:rFonts w:ascii="Times New Roman" w:hAnsi="Times New Roman" w:cs="Times New Roman"/>
          <w:sz w:val="24"/>
          <w:szCs w:val="24"/>
        </w:rPr>
        <w:t>(Dz. U. z 2020 r. poz. 711), dalej „ustawa ppp</w:t>
      </w:r>
      <w:r w:rsidR="00B63C4F">
        <w:rPr>
          <w:rFonts w:ascii="Times New Roman" w:hAnsi="Times New Roman" w:cs="Times New Roman"/>
          <w:sz w:val="24"/>
          <w:szCs w:val="24"/>
        </w:rPr>
        <w:t>”</w:t>
      </w:r>
      <w:r w:rsidR="00C80D57">
        <w:rPr>
          <w:rFonts w:ascii="Times New Roman" w:hAnsi="Times New Roman" w:cs="Times New Roman"/>
          <w:sz w:val="24"/>
          <w:szCs w:val="24"/>
        </w:rPr>
        <w:t>.</w:t>
      </w:r>
    </w:p>
    <w:p w14:paraId="23F38BD8" w14:textId="77777777" w:rsidR="007D363E" w:rsidRPr="006340EF" w:rsidRDefault="007D363E" w:rsidP="008A198A">
      <w:pPr>
        <w:spacing w:after="0" w:line="360" w:lineRule="auto"/>
        <w:contextualSpacing/>
        <w:jc w:val="both"/>
        <w:rPr>
          <w:rFonts w:ascii="Times New Roman" w:hAnsi="Times New Roman" w:cs="Times New Roman"/>
          <w:sz w:val="24"/>
          <w:szCs w:val="24"/>
        </w:rPr>
      </w:pPr>
    </w:p>
    <w:p w14:paraId="5148943E" w14:textId="7D5247AC" w:rsidR="00942826" w:rsidRPr="006340EF" w:rsidRDefault="00942826" w:rsidP="008A198A">
      <w:pPr>
        <w:spacing w:after="0" w:line="360" w:lineRule="auto"/>
        <w:ind w:firstLine="709"/>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Z</w:t>
      </w:r>
      <w:r w:rsidR="00EA7E87" w:rsidRPr="006340EF">
        <w:rPr>
          <w:rFonts w:ascii="Times New Roman" w:eastAsia="Times New Roman" w:hAnsi="Times New Roman" w:cs="Times New Roman"/>
          <w:sz w:val="24"/>
          <w:szCs w:val="24"/>
        </w:rPr>
        <w:t>mian</w:t>
      </w:r>
      <w:r w:rsidRPr="006340EF">
        <w:rPr>
          <w:rFonts w:ascii="Times New Roman" w:eastAsia="Times New Roman" w:hAnsi="Times New Roman" w:cs="Times New Roman"/>
          <w:sz w:val="24"/>
          <w:szCs w:val="24"/>
        </w:rPr>
        <w:t>a</w:t>
      </w:r>
      <w:r w:rsidR="00234F35">
        <w:rPr>
          <w:rFonts w:ascii="Times New Roman" w:eastAsia="Times New Roman" w:hAnsi="Times New Roman" w:cs="Times New Roman"/>
          <w:sz w:val="24"/>
          <w:szCs w:val="24"/>
        </w:rPr>
        <w:t xml:space="preserve"> </w:t>
      </w:r>
      <w:r w:rsidR="00EA7E87" w:rsidRPr="006340EF">
        <w:rPr>
          <w:rFonts w:ascii="Times New Roman" w:hAnsi="Times New Roman" w:cs="Times New Roman"/>
          <w:sz w:val="24"/>
          <w:szCs w:val="24"/>
        </w:rPr>
        <w:t xml:space="preserve">ustawy o umowie koncesji </w:t>
      </w:r>
      <w:r w:rsidR="003022FD" w:rsidRPr="006340EF">
        <w:rPr>
          <w:rFonts w:ascii="Times New Roman" w:hAnsi="Times New Roman" w:cs="Times New Roman"/>
          <w:sz w:val="24"/>
          <w:szCs w:val="24"/>
        </w:rPr>
        <w:t>stanowi kolejny</w:t>
      </w:r>
      <w:r w:rsidR="00B63C4F">
        <w:rPr>
          <w:rFonts w:ascii="Times New Roman" w:hAnsi="Times New Roman" w:cs="Times New Roman"/>
          <w:sz w:val="24"/>
          <w:szCs w:val="24"/>
        </w:rPr>
        <w:t>,</w:t>
      </w:r>
      <w:r w:rsidR="00523BFE" w:rsidRPr="006340EF">
        <w:rPr>
          <w:rFonts w:ascii="Times New Roman" w:hAnsi="Times New Roman" w:cs="Times New Roman"/>
          <w:sz w:val="24"/>
          <w:szCs w:val="24"/>
        </w:rPr>
        <w:t xml:space="preserve"> powiązany</w:t>
      </w:r>
      <w:r w:rsidR="00042450">
        <w:rPr>
          <w:rFonts w:ascii="Times New Roman" w:hAnsi="Times New Roman" w:cs="Times New Roman"/>
          <w:sz w:val="24"/>
          <w:szCs w:val="24"/>
        </w:rPr>
        <w:t xml:space="preserve"> </w:t>
      </w:r>
      <w:r w:rsidRPr="006340EF">
        <w:rPr>
          <w:rFonts w:ascii="Times New Roman" w:hAnsi="Times New Roman" w:cs="Times New Roman"/>
          <w:sz w:val="24"/>
          <w:szCs w:val="24"/>
        </w:rPr>
        <w:t xml:space="preserve">i wynikowy </w:t>
      </w:r>
      <w:r w:rsidR="003022FD" w:rsidRPr="006340EF">
        <w:rPr>
          <w:rFonts w:ascii="Times New Roman" w:hAnsi="Times New Roman" w:cs="Times New Roman"/>
          <w:sz w:val="24"/>
          <w:szCs w:val="24"/>
        </w:rPr>
        <w:t xml:space="preserve">etap </w:t>
      </w:r>
      <w:r w:rsidRPr="006340EF">
        <w:rPr>
          <w:rFonts w:ascii="Times New Roman" w:hAnsi="Times New Roman" w:cs="Times New Roman"/>
          <w:sz w:val="24"/>
          <w:szCs w:val="24"/>
        </w:rPr>
        <w:t xml:space="preserve">prac nad </w:t>
      </w:r>
      <w:r w:rsidR="003022FD" w:rsidRPr="006340EF">
        <w:rPr>
          <w:rFonts w:ascii="Times New Roman" w:hAnsi="Times New Roman" w:cs="Times New Roman"/>
          <w:sz w:val="24"/>
          <w:szCs w:val="24"/>
        </w:rPr>
        <w:t>zmian</w:t>
      </w:r>
      <w:r w:rsidRPr="006340EF">
        <w:rPr>
          <w:rFonts w:ascii="Times New Roman" w:hAnsi="Times New Roman" w:cs="Times New Roman"/>
          <w:sz w:val="24"/>
          <w:szCs w:val="24"/>
        </w:rPr>
        <w:t>ami</w:t>
      </w:r>
      <w:r w:rsidR="003022FD" w:rsidRPr="006340EF">
        <w:rPr>
          <w:rFonts w:ascii="Times New Roman" w:hAnsi="Times New Roman" w:cs="Times New Roman"/>
          <w:sz w:val="24"/>
          <w:szCs w:val="24"/>
        </w:rPr>
        <w:t xml:space="preserve"> w prawie, poprzedzony etapem</w:t>
      </w:r>
      <w:r w:rsidR="00523BFE" w:rsidRPr="006340EF">
        <w:rPr>
          <w:rFonts w:ascii="Times New Roman" w:hAnsi="Times New Roman" w:cs="Times New Roman"/>
          <w:sz w:val="24"/>
          <w:szCs w:val="24"/>
        </w:rPr>
        <w:t xml:space="preserve"> prac </w:t>
      </w:r>
      <w:r w:rsidR="00EA7E87" w:rsidRPr="006340EF">
        <w:rPr>
          <w:rFonts w:ascii="Times New Roman" w:eastAsia="Times New Roman" w:hAnsi="Times New Roman" w:cs="Times New Roman"/>
          <w:sz w:val="24"/>
          <w:szCs w:val="24"/>
        </w:rPr>
        <w:t>nad opracowaniem i</w:t>
      </w:r>
      <w:r w:rsidR="00C80D57">
        <w:rPr>
          <w:rFonts w:ascii="Times New Roman" w:eastAsia="Times New Roman" w:hAnsi="Times New Roman" w:cs="Times New Roman"/>
          <w:sz w:val="24"/>
          <w:szCs w:val="24"/>
        </w:rPr>
        <w:t> </w:t>
      </w:r>
      <w:r w:rsidR="00EA7E87" w:rsidRPr="006340EF">
        <w:rPr>
          <w:rFonts w:ascii="Times New Roman" w:eastAsia="Times New Roman" w:hAnsi="Times New Roman" w:cs="Times New Roman"/>
          <w:sz w:val="24"/>
          <w:szCs w:val="24"/>
        </w:rPr>
        <w:t>procedowaniem nowe</w:t>
      </w:r>
      <w:r w:rsidR="00314C7E" w:rsidRPr="006340EF">
        <w:rPr>
          <w:rFonts w:ascii="Times New Roman" w:eastAsia="Times New Roman" w:hAnsi="Times New Roman" w:cs="Times New Roman"/>
          <w:sz w:val="24"/>
          <w:szCs w:val="24"/>
        </w:rPr>
        <w:t xml:space="preserve">j ustawy </w:t>
      </w:r>
      <w:r w:rsidR="00A31921" w:rsidRPr="006340EF">
        <w:rPr>
          <w:rFonts w:ascii="Times New Roman" w:eastAsia="Times New Roman" w:hAnsi="Times New Roman" w:cs="Times New Roman"/>
          <w:sz w:val="24"/>
          <w:szCs w:val="24"/>
        </w:rPr>
        <w:t>– Prawo zamówień publicznych</w:t>
      </w:r>
      <w:r w:rsidRPr="006340EF">
        <w:rPr>
          <w:rFonts w:ascii="Times New Roman" w:eastAsia="Times New Roman" w:hAnsi="Times New Roman" w:cs="Times New Roman"/>
          <w:sz w:val="24"/>
          <w:szCs w:val="24"/>
        </w:rPr>
        <w:t>,</w:t>
      </w:r>
      <w:r w:rsidR="00042450">
        <w:rPr>
          <w:rFonts w:ascii="Times New Roman" w:eastAsia="Times New Roman" w:hAnsi="Times New Roman" w:cs="Times New Roman"/>
          <w:sz w:val="24"/>
          <w:szCs w:val="24"/>
        </w:rPr>
        <w:t xml:space="preserve"> </w:t>
      </w:r>
      <w:r w:rsidR="00FF37AA" w:rsidRPr="006340EF">
        <w:rPr>
          <w:rFonts w:ascii="Times New Roman" w:eastAsia="Times New Roman" w:hAnsi="Times New Roman" w:cs="Times New Roman"/>
          <w:sz w:val="24"/>
          <w:szCs w:val="24"/>
        </w:rPr>
        <w:t>leżącej u podstaw</w:t>
      </w:r>
      <w:r w:rsidR="00314C7E" w:rsidRPr="006340EF">
        <w:rPr>
          <w:rFonts w:ascii="Times New Roman" w:eastAsia="Times New Roman" w:hAnsi="Times New Roman" w:cs="Times New Roman"/>
          <w:sz w:val="24"/>
          <w:szCs w:val="24"/>
        </w:rPr>
        <w:t xml:space="preserve"> systemu zamówień publicznych.</w:t>
      </w:r>
      <w:r w:rsidR="00042450">
        <w:rPr>
          <w:rFonts w:ascii="Times New Roman" w:eastAsia="Times New Roman" w:hAnsi="Times New Roman" w:cs="Times New Roman"/>
          <w:sz w:val="24"/>
          <w:szCs w:val="24"/>
        </w:rPr>
        <w:t xml:space="preserve"> </w:t>
      </w:r>
      <w:r w:rsidR="001E647B">
        <w:rPr>
          <w:rFonts w:ascii="Times New Roman" w:eastAsia="Times New Roman" w:hAnsi="Times New Roman" w:cs="Times New Roman"/>
          <w:sz w:val="24"/>
          <w:szCs w:val="24"/>
        </w:rPr>
        <w:t>Ponad 16</w:t>
      </w:r>
      <w:r w:rsidRPr="006340EF">
        <w:rPr>
          <w:rFonts w:ascii="Times New Roman" w:eastAsia="Times New Roman" w:hAnsi="Times New Roman" w:cs="Times New Roman"/>
          <w:sz w:val="24"/>
          <w:szCs w:val="24"/>
        </w:rPr>
        <w:t>-letni okres obowiązywania ustawy z dnia 29</w:t>
      </w:r>
      <w:r w:rsidR="00C80D57">
        <w:rPr>
          <w:rFonts w:ascii="Times New Roman" w:eastAsia="Times New Roman" w:hAnsi="Times New Roman" w:cs="Times New Roman"/>
          <w:sz w:val="24"/>
          <w:szCs w:val="24"/>
        </w:rPr>
        <w:t> </w:t>
      </w:r>
      <w:r w:rsidRPr="006340EF">
        <w:rPr>
          <w:rFonts w:ascii="Times New Roman" w:eastAsia="Times New Roman" w:hAnsi="Times New Roman" w:cs="Times New Roman"/>
          <w:sz w:val="24"/>
          <w:szCs w:val="24"/>
        </w:rPr>
        <w:t>stycznia 2004 r. – Prawo zamówień publicznych (Dz. U. z 2019 r. poz. 1843</w:t>
      </w:r>
      <w:r w:rsidR="00D4780C" w:rsidRPr="00D4780C">
        <w:t xml:space="preserve"> </w:t>
      </w:r>
      <w:r w:rsidR="00D4780C" w:rsidRPr="00D4780C">
        <w:rPr>
          <w:rFonts w:ascii="Times New Roman" w:eastAsia="Times New Roman" w:hAnsi="Times New Roman" w:cs="Times New Roman"/>
          <w:sz w:val="24"/>
          <w:szCs w:val="24"/>
        </w:rPr>
        <w:t>oraz z 2020 r. poz. 1086</w:t>
      </w:r>
      <w:r w:rsidRPr="006340EF">
        <w:rPr>
          <w:rFonts w:ascii="Times New Roman" w:eastAsia="Times New Roman" w:hAnsi="Times New Roman" w:cs="Times New Roman"/>
          <w:sz w:val="24"/>
          <w:szCs w:val="24"/>
        </w:rPr>
        <w:t>), dalej „Pzp2004” uchwalonej w odmiennych realiach gos</w:t>
      </w:r>
      <w:r w:rsidR="00117DB7">
        <w:rPr>
          <w:rFonts w:ascii="Times New Roman" w:eastAsia="Times New Roman" w:hAnsi="Times New Roman" w:cs="Times New Roman"/>
          <w:sz w:val="24"/>
          <w:szCs w:val="24"/>
        </w:rPr>
        <w:t>podarczych oraz obowiązującym w </w:t>
      </w:r>
      <w:r w:rsidR="00BC773C" w:rsidRPr="006340EF">
        <w:rPr>
          <w:rFonts w:ascii="Times New Roman" w:eastAsia="Times New Roman" w:hAnsi="Times New Roman" w:cs="Times New Roman"/>
          <w:sz w:val="24"/>
          <w:szCs w:val="24"/>
        </w:rPr>
        <w:t>ówczesnym</w:t>
      </w:r>
      <w:r w:rsidRPr="006340EF">
        <w:rPr>
          <w:rFonts w:ascii="Times New Roman" w:eastAsia="Times New Roman" w:hAnsi="Times New Roman" w:cs="Times New Roman"/>
          <w:sz w:val="24"/>
          <w:szCs w:val="24"/>
        </w:rPr>
        <w:t xml:space="preserve"> czasie otoczeniu prawnym, a także liczne zmiany wprowadzane w celu transpozycji dyrektyw unijnych oraz inne zmiany mające na celu dostosowywanie prawa do potrzeb zmieniającej się sytuacji prawnej i gospodarczej, złożyły się na potrzebę uchwalenia nowego, kompleksowego i spójnego Prawa zamówień publicznych. </w:t>
      </w:r>
      <w:r w:rsidR="003158BD" w:rsidRPr="006340EF">
        <w:rPr>
          <w:rFonts w:ascii="Times New Roman" w:eastAsia="Times New Roman" w:hAnsi="Times New Roman" w:cs="Times New Roman"/>
          <w:sz w:val="24"/>
          <w:szCs w:val="24"/>
        </w:rPr>
        <w:t xml:space="preserve">W proces przygotowania projektu </w:t>
      </w:r>
      <w:r w:rsidR="00117CA2" w:rsidRPr="006340EF">
        <w:rPr>
          <w:rFonts w:ascii="Times New Roman" w:eastAsia="Times New Roman" w:hAnsi="Times New Roman" w:cs="Times New Roman"/>
          <w:sz w:val="24"/>
          <w:szCs w:val="24"/>
        </w:rPr>
        <w:t xml:space="preserve">nowej ustawy </w:t>
      </w:r>
      <w:r w:rsidRPr="006340EF">
        <w:rPr>
          <w:rFonts w:ascii="Times New Roman" w:eastAsia="Times New Roman" w:hAnsi="Times New Roman" w:cs="Times New Roman"/>
          <w:sz w:val="24"/>
          <w:szCs w:val="24"/>
        </w:rPr>
        <w:t>regulującej zamówienia publiczne zo</w:t>
      </w:r>
      <w:r w:rsidR="003158BD" w:rsidRPr="006340EF">
        <w:rPr>
          <w:rFonts w:ascii="Times New Roman" w:eastAsia="Times New Roman" w:hAnsi="Times New Roman" w:cs="Times New Roman"/>
          <w:sz w:val="24"/>
          <w:szCs w:val="24"/>
        </w:rPr>
        <w:t xml:space="preserve">stały włączone </w:t>
      </w:r>
      <w:r w:rsidR="00A31921" w:rsidRPr="006340EF">
        <w:rPr>
          <w:rFonts w:ascii="Times New Roman" w:eastAsia="Times New Roman" w:hAnsi="Times New Roman" w:cs="Times New Roman"/>
          <w:sz w:val="24"/>
          <w:szCs w:val="24"/>
        </w:rPr>
        <w:t xml:space="preserve">liczne </w:t>
      </w:r>
      <w:r w:rsidR="003158BD" w:rsidRPr="006340EF">
        <w:rPr>
          <w:rFonts w:ascii="Times New Roman" w:eastAsia="Times New Roman" w:hAnsi="Times New Roman" w:cs="Times New Roman"/>
          <w:sz w:val="24"/>
          <w:szCs w:val="24"/>
        </w:rPr>
        <w:t>środowiska naukowe, prawnicze, praktyków z</w:t>
      </w:r>
      <w:r w:rsidR="00C80D57">
        <w:rPr>
          <w:rFonts w:ascii="Times New Roman" w:eastAsia="Times New Roman" w:hAnsi="Times New Roman" w:cs="Times New Roman"/>
          <w:sz w:val="24"/>
          <w:szCs w:val="24"/>
        </w:rPr>
        <w:t> </w:t>
      </w:r>
      <w:r w:rsidR="003158BD" w:rsidRPr="006340EF">
        <w:rPr>
          <w:rFonts w:ascii="Times New Roman" w:eastAsia="Times New Roman" w:hAnsi="Times New Roman" w:cs="Times New Roman"/>
          <w:sz w:val="24"/>
          <w:szCs w:val="24"/>
        </w:rPr>
        <w:t>zakresu zamówień publicznych poprzez</w:t>
      </w:r>
      <w:r w:rsidR="00F55413" w:rsidRPr="006340EF">
        <w:rPr>
          <w:rFonts w:ascii="Times New Roman" w:eastAsia="Times New Roman" w:hAnsi="Times New Roman" w:cs="Times New Roman"/>
          <w:sz w:val="24"/>
          <w:szCs w:val="24"/>
        </w:rPr>
        <w:t xml:space="preserve"> szerokie konsultacje przygotowanej wspólnie przez </w:t>
      </w:r>
      <w:r w:rsidR="00B63C4F">
        <w:rPr>
          <w:rFonts w:ascii="Times New Roman" w:eastAsia="Times New Roman" w:hAnsi="Times New Roman" w:cs="Times New Roman"/>
          <w:sz w:val="24"/>
          <w:szCs w:val="24"/>
        </w:rPr>
        <w:t>Ministerstwo Rozwoju</w:t>
      </w:r>
      <w:r w:rsidR="00097EA4">
        <w:rPr>
          <w:rFonts w:ascii="Times New Roman" w:eastAsia="Times New Roman" w:hAnsi="Times New Roman" w:cs="Times New Roman"/>
          <w:sz w:val="24"/>
          <w:szCs w:val="24"/>
        </w:rPr>
        <w:t>, Pracy i Technologii (poprzednio Ministerstwo Rozwoju)</w:t>
      </w:r>
      <w:r w:rsidR="00B63C4F">
        <w:rPr>
          <w:rFonts w:ascii="Times New Roman" w:eastAsia="Times New Roman" w:hAnsi="Times New Roman" w:cs="Times New Roman"/>
          <w:sz w:val="24"/>
          <w:szCs w:val="24"/>
        </w:rPr>
        <w:t xml:space="preserve"> </w:t>
      </w:r>
      <w:r w:rsidR="00F55413" w:rsidRPr="006340EF">
        <w:rPr>
          <w:rFonts w:ascii="Times New Roman" w:eastAsia="Times New Roman" w:hAnsi="Times New Roman" w:cs="Times New Roman"/>
          <w:sz w:val="24"/>
          <w:szCs w:val="24"/>
        </w:rPr>
        <w:t xml:space="preserve">oraz Urząd Zamówień Publicznych </w:t>
      </w:r>
      <w:r w:rsidR="00F55413" w:rsidRPr="006340EF">
        <w:rPr>
          <w:rFonts w:ascii="Times New Roman" w:eastAsia="Times New Roman" w:hAnsi="Times New Roman" w:cs="Times New Roman"/>
          <w:i/>
          <w:sz w:val="24"/>
          <w:szCs w:val="24"/>
        </w:rPr>
        <w:t xml:space="preserve">Koncepcji nowego </w:t>
      </w:r>
      <w:r w:rsidR="00F55413" w:rsidRPr="006340EF">
        <w:rPr>
          <w:rFonts w:ascii="Times New Roman" w:eastAsia="Times New Roman" w:hAnsi="Times New Roman" w:cs="Times New Roman"/>
          <w:i/>
          <w:sz w:val="24"/>
          <w:szCs w:val="24"/>
        </w:rPr>
        <w:lastRenderedPageBreak/>
        <w:t>Prawa zamówień publicznych</w:t>
      </w:r>
      <w:r w:rsidR="00F55413" w:rsidRPr="006340EF">
        <w:rPr>
          <w:rFonts w:ascii="Times New Roman" w:eastAsia="Times New Roman" w:hAnsi="Times New Roman" w:cs="Times New Roman"/>
          <w:sz w:val="24"/>
          <w:szCs w:val="24"/>
        </w:rPr>
        <w:t xml:space="preserve"> z dnia 6 czerwca 2018 r., w której zdiagnozowano główne obszary wymagające wprowadzenia nowych rozwiązań optymalizujących proces udzielania zamówień. </w:t>
      </w:r>
      <w:r w:rsidR="00314C7E" w:rsidRPr="006340EF">
        <w:rPr>
          <w:rFonts w:ascii="Times New Roman" w:eastAsia="Times New Roman" w:hAnsi="Times New Roman" w:cs="Times New Roman"/>
          <w:sz w:val="24"/>
          <w:szCs w:val="24"/>
        </w:rPr>
        <w:t>Ich e</w:t>
      </w:r>
      <w:r w:rsidR="00EA7E87" w:rsidRPr="006340EF">
        <w:rPr>
          <w:rFonts w:ascii="Times New Roman" w:eastAsia="Times New Roman" w:hAnsi="Times New Roman" w:cs="Times New Roman"/>
          <w:sz w:val="24"/>
          <w:szCs w:val="24"/>
        </w:rPr>
        <w:t>fektem było uchwalenie w dniu 11 września</w:t>
      </w:r>
      <w:r w:rsidR="00C80D57">
        <w:rPr>
          <w:rFonts w:ascii="Times New Roman" w:eastAsia="Times New Roman" w:hAnsi="Times New Roman" w:cs="Times New Roman"/>
          <w:sz w:val="24"/>
          <w:szCs w:val="24"/>
        </w:rPr>
        <w:t xml:space="preserve"> </w:t>
      </w:r>
      <w:r w:rsidR="00EA7E87" w:rsidRPr="006340EF">
        <w:rPr>
          <w:rFonts w:ascii="Times New Roman" w:eastAsia="Times New Roman" w:hAnsi="Times New Roman" w:cs="Times New Roman"/>
          <w:sz w:val="24"/>
          <w:szCs w:val="24"/>
        </w:rPr>
        <w:t>2019</w:t>
      </w:r>
      <w:r w:rsidR="00C80D57">
        <w:rPr>
          <w:rFonts w:ascii="Times New Roman" w:eastAsia="Times New Roman" w:hAnsi="Times New Roman" w:cs="Times New Roman"/>
          <w:sz w:val="24"/>
          <w:szCs w:val="24"/>
        </w:rPr>
        <w:t xml:space="preserve"> </w:t>
      </w:r>
      <w:r w:rsidR="00EA7E87" w:rsidRPr="006340EF">
        <w:rPr>
          <w:rFonts w:ascii="Times New Roman" w:eastAsia="Times New Roman" w:hAnsi="Times New Roman" w:cs="Times New Roman"/>
          <w:sz w:val="24"/>
          <w:szCs w:val="24"/>
        </w:rPr>
        <w:t>r.</w:t>
      </w:r>
      <w:r w:rsidR="00B63C4F">
        <w:rPr>
          <w:rFonts w:ascii="Times New Roman" w:eastAsia="Times New Roman" w:hAnsi="Times New Roman" w:cs="Times New Roman"/>
          <w:sz w:val="24"/>
          <w:szCs w:val="24"/>
        </w:rPr>
        <w:t xml:space="preserve"> </w:t>
      </w:r>
      <w:r w:rsidR="00EA7E87" w:rsidRPr="006340EF">
        <w:rPr>
          <w:rFonts w:ascii="Times New Roman" w:eastAsia="Times New Roman" w:hAnsi="Times New Roman" w:cs="Times New Roman"/>
          <w:sz w:val="24"/>
          <w:szCs w:val="24"/>
        </w:rPr>
        <w:t>nowej</w:t>
      </w:r>
      <w:r w:rsidR="00C80D57">
        <w:rPr>
          <w:rFonts w:ascii="Times New Roman" w:eastAsia="Times New Roman" w:hAnsi="Times New Roman" w:cs="Times New Roman"/>
          <w:sz w:val="24"/>
          <w:szCs w:val="24"/>
        </w:rPr>
        <w:t xml:space="preserve"> </w:t>
      </w:r>
      <w:r w:rsidR="00EA7E87" w:rsidRPr="006340EF">
        <w:rPr>
          <w:rFonts w:ascii="Times New Roman" w:eastAsia="Times New Roman" w:hAnsi="Times New Roman" w:cs="Times New Roman"/>
          <w:sz w:val="24"/>
          <w:szCs w:val="24"/>
        </w:rPr>
        <w:t xml:space="preserve">ustawy </w:t>
      </w:r>
      <w:r w:rsidR="00314C7E" w:rsidRPr="006340EF">
        <w:rPr>
          <w:rFonts w:ascii="Times New Roman" w:eastAsia="Times New Roman" w:hAnsi="Times New Roman" w:cs="Times New Roman"/>
          <w:sz w:val="24"/>
          <w:szCs w:val="24"/>
        </w:rPr>
        <w:t>Pzp</w:t>
      </w:r>
      <w:r w:rsidR="00EA7E87" w:rsidRPr="006340EF">
        <w:rPr>
          <w:rFonts w:ascii="Times New Roman" w:eastAsia="Times New Roman" w:hAnsi="Times New Roman" w:cs="Times New Roman"/>
          <w:sz w:val="24"/>
          <w:szCs w:val="24"/>
        </w:rPr>
        <w:t>, ogłosz</w:t>
      </w:r>
      <w:r w:rsidR="00314C7E" w:rsidRPr="006340EF">
        <w:rPr>
          <w:rFonts w:ascii="Times New Roman" w:eastAsia="Times New Roman" w:hAnsi="Times New Roman" w:cs="Times New Roman"/>
          <w:sz w:val="24"/>
          <w:szCs w:val="24"/>
        </w:rPr>
        <w:t>onej</w:t>
      </w:r>
      <w:r w:rsidR="00EA7E87" w:rsidRPr="006340EF">
        <w:rPr>
          <w:rFonts w:ascii="Times New Roman" w:eastAsia="Times New Roman" w:hAnsi="Times New Roman" w:cs="Times New Roman"/>
          <w:sz w:val="24"/>
          <w:szCs w:val="24"/>
        </w:rPr>
        <w:t xml:space="preserve"> w </w:t>
      </w:r>
      <w:r w:rsidR="00314C7E" w:rsidRPr="006340EF">
        <w:rPr>
          <w:rFonts w:ascii="Times New Roman" w:eastAsia="Times New Roman" w:hAnsi="Times New Roman" w:cs="Times New Roman"/>
          <w:sz w:val="24"/>
          <w:szCs w:val="24"/>
        </w:rPr>
        <w:t>dniu 24 października</w:t>
      </w:r>
      <w:r w:rsidR="00B63C4F">
        <w:rPr>
          <w:rFonts w:ascii="Times New Roman" w:eastAsia="Times New Roman" w:hAnsi="Times New Roman" w:cs="Times New Roman"/>
          <w:sz w:val="24"/>
          <w:szCs w:val="24"/>
        </w:rPr>
        <w:t xml:space="preserve"> </w:t>
      </w:r>
      <w:r w:rsidR="00314C7E" w:rsidRPr="006340EF">
        <w:rPr>
          <w:rFonts w:ascii="Times New Roman" w:eastAsia="Times New Roman" w:hAnsi="Times New Roman" w:cs="Times New Roman"/>
          <w:sz w:val="24"/>
          <w:szCs w:val="24"/>
        </w:rPr>
        <w:t xml:space="preserve">2019 r. w </w:t>
      </w:r>
      <w:r w:rsidR="00EA7E87" w:rsidRPr="006340EF">
        <w:rPr>
          <w:rFonts w:ascii="Times New Roman" w:eastAsia="Times New Roman" w:hAnsi="Times New Roman" w:cs="Times New Roman"/>
          <w:sz w:val="24"/>
          <w:szCs w:val="24"/>
        </w:rPr>
        <w:t xml:space="preserve">Dzienniku Ustaw </w:t>
      </w:r>
      <w:r w:rsidR="00D4780C">
        <w:rPr>
          <w:rFonts w:ascii="Times New Roman" w:eastAsia="Times New Roman" w:hAnsi="Times New Roman" w:cs="Times New Roman"/>
          <w:sz w:val="24"/>
          <w:szCs w:val="24"/>
        </w:rPr>
        <w:t xml:space="preserve">Rzeczypospolitej Polskiej </w:t>
      </w:r>
      <w:r w:rsidR="00EA7E87" w:rsidRPr="006340EF">
        <w:rPr>
          <w:rFonts w:ascii="Times New Roman" w:eastAsia="Times New Roman" w:hAnsi="Times New Roman" w:cs="Times New Roman"/>
          <w:sz w:val="24"/>
          <w:szCs w:val="24"/>
        </w:rPr>
        <w:t xml:space="preserve">pod poz. 2019. </w:t>
      </w:r>
      <w:r w:rsidR="000D5319" w:rsidRPr="006340EF">
        <w:rPr>
          <w:rFonts w:ascii="Times New Roman" w:eastAsia="Times New Roman" w:hAnsi="Times New Roman" w:cs="Times New Roman"/>
          <w:sz w:val="24"/>
          <w:szCs w:val="24"/>
        </w:rPr>
        <w:t>Ustawa w sposób kompleksowy reguluje</w:t>
      </w:r>
      <w:r w:rsidR="00042450">
        <w:rPr>
          <w:rFonts w:ascii="Times New Roman" w:eastAsia="Times New Roman" w:hAnsi="Times New Roman" w:cs="Times New Roman"/>
          <w:sz w:val="24"/>
          <w:szCs w:val="24"/>
        </w:rPr>
        <w:t xml:space="preserve"> </w:t>
      </w:r>
      <w:r w:rsidR="000D5319" w:rsidRPr="006340EF">
        <w:rPr>
          <w:rFonts w:ascii="Times New Roman" w:eastAsia="Times New Roman" w:hAnsi="Times New Roman" w:cs="Times New Roman"/>
          <w:sz w:val="24"/>
          <w:szCs w:val="24"/>
        </w:rPr>
        <w:t>materię zamówień publicznych jako umó</w:t>
      </w:r>
      <w:r w:rsidR="00123FF7" w:rsidRPr="006340EF">
        <w:rPr>
          <w:rFonts w:ascii="Times New Roman" w:eastAsia="Times New Roman" w:hAnsi="Times New Roman" w:cs="Times New Roman"/>
          <w:sz w:val="24"/>
          <w:szCs w:val="24"/>
        </w:rPr>
        <w:t>w</w:t>
      </w:r>
      <w:r w:rsidR="000D5319" w:rsidRPr="006340EF">
        <w:rPr>
          <w:rFonts w:ascii="Times New Roman" w:eastAsia="Times New Roman" w:hAnsi="Times New Roman" w:cs="Times New Roman"/>
          <w:sz w:val="24"/>
          <w:szCs w:val="24"/>
        </w:rPr>
        <w:t xml:space="preserve"> o charakterze odpłatnym zawie</w:t>
      </w:r>
      <w:r w:rsidR="00117DB7">
        <w:rPr>
          <w:rFonts w:ascii="Times New Roman" w:eastAsia="Times New Roman" w:hAnsi="Times New Roman" w:cs="Times New Roman"/>
          <w:sz w:val="24"/>
          <w:szCs w:val="24"/>
        </w:rPr>
        <w:t>ranych pomiędzy zamawiającymi a </w:t>
      </w:r>
      <w:r w:rsidR="000D5319" w:rsidRPr="006340EF">
        <w:rPr>
          <w:rFonts w:ascii="Times New Roman" w:eastAsia="Times New Roman" w:hAnsi="Times New Roman" w:cs="Times New Roman"/>
          <w:sz w:val="24"/>
          <w:szCs w:val="24"/>
        </w:rPr>
        <w:t xml:space="preserve">wykonawcami, których przedmiotem jest nabycie przez zamawiającego robót budowlanych, dostaw lub usług od wybranego wykonawcy. </w:t>
      </w:r>
      <w:r w:rsidR="00EA7E87" w:rsidRPr="006340EF">
        <w:rPr>
          <w:rFonts w:ascii="Times New Roman" w:eastAsia="Times New Roman" w:hAnsi="Times New Roman" w:cs="Times New Roman"/>
          <w:sz w:val="24"/>
          <w:szCs w:val="24"/>
        </w:rPr>
        <w:t xml:space="preserve">Przepisy </w:t>
      </w:r>
      <w:r w:rsidR="00123FF7" w:rsidRPr="006340EF">
        <w:rPr>
          <w:rFonts w:ascii="Times New Roman" w:eastAsia="Times New Roman" w:hAnsi="Times New Roman" w:cs="Times New Roman"/>
          <w:sz w:val="24"/>
          <w:szCs w:val="24"/>
        </w:rPr>
        <w:t xml:space="preserve">nowej </w:t>
      </w:r>
      <w:r w:rsidR="00EA7E87" w:rsidRPr="006340EF">
        <w:rPr>
          <w:rFonts w:ascii="Times New Roman" w:eastAsia="Times New Roman" w:hAnsi="Times New Roman" w:cs="Times New Roman"/>
          <w:sz w:val="24"/>
          <w:szCs w:val="24"/>
        </w:rPr>
        <w:t xml:space="preserve">ustawy Pzp wejdą w życie z dniem 1 stycznia 2021 r. </w:t>
      </w:r>
      <w:r w:rsidR="00123FF7" w:rsidRPr="006340EF">
        <w:rPr>
          <w:rFonts w:ascii="Times New Roman" w:eastAsia="Times New Roman" w:hAnsi="Times New Roman" w:cs="Times New Roman"/>
          <w:sz w:val="24"/>
          <w:szCs w:val="24"/>
        </w:rPr>
        <w:t>Zastąpią one przepisy Pzp2004 regulującej obecnie te zagadnienia. Nowa ustawa Pzp wychodzi naprzeciw</w:t>
      </w:r>
      <w:r w:rsidRPr="006340EF">
        <w:rPr>
          <w:rFonts w:ascii="Times New Roman" w:eastAsia="Times New Roman" w:hAnsi="Times New Roman" w:cs="Times New Roman"/>
          <w:sz w:val="24"/>
          <w:szCs w:val="24"/>
        </w:rPr>
        <w:t xml:space="preserve"> zgłaszanym od wielu lat</w:t>
      </w:r>
      <w:r w:rsidR="00123FF7" w:rsidRPr="006340EF">
        <w:rPr>
          <w:rFonts w:ascii="Times New Roman" w:eastAsia="Times New Roman" w:hAnsi="Times New Roman" w:cs="Times New Roman"/>
          <w:sz w:val="24"/>
          <w:szCs w:val="24"/>
        </w:rPr>
        <w:t xml:space="preserve"> oczekiwaniom zarówno podmiotów publicznych jak i wykonawców ubiegających się o zamówienia publiczne. </w:t>
      </w:r>
      <w:r w:rsidRPr="006340EF">
        <w:rPr>
          <w:rFonts w:ascii="Times New Roman" w:eastAsia="Times New Roman" w:hAnsi="Times New Roman" w:cs="Times New Roman"/>
          <w:sz w:val="24"/>
          <w:szCs w:val="24"/>
        </w:rPr>
        <w:t xml:space="preserve">Oprócz licznych zmian zwiększających przejrzystość i spójność regulacji, wprowadziła także zupełnie nowe rozwiązania zmierzające do zwiększenia efektywności udzielanych zamówień publicznych. </w:t>
      </w:r>
    </w:p>
    <w:p w14:paraId="686BDFE5" w14:textId="613B8C68" w:rsidR="00DA50A3" w:rsidRPr="006340EF" w:rsidRDefault="00DA50A3" w:rsidP="008A198A">
      <w:pPr>
        <w:spacing w:after="0" w:line="360" w:lineRule="auto"/>
        <w:ind w:firstLine="709"/>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Równolegle z opracowaniem nowej ustawy Pzp, prowadzone były prace legislacyjne związane z przygotowaniem i procedowaniem ustawy</w:t>
      </w:r>
      <w:r w:rsidR="00BC773C" w:rsidRPr="006340EF">
        <w:rPr>
          <w:rFonts w:ascii="Times New Roman" w:eastAsia="Times New Roman" w:hAnsi="Times New Roman" w:cs="Times New Roman"/>
          <w:sz w:val="24"/>
          <w:szCs w:val="24"/>
        </w:rPr>
        <w:t xml:space="preserve"> pwPzp</w:t>
      </w:r>
      <w:r w:rsidRPr="006340EF">
        <w:rPr>
          <w:rFonts w:ascii="Times New Roman" w:eastAsia="Times New Roman" w:hAnsi="Times New Roman" w:cs="Times New Roman"/>
          <w:sz w:val="24"/>
          <w:szCs w:val="24"/>
        </w:rPr>
        <w:t xml:space="preserve">, uchwalonej w dniu 11 września 2019 r. oraz ogłoszonej również w Dzienniku Ustaw </w:t>
      </w:r>
      <w:r w:rsidR="009177E5">
        <w:rPr>
          <w:rFonts w:ascii="Times New Roman" w:eastAsia="Times New Roman" w:hAnsi="Times New Roman" w:cs="Times New Roman"/>
          <w:sz w:val="24"/>
          <w:szCs w:val="24"/>
        </w:rPr>
        <w:t xml:space="preserve">Rzeczypospolitej Polskiej </w:t>
      </w:r>
      <w:r w:rsidRPr="006340EF">
        <w:rPr>
          <w:rFonts w:ascii="Times New Roman" w:eastAsia="Times New Roman" w:hAnsi="Times New Roman" w:cs="Times New Roman"/>
          <w:sz w:val="24"/>
          <w:szCs w:val="24"/>
        </w:rPr>
        <w:t>w dniu 24</w:t>
      </w:r>
      <w:r w:rsidR="00117DB7">
        <w:rPr>
          <w:rFonts w:ascii="Times New Roman" w:eastAsia="Times New Roman" w:hAnsi="Times New Roman" w:cs="Times New Roman"/>
          <w:sz w:val="24"/>
          <w:szCs w:val="24"/>
        </w:rPr>
        <w:t xml:space="preserve"> </w:t>
      </w:r>
      <w:r w:rsidRPr="006340EF">
        <w:rPr>
          <w:rFonts w:ascii="Times New Roman" w:eastAsia="Times New Roman" w:hAnsi="Times New Roman" w:cs="Times New Roman"/>
          <w:sz w:val="24"/>
          <w:szCs w:val="24"/>
        </w:rPr>
        <w:t xml:space="preserve">października 2019 r. pod poz. 2020. Ustawa ta, oprócz określenia terminu obowiązywania nowej ustawy Pzp, zawiera szereg zmian </w:t>
      </w:r>
      <w:r w:rsidR="00BC773C" w:rsidRPr="006340EF">
        <w:rPr>
          <w:rFonts w:ascii="Times New Roman" w:eastAsia="Times New Roman" w:hAnsi="Times New Roman" w:cs="Times New Roman"/>
          <w:sz w:val="24"/>
          <w:szCs w:val="24"/>
        </w:rPr>
        <w:t xml:space="preserve">wprowadzanych </w:t>
      </w:r>
      <w:r w:rsidRPr="006340EF">
        <w:rPr>
          <w:rFonts w:ascii="Times New Roman" w:eastAsia="Times New Roman" w:hAnsi="Times New Roman" w:cs="Times New Roman"/>
          <w:sz w:val="24"/>
          <w:szCs w:val="24"/>
        </w:rPr>
        <w:t xml:space="preserve">w innych ustawach, </w:t>
      </w:r>
      <w:r w:rsidR="00523BFE" w:rsidRPr="006340EF">
        <w:rPr>
          <w:rFonts w:ascii="Times New Roman" w:eastAsia="Times New Roman" w:hAnsi="Times New Roman" w:cs="Times New Roman"/>
          <w:sz w:val="24"/>
          <w:szCs w:val="24"/>
        </w:rPr>
        <w:t>w tym niezbędne zmiany dostosowujące w ustawie o umowie koncesji</w:t>
      </w:r>
      <w:r w:rsidR="00942826" w:rsidRPr="006340EF">
        <w:rPr>
          <w:rFonts w:ascii="Times New Roman" w:eastAsia="Times New Roman" w:hAnsi="Times New Roman" w:cs="Times New Roman"/>
          <w:sz w:val="24"/>
          <w:szCs w:val="24"/>
        </w:rPr>
        <w:t>,</w:t>
      </w:r>
      <w:r w:rsidR="00042450">
        <w:rPr>
          <w:rFonts w:ascii="Times New Roman" w:eastAsia="Times New Roman" w:hAnsi="Times New Roman" w:cs="Times New Roman"/>
          <w:sz w:val="24"/>
          <w:szCs w:val="24"/>
        </w:rPr>
        <w:t xml:space="preserve"> </w:t>
      </w:r>
      <w:r w:rsidRPr="006340EF">
        <w:rPr>
          <w:rFonts w:ascii="Times New Roman" w:eastAsia="Times New Roman" w:hAnsi="Times New Roman" w:cs="Times New Roman"/>
          <w:sz w:val="24"/>
          <w:szCs w:val="24"/>
        </w:rPr>
        <w:t>a</w:t>
      </w:r>
      <w:r w:rsidR="00117DB7">
        <w:rPr>
          <w:rFonts w:ascii="Times New Roman" w:eastAsia="Times New Roman" w:hAnsi="Times New Roman" w:cs="Times New Roman"/>
          <w:sz w:val="24"/>
          <w:szCs w:val="24"/>
        </w:rPr>
        <w:t> </w:t>
      </w:r>
      <w:r w:rsidRPr="006340EF">
        <w:rPr>
          <w:rFonts w:ascii="Times New Roman" w:eastAsia="Times New Roman" w:hAnsi="Times New Roman" w:cs="Times New Roman"/>
          <w:sz w:val="24"/>
          <w:szCs w:val="24"/>
        </w:rPr>
        <w:t xml:space="preserve">także </w:t>
      </w:r>
      <w:r w:rsidR="00BC773C" w:rsidRPr="006340EF">
        <w:rPr>
          <w:rFonts w:ascii="Times New Roman" w:eastAsia="Times New Roman" w:hAnsi="Times New Roman" w:cs="Times New Roman"/>
          <w:sz w:val="24"/>
          <w:szCs w:val="24"/>
        </w:rPr>
        <w:t xml:space="preserve">inne </w:t>
      </w:r>
      <w:r w:rsidRPr="006340EF">
        <w:rPr>
          <w:rFonts w:ascii="Times New Roman" w:eastAsia="Times New Roman" w:hAnsi="Times New Roman" w:cs="Times New Roman"/>
          <w:sz w:val="24"/>
          <w:szCs w:val="24"/>
        </w:rPr>
        <w:t xml:space="preserve">przepisy przejściowe, dostosowujące i uchylające, niezbędne do prawidłowego stosowania nowych przepisów z zakresu zamówień publicznych. </w:t>
      </w:r>
      <w:r w:rsidR="00064FCB" w:rsidRPr="006340EF">
        <w:rPr>
          <w:rFonts w:ascii="Times New Roman" w:eastAsia="Times New Roman" w:hAnsi="Times New Roman" w:cs="Times New Roman"/>
          <w:sz w:val="24"/>
          <w:szCs w:val="24"/>
        </w:rPr>
        <w:t>Przepisy pwPzp wejdą w życie w znakomitej większości z dniem 1 stycznia 2021 r.</w:t>
      </w:r>
    </w:p>
    <w:p w14:paraId="0D793813" w14:textId="729C3170" w:rsidR="00A571D4" w:rsidRPr="006340EF" w:rsidRDefault="00064FCB" w:rsidP="008A198A">
      <w:pPr>
        <w:pStyle w:val="Teksttreci1"/>
        <w:shd w:val="clear" w:color="auto" w:fill="auto"/>
        <w:spacing w:after="0" w:line="360" w:lineRule="auto"/>
        <w:ind w:left="20" w:right="20" w:firstLine="688"/>
        <w:jc w:val="both"/>
        <w:rPr>
          <w:rStyle w:val="Teksttreci"/>
          <w:sz w:val="24"/>
          <w:szCs w:val="24"/>
        </w:rPr>
      </w:pPr>
      <w:r w:rsidRPr="006340EF">
        <w:rPr>
          <w:rStyle w:val="Teksttreci"/>
          <w:sz w:val="24"/>
          <w:szCs w:val="24"/>
        </w:rPr>
        <w:t>D</w:t>
      </w:r>
      <w:r w:rsidR="00A571D4" w:rsidRPr="006340EF">
        <w:rPr>
          <w:rStyle w:val="Teksttreci"/>
          <w:sz w:val="24"/>
          <w:szCs w:val="24"/>
        </w:rPr>
        <w:t>yrektywy</w:t>
      </w:r>
      <w:r w:rsidRPr="006340EF">
        <w:rPr>
          <w:rStyle w:val="Teksttreci"/>
          <w:sz w:val="24"/>
          <w:szCs w:val="24"/>
        </w:rPr>
        <w:t xml:space="preserve"> unijne z 2014 r., które </w:t>
      </w:r>
      <w:r w:rsidR="007D363E" w:rsidRPr="006340EF">
        <w:rPr>
          <w:rStyle w:val="Teksttreci"/>
          <w:sz w:val="24"/>
          <w:szCs w:val="24"/>
        </w:rPr>
        <w:t>zostały za</w:t>
      </w:r>
      <w:r w:rsidRPr="006340EF">
        <w:rPr>
          <w:rStyle w:val="Teksttreci"/>
          <w:sz w:val="24"/>
          <w:szCs w:val="24"/>
        </w:rPr>
        <w:t>implement</w:t>
      </w:r>
      <w:r w:rsidR="007D363E" w:rsidRPr="006340EF">
        <w:rPr>
          <w:rStyle w:val="Teksttreci"/>
          <w:sz w:val="24"/>
          <w:szCs w:val="24"/>
        </w:rPr>
        <w:t>owane</w:t>
      </w:r>
      <w:r w:rsidRPr="006340EF">
        <w:rPr>
          <w:rStyle w:val="Teksttreci"/>
          <w:sz w:val="24"/>
          <w:szCs w:val="24"/>
        </w:rPr>
        <w:t xml:space="preserve"> odpowiednio</w:t>
      </w:r>
      <w:r w:rsidR="007D363E" w:rsidRPr="006340EF">
        <w:rPr>
          <w:rStyle w:val="Teksttreci"/>
          <w:sz w:val="24"/>
          <w:szCs w:val="24"/>
        </w:rPr>
        <w:t xml:space="preserve"> do</w:t>
      </w:r>
      <w:r w:rsidRPr="006340EF">
        <w:rPr>
          <w:rStyle w:val="Teksttreci"/>
          <w:sz w:val="24"/>
          <w:szCs w:val="24"/>
        </w:rPr>
        <w:t xml:space="preserve"> now</w:t>
      </w:r>
      <w:r w:rsidR="007D363E" w:rsidRPr="006340EF">
        <w:rPr>
          <w:rStyle w:val="Teksttreci"/>
          <w:sz w:val="24"/>
          <w:szCs w:val="24"/>
        </w:rPr>
        <w:t>ej</w:t>
      </w:r>
      <w:r w:rsidRPr="006340EF">
        <w:rPr>
          <w:rStyle w:val="Teksttreci"/>
          <w:sz w:val="24"/>
          <w:szCs w:val="24"/>
        </w:rPr>
        <w:t xml:space="preserve"> ustaw</w:t>
      </w:r>
      <w:r w:rsidR="007D363E" w:rsidRPr="006340EF">
        <w:rPr>
          <w:rStyle w:val="Teksttreci"/>
          <w:sz w:val="24"/>
          <w:szCs w:val="24"/>
        </w:rPr>
        <w:t>y</w:t>
      </w:r>
      <w:r w:rsidRPr="006340EF">
        <w:rPr>
          <w:rStyle w:val="Teksttreci"/>
          <w:sz w:val="24"/>
          <w:szCs w:val="24"/>
        </w:rPr>
        <w:t xml:space="preserve"> Pzp i ustaw</w:t>
      </w:r>
      <w:r w:rsidR="007D363E" w:rsidRPr="006340EF">
        <w:rPr>
          <w:rStyle w:val="Teksttreci"/>
          <w:sz w:val="24"/>
          <w:szCs w:val="24"/>
        </w:rPr>
        <w:t>y</w:t>
      </w:r>
      <w:r w:rsidRPr="006340EF">
        <w:rPr>
          <w:rStyle w:val="Teksttreci"/>
          <w:sz w:val="24"/>
          <w:szCs w:val="24"/>
        </w:rPr>
        <w:t xml:space="preserve"> o umowie koncesji, </w:t>
      </w:r>
      <w:r w:rsidR="00AF2538" w:rsidRPr="006340EF">
        <w:rPr>
          <w:rStyle w:val="Teksttreci"/>
          <w:sz w:val="24"/>
          <w:szCs w:val="24"/>
        </w:rPr>
        <w:t>uchwal</w:t>
      </w:r>
      <w:r w:rsidRPr="006340EF">
        <w:rPr>
          <w:rStyle w:val="Teksttreci"/>
          <w:sz w:val="24"/>
          <w:szCs w:val="24"/>
        </w:rPr>
        <w:t>a</w:t>
      </w:r>
      <w:r w:rsidR="00AF2538" w:rsidRPr="006340EF">
        <w:rPr>
          <w:rStyle w:val="Teksttreci"/>
          <w:sz w:val="24"/>
          <w:szCs w:val="24"/>
        </w:rPr>
        <w:t xml:space="preserve">ne były wspólnie w ramach tzw. pakietu zamówień publicznych. </w:t>
      </w:r>
      <w:r w:rsidR="00A571D4" w:rsidRPr="006340EF">
        <w:rPr>
          <w:rStyle w:val="Teksttreci"/>
          <w:sz w:val="24"/>
          <w:szCs w:val="24"/>
        </w:rPr>
        <w:t>Ich p</w:t>
      </w:r>
      <w:r w:rsidR="00AF2538" w:rsidRPr="006340EF">
        <w:rPr>
          <w:rStyle w:val="Teksttreci"/>
          <w:sz w:val="24"/>
          <w:szCs w:val="24"/>
        </w:rPr>
        <w:t>rzyjęcie wią</w:t>
      </w:r>
      <w:r w:rsidR="007D363E" w:rsidRPr="006340EF">
        <w:rPr>
          <w:rStyle w:val="Teksttreci"/>
          <w:sz w:val="24"/>
          <w:szCs w:val="24"/>
        </w:rPr>
        <w:t>zało</w:t>
      </w:r>
      <w:r w:rsidR="00117DB7">
        <w:rPr>
          <w:rStyle w:val="Teksttreci"/>
          <w:sz w:val="24"/>
          <w:szCs w:val="24"/>
        </w:rPr>
        <w:t xml:space="preserve"> się w szczególności z </w:t>
      </w:r>
      <w:r w:rsidR="00AF2538" w:rsidRPr="006340EF">
        <w:rPr>
          <w:rStyle w:val="Teksttreci"/>
          <w:sz w:val="24"/>
          <w:szCs w:val="24"/>
        </w:rPr>
        <w:t>uznaniem kluczowej roli zamówień publicznych oraz umów koncesji w realizacji strategii „Europa 2020”</w:t>
      </w:r>
      <w:r w:rsidR="00A571D4" w:rsidRPr="006340EF">
        <w:rPr>
          <w:rStyle w:val="Teksttreci"/>
          <w:sz w:val="24"/>
          <w:szCs w:val="24"/>
        </w:rPr>
        <w:t xml:space="preserve">, która znalazła wyraz w </w:t>
      </w:r>
      <w:r w:rsidR="00AF2538" w:rsidRPr="006340EF">
        <w:rPr>
          <w:rStyle w:val="Teksttreci"/>
          <w:sz w:val="24"/>
          <w:szCs w:val="24"/>
        </w:rPr>
        <w:t xml:space="preserve">komunikacie Komisji </w:t>
      </w:r>
      <w:r w:rsidR="00A571D4" w:rsidRPr="006340EF">
        <w:rPr>
          <w:rStyle w:val="Teksttreci"/>
          <w:sz w:val="24"/>
          <w:szCs w:val="24"/>
        </w:rPr>
        <w:t xml:space="preserve">Europejskiej </w:t>
      </w:r>
      <w:r w:rsidR="00117DB7">
        <w:rPr>
          <w:rStyle w:val="Teksttreci"/>
          <w:sz w:val="24"/>
          <w:szCs w:val="24"/>
        </w:rPr>
        <w:lastRenderedPageBreak/>
        <w:t>z </w:t>
      </w:r>
      <w:r w:rsidR="00AF2538" w:rsidRPr="006340EF">
        <w:rPr>
          <w:rStyle w:val="Teksttreci"/>
          <w:sz w:val="24"/>
          <w:szCs w:val="24"/>
        </w:rPr>
        <w:t xml:space="preserve">dnia 3 marca 2010 r. zatytułowanym „Europa 2020, strategia na rzecz inteligentnego, trwałego wzrostu gospodarczego sprzyjającego włączeniu społecznemu” („strategia Europa 2020”). </w:t>
      </w:r>
      <w:r w:rsidR="00A571D4" w:rsidRPr="006340EF">
        <w:rPr>
          <w:rStyle w:val="Teksttreci"/>
          <w:sz w:val="24"/>
          <w:szCs w:val="24"/>
        </w:rPr>
        <w:t>Stosownie do</w:t>
      </w:r>
      <w:r w:rsidR="00AF2538" w:rsidRPr="006340EF">
        <w:rPr>
          <w:rStyle w:val="Teksttreci"/>
          <w:sz w:val="24"/>
          <w:szCs w:val="24"/>
        </w:rPr>
        <w:t xml:space="preserve"> motyw</w:t>
      </w:r>
      <w:r w:rsidR="00A571D4" w:rsidRPr="006340EF">
        <w:rPr>
          <w:rStyle w:val="Teksttreci"/>
          <w:sz w:val="24"/>
          <w:szCs w:val="24"/>
        </w:rPr>
        <w:t>u</w:t>
      </w:r>
      <w:r w:rsidR="00AF2538" w:rsidRPr="006340EF">
        <w:rPr>
          <w:rStyle w:val="Teksttreci"/>
          <w:sz w:val="24"/>
          <w:szCs w:val="24"/>
        </w:rPr>
        <w:t xml:space="preserve"> 3 dyrektywy koncesyjnej </w:t>
      </w:r>
      <w:r w:rsidR="009177E5" w:rsidRPr="009177E5">
        <w:rPr>
          <w:rStyle w:val="Teksttreci"/>
          <w:sz w:val="24"/>
          <w:szCs w:val="24"/>
        </w:rPr>
        <w:t>(dyrektywa Parlamentu Europejskiego i Rady 2014/23/UE z dnia 26 lutego 2014 r. w sprawie udzielania koncesji (Dz. Urz. UE L 94 z 28.03.2014, str. 1, z późn. zm.))</w:t>
      </w:r>
      <w:r w:rsidR="009177E5">
        <w:rPr>
          <w:rStyle w:val="Teksttreci"/>
          <w:sz w:val="24"/>
          <w:szCs w:val="24"/>
        </w:rPr>
        <w:t xml:space="preserve"> </w:t>
      </w:r>
      <w:r w:rsidR="00AF2538" w:rsidRPr="006340EF">
        <w:rPr>
          <w:rStyle w:val="Teksttreci"/>
          <w:sz w:val="24"/>
          <w:szCs w:val="24"/>
        </w:rPr>
        <w:t>szeroko rozumiane zamówienia publiczne i koncesje na roboty budowl</w:t>
      </w:r>
      <w:r w:rsidR="00117DB7">
        <w:rPr>
          <w:rStyle w:val="Teksttreci"/>
          <w:sz w:val="24"/>
          <w:szCs w:val="24"/>
        </w:rPr>
        <w:t>ane lub usługi stanowią jeden z </w:t>
      </w:r>
      <w:r w:rsidR="00AF2538" w:rsidRPr="006340EF">
        <w:rPr>
          <w:rStyle w:val="Teksttreci"/>
          <w:sz w:val="24"/>
          <w:szCs w:val="24"/>
        </w:rPr>
        <w:t xml:space="preserve">instrumentów rynkowych wykorzystywanych w celu osiągnięcia inteligentnego, trwałego wzrostu gospodarczego sprzyjającego włączeniu społecznemu, przy jednoczesnym zagwarantowaniu najbardziej efektywnego wykorzystania środków publicznych. </w:t>
      </w:r>
    </w:p>
    <w:p w14:paraId="7E68E93F" w14:textId="77777777" w:rsidR="00064FCB" w:rsidRPr="006340EF" w:rsidRDefault="00064FCB" w:rsidP="008A198A">
      <w:pPr>
        <w:spacing w:after="0" w:line="360" w:lineRule="auto"/>
        <w:ind w:firstLine="708"/>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Z</w:t>
      </w:r>
      <w:r w:rsidR="00DF7636" w:rsidRPr="006340EF">
        <w:rPr>
          <w:rFonts w:ascii="Times New Roman" w:eastAsia="Times New Roman" w:hAnsi="Times New Roman" w:cs="Times New Roman"/>
          <w:sz w:val="24"/>
          <w:szCs w:val="24"/>
        </w:rPr>
        <w:t xml:space="preserve">arówno zamówienia publiczne jak i umowy koncesji na roboty budowlane lub usługi wpisują się także </w:t>
      </w:r>
      <w:r w:rsidRPr="006340EF">
        <w:rPr>
          <w:rFonts w:ascii="Times New Roman" w:eastAsia="Times New Roman" w:hAnsi="Times New Roman" w:cs="Times New Roman"/>
          <w:sz w:val="24"/>
          <w:szCs w:val="24"/>
        </w:rPr>
        <w:t xml:space="preserve">w cele </w:t>
      </w:r>
      <w:r w:rsidR="00DF7636" w:rsidRPr="006340EF">
        <w:rPr>
          <w:rFonts w:ascii="Times New Roman" w:eastAsia="Times New Roman" w:hAnsi="Times New Roman" w:cs="Times New Roman"/>
          <w:sz w:val="24"/>
          <w:szCs w:val="24"/>
        </w:rPr>
        <w:t xml:space="preserve">„Strategii na rzecz Odpowiedzialnego Rozwoju do roku 2020 (z perspektywą do 2030 r.)”. Są postrzegane jako jeden z instrumentów rynkowych służących osiągnięciu inteligentnego i trwałego wzrostu gospodarczego sprzyjającego włączeniu społecznemu, przy jednoczesnym zagwarantowaniu efektywnego wydatkowania środków publicznych. </w:t>
      </w:r>
      <w:r w:rsidR="0064446D" w:rsidRPr="006340EF">
        <w:rPr>
          <w:rFonts w:ascii="Times New Roman" w:eastAsia="Times New Roman" w:hAnsi="Times New Roman" w:cs="Times New Roman"/>
          <w:sz w:val="24"/>
          <w:szCs w:val="24"/>
        </w:rPr>
        <w:t>Przepisy tych ustaw zawierające dużą cześć przepisów identycznie regulowanych przez dyrektywy</w:t>
      </w:r>
      <w:r w:rsidR="00BC773C" w:rsidRPr="006340EF">
        <w:rPr>
          <w:rStyle w:val="Teksttreci"/>
          <w:sz w:val="24"/>
          <w:szCs w:val="24"/>
        </w:rPr>
        <w:t xml:space="preserve"> unijne z 2014 r.</w:t>
      </w:r>
      <w:r w:rsidR="00042450">
        <w:rPr>
          <w:rStyle w:val="Teksttreci"/>
          <w:sz w:val="24"/>
          <w:szCs w:val="24"/>
        </w:rPr>
        <w:t xml:space="preserve"> </w:t>
      </w:r>
      <w:r w:rsidR="00BC773C" w:rsidRPr="006340EF">
        <w:rPr>
          <w:rFonts w:ascii="Times New Roman" w:eastAsia="Times New Roman" w:hAnsi="Times New Roman" w:cs="Times New Roman"/>
          <w:sz w:val="24"/>
          <w:szCs w:val="24"/>
        </w:rPr>
        <w:t>regulujące system zamówień publicznych w Unii Europejskiej</w:t>
      </w:r>
      <w:r w:rsidR="0064446D" w:rsidRPr="006340EF">
        <w:rPr>
          <w:rFonts w:ascii="Times New Roman" w:eastAsia="Times New Roman" w:hAnsi="Times New Roman" w:cs="Times New Roman"/>
          <w:sz w:val="24"/>
          <w:szCs w:val="24"/>
        </w:rPr>
        <w:t xml:space="preserve"> powinny zawierać skorelowane regulacje. </w:t>
      </w:r>
    </w:p>
    <w:p w14:paraId="19C90682" w14:textId="77777777" w:rsidR="007D363E" w:rsidRPr="006340EF" w:rsidRDefault="00064FCB" w:rsidP="00C80D57">
      <w:pPr>
        <w:spacing w:after="0" w:line="360" w:lineRule="auto"/>
        <w:ind w:firstLine="708"/>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Uchwalenie</w:t>
      </w:r>
      <w:r w:rsidR="0064446D" w:rsidRPr="006340EF">
        <w:rPr>
          <w:rFonts w:ascii="Times New Roman" w:eastAsia="Times New Roman" w:hAnsi="Times New Roman" w:cs="Times New Roman"/>
          <w:sz w:val="24"/>
          <w:szCs w:val="24"/>
        </w:rPr>
        <w:t xml:space="preserve"> nowej ustawy Pzp </w:t>
      </w:r>
      <w:r w:rsidRPr="006340EF">
        <w:rPr>
          <w:rFonts w:ascii="Times New Roman" w:eastAsia="Times New Roman" w:hAnsi="Times New Roman" w:cs="Times New Roman"/>
          <w:sz w:val="24"/>
          <w:szCs w:val="24"/>
        </w:rPr>
        <w:t>powoduje w konsekwencji potrzebę dostosowania,</w:t>
      </w:r>
      <w:r w:rsidR="00042450">
        <w:rPr>
          <w:rFonts w:ascii="Times New Roman" w:eastAsia="Times New Roman" w:hAnsi="Times New Roman" w:cs="Times New Roman"/>
          <w:sz w:val="24"/>
          <w:szCs w:val="24"/>
        </w:rPr>
        <w:t xml:space="preserve"> </w:t>
      </w:r>
      <w:r w:rsidRPr="006340EF">
        <w:rPr>
          <w:rFonts w:ascii="Times New Roman" w:eastAsia="Times New Roman" w:hAnsi="Times New Roman" w:cs="Times New Roman"/>
          <w:sz w:val="24"/>
          <w:szCs w:val="24"/>
        </w:rPr>
        <w:t xml:space="preserve">w ramach kolejnego kroku reformy </w:t>
      </w:r>
      <w:r w:rsidR="00117DB7">
        <w:rPr>
          <w:rFonts w:ascii="Times New Roman" w:eastAsia="Times New Roman" w:hAnsi="Times New Roman" w:cs="Times New Roman"/>
          <w:sz w:val="24"/>
          <w:szCs w:val="24"/>
        </w:rPr>
        <w:t>systemu zamówień publicznych, w </w:t>
      </w:r>
      <w:r w:rsidRPr="006340EF">
        <w:rPr>
          <w:rFonts w:ascii="Times New Roman" w:eastAsia="Times New Roman" w:hAnsi="Times New Roman" w:cs="Times New Roman"/>
          <w:sz w:val="24"/>
          <w:szCs w:val="24"/>
        </w:rPr>
        <w:t xml:space="preserve">który wpisują się również umowy koncesji na roboty budowlane lub usługi, przepisów </w:t>
      </w:r>
      <w:r w:rsidR="0064446D" w:rsidRPr="006340EF">
        <w:rPr>
          <w:rFonts w:ascii="Times New Roman" w:eastAsia="Times New Roman" w:hAnsi="Times New Roman" w:cs="Times New Roman"/>
          <w:sz w:val="24"/>
          <w:szCs w:val="24"/>
        </w:rPr>
        <w:t>ustaw</w:t>
      </w:r>
      <w:r w:rsidRPr="006340EF">
        <w:rPr>
          <w:rFonts w:ascii="Times New Roman" w:eastAsia="Times New Roman" w:hAnsi="Times New Roman" w:cs="Times New Roman"/>
          <w:sz w:val="24"/>
          <w:szCs w:val="24"/>
        </w:rPr>
        <w:t>y</w:t>
      </w:r>
      <w:r w:rsidR="0064446D" w:rsidRPr="006340EF">
        <w:rPr>
          <w:rFonts w:ascii="Times New Roman" w:eastAsia="Times New Roman" w:hAnsi="Times New Roman" w:cs="Times New Roman"/>
          <w:sz w:val="24"/>
          <w:szCs w:val="24"/>
        </w:rPr>
        <w:t xml:space="preserve"> o umowie koncesji</w:t>
      </w:r>
      <w:r w:rsidRPr="006340EF">
        <w:rPr>
          <w:rFonts w:ascii="Times New Roman" w:eastAsia="Times New Roman" w:hAnsi="Times New Roman" w:cs="Times New Roman"/>
          <w:sz w:val="24"/>
          <w:szCs w:val="24"/>
        </w:rPr>
        <w:t xml:space="preserve"> tak</w:t>
      </w:r>
      <w:r w:rsidR="007D363E" w:rsidRPr="006340EF">
        <w:rPr>
          <w:rFonts w:ascii="Times New Roman" w:eastAsia="Times New Roman" w:hAnsi="Times New Roman" w:cs="Times New Roman"/>
          <w:sz w:val="24"/>
          <w:szCs w:val="24"/>
        </w:rPr>
        <w:t>,</w:t>
      </w:r>
      <w:r w:rsidRPr="006340EF">
        <w:rPr>
          <w:rFonts w:ascii="Times New Roman" w:eastAsia="Times New Roman" w:hAnsi="Times New Roman" w:cs="Times New Roman"/>
          <w:sz w:val="24"/>
          <w:szCs w:val="24"/>
        </w:rPr>
        <w:t xml:space="preserve"> by razem z nową ustawą Pzp tworzyły spójny system.</w:t>
      </w:r>
    </w:p>
    <w:p w14:paraId="500B5D00" w14:textId="77777777" w:rsidR="007D363E" w:rsidRPr="006340EF" w:rsidRDefault="00064FCB" w:rsidP="008A198A">
      <w:pPr>
        <w:spacing w:after="0" w:line="360" w:lineRule="auto"/>
        <w:ind w:firstLine="708"/>
        <w:jc w:val="both"/>
        <w:rPr>
          <w:rFonts w:ascii="Times New Roman" w:hAnsi="Times New Roman" w:cs="Times New Roman"/>
          <w:sz w:val="24"/>
          <w:szCs w:val="24"/>
        </w:rPr>
      </w:pPr>
      <w:r w:rsidRPr="006340EF">
        <w:rPr>
          <w:rFonts w:ascii="Times New Roman" w:eastAsia="Times New Roman" w:hAnsi="Times New Roman" w:cs="Times New Roman"/>
          <w:sz w:val="24"/>
          <w:szCs w:val="24"/>
        </w:rPr>
        <w:t>Z</w:t>
      </w:r>
      <w:r w:rsidR="006C061C" w:rsidRPr="006340EF">
        <w:rPr>
          <w:rFonts w:ascii="Times New Roman" w:eastAsia="Times New Roman" w:hAnsi="Times New Roman" w:cs="Times New Roman"/>
          <w:sz w:val="24"/>
          <w:szCs w:val="24"/>
        </w:rPr>
        <w:t xml:space="preserve"> uwagi na to, </w:t>
      </w:r>
      <w:r w:rsidR="007D363E" w:rsidRPr="006340EF">
        <w:rPr>
          <w:rFonts w:ascii="Times New Roman" w:eastAsia="Times New Roman" w:hAnsi="Times New Roman" w:cs="Times New Roman"/>
          <w:sz w:val="24"/>
          <w:szCs w:val="24"/>
        </w:rPr>
        <w:t xml:space="preserve">że </w:t>
      </w:r>
      <w:r w:rsidR="006C061C" w:rsidRPr="006340EF">
        <w:rPr>
          <w:rFonts w:ascii="Times New Roman" w:eastAsia="Times New Roman" w:hAnsi="Times New Roman" w:cs="Times New Roman"/>
          <w:sz w:val="24"/>
          <w:szCs w:val="24"/>
        </w:rPr>
        <w:t xml:space="preserve">potrzeba zmian </w:t>
      </w:r>
      <w:r w:rsidRPr="006340EF">
        <w:rPr>
          <w:rFonts w:ascii="Times New Roman" w:eastAsia="Times New Roman" w:hAnsi="Times New Roman" w:cs="Times New Roman"/>
          <w:sz w:val="24"/>
          <w:szCs w:val="24"/>
        </w:rPr>
        <w:t>w ustawie o umowie koncesji</w:t>
      </w:r>
      <w:r w:rsidR="006C061C" w:rsidRPr="006340EF">
        <w:rPr>
          <w:rFonts w:ascii="Times New Roman" w:eastAsia="Times New Roman" w:hAnsi="Times New Roman" w:cs="Times New Roman"/>
          <w:sz w:val="24"/>
          <w:szCs w:val="24"/>
        </w:rPr>
        <w:t xml:space="preserve"> dotyczy </w:t>
      </w:r>
      <w:r w:rsidR="005166A3" w:rsidRPr="006340EF">
        <w:rPr>
          <w:rFonts w:ascii="Times New Roman" w:eastAsia="Times New Roman" w:hAnsi="Times New Roman" w:cs="Times New Roman"/>
          <w:sz w:val="24"/>
          <w:szCs w:val="24"/>
        </w:rPr>
        <w:t>także niektórych</w:t>
      </w:r>
      <w:r w:rsidR="006C061C" w:rsidRPr="006340EF">
        <w:rPr>
          <w:rFonts w:ascii="Times New Roman" w:eastAsia="Times New Roman" w:hAnsi="Times New Roman" w:cs="Times New Roman"/>
          <w:sz w:val="24"/>
          <w:szCs w:val="24"/>
        </w:rPr>
        <w:t xml:space="preserve"> przepisów, które były zmieniane </w:t>
      </w:r>
      <w:r w:rsidR="00BC773C" w:rsidRPr="006340EF">
        <w:rPr>
          <w:rFonts w:ascii="Times New Roman" w:eastAsia="Times New Roman" w:hAnsi="Times New Roman" w:cs="Times New Roman"/>
          <w:sz w:val="24"/>
          <w:szCs w:val="24"/>
        </w:rPr>
        <w:t xml:space="preserve">ustawą pwPzp </w:t>
      </w:r>
      <w:r w:rsidR="006C061C" w:rsidRPr="006340EF">
        <w:rPr>
          <w:rFonts w:ascii="Times New Roman" w:eastAsia="Times New Roman" w:hAnsi="Times New Roman" w:cs="Times New Roman"/>
          <w:sz w:val="24"/>
          <w:szCs w:val="24"/>
        </w:rPr>
        <w:t>w</w:t>
      </w:r>
      <w:r w:rsidR="00117DB7">
        <w:rPr>
          <w:rFonts w:ascii="Times New Roman" w:hAnsi="Times New Roman" w:cs="Times New Roman"/>
          <w:sz w:val="24"/>
          <w:szCs w:val="24"/>
        </w:rPr>
        <w:t xml:space="preserve"> zakresie występujących w </w:t>
      </w:r>
      <w:r w:rsidR="00057457" w:rsidRPr="006340EF">
        <w:rPr>
          <w:rFonts w:ascii="Times New Roman" w:hAnsi="Times New Roman" w:cs="Times New Roman"/>
          <w:sz w:val="24"/>
          <w:szCs w:val="24"/>
        </w:rPr>
        <w:t>nich odesłań do nowej numeracji ustawy Pzp</w:t>
      </w:r>
      <w:r w:rsidR="006C061C" w:rsidRPr="006340EF">
        <w:rPr>
          <w:rFonts w:ascii="Times New Roman" w:eastAsia="Times New Roman" w:hAnsi="Times New Roman" w:cs="Times New Roman"/>
          <w:sz w:val="24"/>
          <w:szCs w:val="24"/>
        </w:rPr>
        <w:t xml:space="preserve"> - równolegle zachodzi potrzeba </w:t>
      </w:r>
      <w:r w:rsidR="005166A3" w:rsidRPr="006340EF">
        <w:rPr>
          <w:rFonts w:ascii="Times New Roman" w:eastAsia="Times New Roman" w:hAnsi="Times New Roman" w:cs="Times New Roman"/>
          <w:sz w:val="24"/>
          <w:szCs w:val="24"/>
        </w:rPr>
        <w:t xml:space="preserve">dokonania </w:t>
      </w:r>
      <w:r w:rsidR="006C061C" w:rsidRPr="006340EF">
        <w:rPr>
          <w:rFonts w:ascii="Times New Roman" w:eastAsia="Times New Roman" w:hAnsi="Times New Roman" w:cs="Times New Roman"/>
          <w:sz w:val="24"/>
          <w:szCs w:val="24"/>
        </w:rPr>
        <w:t xml:space="preserve">zmian </w:t>
      </w:r>
      <w:r w:rsidR="00BC773C" w:rsidRPr="006340EF">
        <w:rPr>
          <w:rFonts w:ascii="Times New Roman" w:eastAsia="Times New Roman" w:hAnsi="Times New Roman" w:cs="Times New Roman"/>
          <w:sz w:val="24"/>
          <w:szCs w:val="24"/>
        </w:rPr>
        <w:t xml:space="preserve">ustawy </w:t>
      </w:r>
      <w:r w:rsidR="006C061C" w:rsidRPr="006340EF">
        <w:rPr>
          <w:rFonts w:ascii="Times New Roman" w:eastAsia="Times New Roman" w:hAnsi="Times New Roman" w:cs="Times New Roman"/>
          <w:sz w:val="24"/>
          <w:szCs w:val="24"/>
        </w:rPr>
        <w:t xml:space="preserve">pwPzp w części przepisów </w:t>
      </w:r>
      <w:r w:rsidR="005166A3" w:rsidRPr="006340EF">
        <w:rPr>
          <w:rFonts w:ascii="Times New Roman" w:eastAsia="Times New Roman" w:hAnsi="Times New Roman" w:cs="Times New Roman"/>
          <w:sz w:val="24"/>
          <w:szCs w:val="24"/>
        </w:rPr>
        <w:t xml:space="preserve">poświęconych zmianom w </w:t>
      </w:r>
      <w:r w:rsidR="006C061C" w:rsidRPr="006340EF">
        <w:rPr>
          <w:rFonts w:ascii="Times New Roman" w:eastAsia="Times New Roman" w:hAnsi="Times New Roman" w:cs="Times New Roman"/>
          <w:sz w:val="24"/>
          <w:szCs w:val="24"/>
        </w:rPr>
        <w:t>ustaw</w:t>
      </w:r>
      <w:r w:rsidR="005166A3" w:rsidRPr="006340EF">
        <w:rPr>
          <w:rFonts w:ascii="Times New Roman" w:eastAsia="Times New Roman" w:hAnsi="Times New Roman" w:cs="Times New Roman"/>
          <w:sz w:val="24"/>
          <w:szCs w:val="24"/>
        </w:rPr>
        <w:t>ie</w:t>
      </w:r>
      <w:r w:rsidR="006C061C" w:rsidRPr="006340EF">
        <w:rPr>
          <w:rFonts w:ascii="Times New Roman" w:eastAsia="Times New Roman" w:hAnsi="Times New Roman" w:cs="Times New Roman"/>
          <w:sz w:val="24"/>
          <w:szCs w:val="24"/>
        </w:rPr>
        <w:t xml:space="preserve"> o umowie koncesji</w:t>
      </w:r>
      <w:r w:rsidR="0064446D" w:rsidRPr="006340EF">
        <w:rPr>
          <w:rFonts w:ascii="Times New Roman" w:eastAsia="Times New Roman" w:hAnsi="Times New Roman" w:cs="Times New Roman"/>
          <w:sz w:val="24"/>
          <w:szCs w:val="24"/>
        </w:rPr>
        <w:t xml:space="preserve">. </w:t>
      </w:r>
      <w:r w:rsidR="00057457" w:rsidRPr="006340EF">
        <w:rPr>
          <w:rFonts w:ascii="Times New Roman" w:eastAsia="Times New Roman" w:hAnsi="Times New Roman" w:cs="Times New Roman"/>
          <w:sz w:val="24"/>
          <w:szCs w:val="24"/>
        </w:rPr>
        <w:t>Z</w:t>
      </w:r>
      <w:r w:rsidR="007D363E" w:rsidRPr="006340EF">
        <w:rPr>
          <w:rFonts w:ascii="Times New Roman" w:hAnsi="Times New Roman" w:cs="Times New Roman"/>
          <w:sz w:val="24"/>
          <w:szCs w:val="24"/>
        </w:rPr>
        <w:t xml:space="preserve">miana </w:t>
      </w:r>
      <w:r w:rsidR="00057457" w:rsidRPr="006340EF">
        <w:rPr>
          <w:rFonts w:ascii="Times New Roman" w:hAnsi="Times New Roman" w:cs="Times New Roman"/>
          <w:sz w:val="24"/>
          <w:szCs w:val="24"/>
        </w:rPr>
        <w:t xml:space="preserve">w obrębie </w:t>
      </w:r>
      <w:r w:rsidR="007D363E" w:rsidRPr="006340EF">
        <w:rPr>
          <w:rFonts w:ascii="Times New Roman" w:hAnsi="Times New Roman" w:cs="Times New Roman"/>
          <w:sz w:val="24"/>
          <w:szCs w:val="24"/>
        </w:rPr>
        <w:t>przepisów</w:t>
      </w:r>
      <w:r w:rsidR="00057457" w:rsidRPr="006340EF">
        <w:rPr>
          <w:rFonts w:ascii="Times New Roman" w:eastAsia="Times New Roman" w:hAnsi="Times New Roman" w:cs="Times New Roman"/>
          <w:sz w:val="24"/>
          <w:szCs w:val="24"/>
        </w:rPr>
        <w:t xml:space="preserve"> ustawy pwPzp jest konieczna,</w:t>
      </w:r>
      <w:r w:rsidR="007D363E" w:rsidRPr="006340EF">
        <w:rPr>
          <w:rFonts w:ascii="Times New Roman" w:hAnsi="Times New Roman" w:cs="Times New Roman"/>
          <w:sz w:val="24"/>
          <w:szCs w:val="24"/>
        </w:rPr>
        <w:t xml:space="preserve"> aby uniknąć równoległego wejścia w życie dwóch różnych zmian </w:t>
      </w:r>
      <w:r w:rsidR="001C3B6C" w:rsidRPr="006340EF">
        <w:rPr>
          <w:rFonts w:ascii="Times New Roman" w:hAnsi="Times New Roman" w:cs="Times New Roman"/>
          <w:sz w:val="24"/>
          <w:szCs w:val="24"/>
        </w:rPr>
        <w:t xml:space="preserve">w obrębie </w:t>
      </w:r>
      <w:r w:rsidR="007D363E" w:rsidRPr="006340EF">
        <w:rPr>
          <w:rFonts w:ascii="Times New Roman" w:hAnsi="Times New Roman" w:cs="Times New Roman"/>
          <w:sz w:val="24"/>
          <w:szCs w:val="24"/>
        </w:rPr>
        <w:t>tego samego przepisu.</w:t>
      </w:r>
    </w:p>
    <w:p w14:paraId="5EFBB68B" w14:textId="1027C615" w:rsidR="00925FEB" w:rsidRPr="006340EF" w:rsidRDefault="006D5E67" w:rsidP="008A198A">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Istota zmiany ustawy ppp polega na zdefiniowaniu katalogu przepisów nowej ustawy Pzp, które nie będą miały za</w:t>
      </w:r>
      <w:r w:rsidR="00117DB7">
        <w:rPr>
          <w:rFonts w:ascii="Times New Roman" w:eastAsia="Times New Roman" w:hAnsi="Times New Roman" w:cs="Times New Roman"/>
          <w:sz w:val="24"/>
          <w:szCs w:val="24"/>
        </w:rPr>
        <w:t>stosowania do umów o partnerstwie</w:t>
      </w:r>
      <w:r>
        <w:rPr>
          <w:rFonts w:ascii="Times New Roman" w:eastAsia="Times New Roman" w:hAnsi="Times New Roman" w:cs="Times New Roman"/>
          <w:sz w:val="24"/>
          <w:szCs w:val="24"/>
        </w:rPr>
        <w:t xml:space="preserve"> </w:t>
      </w:r>
      <w:r w:rsidR="00B63C4F">
        <w:rPr>
          <w:rFonts w:ascii="Times New Roman" w:eastAsia="Times New Roman" w:hAnsi="Times New Roman" w:cs="Times New Roman"/>
          <w:sz w:val="24"/>
          <w:szCs w:val="24"/>
        </w:rPr>
        <w:br/>
      </w:r>
      <w:r>
        <w:rPr>
          <w:rFonts w:ascii="Times New Roman" w:eastAsia="Times New Roman" w:hAnsi="Times New Roman" w:cs="Times New Roman"/>
          <w:sz w:val="24"/>
          <w:szCs w:val="24"/>
        </w:rPr>
        <w:t>publiczno–</w:t>
      </w:r>
      <w:r w:rsidR="00117DB7">
        <w:rPr>
          <w:rFonts w:ascii="Times New Roman" w:eastAsia="Times New Roman" w:hAnsi="Times New Roman" w:cs="Times New Roman"/>
          <w:sz w:val="24"/>
          <w:szCs w:val="24"/>
        </w:rPr>
        <w:t>prywatnym</w:t>
      </w:r>
      <w:r>
        <w:rPr>
          <w:rFonts w:ascii="Times New Roman" w:eastAsia="Times New Roman" w:hAnsi="Times New Roman" w:cs="Times New Roman"/>
          <w:sz w:val="24"/>
          <w:szCs w:val="24"/>
        </w:rPr>
        <w:t xml:space="preserve">. </w:t>
      </w:r>
    </w:p>
    <w:p w14:paraId="7996E1C3" w14:textId="77777777" w:rsidR="00ED68E6" w:rsidRPr="006340EF" w:rsidRDefault="0064446D" w:rsidP="008A198A">
      <w:pPr>
        <w:spacing w:after="0" w:line="360" w:lineRule="auto"/>
        <w:ind w:firstLine="708"/>
        <w:jc w:val="both"/>
        <w:rPr>
          <w:rFonts w:ascii="Times New Roman" w:hAnsi="Times New Roman" w:cs="Times New Roman"/>
          <w:sz w:val="24"/>
          <w:szCs w:val="24"/>
        </w:rPr>
      </w:pPr>
      <w:r w:rsidRPr="006340EF">
        <w:rPr>
          <w:rFonts w:ascii="Times New Roman" w:eastAsia="Times New Roman" w:hAnsi="Times New Roman" w:cs="Times New Roman"/>
          <w:sz w:val="24"/>
          <w:szCs w:val="24"/>
        </w:rPr>
        <w:t>Analiza przepisó</w:t>
      </w:r>
      <w:r w:rsidR="005166A3" w:rsidRPr="006340EF">
        <w:rPr>
          <w:rFonts w:ascii="Times New Roman" w:eastAsia="Times New Roman" w:hAnsi="Times New Roman" w:cs="Times New Roman"/>
          <w:sz w:val="24"/>
          <w:szCs w:val="24"/>
        </w:rPr>
        <w:t xml:space="preserve">w ustawy o umowie koncesji pod kątem uspójnienia jej przepisów z przepisami nowej ustawy Pzp </w:t>
      </w:r>
      <w:r w:rsidRPr="006340EF">
        <w:rPr>
          <w:rFonts w:ascii="Times New Roman" w:eastAsia="Times New Roman" w:hAnsi="Times New Roman" w:cs="Times New Roman"/>
          <w:sz w:val="24"/>
          <w:szCs w:val="24"/>
        </w:rPr>
        <w:t xml:space="preserve">wykazała potrzebę </w:t>
      </w:r>
      <w:r w:rsidR="005166A3" w:rsidRPr="006340EF">
        <w:rPr>
          <w:rFonts w:ascii="Times New Roman" w:eastAsia="Times New Roman" w:hAnsi="Times New Roman" w:cs="Times New Roman"/>
          <w:sz w:val="24"/>
          <w:szCs w:val="24"/>
        </w:rPr>
        <w:t xml:space="preserve">wprowadzenia zmian w części regulacji tej ustawy. </w:t>
      </w:r>
      <w:r w:rsidR="00ED68E6" w:rsidRPr="006340EF">
        <w:rPr>
          <w:rFonts w:ascii="Times New Roman" w:eastAsia="Times New Roman" w:hAnsi="Times New Roman" w:cs="Times New Roman"/>
          <w:sz w:val="24"/>
          <w:szCs w:val="24"/>
        </w:rPr>
        <w:t xml:space="preserve">W szczególności, w wyniku przeprowadzonej analizy zostały zidentyfikowane </w:t>
      </w:r>
      <w:r w:rsidR="005166A3" w:rsidRPr="006340EF">
        <w:rPr>
          <w:rFonts w:ascii="Times New Roman" w:eastAsia="Times New Roman" w:hAnsi="Times New Roman" w:cs="Times New Roman"/>
          <w:sz w:val="24"/>
          <w:szCs w:val="24"/>
        </w:rPr>
        <w:t xml:space="preserve">jako wymagające dostosowania do nowej ustawy Pzp </w:t>
      </w:r>
      <w:r w:rsidR="00117DB7">
        <w:rPr>
          <w:rFonts w:ascii="Times New Roman" w:eastAsia="Times New Roman" w:hAnsi="Times New Roman" w:cs="Times New Roman"/>
          <w:sz w:val="24"/>
          <w:szCs w:val="24"/>
        </w:rPr>
        <w:t>te z </w:t>
      </w:r>
      <w:r w:rsidR="005166A3" w:rsidRPr="006340EF">
        <w:rPr>
          <w:rFonts w:ascii="Times New Roman" w:eastAsia="Times New Roman" w:hAnsi="Times New Roman" w:cs="Times New Roman"/>
          <w:sz w:val="24"/>
          <w:szCs w:val="24"/>
        </w:rPr>
        <w:t>przepis</w:t>
      </w:r>
      <w:r w:rsidR="001C3B6C" w:rsidRPr="006340EF">
        <w:rPr>
          <w:rFonts w:ascii="Times New Roman" w:eastAsia="Times New Roman" w:hAnsi="Times New Roman" w:cs="Times New Roman"/>
          <w:sz w:val="24"/>
          <w:szCs w:val="24"/>
        </w:rPr>
        <w:t>ów</w:t>
      </w:r>
      <w:r w:rsidR="005166A3" w:rsidRPr="006340EF">
        <w:rPr>
          <w:rFonts w:ascii="Times New Roman" w:eastAsia="Times New Roman" w:hAnsi="Times New Roman" w:cs="Times New Roman"/>
          <w:sz w:val="24"/>
          <w:szCs w:val="24"/>
        </w:rPr>
        <w:t xml:space="preserve">, które w założeniu mają regulować w sposób </w:t>
      </w:r>
      <w:r w:rsidR="00ED68E6" w:rsidRPr="006340EF">
        <w:rPr>
          <w:rStyle w:val="Teksttreci"/>
          <w:sz w:val="24"/>
          <w:szCs w:val="24"/>
        </w:rPr>
        <w:t>analogiczn</w:t>
      </w:r>
      <w:r w:rsidR="005166A3" w:rsidRPr="006340EF">
        <w:rPr>
          <w:rStyle w:val="Teksttreci"/>
          <w:sz w:val="24"/>
          <w:szCs w:val="24"/>
        </w:rPr>
        <w:t>y</w:t>
      </w:r>
      <w:r w:rsidR="00ED68E6" w:rsidRPr="006340EF">
        <w:rPr>
          <w:rStyle w:val="Teksttreci"/>
          <w:sz w:val="24"/>
          <w:szCs w:val="24"/>
        </w:rPr>
        <w:t xml:space="preserve"> lub </w:t>
      </w:r>
      <w:r w:rsidR="007C39F9" w:rsidRPr="006340EF">
        <w:rPr>
          <w:rStyle w:val="Teksttreci"/>
          <w:sz w:val="24"/>
          <w:szCs w:val="24"/>
        </w:rPr>
        <w:t xml:space="preserve">taki sam obszary tematyczne </w:t>
      </w:r>
      <w:r w:rsidR="00ED68E6" w:rsidRPr="006340EF">
        <w:rPr>
          <w:rStyle w:val="Teksttreci"/>
          <w:sz w:val="24"/>
          <w:szCs w:val="24"/>
        </w:rPr>
        <w:t>dotyczące</w:t>
      </w:r>
      <w:r w:rsidR="004C6D37" w:rsidRPr="006340EF">
        <w:rPr>
          <w:rStyle w:val="Teksttreci"/>
          <w:sz w:val="24"/>
          <w:szCs w:val="24"/>
        </w:rPr>
        <w:t xml:space="preserve"> w szczególności</w:t>
      </w:r>
      <w:r w:rsidR="00ED68E6" w:rsidRPr="006340EF">
        <w:rPr>
          <w:rStyle w:val="Teksttreci"/>
          <w:sz w:val="24"/>
          <w:szCs w:val="24"/>
        </w:rPr>
        <w:t>:</w:t>
      </w:r>
    </w:p>
    <w:p w14:paraId="2C5FEBEE" w14:textId="7F8410D9" w:rsidR="004C6D37" w:rsidRPr="006340EF" w:rsidRDefault="004C6D37" w:rsidP="008A198A">
      <w:pPr>
        <w:pStyle w:val="Teksttreci1"/>
        <w:numPr>
          <w:ilvl w:val="0"/>
          <w:numId w:val="13"/>
        </w:numPr>
        <w:shd w:val="clear" w:color="auto" w:fill="auto"/>
        <w:tabs>
          <w:tab w:val="left" w:pos="371"/>
        </w:tabs>
        <w:spacing w:after="0" w:line="360" w:lineRule="auto"/>
        <w:ind w:left="420" w:right="20" w:hanging="380"/>
        <w:jc w:val="both"/>
        <w:rPr>
          <w:rStyle w:val="Teksttreci"/>
          <w:sz w:val="24"/>
          <w:szCs w:val="24"/>
          <w:shd w:val="clear" w:color="auto" w:fill="auto"/>
        </w:rPr>
      </w:pPr>
      <w:r w:rsidRPr="006340EF">
        <w:rPr>
          <w:rStyle w:val="Teksttreci"/>
          <w:sz w:val="24"/>
          <w:szCs w:val="24"/>
        </w:rPr>
        <w:t>definicji zamawiającego</w:t>
      </w:r>
      <w:r w:rsidR="00A16F4F">
        <w:rPr>
          <w:rStyle w:val="Teksttreci"/>
          <w:sz w:val="24"/>
          <w:szCs w:val="24"/>
        </w:rPr>
        <w:t>;</w:t>
      </w:r>
      <w:r w:rsidRPr="006340EF">
        <w:rPr>
          <w:rStyle w:val="Teksttreci"/>
          <w:sz w:val="24"/>
          <w:szCs w:val="24"/>
        </w:rPr>
        <w:t xml:space="preserve"> </w:t>
      </w:r>
    </w:p>
    <w:p w14:paraId="76EAC720" w14:textId="5DA8E3A5" w:rsidR="00ED68E6" w:rsidRPr="006340EF" w:rsidRDefault="00776FE3" w:rsidP="008A198A">
      <w:pPr>
        <w:pStyle w:val="Teksttreci1"/>
        <w:numPr>
          <w:ilvl w:val="0"/>
          <w:numId w:val="13"/>
        </w:numPr>
        <w:shd w:val="clear" w:color="auto" w:fill="auto"/>
        <w:tabs>
          <w:tab w:val="left" w:pos="371"/>
        </w:tabs>
        <w:spacing w:after="0" w:line="360" w:lineRule="auto"/>
        <w:ind w:left="420" w:right="20" w:hanging="380"/>
        <w:jc w:val="both"/>
        <w:rPr>
          <w:sz w:val="24"/>
          <w:szCs w:val="24"/>
        </w:rPr>
      </w:pPr>
      <w:r w:rsidRPr="006340EF">
        <w:rPr>
          <w:rStyle w:val="Teksttreci"/>
          <w:sz w:val="24"/>
          <w:szCs w:val="24"/>
        </w:rPr>
        <w:t>w</w:t>
      </w:r>
      <w:r w:rsidR="00ED68E6" w:rsidRPr="006340EF">
        <w:rPr>
          <w:rStyle w:val="Teksttreci"/>
          <w:sz w:val="24"/>
          <w:szCs w:val="24"/>
        </w:rPr>
        <w:t>yłączeń</w:t>
      </w:r>
      <w:r w:rsidRPr="006340EF">
        <w:rPr>
          <w:rStyle w:val="Teksttreci"/>
          <w:sz w:val="24"/>
          <w:szCs w:val="24"/>
        </w:rPr>
        <w:t xml:space="preserve"> stosowania ustawy</w:t>
      </w:r>
      <w:r w:rsidR="004C6D37" w:rsidRPr="006340EF">
        <w:rPr>
          <w:rStyle w:val="Teksttreci"/>
          <w:sz w:val="24"/>
          <w:szCs w:val="24"/>
        </w:rPr>
        <w:t xml:space="preserve"> o umowie koncesji</w:t>
      </w:r>
      <w:r w:rsidR="00A16F4F">
        <w:rPr>
          <w:rStyle w:val="Teksttreci"/>
          <w:sz w:val="24"/>
          <w:szCs w:val="24"/>
        </w:rPr>
        <w:t>;</w:t>
      </w:r>
      <w:r w:rsidR="00A16F4F" w:rsidRPr="006340EF">
        <w:rPr>
          <w:rStyle w:val="Teksttreci"/>
          <w:sz w:val="24"/>
          <w:szCs w:val="24"/>
        </w:rPr>
        <w:t xml:space="preserve"> </w:t>
      </w:r>
    </w:p>
    <w:p w14:paraId="27E60346" w14:textId="2D1CCDDC" w:rsidR="007C39F9" w:rsidRPr="006340EF" w:rsidRDefault="007C39F9" w:rsidP="008A198A">
      <w:pPr>
        <w:pStyle w:val="Teksttreci1"/>
        <w:numPr>
          <w:ilvl w:val="0"/>
          <w:numId w:val="13"/>
        </w:numPr>
        <w:shd w:val="clear" w:color="auto" w:fill="auto"/>
        <w:tabs>
          <w:tab w:val="left" w:pos="371"/>
        </w:tabs>
        <w:spacing w:after="0" w:line="360" w:lineRule="auto"/>
        <w:ind w:left="420" w:right="20" w:hanging="380"/>
        <w:jc w:val="both"/>
        <w:rPr>
          <w:rStyle w:val="Teksttreci"/>
          <w:sz w:val="24"/>
          <w:szCs w:val="24"/>
          <w:shd w:val="clear" w:color="auto" w:fill="auto"/>
        </w:rPr>
      </w:pPr>
      <w:r w:rsidRPr="006340EF">
        <w:rPr>
          <w:rStyle w:val="Teksttreci"/>
          <w:sz w:val="24"/>
          <w:szCs w:val="24"/>
        </w:rPr>
        <w:t xml:space="preserve">określenia </w:t>
      </w:r>
      <w:r w:rsidR="00ED68E6" w:rsidRPr="006340EF">
        <w:rPr>
          <w:rStyle w:val="Teksttreci"/>
          <w:sz w:val="24"/>
          <w:szCs w:val="24"/>
        </w:rPr>
        <w:t>progu stosowania przepisów ustawy o umowie koncesji do zawierania umów</w:t>
      </w:r>
      <w:r w:rsidR="00A16F4F">
        <w:rPr>
          <w:rStyle w:val="Teksttreci"/>
          <w:sz w:val="24"/>
          <w:szCs w:val="24"/>
        </w:rPr>
        <w:t>;</w:t>
      </w:r>
    </w:p>
    <w:p w14:paraId="3E185698" w14:textId="3DF4E977" w:rsidR="00ED68E6" w:rsidRPr="006340EF" w:rsidRDefault="007C39F9" w:rsidP="008A198A">
      <w:pPr>
        <w:pStyle w:val="Teksttreci1"/>
        <w:numPr>
          <w:ilvl w:val="0"/>
          <w:numId w:val="13"/>
        </w:numPr>
        <w:shd w:val="clear" w:color="auto" w:fill="auto"/>
        <w:tabs>
          <w:tab w:val="left" w:pos="371"/>
        </w:tabs>
        <w:spacing w:after="0" w:line="360" w:lineRule="auto"/>
        <w:ind w:left="420" w:right="20" w:hanging="380"/>
        <w:jc w:val="both"/>
        <w:rPr>
          <w:sz w:val="24"/>
          <w:szCs w:val="24"/>
        </w:rPr>
      </w:pPr>
      <w:r w:rsidRPr="006340EF">
        <w:rPr>
          <w:rStyle w:val="Teksttreci"/>
          <w:sz w:val="24"/>
          <w:szCs w:val="24"/>
        </w:rPr>
        <w:t>przepisów regulujących i</w:t>
      </w:r>
      <w:r w:rsidR="00ED68E6" w:rsidRPr="006340EF">
        <w:rPr>
          <w:rStyle w:val="Teksttreci"/>
          <w:sz w:val="24"/>
          <w:szCs w:val="24"/>
        </w:rPr>
        <w:t>nformacj</w:t>
      </w:r>
      <w:r w:rsidRPr="006340EF">
        <w:rPr>
          <w:rStyle w:val="Teksttreci"/>
          <w:sz w:val="24"/>
          <w:szCs w:val="24"/>
        </w:rPr>
        <w:t>ę</w:t>
      </w:r>
      <w:r w:rsidR="00ED68E6" w:rsidRPr="006340EF">
        <w:rPr>
          <w:rStyle w:val="Teksttreci"/>
          <w:sz w:val="24"/>
          <w:szCs w:val="24"/>
        </w:rPr>
        <w:t xml:space="preserve"> w sprawie aktualizacji co dwa lata wartości progu unijnego</w:t>
      </w:r>
      <w:r w:rsidRPr="006340EF">
        <w:rPr>
          <w:rStyle w:val="Teksttreci"/>
          <w:sz w:val="24"/>
          <w:szCs w:val="24"/>
        </w:rPr>
        <w:t xml:space="preserve"> dla umów koncesji </w:t>
      </w:r>
      <w:r w:rsidR="00ED68E6" w:rsidRPr="006340EF">
        <w:rPr>
          <w:rStyle w:val="Teksttreci"/>
          <w:sz w:val="24"/>
          <w:szCs w:val="24"/>
        </w:rPr>
        <w:t>podawan</w:t>
      </w:r>
      <w:r w:rsidRPr="006340EF">
        <w:rPr>
          <w:rStyle w:val="Teksttreci"/>
          <w:sz w:val="24"/>
          <w:szCs w:val="24"/>
        </w:rPr>
        <w:t>ą</w:t>
      </w:r>
      <w:r w:rsidR="00ED68E6" w:rsidRPr="006340EF">
        <w:rPr>
          <w:rStyle w:val="Teksttreci"/>
          <w:sz w:val="24"/>
          <w:szCs w:val="24"/>
        </w:rPr>
        <w:t xml:space="preserve"> przez Komisję Europejską w formie komunikatu, co wymaga dostosowania obowiązujących progów w przepisach wykonawczych</w:t>
      </w:r>
      <w:r w:rsidR="00A16F4F">
        <w:rPr>
          <w:rStyle w:val="Teksttreci"/>
          <w:sz w:val="24"/>
          <w:szCs w:val="24"/>
        </w:rPr>
        <w:t>;</w:t>
      </w:r>
    </w:p>
    <w:p w14:paraId="46BEC79B" w14:textId="1EE1D3F1" w:rsidR="00ED68E6" w:rsidRPr="006340EF" w:rsidRDefault="00ED68E6" w:rsidP="008A198A">
      <w:pPr>
        <w:pStyle w:val="Teksttreci1"/>
        <w:numPr>
          <w:ilvl w:val="0"/>
          <w:numId w:val="13"/>
        </w:numPr>
        <w:shd w:val="clear" w:color="auto" w:fill="auto"/>
        <w:tabs>
          <w:tab w:val="left" w:pos="351"/>
        </w:tabs>
        <w:spacing w:after="0" w:line="360" w:lineRule="auto"/>
        <w:ind w:left="340" w:right="20" w:hanging="320"/>
        <w:jc w:val="both"/>
        <w:rPr>
          <w:sz w:val="24"/>
          <w:szCs w:val="24"/>
        </w:rPr>
      </w:pPr>
      <w:r w:rsidRPr="006340EF">
        <w:rPr>
          <w:rStyle w:val="Teksttreci"/>
          <w:sz w:val="24"/>
          <w:szCs w:val="24"/>
        </w:rPr>
        <w:t>koncesji mieszanych obejmujących jednocześnie różne rodzaje umów koncesji (roboty budowlane, usługi, usługi społeczne i inne szczególne usługi) oraz udzielanych na podstawie różnych reżimów prawnych, tj. obejmujących zarówno umowy koncesji, jak również zamówienia klasyczne, zamówienia sektorowe, zamówienia w dziedzinach obronności i bezpieczeństwa oraz zamówienia objęte wyłączeniem z art. 346 Traktatu o funkcjonowaniu Unii Europejskiej</w:t>
      </w:r>
      <w:r w:rsidR="00A16F4F">
        <w:rPr>
          <w:rStyle w:val="Teksttreci"/>
          <w:sz w:val="24"/>
          <w:szCs w:val="24"/>
        </w:rPr>
        <w:t>;</w:t>
      </w:r>
    </w:p>
    <w:p w14:paraId="1FFC5C9A" w14:textId="3079B9E3" w:rsidR="00ED68E6" w:rsidRPr="006340EF" w:rsidRDefault="00ED68E6" w:rsidP="008A198A">
      <w:pPr>
        <w:pStyle w:val="Teksttreci1"/>
        <w:numPr>
          <w:ilvl w:val="0"/>
          <w:numId w:val="13"/>
        </w:numPr>
        <w:shd w:val="clear" w:color="auto" w:fill="auto"/>
        <w:tabs>
          <w:tab w:val="left" w:pos="356"/>
        </w:tabs>
        <w:spacing w:after="0" w:line="360" w:lineRule="auto"/>
        <w:ind w:left="340" w:right="20" w:hanging="320"/>
        <w:jc w:val="both"/>
        <w:rPr>
          <w:sz w:val="24"/>
          <w:szCs w:val="24"/>
        </w:rPr>
      </w:pPr>
      <w:r w:rsidRPr="006340EF">
        <w:rPr>
          <w:rStyle w:val="Teksttreci"/>
          <w:sz w:val="24"/>
          <w:szCs w:val="24"/>
        </w:rPr>
        <w:t>uwzględnienia wśród zasad zawierania umów koncesji konieczności wykrywania i eliminowania konfliktów interesów</w:t>
      </w:r>
      <w:r w:rsidR="00A16F4F">
        <w:rPr>
          <w:rStyle w:val="Teksttreci"/>
          <w:sz w:val="24"/>
          <w:szCs w:val="24"/>
        </w:rPr>
        <w:t>;</w:t>
      </w:r>
    </w:p>
    <w:p w14:paraId="2F794AE0" w14:textId="60F78EDE" w:rsidR="00ED68E6" w:rsidRPr="006340EF" w:rsidRDefault="00ED68E6" w:rsidP="008A198A">
      <w:pPr>
        <w:pStyle w:val="Teksttreci1"/>
        <w:numPr>
          <w:ilvl w:val="0"/>
          <w:numId w:val="13"/>
        </w:numPr>
        <w:shd w:val="clear" w:color="auto" w:fill="auto"/>
        <w:tabs>
          <w:tab w:val="left" w:pos="342"/>
        </w:tabs>
        <w:spacing w:after="0" w:line="360" w:lineRule="auto"/>
        <w:ind w:left="340" w:right="20" w:hanging="410"/>
        <w:jc w:val="both"/>
        <w:rPr>
          <w:sz w:val="24"/>
          <w:szCs w:val="24"/>
        </w:rPr>
      </w:pPr>
      <w:r w:rsidRPr="006340EF">
        <w:rPr>
          <w:rStyle w:val="Teksttreci"/>
          <w:sz w:val="24"/>
          <w:szCs w:val="24"/>
        </w:rPr>
        <w:t>umów koncesji zastrzeżonych oraz umów na usługi społeczne i inne szczególne usługi, mających służyć uwzględnieniu aspektów społecznych przy udzielaniu i realizacji umów koncesji na roboty budowlane lub usługi</w:t>
      </w:r>
      <w:r w:rsidR="00A16F4F">
        <w:rPr>
          <w:rStyle w:val="Teksttreci"/>
          <w:sz w:val="24"/>
          <w:szCs w:val="24"/>
        </w:rPr>
        <w:t>;</w:t>
      </w:r>
    </w:p>
    <w:p w14:paraId="5B3A3F6D" w14:textId="7F12635C" w:rsidR="00ED68E6" w:rsidRPr="006340EF" w:rsidRDefault="00ED68E6" w:rsidP="008A198A">
      <w:pPr>
        <w:pStyle w:val="Teksttreci1"/>
        <w:numPr>
          <w:ilvl w:val="0"/>
          <w:numId w:val="13"/>
        </w:numPr>
        <w:shd w:val="clear" w:color="auto" w:fill="auto"/>
        <w:tabs>
          <w:tab w:val="left" w:pos="342"/>
        </w:tabs>
        <w:spacing w:after="0" w:line="360" w:lineRule="auto"/>
        <w:ind w:left="340" w:right="20" w:hanging="410"/>
        <w:jc w:val="both"/>
        <w:rPr>
          <w:rStyle w:val="Teksttreci"/>
          <w:sz w:val="24"/>
          <w:szCs w:val="24"/>
        </w:rPr>
      </w:pPr>
      <w:r w:rsidRPr="006340EF">
        <w:rPr>
          <w:rStyle w:val="Teksttreci"/>
          <w:sz w:val="24"/>
          <w:szCs w:val="24"/>
        </w:rPr>
        <w:t>obligatoryjnych i fakultatywnych podstaw wykluczenia z postępowania w sprawie zawarcia umowy koncesji oraz kryteriów oceny ofert</w:t>
      </w:r>
      <w:r w:rsidR="00A16F4F">
        <w:rPr>
          <w:rStyle w:val="Teksttreci"/>
          <w:sz w:val="24"/>
          <w:szCs w:val="24"/>
        </w:rPr>
        <w:t>;</w:t>
      </w:r>
    </w:p>
    <w:p w14:paraId="64A02072" w14:textId="77777777" w:rsidR="00ED68E6" w:rsidRPr="006340EF" w:rsidRDefault="004C6D37" w:rsidP="008A198A">
      <w:pPr>
        <w:pStyle w:val="Teksttreci1"/>
        <w:numPr>
          <w:ilvl w:val="0"/>
          <w:numId w:val="13"/>
        </w:numPr>
        <w:shd w:val="clear" w:color="auto" w:fill="auto"/>
        <w:tabs>
          <w:tab w:val="left" w:pos="342"/>
        </w:tabs>
        <w:spacing w:after="0" w:line="360" w:lineRule="auto"/>
        <w:ind w:left="340" w:right="20" w:hanging="410"/>
        <w:jc w:val="both"/>
        <w:rPr>
          <w:rStyle w:val="Teksttreci"/>
          <w:sz w:val="24"/>
          <w:szCs w:val="24"/>
          <w:shd w:val="clear" w:color="auto" w:fill="auto"/>
        </w:rPr>
      </w:pPr>
      <w:r w:rsidRPr="006340EF">
        <w:rPr>
          <w:rStyle w:val="Teksttreci"/>
          <w:sz w:val="24"/>
          <w:szCs w:val="24"/>
        </w:rPr>
        <w:lastRenderedPageBreak/>
        <w:t xml:space="preserve">zasad wnoszenia skarg do sądu w ramach </w:t>
      </w:r>
      <w:r w:rsidR="00ED68E6" w:rsidRPr="006340EF">
        <w:rPr>
          <w:rStyle w:val="Teksttreci"/>
          <w:sz w:val="24"/>
          <w:szCs w:val="24"/>
        </w:rPr>
        <w:t>środków ochrony prawnej w postępowaniach o zawarcie umowy koncesji.</w:t>
      </w:r>
    </w:p>
    <w:p w14:paraId="6E09AC2C" w14:textId="77777777" w:rsidR="00ED68E6" w:rsidRPr="006340EF" w:rsidRDefault="00ED68E6" w:rsidP="008A198A">
      <w:pPr>
        <w:spacing w:after="0" w:line="360" w:lineRule="auto"/>
        <w:ind w:firstLine="708"/>
        <w:jc w:val="both"/>
        <w:rPr>
          <w:rFonts w:ascii="Times New Roman" w:eastAsia="Times New Roman" w:hAnsi="Times New Roman" w:cs="Times New Roman"/>
          <w:sz w:val="24"/>
          <w:szCs w:val="24"/>
        </w:rPr>
      </w:pPr>
    </w:p>
    <w:p w14:paraId="041F105F" w14:textId="77777777" w:rsidR="00AB0DB3" w:rsidRPr="006340EF" w:rsidRDefault="00ED68E6" w:rsidP="008A198A">
      <w:pPr>
        <w:spacing w:after="0" w:line="360" w:lineRule="auto"/>
        <w:ind w:firstLine="340"/>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 xml:space="preserve">Projektowana </w:t>
      </w:r>
      <w:r w:rsidR="004C6D37" w:rsidRPr="006340EF">
        <w:rPr>
          <w:rFonts w:ascii="Times New Roman" w:eastAsia="Times New Roman" w:hAnsi="Times New Roman" w:cs="Times New Roman"/>
          <w:sz w:val="24"/>
          <w:szCs w:val="24"/>
        </w:rPr>
        <w:t xml:space="preserve">zmiana ustawy o umowie koncesji </w:t>
      </w:r>
      <w:r w:rsidRPr="006340EF">
        <w:rPr>
          <w:rFonts w:ascii="Times New Roman" w:eastAsia="Times New Roman" w:hAnsi="Times New Roman" w:cs="Times New Roman"/>
          <w:sz w:val="24"/>
          <w:szCs w:val="24"/>
        </w:rPr>
        <w:t>ma na celu wyeliminowani</w:t>
      </w:r>
      <w:r w:rsidR="00AB0DB3" w:rsidRPr="006340EF">
        <w:rPr>
          <w:rFonts w:ascii="Times New Roman" w:eastAsia="Times New Roman" w:hAnsi="Times New Roman" w:cs="Times New Roman"/>
          <w:sz w:val="24"/>
          <w:szCs w:val="24"/>
        </w:rPr>
        <w:t>e</w:t>
      </w:r>
      <w:r w:rsidRPr="006340EF">
        <w:rPr>
          <w:rFonts w:ascii="Times New Roman" w:eastAsia="Times New Roman" w:hAnsi="Times New Roman" w:cs="Times New Roman"/>
          <w:sz w:val="24"/>
          <w:szCs w:val="24"/>
        </w:rPr>
        <w:t xml:space="preserve"> niepewności prawnej</w:t>
      </w:r>
      <w:r w:rsidR="004C6D37" w:rsidRPr="006340EF">
        <w:rPr>
          <w:rFonts w:ascii="Times New Roman" w:eastAsia="Times New Roman" w:hAnsi="Times New Roman" w:cs="Times New Roman"/>
          <w:sz w:val="24"/>
          <w:szCs w:val="24"/>
        </w:rPr>
        <w:t>,</w:t>
      </w:r>
      <w:r w:rsidRPr="006340EF">
        <w:rPr>
          <w:rFonts w:ascii="Times New Roman" w:eastAsia="Times New Roman" w:hAnsi="Times New Roman" w:cs="Times New Roman"/>
          <w:sz w:val="24"/>
          <w:szCs w:val="24"/>
        </w:rPr>
        <w:t xml:space="preserve"> jak</w:t>
      </w:r>
      <w:r w:rsidR="004C6D37" w:rsidRPr="006340EF">
        <w:rPr>
          <w:rFonts w:ascii="Times New Roman" w:eastAsia="Times New Roman" w:hAnsi="Times New Roman" w:cs="Times New Roman"/>
          <w:sz w:val="24"/>
          <w:szCs w:val="24"/>
        </w:rPr>
        <w:t>a</w:t>
      </w:r>
      <w:r w:rsidRPr="006340EF">
        <w:rPr>
          <w:rFonts w:ascii="Times New Roman" w:eastAsia="Times New Roman" w:hAnsi="Times New Roman" w:cs="Times New Roman"/>
          <w:sz w:val="24"/>
          <w:szCs w:val="24"/>
        </w:rPr>
        <w:t xml:space="preserve"> może powstawać na skutek różnic interpretacyjnych dotyczących odmiennego uregulowania </w:t>
      </w:r>
      <w:r w:rsidR="004C6D37" w:rsidRPr="006340EF">
        <w:rPr>
          <w:rFonts w:ascii="Times New Roman" w:eastAsia="Times New Roman" w:hAnsi="Times New Roman" w:cs="Times New Roman"/>
          <w:sz w:val="24"/>
          <w:szCs w:val="24"/>
        </w:rPr>
        <w:t xml:space="preserve">analogicznych instytucji prawnych </w:t>
      </w:r>
      <w:r w:rsidRPr="006340EF">
        <w:rPr>
          <w:rFonts w:ascii="Times New Roman" w:eastAsia="Times New Roman" w:hAnsi="Times New Roman" w:cs="Times New Roman"/>
          <w:sz w:val="24"/>
          <w:szCs w:val="24"/>
        </w:rPr>
        <w:t>w nowej ustawie Pzp oraz w ustawie o umowie koncesji.</w:t>
      </w:r>
    </w:p>
    <w:p w14:paraId="0BEBBE24" w14:textId="1C128D0D" w:rsidR="00B63C4F" w:rsidRDefault="00117CA2" w:rsidP="009149D9">
      <w:pPr>
        <w:spacing w:after="0" w:line="360" w:lineRule="auto"/>
        <w:ind w:firstLine="708"/>
        <w:jc w:val="both"/>
        <w:rPr>
          <w:rFonts w:ascii="Times New Roman" w:hAnsi="Times New Roman" w:cs="Times New Roman"/>
          <w:sz w:val="24"/>
          <w:szCs w:val="24"/>
        </w:rPr>
      </w:pPr>
      <w:r w:rsidRPr="006340EF">
        <w:rPr>
          <w:rFonts w:ascii="Times New Roman" w:hAnsi="Times New Roman" w:cs="Times New Roman"/>
          <w:sz w:val="24"/>
          <w:szCs w:val="24"/>
        </w:rPr>
        <w:t xml:space="preserve">Zmiana nowej ustawy Pzp jest natomiast </w:t>
      </w:r>
      <w:r w:rsidR="00117DB7">
        <w:rPr>
          <w:rFonts w:ascii="Times New Roman" w:hAnsi="Times New Roman" w:cs="Times New Roman"/>
          <w:sz w:val="24"/>
          <w:szCs w:val="24"/>
        </w:rPr>
        <w:t>efektem analizy jej przepisów w </w:t>
      </w:r>
      <w:r w:rsidRPr="006340EF">
        <w:rPr>
          <w:rFonts w:ascii="Times New Roman" w:hAnsi="Times New Roman" w:cs="Times New Roman"/>
          <w:sz w:val="24"/>
          <w:szCs w:val="24"/>
        </w:rPr>
        <w:t xml:space="preserve">okresie ich </w:t>
      </w:r>
      <w:r w:rsidRPr="006340EF">
        <w:rPr>
          <w:rFonts w:ascii="Times New Roman" w:hAnsi="Times New Roman" w:cs="Times New Roman"/>
          <w:i/>
          <w:sz w:val="24"/>
          <w:szCs w:val="24"/>
        </w:rPr>
        <w:t>vacatio legis</w:t>
      </w:r>
      <w:r w:rsidRPr="006340EF">
        <w:rPr>
          <w:rFonts w:ascii="Times New Roman" w:hAnsi="Times New Roman" w:cs="Times New Roman"/>
          <w:sz w:val="24"/>
          <w:szCs w:val="24"/>
        </w:rPr>
        <w:t xml:space="preserve"> oraz powstałej w jej wyniku </w:t>
      </w:r>
      <w:r w:rsidR="00057457" w:rsidRPr="006340EF">
        <w:rPr>
          <w:rFonts w:ascii="Times New Roman" w:hAnsi="Times New Roman" w:cs="Times New Roman"/>
          <w:sz w:val="24"/>
          <w:szCs w:val="24"/>
        </w:rPr>
        <w:t>potrzeby</w:t>
      </w:r>
      <w:r w:rsidRPr="006340EF">
        <w:rPr>
          <w:rFonts w:ascii="Times New Roman" w:hAnsi="Times New Roman" w:cs="Times New Roman"/>
          <w:sz w:val="24"/>
          <w:szCs w:val="24"/>
        </w:rPr>
        <w:t xml:space="preserve"> doprecyzowania brzmienia poszczególnych jej przepisów, </w:t>
      </w:r>
      <w:r w:rsidR="002D21FD">
        <w:rPr>
          <w:rFonts w:ascii="Times New Roman" w:hAnsi="Times New Roman" w:cs="Times New Roman"/>
          <w:sz w:val="24"/>
          <w:szCs w:val="24"/>
        </w:rPr>
        <w:t>w celu</w:t>
      </w:r>
      <w:r w:rsidR="002D21FD" w:rsidRPr="006340EF">
        <w:rPr>
          <w:rFonts w:ascii="Times New Roman" w:hAnsi="Times New Roman" w:cs="Times New Roman"/>
          <w:sz w:val="24"/>
          <w:szCs w:val="24"/>
        </w:rPr>
        <w:t xml:space="preserve"> </w:t>
      </w:r>
      <w:r w:rsidRPr="006340EF">
        <w:rPr>
          <w:rFonts w:ascii="Times New Roman" w:hAnsi="Times New Roman" w:cs="Times New Roman"/>
          <w:sz w:val="24"/>
          <w:szCs w:val="24"/>
        </w:rPr>
        <w:t>usunięcia wątpliwości interpretacyjnych</w:t>
      </w:r>
      <w:r w:rsidR="00057457" w:rsidRPr="006340EF">
        <w:rPr>
          <w:rFonts w:ascii="Times New Roman" w:hAnsi="Times New Roman" w:cs="Times New Roman"/>
          <w:sz w:val="24"/>
          <w:szCs w:val="24"/>
        </w:rPr>
        <w:t xml:space="preserve">, jakie mogą </w:t>
      </w:r>
      <w:r w:rsidRPr="006340EF">
        <w:rPr>
          <w:rFonts w:ascii="Times New Roman" w:hAnsi="Times New Roman" w:cs="Times New Roman"/>
          <w:sz w:val="24"/>
          <w:szCs w:val="24"/>
        </w:rPr>
        <w:t xml:space="preserve">powstać </w:t>
      </w:r>
      <w:r w:rsidR="00057457" w:rsidRPr="006340EF">
        <w:rPr>
          <w:rFonts w:ascii="Times New Roman" w:hAnsi="Times New Roman" w:cs="Times New Roman"/>
          <w:sz w:val="24"/>
          <w:szCs w:val="24"/>
        </w:rPr>
        <w:t>w związku z</w:t>
      </w:r>
      <w:r w:rsidRPr="006340EF">
        <w:rPr>
          <w:rFonts w:ascii="Times New Roman" w:hAnsi="Times New Roman" w:cs="Times New Roman"/>
          <w:sz w:val="24"/>
          <w:szCs w:val="24"/>
        </w:rPr>
        <w:t xml:space="preserve"> ich stosowani</w:t>
      </w:r>
      <w:r w:rsidR="00057457" w:rsidRPr="006340EF">
        <w:rPr>
          <w:rFonts w:ascii="Times New Roman" w:hAnsi="Times New Roman" w:cs="Times New Roman"/>
          <w:sz w:val="24"/>
          <w:szCs w:val="24"/>
        </w:rPr>
        <w:t>em</w:t>
      </w:r>
      <w:r w:rsidRPr="006340EF">
        <w:rPr>
          <w:rFonts w:ascii="Times New Roman" w:hAnsi="Times New Roman" w:cs="Times New Roman"/>
          <w:sz w:val="24"/>
          <w:szCs w:val="24"/>
        </w:rPr>
        <w:t>, tak aby w jak najlepszym stopniu odzwierciedlić regulacje unijnych dyrektyw w sprawie zamówień publicznych</w:t>
      </w:r>
      <w:r w:rsidR="008B374E" w:rsidRPr="006340EF">
        <w:rPr>
          <w:rFonts w:ascii="Times New Roman" w:hAnsi="Times New Roman" w:cs="Times New Roman"/>
          <w:sz w:val="24"/>
          <w:szCs w:val="24"/>
        </w:rPr>
        <w:t>.</w:t>
      </w:r>
    </w:p>
    <w:p w14:paraId="6D04035D" w14:textId="77777777" w:rsidR="001C0C61" w:rsidRPr="009149D9" w:rsidRDefault="001C0C61" w:rsidP="009149D9">
      <w:pPr>
        <w:spacing w:after="0" w:line="360" w:lineRule="auto"/>
        <w:ind w:firstLine="708"/>
        <w:jc w:val="both"/>
        <w:rPr>
          <w:rFonts w:ascii="Times New Roman" w:hAnsi="Times New Roman" w:cs="Times New Roman"/>
          <w:sz w:val="24"/>
          <w:szCs w:val="24"/>
        </w:rPr>
      </w:pPr>
    </w:p>
    <w:p w14:paraId="6DEA2632" w14:textId="6767BACB" w:rsidR="00057457" w:rsidRDefault="00664A9A" w:rsidP="008A198A">
      <w:pPr>
        <w:pStyle w:val="Teksttreci1"/>
        <w:shd w:val="clear" w:color="auto" w:fill="auto"/>
        <w:spacing w:after="0" w:line="360" w:lineRule="auto"/>
        <w:ind w:left="20" w:right="20" w:firstLine="0"/>
        <w:jc w:val="both"/>
        <w:rPr>
          <w:rStyle w:val="Teksttreci"/>
          <w:b/>
          <w:sz w:val="24"/>
          <w:szCs w:val="24"/>
        </w:rPr>
      </w:pPr>
      <w:r w:rsidRPr="006340EF">
        <w:rPr>
          <w:rStyle w:val="Teksttreci"/>
          <w:b/>
          <w:sz w:val="24"/>
          <w:szCs w:val="24"/>
        </w:rPr>
        <w:t xml:space="preserve">II. </w:t>
      </w:r>
      <w:r w:rsidR="00A571D4" w:rsidRPr="006340EF">
        <w:rPr>
          <w:rStyle w:val="Teksttreci"/>
          <w:b/>
          <w:sz w:val="24"/>
          <w:szCs w:val="24"/>
        </w:rPr>
        <w:t>Obecny stan prawny</w:t>
      </w:r>
      <w:r w:rsidR="002D21FD">
        <w:rPr>
          <w:rStyle w:val="Teksttreci"/>
          <w:b/>
          <w:sz w:val="24"/>
          <w:szCs w:val="24"/>
        </w:rPr>
        <w:t>.</w:t>
      </w:r>
    </w:p>
    <w:p w14:paraId="7D359136" w14:textId="77777777" w:rsidR="00523BFE" w:rsidRPr="006340EF" w:rsidRDefault="00523BFE" w:rsidP="008A198A">
      <w:pPr>
        <w:pBdr>
          <w:top w:val="nil"/>
          <w:left w:val="nil"/>
          <w:bottom w:val="nil"/>
          <w:right w:val="nil"/>
          <w:between w:val="nil"/>
        </w:pBdr>
        <w:spacing w:after="0" w:line="360" w:lineRule="auto"/>
        <w:ind w:firstLine="708"/>
        <w:jc w:val="both"/>
        <w:rPr>
          <w:rFonts w:ascii="Times New Roman" w:eastAsia="Times New Roman" w:hAnsi="Times New Roman" w:cs="Times New Roman"/>
          <w:sz w:val="24"/>
          <w:szCs w:val="24"/>
          <w:highlight w:val="yellow"/>
        </w:rPr>
      </w:pPr>
      <w:r w:rsidRPr="006340EF">
        <w:rPr>
          <w:rFonts w:ascii="Times New Roman" w:eastAsia="Times New Roman" w:hAnsi="Times New Roman" w:cs="Times New Roman"/>
          <w:sz w:val="24"/>
          <w:szCs w:val="24"/>
        </w:rPr>
        <w:t>Nowa ustawa Pzp zawiera przepisy stanow</w:t>
      </w:r>
      <w:r w:rsidR="00117DB7">
        <w:rPr>
          <w:rFonts w:ascii="Times New Roman" w:eastAsia="Times New Roman" w:hAnsi="Times New Roman" w:cs="Times New Roman"/>
          <w:sz w:val="24"/>
          <w:szCs w:val="24"/>
        </w:rPr>
        <w:t>iące wdrożenie prawa unijnego z </w:t>
      </w:r>
      <w:r w:rsidRPr="006340EF">
        <w:rPr>
          <w:rFonts w:ascii="Times New Roman" w:eastAsia="Times New Roman" w:hAnsi="Times New Roman" w:cs="Times New Roman"/>
          <w:sz w:val="24"/>
          <w:szCs w:val="24"/>
        </w:rPr>
        <w:t>zakresu zamówień publicznych w zakresie następujących dyrektyw Parlamentu Europejskiego i Rady:</w:t>
      </w:r>
    </w:p>
    <w:p w14:paraId="0B10B90F" w14:textId="77777777" w:rsidR="00523BFE" w:rsidRPr="006340EF" w:rsidRDefault="00523BFE" w:rsidP="008A198A">
      <w:pPr>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2014/24/UE z dnia 26 lutego 2014 r. w sprawie zamówień publicznych, uchylającej dyrektywę 2004/18/WE (Dz. Urz. U</w:t>
      </w:r>
      <w:r w:rsidR="00117DB7">
        <w:rPr>
          <w:rFonts w:ascii="Times New Roman" w:eastAsia="Times New Roman" w:hAnsi="Times New Roman" w:cs="Times New Roman"/>
          <w:sz w:val="24"/>
          <w:szCs w:val="24"/>
        </w:rPr>
        <w:t>E L 94 z 28.03.2014, str. 65, z </w:t>
      </w:r>
      <w:r w:rsidRPr="006340EF">
        <w:rPr>
          <w:rFonts w:ascii="Times New Roman" w:eastAsia="Times New Roman" w:hAnsi="Times New Roman" w:cs="Times New Roman"/>
          <w:sz w:val="24"/>
          <w:szCs w:val="24"/>
        </w:rPr>
        <w:t>późn. zm.), zwana dalej „dyrektywą klasyczną” lub „dyrektywą 2014/24/UE”, oraz</w:t>
      </w:r>
    </w:p>
    <w:p w14:paraId="1B98326B" w14:textId="77777777" w:rsidR="00523BFE" w:rsidRPr="006340EF" w:rsidRDefault="00523BFE" w:rsidP="008A198A">
      <w:pPr>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2014/25/UE z dnia 26 lutego 2014 r. w sprawie udzielania zamówień przez podmioty działające w sektorach gospodarki wodnej, energetyki, transportu i usług pocztowych, uchylającej dyrektywę 2004/17/WE (Dz. Urz. UE L 94 z 28.03.2014, str. 243, z późn. zm.), zwana dalej „dyrektywą sektorową” lub „dyrektywą 2014/25/UE”.</w:t>
      </w:r>
    </w:p>
    <w:p w14:paraId="38D2EEAA" w14:textId="77777777" w:rsidR="00523BFE" w:rsidRPr="006340EF" w:rsidRDefault="00523BFE" w:rsidP="008A198A">
      <w:pPr>
        <w:pStyle w:val="Nagwek1"/>
        <w:shd w:val="clear" w:color="auto" w:fill="FFFFFF"/>
        <w:spacing w:before="0" w:line="360" w:lineRule="auto"/>
        <w:ind w:firstLine="708"/>
        <w:jc w:val="both"/>
        <w:rPr>
          <w:rFonts w:ascii="Times New Roman" w:eastAsia="Times New Roman" w:hAnsi="Times New Roman" w:cs="Times New Roman"/>
          <w:color w:val="auto"/>
          <w:sz w:val="24"/>
          <w:szCs w:val="24"/>
        </w:rPr>
      </w:pPr>
      <w:r w:rsidRPr="006340EF">
        <w:rPr>
          <w:rFonts w:ascii="Times New Roman" w:eastAsia="Times New Roman" w:hAnsi="Times New Roman" w:cs="Times New Roman"/>
          <w:color w:val="auto"/>
          <w:sz w:val="24"/>
          <w:szCs w:val="24"/>
        </w:rPr>
        <w:lastRenderedPageBreak/>
        <w:t>W zakresie udzielania zamówień w dziedzinach obronności i bezpieczeństwa nowa ustawa Pzp wdraża dyrektywę Parlamentu Europejskiego i Rady 2009/81/WE z dnia 13 lipca 2009 r. w sprawie koordynacji procedur udzielania niektórych zamówień na roboty budowlane, dostawy i usługi przez instytucje lub podmioty zamawiające w dziedzinach obronności i bezpieczeństwa i zmieniając</w:t>
      </w:r>
      <w:r w:rsidR="00AB0DB3" w:rsidRPr="006340EF">
        <w:rPr>
          <w:rFonts w:ascii="Times New Roman" w:eastAsia="Times New Roman" w:hAnsi="Times New Roman" w:cs="Times New Roman"/>
          <w:color w:val="auto"/>
          <w:sz w:val="24"/>
          <w:szCs w:val="24"/>
        </w:rPr>
        <w:t>ą</w:t>
      </w:r>
      <w:r w:rsidRPr="006340EF">
        <w:rPr>
          <w:rFonts w:ascii="Times New Roman" w:eastAsia="Times New Roman" w:hAnsi="Times New Roman" w:cs="Times New Roman"/>
          <w:color w:val="auto"/>
          <w:sz w:val="24"/>
          <w:szCs w:val="24"/>
        </w:rPr>
        <w:t xml:space="preserve"> dyrektywy 2004/17/WE i 2004/18/WE (Dz. Urz. UE L 216 z 20.08.2009, str. 76, z późn. zm.), zwaną dalej „dyrektywą obronną” lub „dyrektywą 2009/81/WE”.</w:t>
      </w:r>
    </w:p>
    <w:p w14:paraId="0F1AC7A7" w14:textId="77777777" w:rsidR="00523BFE" w:rsidRPr="006340EF" w:rsidRDefault="00523BFE" w:rsidP="008A198A">
      <w:pPr>
        <w:tabs>
          <w:tab w:val="left" w:pos="567"/>
        </w:tabs>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ab/>
        <w:t>W zakresie środków ochrony prawnej nowa ustawa Pzp implementuje następujące dyrektywy:</w:t>
      </w:r>
    </w:p>
    <w:p w14:paraId="116A079F" w14:textId="77777777" w:rsidR="00523BFE" w:rsidRPr="006340EF" w:rsidRDefault="00523BFE" w:rsidP="008A198A">
      <w:pPr>
        <w:numPr>
          <w:ilvl w:val="0"/>
          <w:numId w:val="14"/>
        </w:numPr>
        <w:pBdr>
          <w:top w:val="nil"/>
          <w:left w:val="nil"/>
          <w:bottom w:val="nil"/>
          <w:right w:val="nil"/>
          <w:between w:val="nil"/>
        </w:pBdr>
        <w:tabs>
          <w:tab w:val="left" w:pos="567"/>
        </w:tabs>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dyrektywę Rady 89/665/EWG z dnia 21 grudnia 1989 r. w sprawie koordynacji przepisów ustawowych, wykonawczych i administracyjnych odnoszących się do stosowania procedur odwoławczych w zakresie udzielania zamówień publicznych na dostawy i roboty budowlane (Dz. Urz. WE L 395 z 30.12.1989, str. 33; Dz. Urz. UE Polskie wydanie specjalne rozdz. 6, t. 1, str. 246) (klasyczna dyrektywa odwoławcza),</w:t>
      </w:r>
    </w:p>
    <w:p w14:paraId="2BB309D9" w14:textId="77777777" w:rsidR="00523BFE" w:rsidRPr="006340EF" w:rsidRDefault="00523BFE" w:rsidP="008A198A">
      <w:pPr>
        <w:numPr>
          <w:ilvl w:val="0"/>
          <w:numId w:val="14"/>
        </w:numPr>
        <w:pBdr>
          <w:top w:val="nil"/>
          <w:left w:val="nil"/>
          <w:bottom w:val="nil"/>
          <w:right w:val="nil"/>
          <w:between w:val="nil"/>
        </w:pBdr>
        <w:tabs>
          <w:tab w:val="left" w:pos="567"/>
        </w:tabs>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dyrektywę Rady 92/13/EWG z dnia 25 lutego 1992 r. koordynującą przepisy ustawowe, wykonawcze i administracyjne odnoszące się do stosowania przepisów wspólnotowych w procedurach zamówień publicznych podmiotów działających w sektorach gospodarki wodnej, energetyki, transportu i telekomunikacji (Dz. Urz. WE L 76 z 23.03.1992, str. 14; Dz. Urz. UE Polskie wydanie specjalne rozdz. 6, t. 1, str. 315) (sektorowa dyrektywa odwoławcza)</w:t>
      </w:r>
    </w:p>
    <w:p w14:paraId="0E8D8E52" w14:textId="77777777" w:rsidR="00523BFE" w:rsidRPr="006340EF" w:rsidRDefault="00523BFE" w:rsidP="008A198A">
      <w:pPr>
        <w:tabs>
          <w:tab w:val="left" w:pos="567"/>
        </w:tabs>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 xml:space="preserve">- zwane dalej „dyrektywami odwoławczymi”. </w:t>
      </w:r>
    </w:p>
    <w:p w14:paraId="67999403" w14:textId="77777777" w:rsidR="00523BFE" w:rsidRPr="006340EF" w:rsidRDefault="00523BFE" w:rsidP="008A198A">
      <w:pPr>
        <w:pBdr>
          <w:top w:val="nil"/>
          <w:left w:val="nil"/>
          <w:bottom w:val="nil"/>
          <w:right w:val="nil"/>
          <w:between w:val="nil"/>
        </w:pBdr>
        <w:spacing w:after="0" w:line="360" w:lineRule="auto"/>
        <w:ind w:firstLine="708"/>
        <w:jc w:val="both"/>
        <w:rPr>
          <w:rFonts w:ascii="Times New Roman" w:eastAsia="Times New Roman" w:hAnsi="Times New Roman" w:cs="Times New Roman"/>
          <w:sz w:val="24"/>
          <w:szCs w:val="24"/>
        </w:rPr>
      </w:pPr>
      <w:r w:rsidRPr="006340EF">
        <w:rPr>
          <w:rFonts w:ascii="Times New Roman" w:eastAsia="Times New Roman" w:hAnsi="Times New Roman" w:cs="Times New Roman"/>
          <w:sz w:val="24"/>
          <w:szCs w:val="24"/>
        </w:rPr>
        <w:t xml:space="preserve">Zgodnie z motywem pierwszym dyrektywy klasycznej udzielanie zamówień publicznych przez instytucje państw członkowskich lub w imieniu tych instytucji musi być zgodne z zasadami Traktatu o funkcjonowaniu Unii Europejskiej (TFUE), a w szczególności z zasadą swobodnego przepływu towarów, swobody przedsiębiorczości oraz swobody świadczenia usług, a także z zasadami, które się z nich wywodzą, takimi jak: zasada równego traktowania, zasada niedyskryminacji, zasada wzajemnego uznawania, zasada proporcjonalności oraz zasada przejrzystości. W odniesieniu do zamówień publicznych o wartości powyżej określonej kwoty należy jednak </w:t>
      </w:r>
      <w:r w:rsidRPr="006340EF">
        <w:rPr>
          <w:rFonts w:ascii="Times New Roman" w:eastAsia="Times New Roman" w:hAnsi="Times New Roman" w:cs="Times New Roman"/>
          <w:sz w:val="24"/>
          <w:szCs w:val="24"/>
        </w:rPr>
        <w:lastRenderedPageBreak/>
        <w:t>ustanowić przepisy koordynujące krajowe procedury udzielania zamówień w celu zagwarantowania, że zasady te mają praktyczne zastosowanie, a zamówienia publiczne są otwarte na konkurencję.</w:t>
      </w:r>
    </w:p>
    <w:p w14:paraId="09D02816" w14:textId="77777777" w:rsidR="008B374E" w:rsidRPr="006340EF" w:rsidRDefault="008B374E" w:rsidP="008A198A">
      <w:pPr>
        <w:spacing w:after="0" w:line="360" w:lineRule="auto"/>
        <w:ind w:firstLine="708"/>
        <w:jc w:val="both"/>
        <w:rPr>
          <w:rFonts w:ascii="Times New Roman" w:hAnsi="Times New Roman" w:cs="Times New Roman"/>
          <w:sz w:val="24"/>
          <w:szCs w:val="24"/>
        </w:rPr>
      </w:pPr>
      <w:r w:rsidRPr="006340EF">
        <w:rPr>
          <w:rFonts w:ascii="Times New Roman" w:hAnsi="Times New Roman" w:cs="Times New Roman"/>
          <w:sz w:val="24"/>
          <w:szCs w:val="24"/>
        </w:rPr>
        <w:t xml:space="preserve">Ustawa o umowie koncesji </w:t>
      </w:r>
      <w:r w:rsidRPr="006340EF">
        <w:rPr>
          <w:rStyle w:val="Teksttreci"/>
          <w:sz w:val="24"/>
          <w:szCs w:val="24"/>
        </w:rPr>
        <w:t xml:space="preserve">implementuje do polskiego porządku prawnego dyrektywę Parlamentu Europejskiego i Rady 2014/23/UE z dnia 26 lutego 2014 r. w sprawie udzielania koncesji (Dz. Urz. UE L 94 z 28.03.2014, str. 1, z późn. zm.), zwaną dalej „dyrektywą koncesyjną”. Dyrektywę koncesyjną cechują właściwe dla zawierania umów koncesji na roboty budowlane lub usługi uproszczenia w stosunku do dyrektyw dotyczących zamówień publicznych, ale znaczna część regulacji jest identyczna jak w przypadku pozostałych dyrektyw tj. </w:t>
      </w:r>
      <w:r w:rsidRPr="006340EF">
        <w:rPr>
          <w:rFonts w:ascii="Times New Roman" w:hAnsi="Times New Roman" w:cs="Times New Roman"/>
          <w:sz w:val="24"/>
          <w:szCs w:val="24"/>
        </w:rPr>
        <w:t>dyrektywy 2014/24/UE, dyrektywy 2014/25/UE, oraz dyrektywy 2009/81/WE.</w:t>
      </w:r>
    </w:p>
    <w:p w14:paraId="119E842D" w14:textId="77777777" w:rsidR="00E574F3" w:rsidRPr="006340EF" w:rsidRDefault="00E574F3" w:rsidP="008A198A">
      <w:pPr>
        <w:spacing w:after="0" w:line="360" w:lineRule="auto"/>
        <w:ind w:firstLine="708"/>
        <w:jc w:val="both"/>
        <w:rPr>
          <w:rFonts w:ascii="Times New Roman" w:hAnsi="Times New Roman" w:cs="Times New Roman"/>
          <w:sz w:val="24"/>
          <w:szCs w:val="24"/>
        </w:rPr>
      </w:pPr>
      <w:r w:rsidRPr="006340EF">
        <w:rPr>
          <w:rStyle w:val="Teksttreci"/>
          <w:sz w:val="24"/>
          <w:szCs w:val="24"/>
        </w:rPr>
        <w:t>Stosownie do postanowień art. 5 pkt 1 dyrektywy koncesyjnej pojęcie „umowy koncesji” oznacza umowę, na podstawie której zamawiający powierza wykonawcy wykonanie robót budowlanych lub świadczenie usług i zarządzanie tymi usługami za wynagrodzeniem stanowiącym wyłącznie prawo do eksploatacji obiektu budowlanego lub wykonywania usług będących przedmiotem tej umowy, albo takie prawo wraz z płatnością. Jak wskazuje motyw 11 preambuły do dyrektywy koncesyjnej, koncesje są umowami o charakterze odpłatnym, przez które co najmniej jedna instytucja zamawiająca lub podmiot zamawiający powierza wykonanie robót budowlanych, lub świadczenie usług i zarządzanie nimi</w:t>
      </w:r>
      <w:r w:rsidR="00AB0DB3" w:rsidRPr="006340EF">
        <w:rPr>
          <w:rStyle w:val="Teksttreci"/>
          <w:sz w:val="24"/>
          <w:szCs w:val="24"/>
        </w:rPr>
        <w:t>,</w:t>
      </w:r>
      <w:r w:rsidRPr="006340EF">
        <w:rPr>
          <w:rStyle w:val="Teksttreci"/>
          <w:sz w:val="24"/>
          <w:szCs w:val="24"/>
        </w:rPr>
        <w:t xml:space="preserve"> co najmniej jednemu wykonawcy. Przedmiotem takich umów jest nabycie roboty budowlanej lub usługi w drodze koncesji, za które wynagrodzeniem jest prawo do eksploatacji obiektu budowlanego lub korzystania z usług lub to prawo wraz z odpłatnością. Takie umowy mogą, ale nie muszą, pociągać za sobą przekazanie własności na rzecz instytucji zamawiających lub podmiotów zamawiających, ale instytucje zamawiające lub podmioty zamawiające zawsze osiągają korzyści z danych robót budowlanych lub usług. Cechą charakterystyczną zawarcia umowy koncesji jest przeniesienie na koncesjonariusza ryzyka operacyjnego związanego z eksploatacją obiektów budowlanych lub wykonywaniem usług i obejmującego ryzyko związane z popytem lub z podażą.</w:t>
      </w:r>
    </w:p>
    <w:p w14:paraId="09415DF6" w14:textId="77777777" w:rsidR="00E574F3" w:rsidRPr="006340EF" w:rsidRDefault="008B374E" w:rsidP="008A198A">
      <w:pPr>
        <w:pStyle w:val="Teksttreci1"/>
        <w:shd w:val="clear" w:color="auto" w:fill="auto"/>
        <w:spacing w:after="0" w:line="360" w:lineRule="auto"/>
        <w:ind w:left="20" w:right="20" w:firstLine="688"/>
        <w:jc w:val="both"/>
        <w:rPr>
          <w:rStyle w:val="Teksttreci"/>
          <w:sz w:val="24"/>
          <w:szCs w:val="24"/>
        </w:rPr>
      </w:pPr>
      <w:r w:rsidRPr="006340EF">
        <w:rPr>
          <w:rStyle w:val="Teksttreci"/>
          <w:sz w:val="24"/>
          <w:szCs w:val="24"/>
        </w:rPr>
        <w:t xml:space="preserve">Ustawa o umowie koncesji </w:t>
      </w:r>
      <w:r w:rsidR="00E574F3" w:rsidRPr="006340EF">
        <w:rPr>
          <w:rStyle w:val="Teksttreci"/>
          <w:sz w:val="24"/>
          <w:szCs w:val="24"/>
        </w:rPr>
        <w:t>reguluje zasady dotyczące zawierania umów kon</w:t>
      </w:r>
      <w:r w:rsidR="00E574F3" w:rsidRPr="006340EF">
        <w:rPr>
          <w:rStyle w:val="Teksttreci"/>
          <w:sz w:val="24"/>
          <w:szCs w:val="24"/>
        </w:rPr>
        <w:lastRenderedPageBreak/>
        <w:t>cesji na roboty budowlane lub usługi, jak i zasady dotyczące realizacji umów koncesji, w tym ich zmian, oraz środki ochrony prawnej, a także organy właściwe w sprawach zawierania umów koncesji. W</w:t>
      </w:r>
      <w:r w:rsidRPr="006340EF">
        <w:rPr>
          <w:rStyle w:val="Teksttreci"/>
          <w:sz w:val="24"/>
          <w:szCs w:val="24"/>
        </w:rPr>
        <w:t xml:space="preserve"> ślad za dyrektywą koncesyjną </w:t>
      </w:r>
      <w:r w:rsidR="00E574F3" w:rsidRPr="006340EF">
        <w:rPr>
          <w:rStyle w:val="Teksttreci"/>
          <w:sz w:val="24"/>
          <w:szCs w:val="24"/>
        </w:rPr>
        <w:t xml:space="preserve">zawiera </w:t>
      </w:r>
      <w:r w:rsidRPr="006340EF">
        <w:rPr>
          <w:rStyle w:val="Teksttreci"/>
          <w:sz w:val="24"/>
          <w:szCs w:val="24"/>
        </w:rPr>
        <w:t>przejrzyste zasady oraz procedury prowadzące do zawierania umów koncesji na roboty budowlane lub usługi, w dużej mierze odpowiadające Pzp2004 lub wręcz odwołujące się do przepisów tej ustawy.</w:t>
      </w:r>
    </w:p>
    <w:p w14:paraId="2BBE4EE8" w14:textId="77777777" w:rsidR="006E1D3D" w:rsidRPr="006340EF" w:rsidRDefault="006E1D3D" w:rsidP="00AB0DB3">
      <w:pPr>
        <w:pStyle w:val="Teksttreci1"/>
        <w:shd w:val="clear" w:color="auto" w:fill="auto"/>
        <w:spacing w:after="0" w:line="360" w:lineRule="auto"/>
        <w:ind w:left="40" w:right="20" w:firstLine="668"/>
        <w:jc w:val="both"/>
        <w:rPr>
          <w:rStyle w:val="Teksttreci"/>
          <w:sz w:val="24"/>
          <w:szCs w:val="24"/>
        </w:rPr>
      </w:pPr>
      <w:r w:rsidRPr="006340EF">
        <w:rPr>
          <w:rStyle w:val="Teksttreci"/>
          <w:sz w:val="24"/>
          <w:szCs w:val="24"/>
        </w:rPr>
        <w:t xml:space="preserve">Ustawa o umowie koncesji ma zastosowanie do zamawiających, wykonawców, i koncesjonariuszy jako wykonawców, którzy zawarli umowę koncesji na roboty budowlane lub usługi. Obowiązek stosowania ustawy do zawierania umów koncesji na roboty budowlane lub usługi dotyczy zamawiających, których katalog odzwierciedla w dużej mierze kategorie zamawiających zawarte wPzp2004. </w:t>
      </w:r>
    </w:p>
    <w:p w14:paraId="3EE5D806" w14:textId="4C267026" w:rsidR="008C3AA6" w:rsidRPr="006340EF" w:rsidRDefault="006E1D3D" w:rsidP="00FF21D9">
      <w:pPr>
        <w:pStyle w:val="Teksttreci1"/>
        <w:shd w:val="clear" w:color="auto" w:fill="auto"/>
        <w:spacing w:after="0" w:line="360" w:lineRule="auto"/>
        <w:ind w:left="20" w:right="20" w:firstLine="688"/>
        <w:jc w:val="both"/>
        <w:rPr>
          <w:rFonts w:eastAsia="Times New Roman"/>
          <w:sz w:val="24"/>
          <w:szCs w:val="24"/>
        </w:rPr>
      </w:pPr>
      <w:r w:rsidRPr="006340EF">
        <w:rPr>
          <w:rFonts w:eastAsia="Times New Roman"/>
          <w:sz w:val="24"/>
          <w:szCs w:val="24"/>
        </w:rPr>
        <w:t>P</w:t>
      </w:r>
      <w:r w:rsidRPr="006340EF">
        <w:rPr>
          <w:rStyle w:val="Teksttreci"/>
          <w:sz w:val="24"/>
          <w:szCs w:val="24"/>
        </w:rPr>
        <w:t>omimo braku obowiązku stosowania przepisów dyrektywy koncesyjnej do umów koncesji o wartości poniżej progu stosowania dyrektywy koncesyjnej tj. progu równowartości 5 225 000 euro</w:t>
      </w:r>
      <w:r w:rsidR="002D21FD">
        <w:rPr>
          <w:rStyle w:val="Teksttreci"/>
          <w:sz w:val="24"/>
          <w:szCs w:val="24"/>
        </w:rPr>
        <w:t xml:space="preserve"> </w:t>
      </w:r>
      <w:r w:rsidR="00B60962" w:rsidRPr="006340EF">
        <w:rPr>
          <w:rStyle w:val="Teksttreci"/>
          <w:sz w:val="24"/>
          <w:szCs w:val="24"/>
        </w:rPr>
        <w:t xml:space="preserve">(obecnie równowartości 5 350 000 euro w związku z wdrażającym Komunikat Komisji Europejskiej </w:t>
      </w:r>
      <w:r w:rsidR="002D21FD">
        <w:rPr>
          <w:rStyle w:val="Teksttreci"/>
          <w:sz w:val="24"/>
          <w:szCs w:val="24"/>
        </w:rPr>
        <w:t>r</w:t>
      </w:r>
      <w:r w:rsidR="00B60962" w:rsidRPr="006340EF">
        <w:rPr>
          <w:rStyle w:val="Teksttreci"/>
          <w:sz w:val="24"/>
          <w:szCs w:val="24"/>
        </w:rPr>
        <w:t>ozporządzeniem Ministra Rozwoju</w:t>
      </w:r>
      <w:r w:rsidR="00B60962" w:rsidRPr="006340EF">
        <w:rPr>
          <w:sz w:val="24"/>
          <w:szCs w:val="24"/>
        </w:rPr>
        <w:t xml:space="preserve"> z dnia 16 grudnia 2019 r. w sprawie określenia kwot wartości umów koncesji, od których uzależniony jest obowiązek przekazywania ogłoszeń Urzędowi Publikacji Unii Europejskiej </w:t>
      </w:r>
      <w:r w:rsidR="002D21FD">
        <w:rPr>
          <w:sz w:val="24"/>
          <w:szCs w:val="24"/>
        </w:rPr>
        <w:t>(</w:t>
      </w:r>
      <w:r w:rsidR="00B60962" w:rsidRPr="006340EF">
        <w:rPr>
          <w:sz w:val="24"/>
          <w:szCs w:val="24"/>
        </w:rPr>
        <w:t>Dz.</w:t>
      </w:r>
      <w:r w:rsidR="002D21FD">
        <w:rPr>
          <w:sz w:val="24"/>
          <w:szCs w:val="24"/>
        </w:rPr>
        <w:t xml:space="preserve"> </w:t>
      </w:r>
      <w:r w:rsidR="00B60962" w:rsidRPr="006340EF">
        <w:rPr>
          <w:sz w:val="24"/>
          <w:szCs w:val="24"/>
        </w:rPr>
        <w:t>U. poz. 2449)</w:t>
      </w:r>
      <w:r w:rsidR="002D21FD">
        <w:rPr>
          <w:sz w:val="24"/>
          <w:szCs w:val="24"/>
        </w:rPr>
        <w:t>)</w:t>
      </w:r>
      <w:r w:rsidRPr="006340EF">
        <w:rPr>
          <w:rStyle w:val="Teksttreci"/>
          <w:sz w:val="24"/>
          <w:szCs w:val="24"/>
        </w:rPr>
        <w:t xml:space="preserve">, dyrektywa nie tylko nie wprowadza zakazu jej stosowania w stosunku do takich koncesji, ale </w:t>
      </w:r>
      <w:r w:rsidR="00B60962" w:rsidRPr="006340EF">
        <w:rPr>
          <w:rStyle w:val="Teksttreci"/>
          <w:sz w:val="24"/>
          <w:szCs w:val="24"/>
        </w:rPr>
        <w:t xml:space="preserve">wręcz </w:t>
      </w:r>
      <w:r w:rsidRPr="006340EF">
        <w:rPr>
          <w:rStyle w:val="Teksttreci"/>
          <w:sz w:val="24"/>
          <w:szCs w:val="24"/>
        </w:rPr>
        <w:t xml:space="preserve">zachęca kraje członkowskie do podejmowania działań zmierzających do usunięcia przypadków niepewności prawa, zakłóceń funkcjonowania rynku wewnętrznego i przeszkód w swobodnym świadczeniu usług. Zgodnie z motywem 8 dyrektywy koncesyjnej „Państwom członkowskim należy zezwolić na uzupełnienie i dalsze rozwinięcie tych przepisów, jeśli uznają to za właściwe, zwłaszcza w celu skuteczniejszego zapewnienia przestrzegania zasad określonych powyżej”, tj. otwarcia na konkurencję i zapewnienia pewności prawa. W motywie 23 dyrektywy </w:t>
      </w:r>
      <w:r w:rsidR="00B60962" w:rsidRPr="006340EF">
        <w:rPr>
          <w:rStyle w:val="Teksttreci"/>
          <w:sz w:val="24"/>
          <w:szCs w:val="24"/>
        </w:rPr>
        <w:t>zostało podkreślone</w:t>
      </w:r>
      <w:r w:rsidRPr="006340EF">
        <w:rPr>
          <w:rStyle w:val="Teksttreci"/>
          <w:sz w:val="24"/>
          <w:szCs w:val="24"/>
        </w:rPr>
        <w:t>, że próg 5 225 000 euro wskazany w dyrektywie dotyczy koncesji o transgranicznym charakterze. W związku z tym w</w:t>
      </w:r>
      <w:r w:rsidR="008C3AA6" w:rsidRPr="006340EF">
        <w:rPr>
          <w:rFonts w:eastAsia="Times New Roman"/>
          <w:sz w:val="24"/>
          <w:szCs w:val="24"/>
        </w:rPr>
        <w:t xml:space="preserve"> celu zapewnienia poszanowania zasad traktatowych w</w:t>
      </w:r>
      <w:r w:rsidR="00042450">
        <w:rPr>
          <w:rFonts w:eastAsia="Times New Roman"/>
          <w:sz w:val="24"/>
          <w:szCs w:val="24"/>
        </w:rPr>
        <w:t xml:space="preserve"> </w:t>
      </w:r>
      <w:r w:rsidR="008C3AA6" w:rsidRPr="006340EF">
        <w:rPr>
          <w:rFonts w:eastAsia="Times New Roman"/>
          <w:sz w:val="24"/>
          <w:szCs w:val="24"/>
        </w:rPr>
        <w:t xml:space="preserve">postępowaniach o zawarcie umowy koncesji o wartościach poniżej progów unijnych, w ustawie o umowie koncesji został określony </w:t>
      </w:r>
      <w:r w:rsidRPr="006340EF">
        <w:rPr>
          <w:rFonts w:eastAsia="Times New Roman"/>
          <w:sz w:val="24"/>
          <w:szCs w:val="24"/>
        </w:rPr>
        <w:t xml:space="preserve">niższy </w:t>
      </w:r>
      <w:r w:rsidR="008C3AA6" w:rsidRPr="006340EF">
        <w:rPr>
          <w:rFonts w:eastAsia="Times New Roman"/>
          <w:sz w:val="24"/>
          <w:szCs w:val="24"/>
        </w:rPr>
        <w:t>próg kwotowy, od którego konieczne jest zastosowanie reguł określonych tą ustawą. Jest to kwota</w:t>
      </w:r>
      <w:r w:rsidR="00C51D7F">
        <w:rPr>
          <w:rFonts w:eastAsia="Times New Roman"/>
          <w:sz w:val="24"/>
          <w:szCs w:val="24"/>
        </w:rPr>
        <w:t>,</w:t>
      </w:r>
      <w:r w:rsidR="008C3AA6" w:rsidRPr="006340EF">
        <w:rPr>
          <w:rFonts w:eastAsia="Times New Roman"/>
          <w:sz w:val="24"/>
          <w:szCs w:val="24"/>
        </w:rPr>
        <w:t xml:space="preserve"> poniżej której zamawiający nie ma </w:t>
      </w:r>
      <w:r w:rsidR="008C3AA6" w:rsidRPr="006340EF">
        <w:rPr>
          <w:rFonts w:eastAsia="Times New Roman"/>
          <w:sz w:val="24"/>
          <w:szCs w:val="24"/>
        </w:rPr>
        <w:lastRenderedPageBreak/>
        <w:t xml:space="preserve">obowiązku stosowania ustawy o umowie koncesji i w obowiązującym stanie prawnym </w:t>
      </w:r>
      <w:r w:rsidRPr="006340EF">
        <w:rPr>
          <w:rFonts w:eastAsia="Times New Roman"/>
          <w:sz w:val="24"/>
          <w:szCs w:val="24"/>
        </w:rPr>
        <w:t xml:space="preserve">próg ten </w:t>
      </w:r>
      <w:r w:rsidR="008C3AA6" w:rsidRPr="006340EF">
        <w:rPr>
          <w:rFonts w:eastAsia="Times New Roman"/>
          <w:sz w:val="24"/>
          <w:szCs w:val="24"/>
        </w:rPr>
        <w:t xml:space="preserve">odpowiada równowartości kwoty 30 000 euro. W projekcie ustawy nie przewiduje się zasadniczo zmiany progu jej zastosowania, a jedynie w celu ułatwienia ustalenia wartości zamówienia i jednocześnie dostosowania do przepisów </w:t>
      </w:r>
      <w:r w:rsidR="00EF27A0" w:rsidRPr="006340EF">
        <w:rPr>
          <w:rFonts w:eastAsia="Times New Roman"/>
          <w:sz w:val="24"/>
          <w:szCs w:val="24"/>
        </w:rPr>
        <w:t xml:space="preserve">nowej </w:t>
      </w:r>
      <w:r w:rsidR="008C3AA6" w:rsidRPr="006340EF">
        <w:rPr>
          <w:rFonts w:eastAsia="Times New Roman"/>
          <w:sz w:val="24"/>
          <w:szCs w:val="24"/>
        </w:rPr>
        <w:t xml:space="preserve">ustawy Pzp w projekcie proponuje się, aby jej próg zastosowania był wyrażony </w:t>
      </w:r>
      <w:r w:rsidR="00EF27A0" w:rsidRPr="006340EF">
        <w:rPr>
          <w:rFonts w:eastAsia="Times New Roman"/>
          <w:sz w:val="24"/>
          <w:szCs w:val="24"/>
        </w:rPr>
        <w:t>nie w walucie euro,</w:t>
      </w:r>
      <w:r w:rsidR="00042450">
        <w:rPr>
          <w:rFonts w:eastAsia="Times New Roman"/>
          <w:sz w:val="24"/>
          <w:szCs w:val="24"/>
        </w:rPr>
        <w:t xml:space="preserve"> </w:t>
      </w:r>
      <w:r w:rsidR="00EF27A0" w:rsidRPr="006340EF">
        <w:rPr>
          <w:rFonts w:eastAsia="Times New Roman"/>
          <w:sz w:val="24"/>
          <w:szCs w:val="24"/>
        </w:rPr>
        <w:t>ale w złotych polskich i odpowiadał kwocie</w:t>
      </w:r>
      <w:r w:rsidR="008C3AA6" w:rsidRPr="006340EF">
        <w:rPr>
          <w:rFonts w:eastAsia="Times New Roman"/>
          <w:sz w:val="24"/>
          <w:szCs w:val="24"/>
        </w:rPr>
        <w:t xml:space="preserve"> 130 000 zł.</w:t>
      </w:r>
    </w:p>
    <w:p w14:paraId="129D2B6F" w14:textId="77777777" w:rsidR="00EF27A0" w:rsidRPr="006340EF" w:rsidRDefault="00EF27A0" w:rsidP="008A198A">
      <w:pPr>
        <w:pStyle w:val="Teksttreci1"/>
        <w:shd w:val="clear" w:color="auto" w:fill="auto"/>
        <w:spacing w:after="0" w:line="360" w:lineRule="auto"/>
        <w:ind w:left="40" w:right="20" w:firstLine="668"/>
        <w:jc w:val="both"/>
        <w:rPr>
          <w:rStyle w:val="Teksttreci"/>
          <w:sz w:val="24"/>
          <w:szCs w:val="24"/>
        </w:rPr>
      </w:pPr>
      <w:r w:rsidRPr="006340EF">
        <w:rPr>
          <w:rStyle w:val="Teksttreci"/>
          <w:sz w:val="24"/>
          <w:szCs w:val="24"/>
        </w:rPr>
        <w:t xml:space="preserve">Ustawa o umowie koncesji przewiduje zasadniczo (poza wyłączeniami dotyczącymi umów koncesji na roboty budowlane lub usługi w sektorze gospodarki wodno-kanalizacyjnej i sektorze transportu publicznego) takie same wyłączenia jak w Pzp2004 w zakresie zamówień klasycznych, sektorowych i w dziedzinach obronności i bezpieczeństwa. </w:t>
      </w:r>
    </w:p>
    <w:p w14:paraId="3297FF37" w14:textId="77777777" w:rsidR="00EF27A0" w:rsidRPr="006340EF" w:rsidRDefault="00EF27A0" w:rsidP="008A198A">
      <w:pPr>
        <w:pStyle w:val="Teksttreci1"/>
        <w:shd w:val="clear" w:color="auto" w:fill="auto"/>
        <w:spacing w:after="0" w:line="360" w:lineRule="auto"/>
        <w:ind w:left="20" w:right="20" w:firstLine="688"/>
        <w:jc w:val="both"/>
        <w:rPr>
          <w:sz w:val="24"/>
          <w:szCs w:val="24"/>
        </w:rPr>
      </w:pPr>
      <w:r w:rsidRPr="006340EF">
        <w:rPr>
          <w:rStyle w:val="Teksttreci"/>
          <w:sz w:val="24"/>
          <w:szCs w:val="24"/>
        </w:rPr>
        <w:t>Analogicznie jak w Pzp2004 są uregulowane zagadnienia dotyczące koncesji mieszanych obejmujących jednocześnie różne rodzaje umów koncesji (roboty budowlane, usługi, usługi społeczne i inne szczególne usługi) oraz różne reżimy prawne, tj. zarówno umowy koncesji, jak również zamówienia klasyczne, zamówienia sektorowe, zamówienia w dziedzinach obronności i bezpieczeństwa oraz objęte wyłączeniem z art. 346 Traktatu o funkcjonowaniu Unii Europejskiej.</w:t>
      </w:r>
    </w:p>
    <w:p w14:paraId="0C26BC2C" w14:textId="77777777" w:rsidR="00EF27A0" w:rsidRPr="006340EF" w:rsidRDefault="00EF27A0" w:rsidP="008A198A">
      <w:pPr>
        <w:pStyle w:val="Teksttreci1"/>
        <w:shd w:val="clear" w:color="auto" w:fill="auto"/>
        <w:spacing w:after="0" w:line="360" w:lineRule="auto"/>
        <w:ind w:left="20" w:right="20" w:firstLine="688"/>
        <w:jc w:val="both"/>
        <w:rPr>
          <w:sz w:val="24"/>
          <w:szCs w:val="24"/>
        </w:rPr>
      </w:pPr>
      <w:r w:rsidRPr="006340EF">
        <w:rPr>
          <w:rStyle w:val="Teksttreci"/>
          <w:sz w:val="24"/>
          <w:szCs w:val="24"/>
        </w:rPr>
        <w:t>Ustawa o umowie koncesji wdr</w:t>
      </w:r>
      <w:r w:rsidR="00F54BEA" w:rsidRPr="006340EF">
        <w:rPr>
          <w:rStyle w:val="Teksttreci"/>
          <w:sz w:val="24"/>
          <w:szCs w:val="24"/>
        </w:rPr>
        <w:t>aża</w:t>
      </w:r>
      <w:r w:rsidRPr="006340EF">
        <w:rPr>
          <w:rStyle w:val="Teksttreci"/>
          <w:sz w:val="24"/>
          <w:szCs w:val="24"/>
        </w:rPr>
        <w:t xml:space="preserve"> przewidziane w art. 3 dyrektywy koncesyjnej, zasady</w:t>
      </w:r>
      <w:r w:rsidR="00F54BEA" w:rsidRPr="006340EF">
        <w:rPr>
          <w:rStyle w:val="Teksttreci"/>
          <w:sz w:val="24"/>
          <w:szCs w:val="24"/>
        </w:rPr>
        <w:t xml:space="preserve"> odpowiadające zasadom wdrożonym w Pzp2004</w:t>
      </w:r>
      <w:r w:rsidRPr="006340EF">
        <w:rPr>
          <w:rStyle w:val="Teksttreci"/>
          <w:sz w:val="24"/>
          <w:szCs w:val="24"/>
        </w:rPr>
        <w:t>:</w:t>
      </w:r>
    </w:p>
    <w:p w14:paraId="450D99A2" w14:textId="77777777" w:rsidR="00EF27A0" w:rsidRPr="006340EF" w:rsidRDefault="00EF27A0" w:rsidP="008A198A">
      <w:pPr>
        <w:pStyle w:val="Teksttreci1"/>
        <w:numPr>
          <w:ilvl w:val="0"/>
          <w:numId w:val="17"/>
        </w:numPr>
        <w:shd w:val="clear" w:color="auto" w:fill="auto"/>
        <w:tabs>
          <w:tab w:val="left" w:pos="434"/>
        </w:tabs>
        <w:spacing w:after="0" w:line="360" w:lineRule="auto"/>
        <w:ind w:left="20" w:firstLine="0"/>
        <w:jc w:val="both"/>
        <w:rPr>
          <w:sz w:val="24"/>
          <w:szCs w:val="24"/>
        </w:rPr>
      </w:pPr>
      <w:r w:rsidRPr="006340EF">
        <w:rPr>
          <w:rStyle w:val="Teksttreci"/>
          <w:sz w:val="24"/>
          <w:szCs w:val="24"/>
        </w:rPr>
        <w:t>otwarcia na konkurencję postępowań o zawarcie umowy koncesji;</w:t>
      </w:r>
    </w:p>
    <w:p w14:paraId="35CBB7CA" w14:textId="77777777" w:rsidR="00EF27A0" w:rsidRPr="006340EF" w:rsidRDefault="00EF27A0" w:rsidP="008A198A">
      <w:pPr>
        <w:pStyle w:val="Teksttreci1"/>
        <w:numPr>
          <w:ilvl w:val="0"/>
          <w:numId w:val="17"/>
        </w:numPr>
        <w:shd w:val="clear" w:color="auto" w:fill="auto"/>
        <w:tabs>
          <w:tab w:val="left" w:pos="434"/>
        </w:tabs>
        <w:spacing w:after="0" w:line="360" w:lineRule="auto"/>
        <w:ind w:left="434" w:hanging="414"/>
        <w:jc w:val="both"/>
        <w:rPr>
          <w:rStyle w:val="Teksttreci"/>
          <w:sz w:val="24"/>
          <w:szCs w:val="24"/>
        </w:rPr>
      </w:pPr>
      <w:r w:rsidRPr="006340EF">
        <w:rPr>
          <w:rStyle w:val="Teksttreci"/>
          <w:sz w:val="24"/>
          <w:szCs w:val="24"/>
        </w:rPr>
        <w:t>zakazu przygotowania i przeprowadzenia postępowania o zawarcie umowy koncesji w sposób mający na celu obejście stosowania ustawy lub w sposób mający na celu nieuzasadnione działanie na korzyść lub niekorzyść niektórych wykonawców lub niektórych robót budowlanych, dostaw lub usług;</w:t>
      </w:r>
    </w:p>
    <w:p w14:paraId="6356955A" w14:textId="77777777" w:rsidR="00EF27A0" w:rsidRPr="006340EF" w:rsidRDefault="00EF27A0" w:rsidP="008A198A">
      <w:pPr>
        <w:pStyle w:val="Teksttreci1"/>
        <w:numPr>
          <w:ilvl w:val="0"/>
          <w:numId w:val="17"/>
        </w:numPr>
        <w:shd w:val="clear" w:color="auto" w:fill="auto"/>
        <w:tabs>
          <w:tab w:val="left" w:pos="434"/>
        </w:tabs>
        <w:spacing w:after="0" w:line="360" w:lineRule="auto"/>
        <w:ind w:left="434" w:hanging="414"/>
        <w:jc w:val="both"/>
        <w:rPr>
          <w:sz w:val="24"/>
          <w:szCs w:val="24"/>
        </w:rPr>
      </w:pPr>
      <w:r w:rsidRPr="006340EF">
        <w:rPr>
          <w:rStyle w:val="Teksttreci"/>
          <w:sz w:val="24"/>
          <w:szCs w:val="24"/>
        </w:rPr>
        <w:t>zapewnienia przez zamawiającego równego i niedyskryminacyjnego traktowania wykonawców oraz działania w sposób przejrzysty i proporcjonalny.</w:t>
      </w:r>
    </w:p>
    <w:p w14:paraId="0BAC76CA" w14:textId="77777777" w:rsidR="00EF27A0" w:rsidRPr="006340EF" w:rsidRDefault="00F54BEA" w:rsidP="008A198A">
      <w:pPr>
        <w:pStyle w:val="Teksttreci1"/>
        <w:shd w:val="clear" w:color="auto" w:fill="auto"/>
        <w:spacing w:after="0" w:line="360" w:lineRule="auto"/>
        <w:ind w:left="20" w:right="20" w:firstLine="0"/>
        <w:jc w:val="both"/>
        <w:rPr>
          <w:rStyle w:val="Teksttreci"/>
          <w:sz w:val="24"/>
          <w:szCs w:val="24"/>
        </w:rPr>
      </w:pPr>
      <w:r w:rsidRPr="006340EF">
        <w:rPr>
          <w:rStyle w:val="Teksttreci"/>
          <w:sz w:val="24"/>
          <w:szCs w:val="24"/>
        </w:rPr>
        <w:t>Reguluje również, analogicznie jak w Pzp2004</w:t>
      </w:r>
      <w:r w:rsidR="001C3B6C" w:rsidRPr="006340EF">
        <w:rPr>
          <w:rStyle w:val="Teksttreci"/>
          <w:sz w:val="24"/>
          <w:szCs w:val="24"/>
        </w:rPr>
        <w:t>,</w:t>
      </w:r>
      <w:r w:rsidR="00EF27A0" w:rsidRPr="006340EF">
        <w:rPr>
          <w:rStyle w:val="Teksttreci"/>
          <w:sz w:val="24"/>
          <w:szCs w:val="24"/>
        </w:rPr>
        <w:t xml:space="preserve"> zagadnie</w:t>
      </w:r>
      <w:r w:rsidRPr="006340EF">
        <w:rPr>
          <w:rStyle w:val="Teksttreci"/>
          <w:sz w:val="24"/>
          <w:szCs w:val="24"/>
        </w:rPr>
        <w:t>nia</w:t>
      </w:r>
      <w:r w:rsidR="00EF27A0" w:rsidRPr="006340EF">
        <w:rPr>
          <w:rStyle w:val="Teksttreci"/>
          <w:sz w:val="24"/>
          <w:szCs w:val="24"/>
        </w:rPr>
        <w:t xml:space="preserve"> odnosząc</w:t>
      </w:r>
      <w:r w:rsidRPr="006340EF">
        <w:rPr>
          <w:rStyle w:val="Teksttreci"/>
          <w:sz w:val="24"/>
          <w:szCs w:val="24"/>
        </w:rPr>
        <w:t>e</w:t>
      </w:r>
      <w:r w:rsidR="00EF27A0" w:rsidRPr="006340EF">
        <w:rPr>
          <w:rStyle w:val="Teksttreci"/>
          <w:sz w:val="24"/>
          <w:szCs w:val="24"/>
        </w:rPr>
        <w:t xml:space="preserve"> się do zapobiegania konfliktom interesów. </w:t>
      </w:r>
    </w:p>
    <w:p w14:paraId="7255D5BB" w14:textId="77777777" w:rsidR="00F54BEA" w:rsidRPr="006340EF" w:rsidRDefault="00F54BEA" w:rsidP="008A198A">
      <w:pPr>
        <w:pStyle w:val="Teksttreci1"/>
        <w:shd w:val="clear" w:color="auto" w:fill="auto"/>
        <w:spacing w:after="0" w:line="360" w:lineRule="auto"/>
        <w:ind w:left="20" w:right="20" w:firstLine="688"/>
        <w:jc w:val="both"/>
        <w:rPr>
          <w:rStyle w:val="Teksttreci"/>
          <w:sz w:val="24"/>
          <w:szCs w:val="24"/>
        </w:rPr>
      </w:pPr>
      <w:r w:rsidRPr="006340EF">
        <w:rPr>
          <w:rStyle w:val="Teksttreci"/>
          <w:sz w:val="24"/>
          <w:szCs w:val="24"/>
        </w:rPr>
        <w:t xml:space="preserve">W celu umożliwienia zamawiającym uwzględnienia przy realizacji umów koncesji względów społecznych, dotyczących m.in. społecznej i zawodowej integracji osób niepełnosprawnych lub innych osób defaworyzowanych, zgodnie z art. 35 </w:t>
      </w:r>
      <w:r w:rsidRPr="006340EF">
        <w:rPr>
          <w:rStyle w:val="Teksttreci"/>
          <w:sz w:val="24"/>
          <w:szCs w:val="24"/>
        </w:rPr>
        <w:lastRenderedPageBreak/>
        <w:t>dyrektywy koncesyjnej, w ustawie umowie koncesji są zawarte analogiczne jak w Pzp2004 przepisy, zgodnie z którymi zamawiający mogą zastrzec odpowiednio w ogłoszeniu o koncesji albo we wstępnym ogłoszeniu informacyjnym, że o zawarcie umowy koncesji mogą ubiegać się wyłącznie zakłady pracy chronionej lub inni wykonawcy, których głównym celem jest społeczna i zawodowa integracja osób niepełnosprawnych w rozumieniu przepisów o rehabilitacji zawodowej i społecznej oraz zatrudnianiu osób niepełnosprawnych lub właściwych przepisów państw członkowskich Unii Europejskiej lub Europejskiego Obszaru Gospodarczego, lub osób defaworyzowanych.</w:t>
      </w:r>
    </w:p>
    <w:p w14:paraId="61F56988" w14:textId="0F949CA6" w:rsidR="00F54BEA" w:rsidRPr="006340EF" w:rsidRDefault="00F54BEA" w:rsidP="008A198A">
      <w:pPr>
        <w:pStyle w:val="Teksttreci1"/>
        <w:shd w:val="clear" w:color="auto" w:fill="auto"/>
        <w:spacing w:after="0" w:line="360" w:lineRule="auto"/>
        <w:ind w:right="20" w:firstLine="708"/>
        <w:jc w:val="both"/>
        <w:rPr>
          <w:rStyle w:val="Teksttreci"/>
          <w:sz w:val="24"/>
          <w:szCs w:val="24"/>
        </w:rPr>
      </w:pPr>
      <w:r w:rsidRPr="006340EF">
        <w:rPr>
          <w:rStyle w:val="Teksttreci"/>
          <w:sz w:val="24"/>
          <w:szCs w:val="24"/>
        </w:rPr>
        <w:t>Analogicznie jak w przypadku Pzp2004</w:t>
      </w:r>
      <w:r w:rsidR="00B60962" w:rsidRPr="006340EF">
        <w:rPr>
          <w:rStyle w:val="Teksttreci"/>
          <w:sz w:val="24"/>
          <w:szCs w:val="24"/>
        </w:rPr>
        <w:t>,</w:t>
      </w:r>
      <w:r w:rsidRPr="006340EF">
        <w:rPr>
          <w:rStyle w:val="Teksttreci"/>
          <w:sz w:val="24"/>
          <w:szCs w:val="24"/>
        </w:rPr>
        <w:t xml:space="preserve"> ustawa o umowie koncesji reguluje katalog przesłanek stanowiących podstawę wykluczenia wykonawców z postępowania o zawarcie umowy koncesji na roboty budowlane lub usługi</w:t>
      </w:r>
      <w:r w:rsidR="001C3B6C" w:rsidRPr="006340EF">
        <w:rPr>
          <w:rStyle w:val="Teksttreci"/>
          <w:sz w:val="24"/>
          <w:szCs w:val="24"/>
        </w:rPr>
        <w:t>, przy czym w</w:t>
      </w:r>
      <w:r w:rsidRPr="006340EF">
        <w:rPr>
          <w:rStyle w:val="Teksttreci"/>
          <w:sz w:val="24"/>
          <w:szCs w:val="24"/>
        </w:rPr>
        <w:t xml:space="preserve">ykluczenie wykonawcy w razie zaistnienia jednej ze wskazanych okoliczności </w:t>
      </w:r>
      <w:r w:rsidR="001C3B6C" w:rsidRPr="006340EF">
        <w:rPr>
          <w:rStyle w:val="Teksttreci"/>
          <w:sz w:val="24"/>
          <w:szCs w:val="24"/>
        </w:rPr>
        <w:t xml:space="preserve">jest </w:t>
      </w:r>
      <w:r w:rsidRPr="006340EF">
        <w:rPr>
          <w:rStyle w:val="Teksttreci"/>
          <w:sz w:val="24"/>
          <w:szCs w:val="24"/>
        </w:rPr>
        <w:t>obowiązkowe dla zamawiających z sektora publicznego, a fakultatywne w przypadku pozostałych kategorii zamawiających.</w:t>
      </w:r>
      <w:r w:rsidR="001C3B6C" w:rsidRPr="006340EF">
        <w:rPr>
          <w:rStyle w:val="Teksttreci"/>
          <w:sz w:val="24"/>
          <w:szCs w:val="24"/>
        </w:rPr>
        <w:t xml:space="preserve"> Jest również, analogicznie jak w Pzp2004</w:t>
      </w:r>
      <w:r w:rsidR="002D21FD">
        <w:rPr>
          <w:rStyle w:val="Teksttreci"/>
          <w:sz w:val="24"/>
          <w:szCs w:val="24"/>
        </w:rPr>
        <w:t>,</w:t>
      </w:r>
      <w:r w:rsidR="001C3B6C" w:rsidRPr="006340EF">
        <w:rPr>
          <w:rStyle w:val="Teksttreci"/>
          <w:sz w:val="24"/>
          <w:szCs w:val="24"/>
        </w:rPr>
        <w:t xml:space="preserve"> </w:t>
      </w:r>
      <w:r w:rsidRPr="006340EF">
        <w:rPr>
          <w:rStyle w:val="Teksttreci"/>
          <w:sz w:val="24"/>
          <w:szCs w:val="24"/>
        </w:rPr>
        <w:t>wprowadz</w:t>
      </w:r>
      <w:r w:rsidR="001C3B6C" w:rsidRPr="006340EF">
        <w:rPr>
          <w:rStyle w:val="Teksttreci"/>
          <w:sz w:val="24"/>
          <w:szCs w:val="24"/>
        </w:rPr>
        <w:t>ony</w:t>
      </w:r>
      <w:r w:rsidRPr="006340EF">
        <w:rPr>
          <w:rStyle w:val="Teksttreci"/>
          <w:sz w:val="24"/>
          <w:szCs w:val="24"/>
        </w:rPr>
        <w:t xml:space="preserve"> katalog fakultatywnych podstaw wykluczenia wykonawców dla wszystkich kategorii zamawiających.</w:t>
      </w:r>
    </w:p>
    <w:p w14:paraId="1EDE7753" w14:textId="2BEF0C36" w:rsidR="001C3B6C" w:rsidRPr="006340EF" w:rsidRDefault="001C3B6C" w:rsidP="008A198A">
      <w:pPr>
        <w:pStyle w:val="Teksttreci1"/>
        <w:shd w:val="clear" w:color="auto" w:fill="auto"/>
        <w:spacing w:after="0" w:line="360" w:lineRule="auto"/>
        <w:ind w:left="20" w:right="20" w:firstLine="0"/>
        <w:jc w:val="both"/>
        <w:rPr>
          <w:sz w:val="24"/>
          <w:szCs w:val="24"/>
        </w:rPr>
      </w:pPr>
      <w:r w:rsidRPr="006340EF">
        <w:rPr>
          <w:rStyle w:val="Teksttreci"/>
          <w:sz w:val="24"/>
          <w:szCs w:val="24"/>
        </w:rPr>
        <w:tab/>
        <w:t xml:space="preserve">Tak jak w Pzp2004, strony oraz uczestnicy postępowania odwoławczego mają możliwość wniesienia skargi do sądu okręgowego na orzeczenie Krajowej Izby Odwoławczej. Odpowiednie zastosowanie mają w tym przypadku zasady i tryb wnoszenia i postępowania przed sądem okręgowym, określone w przepisach </w:t>
      </w:r>
      <w:r w:rsidR="002D21FD">
        <w:rPr>
          <w:rStyle w:val="Teksttreci"/>
          <w:sz w:val="24"/>
          <w:szCs w:val="24"/>
        </w:rPr>
        <w:t>d</w:t>
      </w:r>
      <w:r w:rsidRPr="006340EF">
        <w:rPr>
          <w:rStyle w:val="Teksttreci"/>
          <w:sz w:val="24"/>
          <w:szCs w:val="24"/>
        </w:rPr>
        <w:t xml:space="preserve">ziału VI „Środki ochrony prawnej”, </w:t>
      </w:r>
      <w:r w:rsidR="002D21FD">
        <w:rPr>
          <w:rStyle w:val="Teksttreci"/>
          <w:sz w:val="24"/>
          <w:szCs w:val="24"/>
        </w:rPr>
        <w:t>r</w:t>
      </w:r>
      <w:r w:rsidRPr="006340EF">
        <w:rPr>
          <w:rStyle w:val="Teksttreci"/>
          <w:sz w:val="24"/>
          <w:szCs w:val="24"/>
        </w:rPr>
        <w:t>ozdziału 3 „Skarga do sądu” Pzp2004.</w:t>
      </w:r>
    </w:p>
    <w:p w14:paraId="57947ABA" w14:textId="77777777" w:rsidR="00664A9A" w:rsidRPr="006340EF" w:rsidRDefault="00664A9A" w:rsidP="008A198A">
      <w:pPr>
        <w:pStyle w:val="Teksttreci1"/>
        <w:shd w:val="clear" w:color="auto" w:fill="auto"/>
        <w:tabs>
          <w:tab w:val="left" w:pos="342"/>
        </w:tabs>
        <w:spacing w:after="0" w:line="360" w:lineRule="auto"/>
        <w:ind w:left="-70" w:right="20" w:firstLine="0"/>
        <w:jc w:val="both"/>
        <w:rPr>
          <w:rStyle w:val="Teksttreci"/>
          <w:sz w:val="24"/>
          <w:szCs w:val="24"/>
          <w:shd w:val="clear" w:color="auto" w:fill="auto"/>
        </w:rPr>
      </w:pPr>
    </w:p>
    <w:p w14:paraId="763507A9" w14:textId="77777777" w:rsidR="00664A9A" w:rsidRPr="006340EF" w:rsidRDefault="00664A9A" w:rsidP="008A198A">
      <w:pPr>
        <w:spacing w:after="0" w:line="360" w:lineRule="auto"/>
        <w:jc w:val="both"/>
        <w:rPr>
          <w:rFonts w:ascii="Times New Roman" w:eastAsia="Times New Roman" w:hAnsi="Times New Roman" w:cs="Times New Roman"/>
          <w:sz w:val="24"/>
          <w:szCs w:val="24"/>
        </w:rPr>
      </w:pPr>
      <w:r w:rsidRPr="006340EF">
        <w:rPr>
          <w:rFonts w:ascii="Times New Roman" w:eastAsia="Times New Roman" w:hAnsi="Times New Roman" w:cs="Times New Roman"/>
          <w:b/>
          <w:sz w:val="24"/>
          <w:szCs w:val="24"/>
        </w:rPr>
        <w:t>III. Zakres projektowanej regulacji.</w:t>
      </w:r>
    </w:p>
    <w:p w14:paraId="6B73D348" w14:textId="77777777" w:rsidR="00EA7E87" w:rsidRPr="006340EF" w:rsidRDefault="00EA7E87" w:rsidP="008A198A">
      <w:pPr>
        <w:spacing w:after="0" w:line="360" w:lineRule="auto"/>
        <w:rPr>
          <w:rFonts w:ascii="Times New Roman" w:eastAsia="Times New Roman" w:hAnsi="Times New Roman" w:cs="Times New Roman"/>
          <w:sz w:val="24"/>
          <w:szCs w:val="24"/>
          <w:lang w:eastAsia="pl-PL"/>
        </w:rPr>
      </w:pPr>
    </w:p>
    <w:p w14:paraId="557D58C8" w14:textId="77777777" w:rsidR="001A6F51" w:rsidRPr="006340EF" w:rsidRDefault="001A6F51" w:rsidP="008A198A">
      <w:pPr>
        <w:spacing w:after="0" w:line="360" w:lineRule="auto"/>
        <w:jc w:val="both"/>
        <w:rPr>
          <w:rFonts w:ascii="Times New Roman" w:hAnsi="Times New Roman" w:cs="Times New Roman"/>
          <w:b/>
          <w:sz w:val="24"/>
          <w:szCs w:val="24"/>
        </w:rPr>
      </w:pPr>
      <w:r w:rsidRPr="006340EF">
        <w:rPr>
          <w:rFonts w:ascii="Times New Roman" w:hAnsi="Times New Roman" w:cs="Times New Roman"/>
          <w:b/>
          <w:sz w:val="24"/>
          <w:szCs w:val="24"/>
        </w:rPr>
        <w:t>1. Zmiana ustawy o umowie koncesji</w:t>
      </w:r>
    </w:p>
    <w:p w14:paraId="44C3D296" w14:textId="6C91ABC5" w:rsidR="00A650E6" w:rsidRPr="006340EF" w:rsidRDefault="00BE4F81" w:rsidP="008A198A">
      <w:pPr>
        <w:spacing w:after="0" w:line="360" w:lineRule="auto"/>
        <w:ind w:firstLine="708"/>
        <w:jc w:val="both"/>
        <w:rPr>
          <w:rFonts w:ascii="Times New Roman" w:eastAsia="Calibri" w:hAnsi="Times New Roman" w:cs="Times New Roman"/>
          <w:sz w:val="24"/>
          <w:szCs w:val="24"/>
        </w:rPr>
      </w:pPr>
      <w:r w:rsidRPr="006340EF">
        <w:rPr>
          <w:rFonts w:ascii="Times New Roman" w:eastAsia="Calibri" w:hAnsi="Times New Roman" w:cs="Times New Roman"/>
          <w:sz w:val="24"/>
          <w:szCs w:val="24"/>
        </w:rPr>
        <w:t>Projekt ustawy w zakresie nowelizacji ustawy o umowie koncesji</w:t>
      </w:r>
      <w:r w:rsidR="00A650E6" w:rsidRPr="006340EF">
        <w:rPr>
          <w:rFonts w:ascii="Times New Roman" w:eastAsia="Calibri" w:hAnsi="Times New Roman" w:cs="Times New Roman"/>
          <w:sz w:val="24"/>
          <w:szCs w:val="24"/>
        </w:rPr>
        <w:t xml:space="preserve"> obejmuje zmiany niezbędne, związane z prawidłową transpozycją tych przepisów dyrektywy </w:t>
      </w:r>
      <w:r w:rsidR="00F74A0E" w:rsidRPr="006340EF">
        <w:rPr>
          <w:rFonts w:ascii="Times New Roman" w:eastAsia="Calibri" w:hAnsi="Times New Roman" w:cs="Times New Roman"/>
          <w:sz w:val="24"/>
          <w:szCs w:val="24"/>
        </w:rPr>
        <w:t>2014/2</w:t>
      </w:r>
      <w:r w:rsidR="008C3AA6" w:rsidRPr="006340EF">
        <w:rPr>
          <w:rFonts w:ascii="Times New Roman" w:eastAsia="Calibri" w:hAnsi="Times New Roman" w:cs="Times New Roman"/>
          <w:sz w:val="24"/>
          <w:szCs w:val="24"/>
        </w:rPr>
        <w:t>3</w:t>
      </w:r>
      <w:r w:rsidR="00F74A0E" w:rsidRPr="006340EF">
        <w:rPr>
          <w:rFonts w:ascii="Times New Roman" w:eastAsia="Calibri" w:hAnsi="Times New Roman" w:cs="Times New Roman"/>
          <w:sz w:val="24"/>
          <w:szCs w:val="24"/>
        </w:rPr>
        <w:t>/UE</w:t>
      </w:r>
      <w:r w:rsidR="00A650E6" w:rsidRPr="006340EF">
        <w:rPr>
          <w:rFonts w:ascii="Times New Roman" w:eastAsia="Calibri" w:hAnsi="Times New Roman" w:cs="Times New Roman"/>
          <w:sz w:val="24"/>
          <w:szCs w:val="24"/>
        </w:rPr>
        <w:t xml:space="preserve">, które ustawodawca unijny uregulował analogicznie jak w dyrektywach 2014/24/UE oraz 2014/25/UE. W szczególności dostosowania wymagają przepisy </w:t>
      </w:r>
      <w:r w:rsidR="00A650E6" w:rsidRPr="006340EF">
        <w:rPr>
          <w:rFonts w:ascii="Times New Roman" w:eastAsia="Calibri" w:hAnsi="Times New Roman" w:cs="Times New Roman"/>
          <w:sz w:val="24"/>
          <w:szCs w:val="24"/>
        </w:rPr>
        <w:lastRenderedPageBreak/>
        <w:t xml:space="preserve">dotyczące przesłanek wyłączenia stosowania ustawy </w:t>
      </w:r>
      <w:r w:rsidR="00415CCF" w:rsidRPr="006340EF">
        <w:rPr>
          <w:rFonts w:ascii="Times New Roman" w:eastAsia="Calibri" w:hAnsi="Times New Roman" w:cs="Times New Roman"/>
          <w:sz w:val="24"/>
          <w:szCs w:val="24"/>
        </w:rPr>
        <w:t>o umowie koncesji</w:t>
      </w:r>
      <w:r w:rsidR="00A650E6" w:rsidRPr="006340EF">
        <w:rPr>
          <w:rFonts w:ascii="Times New Roman" w:eastAsia="Calibri" w:hAnsi="Times New Roman" w:cs="Times New Roman"/>
          <w:sz w:val="24"/>
          <w:szCs w:val="24"/>
        </w:rPr>
        <w:t xml:space="preserve"> (art.</w:t>
      </w:r>
      <w:r w:rsidR="002D21FD">
        <w:rPr>
          <w:rFonts w:ascii="Times New Roman" w:eastAsia="Calibri" w:hAnsi="Times New Roman" w:cs="Times New Roman"/>
          <w:sz w:val="24"/>
          <w:szCs w:val="24"/>
        </w:rPr>
        <w:t xml:space="preserve"> </w:t>
      </w:r>
      <w:r w:rsidR="00A650E6" w:rsidRPr="006340EF">
        <w:rPr>
          <w:rFonts w:ascii="Times New Roman" w:eastAsia="Calibri" w:hAnsi="Times New Roman" w:cs="Times New Roman"/>
          <w:sz w:val="24"/>
          <w:szCs w:val="24"/>
        </w:rPr>
        <w:t xml:space="preserve">5) oraz podstaw wykluczenia z postępowania o zawarcie umowy koncesji (art. 32). </w:t>
      </w:r>
    </w:p>
    <w:p w14:paraId="2772ADD8" w14:textId="77777777" w:rsidR="00B60962" w:rsidRPr="006340EF" w:rsidRDefault="00B60962" w:rsidP="008A198A">
      <w:pPr>
        <w:spacing w:after="0" w:line="360" w:lineRule="auto"/>
        <w:ind w:firstLine="708"/>
        <w:jc w:val="both"/>
        <w:rPr>
          <w:rFonts w:ascii="Times New Roman" w:eastAsia="Calibri" w:hAnsi="Times New Roman" w:cs="Times New Roman"/>
          <w:sz w:val="24"/>
          <w:szCs w:val="24"/>
        </w:rPr>
      </w:pPr>
    </w:p>
    <w:p w14:paraId="7583F9C7" w14:textId="77777777" w:rsidR="00A650E6" w:rsidRDefault="00B90EF1" w:rsidP="008A198A">
      <w:pPr>
        <w:pStyle w:val="ARTartustawynprozporzdzenia"/>
        <w:spacing w:before="0"/>
        <w:ind w:firstLine="0"/>
        <w:rPr>
          <w:rFonts w:ascii="Times New Roman" w:hAnsi="Times New Roman" w:cs="Times New Roman"/>
          <w:b/>
          <w:szCs w:val="24"/>
        </w:rPr>
      </w:pPr>
      <w:r w:rsidRPr="006340EF">
        <w:rPr>
          <w:rFonts w:ascii="Times New Roman" w:hAnsi="Times New Roman" w:cs="Times New Roman"/>
          <w:b/>
          <w:szCs w:val="24"/>
        </w:rPr>
        <w:t xml:space="preserve">Szczegółowe omówienie </w:t>
      </w:r>
      <w:r w:rsidR="006B487C" w:rsidRPr="006340EF">
        <w:rPr>
          <w:rFonts w:ascii="Times New Roman" w:hAnsi="Times New Roman" w:cs="Times New Roman"/>
          <w:b/>
          <w:szCs w:val="24"/>
        </w:rPr>
        <w:t xml:space="preserve">najważniejszych </w:t>
      </w:r>
      <w:r w:rsidRPr="006340EF">
        <w:rPr>
          <w:rFonts w:ascii="Times New Roman" w:hAnsi="Times New Roman" w:cs="Times New Roman"/>
          <w:b/>
          <w:szCs w:val="24"/>
        </w:rPr>
        <w:t>zmian</w:t>
      </w:r>
    </w:p>
    <w:p w14:paraId="4DE0953B" w14:textId="77777777" w:rsidR="006B487C" w:rsidRDefault="006B487C" w:rsidP="008A198A">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u w:val="single"/>
        </w:rPr>
        <w:t>Progi</w:t>
      </w:r>
    </w:p>
    <w:p w14:paraId="4C350F54" w14:textId="77777777" w:rsidR="002D613C" w:rsidRPr="006340EF" w:rsidRDefault="006B487C"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Jak dotychczas ustawowym reżimem mają być objęte umowy koncesji, których wartość osiąga określone kwoty progowe.</w:t>
      </w:r>
    </w:p>
    <w:p w14:paraId="2A99EE85" w14:textId="77777777" w:rsidR="00DB7BA4" w:rsidRPr="006340EF" w:rsidRDefault="00FF2C97"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 xml:space="preserve">Projekt ustawy w ślad za </w:t>
      </w:r>
      <w:r w:rsidR="00D30A72" w:rsidRPr="006340EF">
        <w:rPr>
          <w:rFonts w:ascii="Times New Roman" w:hAnsi="Times New Roman" w:cs="Times New Roman"/>
          <w:szCs w:val="24"/>
        </w:rPr>
        <w:t xml:space="preserve">dotychczas obowiązującymi </w:t>
      </w:r>
      <w:r w:rsidR="00EF7179" w:rsidRPr="006340EF">
        <w:rPr>
          <w:rFonts w:ascii="Times New Roman" w:hAnsi="Times New Roman" w:cs="Times New Roman"/>
          <w:szCs w:val="24"/>
        </w:rPr>
        <w:t>przepisami</w:t>
      </w:r>
      <w:r w:rsidR="00D30A72" w:rsidRPr="006340EF">
        <w:rPr>
          <w:rFonts w:ascii="Times New Roman" w:hAnsi="Times New Roman" w:cs="Times New Roman"/>
          <w:szCs w:val="24"/>
        </w:rPr>
        <w:t xml:space="preserve"> przewiduje</w:t>
      </w:r>
      <w:r w:rsidRPr="006340EF">
        <w:rPr>
          <w:rFonts w:ascii="Times New Roman" w:hAnsi="Times New Roman" w:cs="Times New Roman"/>
          <w:szCs w:val="24"/>
        </w:rPr>
        <w:t xml:space="preserve"> wprowadzenie kwoty szacunkowej wartości </w:t>
      </w:r>
      <w:r w:rsidR="00EF7179" w:rsidRPr="006340EF">
        <w:rPr>
          <w:rFonts w:ascii="Times New Roman" w:hAnsi="Times New Roman" w:cs="Times New Roman"/>
          <w:szCs w:val="24"/>
        </w:rPr>
        <w:t>umów koncesji</w:t>
      </w:r>
      <w:r w:rsidRPr="006340EF">
        <w:rPr>
          <w:rFonts w:ascii="Times New Roman" w:hAnsi="Times New Roman" w:cs="Times New Roman"/>
          <w:szCs w:val="24"/>
        </w:rPr>
        <w:t>, której nieprzekroczenie będzie zwalniało zamawiającego z obowiązku stosowania przepisów ustawy</w:t>
      </w:r>
      <w:r w:rsidR="00EE243C" w:rsidRPr="006340EF">
        <w:rPr>
          <w:rFonts w:ascii="Times New Roman" w:hAnsi="Times New Roman" w:cs="Times New Roman"/>
          <w:szCs w:val="24"/>
        </w:rPr>
        <w:t xml:space="preserve"> (art. 4</w:t>
      </w:r>
      <w:r w:rsidR="00EA1192" w:rsidRPr="006340EF">
        <w:rPr>
          <w:rFonts w:ascii="Times New Roman" w:hAnsi="Times New Roman" w:cs="Times New Roman"/>
          <w:szCs w:val="24"/>
        </w:rPr>
        <w:t xml:space="preserve"> ustawy o umowie koncesji</w:t>
      </w:r>
      <w:r w:rsidR="00EE243C" w:rsidRPr="006340EF">
        <w:rPr>
          <w:rFonts w:ascii="Times New Roman" w:hAnsi="Times New Roman" w:cs="Times New Roman"/>
          <w:szCs w:val="24"/>
        </w:rPr>
        <w:t>)</w:t>
      </w:r>
      <w:r w:rsidR="00AF58AE" w:rsidRPr="006340EF">
        <w:rPr>
          <w:rFonts w:ascii="Times New Roman" w:hAnsi="Times New Roman" w:cs="Times New Roman"/>
          <w:szCs w:val="24"/>
        </w:rPr>
        <w:t xml:space="preserve">. </w:t>
      </w:r>
      <w:r w:rsidR="00EE243C" w:rsidRPr="006340EF">
        <w:rPr>
          <w:rFonts w:ascii="Times New Roman" w:hAnsi="Times New Roman" w:cs="Times New Roman"/>
          <w:szCs w:val="24"/>
        </w:rPr>
        <w:t xml:space="preserve">Jednocześnie podobnie jak w nowej ustawie Pzp zrezygnowano z posługiwania się w projekcie ustawy </w:t>
      </w:r>
      <w:r w:rsidR="00F565A8" w:rsidRPr="006340EF">
        <w:rPr>
          <w:rFonts w:ascii="Times New Roman" w:hAnsi="Times New Roman" w:cs="Times New Roman"/>
          <w:szCs w:val="24"/>
        </w:rPr>
        <w:t>k</w:t>
      </w:r>
      <w:r w:rsidR="00EE243C" w:rsidRPr="006340EF">
        <w:rPr>
          <w:rFonts w:ascii="Times New Roman" w:hAnsi="Times New Roman" w:cs="Times New Roman"/>
          <w:szCs w:val="24"/>
        </w:rPr>
        <w:t>wotą wyrażon</w:t>
      </w:r>
      <w:r w:rsidR="00F565A8" w:rsidRPr="006340EF">
        <w:rPr>
          <w:rFonts w:ascii="Times New Roman" w:hAnsi="Times New Roman" w:cs="Times New Roman"/>
          <w:szCs w:val="24"/>
        </w:rPr>
        <w:t>ą</w:t>
      </w:r>
      <w:r w:rsidR="00F80541" w:rsidRPr="006340EF">
        <w:rPr>
          <w:rFonts w:ascii="Times New Roman" w:hAnsi="Times New Roman" w:cs="Times New Roman"/>
          <w:szCs w:val="24"/>
        </w:rPr>
        <w:t xml:space="preserve"> w walucie euro i wprowadzono stały próg stosowania ustawy wyrażony</w:t>
      </w:r>
      <w:r w:rsidR="00EE243C" w:rsidRPr="006340EF">
        <w:rPr>
          <w:rFonts w:ascii="Times New Roman" w:hAnsi="Times New Roman" w:cs="Times New Roman"/>
          <w:szCs w:val="24"/>
        </w:rPr>
        <w:t xml:space="preserve"> w złotych</w:t>
      </w:r>
      <w:r w:rsidR="00F80541" w:rsidRPr="006340EF">
        <w:rPr>
          <w:rFonts w:ascii="Times New Roman" w:hAnsi="Times New Roman" w:cs="Times New Roman"/>
          <w:szCs w:val="24"/>
        </w:rPr>
        <w:t>.</w:t>
      </w:r>
      <w:r w:rsidR="00042450">
        <w:rPr>
          <w:rFonts w:ascii="Times New Roman" w:hAnsi="Times New Roman" w:cs="Times New Roman"/>
          <w:szCs w:val="24"/>
        </w:rPr>
        <w:t xml:space="preserve"> </w:t>
      </w:r>
      <w:r w:rsidR="00AF58AE" w:rsidRPr="006340EF">
        <w:rPr>
          <w:rFonts w:ascii="Times New Roman" w:hAnsi="Times New Roman" w:cs="Times New Roman"/>
          <w:szCs w:val="24"/>
        </w:rPr>
        <w:t>P</w:t>
      </w:r>
      <w:r w:rsidR="00DB7BA4" w:rsidRPr="006340EF">
        <w:rPr>
          <w:rFonts w:ascii="Times New Roman" w:hAnsi="Times New Roman" w:cs="Times New Roman"/>
          <w:szCs w:val="24"/>
        </w:rPr>
        <w:t xml:space="preserve">róg ten </w:t>
      </w:r>
      <w:r w:rsidR="00EE243C" w:rsidRPr="006340EF">
        <w:rPr>
          <w:rFonts w:ascii="Times New Roman" w:hAnsi="Times New Roman" w:cs="Times New Roman"/>
          <w:szCs w:val="24"/>
        </w:rPr>
        <w:t xml:space="preserve">będzie </w:t>
      </w:r>
      <w:r w:rsidR="00DB7BA4" w:rsidRPr="006340EF">
        <w:rPr>
          <w:rFonts w:ascii="Times New Roman" w:hAnsi="Times New Roman" w:cs="Times New Roman"/>
          <w:szCs w:val="24"/>
        </w:rPr>
        <w:t>wynosi</w:t>
      </w:r>
      <w:r w:rsidR="00EE243C" w:rsidRPr="006340EF">
        <w:rPr>
          <w:rFonts w:ascii="Times New Roman" w:hAnsi="Times New Roman" w:cs="Times New Roman"/>
          <w:szCs w:val="24"/>
        </w:rPr>
        <w:t>ł</w:t>
      </w:r>
      <w:r w:rsidR="00DB7BA4" w:rsidRPr="006340EF">
        <w:rPr>
          <w:rFonts w:ascii="Times New Roman" w:hAnsi="Times New Roman" w:cs="Times New Roman"/>
          <w:szCs w:val="24"/>
        </w:rPr>
        <w:t xml:space="preserve"> 130 000 zł, co stanowi w przybliżeniu wyrażoną w złotych w dotychczas obowiązujących przepisach równowartość kwoty 30 000 euro</w:t>
      </w:r>
      <w:r w:rsidR="00F80541" w:rsidRPr="006340EF">
        <w:rPr>
          <w:rFonts w:ascii="Times New Roman" w:hAnsi="Times New Roman" w:cs="Times New Roman"/>
          <w:szCs w:val="24"/>
        </w:rPr>
        <w:t>.</w:t>
      </w:r>
      <w:r w:rsidR="00BC52AE" w:rsidRPr="006340EF">
        <w:rPr>
          <w:rFonts w:ascii="Times New Roman" w:hAnsi="Times New Roman" w:cs="Times New Roman"/>
          <w:szCs w:val="24"/>
        </w:rPr>
        <w:t xml:space="preserve"> Uniezależnienie progu od kursu euro ma na celu przede wszystkim zwolnienie zamawiających z konieczności przeliczania kwot szacowanych i wyrażonych w złotych na euro, po to aby sprawdzić czy zachodzi obowiązek stosowania przepisów ustawy czy też nie. Ułatwi to także dokonywanie przez inne organy ustaleń w zakresie obowiązku stosowania przez zamawiających przepisów ustawy</w:t>
      </w:r>
      <w:r w:rsidR="007E1CC4" w:rsidRPr="006340EF">
        <w:rPr>
          <w:rFonts w:ascii="Times New Roman" w:hAnsi="Times New Roman" w:cs="Times New Roman"/>
          <w:szCs w:val="24"/>
        </w:rPr>
        <w:t xml:space="preserve"> o umowie koncesji</w:t>
      </w:r>
      <w:r w:rsidR="00BC52AE" w:rsidRPr="006340EF">
        <w:rPr>
          <w:rFonts w:ascii="Times New Roman" w:hAnsi="Times New Roman" w:cs="Times New Roman"/>
          <w:szCs w:val="24"/>
        </w:rPr>
        <w:t>.</w:t>
      </w:r>
    </w:p>
    <w:p w14:paraId="6E603875" w14:textId="77777777" w:rsidR="00211FDB" w:rsidRPr="006340EF" w:rsidRDefault="00B90EF1"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Projekt ustawy</w:t>
      </w:r>
      <w:r w:rsidR="00F565A8" w:rsidRPr="006340EF">
        <w:rPr>
          <w:rFonts w:ascii="Times New Roman" w:hAnsi="Times New Roman" w:cs="Times New Roman"/>
          <w:szCs w:val="24"/>
        </w:rPr>
        <w:t>,</w:t>
      </w:r>
      <w:r w:rsidR="00042450">
        <w:rPr>
          <w:rFonts w:ascii="Times New Roman" w:hAnsi="Times New Roman" w:cs="Times New Roman"/>
          <w:szCs w:val="24"/>
        </w:rPr>
        <w:t xml:space="preserve"> </w:t>
      </w:r>
      <w:r w:rsidR="00923717" w:rsidRPr="006340EF">
        <w:rPr>
          <w:rFonts w:ascii="Times New Roman" w:hAnsi="Times New Roman" w:cs="Times New Roman"/>
          <w:szCs w:val="24"/>
        </w:rPr>
        <w:t>analogicznie jak w nowej ustawie Pzp</w:t>
      </w:r>
      <w:r w:rsidR="00F565A8" w:rsidRPr="006340EF">
        <w:rPr>
          <w:rFonts w:ascii="Times New Roman" w:hAnsi="Times New Roman" w:cs="Times New Roman"/>
          <w:szCs w:val="24"/>
        </w:rPr>
        <w:t>,</w:t>
      </w:r>
      <w:r w:rsidR="00923717" w:rsidRPr="006340EF">
        <w:rPr>
          <w:rFonts w:ascii="Times New Roman" w:hAnsi="Times New Roman" w:cs="Times New Roman"/>
          <w:szCs w:val="24"/>
        </w:rPr>
        <w:t xml:space="preserve"> przewiduje </w:t>
      </w:r>
      <w:r w:rsidR="002D613C" w:rsidRPr="006340EF">
        <w:rPr>
          <w:rFonts w:ascii="Times New Roman" w:hAnsi="Times New Roman" w:cs="Times New Roman"/>
          <w:szCs w:val="24"/>
        </w:rPr>
        <w:t xml:space="preserve">również </w:t>
      </w:r>
      <w:r w:rsidR="00923717" w:rsidRPr="006340EF">
        <w:rPr>
          <w:rFonts w:ascii="Times New Roman" w:hAnsi="Times New Roman" w:cs="Times New Roman"/>
          <w:szCs w:val="24"/>
        </w:rPr>
        <w:t>wprowadzenie definicji progu unijnego</w:t>
      </w:r>
      <w:r w:rsidR="000B20A6" w:rsidRPr="006340EF">
        <w:rPr>
          <w:rFonts w:ascii="Times New Roman" w:hAnsi="Times New Roman" w:cs="Times New Roman"/>
          <w:szCs w:val="24"/>
        </w:rPr>
        <w:t xml:space="preserve"> (art. 2 pkt 6a</w:t>
      </w:r>
      <w:r w:rsidR="00EA1192" w:rsidRPr="006340EF">
        <w:rPr>
          <w:rFonts w:ascii="Times New Roman" w:hAnsi="Times New Roman" w:cs="Times New Roman"/>
          <w:szCs w:val="24"/>
        </w:rPr>
        <w:t xml:space="preserve"> ustawy o umowie koncesji</w:t>
      </w:r>
      <w:r w:rsidR="000B20A6" w:rsidRPr="006340EF">
        <w:rPr>
          <w:rFonts w:ascii="Times New Roman" w:hAnsi="Times New Roman" w:cs="Times New Roman"/>
          <w:szCs w:val="24"/>
        </w:rPr>
        <w:t>)</w:t>
      </w:r>
      <w:r w:rsidR="005E742E" w:rsidRPr="006340EF">
        <w:rPr>
          <w:rFonts w:ascii="Times New Roman" w:hAnsi="Times New Roman" w:cs="Times New Roman"/>
          <w:szCs w:val="24"/>
        </w:rPr>
        <w:t>, która będzie odsyłać do ob</w:t>
      </w:r>
      <w:r w:rsidR="00C51D7F">
        <w:rPr>
          <w:rFonts w:ascii="Times New Roman" w:hAnsi="Times New Roman" w:cs="Times New Roman"/>
          <w:szCs w:val="24"/>
        </w:rPr>
        <w:t>o</w:t>
      </w:r>
      <w:r w:rsidR="005E742E" w:rsidRPr="006340EF">
        <w:rPr>
          <w:rFonts w:ascii="Times New Roman" w:hAnsi="Times New Roman" w:cs="Times New Roman"/>
          <w:szCs w:val="24"/>
        </w:rPr>
        <w:t xml:space="preserve">wiązujących w danym momencie regulacji unijnych, zarówno </w:t>
      </w:r>
      <w:r w:rsidR="00930597" w:rsidRPr="006340EF">
        <w:rPr>
          <w:rFonts w:ascii="Times New Roman" w:hAnsi="Times New Roman" w:cs="Times New Roman"/>
          <w:szCs w:val="24"/>
        </w:rPr>
        <w:t>art. 8 ust. 1 dyrektywy 2014/23/UE, jak i rozporządzenia</w:t>
      </w:r>
      <w:r w:rsidR="005E742E" w:rsidRPr="006340EF">
        <w:rPr>
          <w:rFonts w:ascii="Times New Roman" w:hAnsi="Times New Roman" w:cs="Times New Roman"/>
          <w:szCs w:val="24"/>
        </w:rPr>
        <w:t xml:space="preserve"> Ko</w:t>
      </w:r>
      <w:r w:rsidR="00930597" w:rsidRPr="006340EF">
        <w:rPr>
          <w:rFonts w:ascii="Times New Roman" w:hAnsi="Times New Roman" w:cs="Times New Roman"/>
          <w:szCs w:val="24"/>
        </w:rPr>
        <w:t xml:space="preserve">misji Europejskiej </w:t>
      </w:r>
      <w:r w:rsidR="000A51C3" w:rsidRPr="006340EF">
        <w:rPr>
          <w:rFonts w:ascii="Times New Roman" w:hAnsi="Times New Roman" w:cs="Times New Roman"/>
          <w:szCs w:val="24"/>
        </w:rPr>
        <w:t xml:space="preserve">wydawanego na podstawie art. 9 ust. 4 dyrektywy 2014/23/UE, </w:t>
      </w:r>
      <w:r w:rsidR="00930597" w:rsidRPr="006340EF">
        <w:rPr>
          <w:rFonts w:ascii="Times New Roman" w:hAnsi="Times New Roman" w:cs="Times New Roman"/>
          <w:szCs w:val="24"/>
        </w:rPr>
        <w:t>zmieniającego c</w:t>
      </w:r>
      <w:r w:rsidR="000A51C3" w:rsidRPr="006340EF">
        <w:rPr>
          <w:rFonts w:ascii="Times New Roman" w:hAnsi="Times New Roman" w:cs="Times New Roman"/>
          <w:szCs w:val="24"/>
        </w:rPr>
        <w:t xml:space="preserve">o </w:t>
      </w:r>
      <w:r w:rsidR="00930597" w:rsidRPr="006340EF">
        <w:rPr>
          <w:rFonts w:ascii="Times New Roman" w:hAnsi="Times New Roman" w:cs="Times New Roman"/>
          <w:szCs w:val="24"/>
        </w:rPr>
        <w:t>dwa lata ww. dyrektywę</w:t>
      </w:r>
      <w:r w:rsidR="007C6402" w:rsidRPr="006340EF">
        <w:rPr>
          <w:rFonts w:ascii="Times New Roman" w:hAnsi="Times New Roman" w:cs="Times New Roman"/>
          <w:szCs w:val="24"/>
        </w:rPr>
        <w:t xml:space="preserve"> w odniesieniu do progu obowiązującego</w:t>
      </w:r>
      <w:r w:rsidR="005E742E" w:rsidRPr="006340EF">
        <w:rPr>
          <w:rFonts w:ascii="Times New Roman" w:hAnsi="Times New Roman" w:cs="Times New Roman"/>
          <w:szCs w:val="24"/>
        </w:rPr>
        <w:t xml:space="preserve"> w zakresie procedur </w:t>
      </w:r>
      <w:r w:rsidR="007C6402" w:rsidRPr="006340EF">
        <w:rPr>
          <w:rFonts w:ascii="Times New Roman" w:hAnsi="Times New Roman" w:cs="Times New Roman"/>
          <w:szCs w:val="24"/>
        </w:rPr>
        <w:t>zawierania umów koncesji</w:t>
      </w:r>
      <w:r w:rsidR="000A51C3" w:rsidRPr="006340EF">
        <w:rPr>
          <w:rFonts w:ascii="Times New Roman" w:hAnsi="Times New Roman" w:cs="Times New Roman"/>
          <w:szCs w:val="24"/>
        </w:rPr>
        <w:t xml:space="preserve">. </w:t>
      </w:r>
      <w:r w:rsidR="00732500" w:rsidRPr="006340EF">
        <w:rPr>
          <w:rFonts w:ascii="Times New Roman" w:hAnsi="Times New Roman" w:cs="Times New Roman"/>
          <w:szCs w:val="24"/>
        </w:rPr>
        <w:t>Takie rozwiązanie umożliwi rezygnację z wydawania przez ministra właściwego do spraw gospodarki co dwa lata rozporządzenia dotyczącego wartości progu unijnego</w:t>
      </w:r>
      <w:r w:rsidR="00F0684F" w:rsidRPr="006340EF">
        <w:rPr>
          <w:rFonts w:ascii="Times New Roman" w:hAnsi="Times New Roman" w:cs="Times New Roman"/>
          <w:szCs w:val="24"/>
        </w:rPr>
        <w:t>,</w:t>
      </w:r>
      <w:r w:rsidR="00196F40" w:rsidRPr="006340EF">
        <w:rPr>
          <w:rFonts w:ascii="Times New Roman" w:hAnsi="Times New Roman" w:cs="Times New Roman"/>
          <w:szCs w:val="24"/>
        </w:rPr>
        <w:t xml:space="preserve"> które</w:t>
      </w:r>
      <w:r w:rsidR="00C3650B" w:rsidRPr="006340EF">
        <w:rPr>
          <w:rFonts w:ascii="Times New Roman" w:hAnsi="Times New Roman" w:cs="Times New Roman"/>
          <w:szCs w:val="24"/>
        </w:rPr>
        <w:t>go regulacje</w:t>
      </w:r>
      <w:r w:rsidR="00042450">
        <w:rPr>
          <w:rFonts w:ascii="Times New Roman" w:hAnsi="Times New Roman" w:cs="Times New Roman"/>
          <w:szCs w:val="24"/>
        </w:rPr>
        <w:t xml:space="preserve"> </w:t>
      </w:r>
      <w:r w:rsidR="00F565A8" w:rsidRPr="006340EF">
        <w:rPr>
          <w:rFonts w:ascii="Times New Roman" w:hAnsi="Times New Roman" w:cs="Times New Roman"/>
          <w:szCs w:val="24"/>
        </w:rPr>
        <w:t xml:space="preserve">w istocie </w:t>
      </w:r>
      <w:r w:rsidR="00C3650B" w:rsidRPr="006340EF">
        <w:rPr>
          <w:rFonts w:ascii="Times New Roman" w:hAnsi="Times New Roman" w:cs="Times New Roman"/>
          <w:szCs w:val="24"/>
        </w:rPr>
        <w:lastRenderedPageBreak/>
        <w:t>były</w:t>
      </w:r>
      <w:r w:rsidR="00196F40" w:rsidRPr="006340EF">
        <w:rPr>
          <w:rFonts w:ascii="Times New Roman" w:hAnsi="Times New Roman" w:cs="Times New Roman"/>
          <w:szCs w:val="24"/>
        </w:rPr>
        <w:t xml:space="preserve"> odzwierciedleniem </w:t>
      </w:r>
      <w:r w:rsidR="00C3650B" w:rsidRPr="006340EF">
        <w:rPr>
          <w:rFonts w:ascii="Times New Roman" w:hAnsi="Times New Roman" w:cs="Times New Roman"/>
          <w:szCs w:val="24"/>
        </w:rPr>
        <w:t>określonych</w:t>
      </w:r>
      <w:r w:rsidR="00211FDB" w:rsidRPr="006340EF">
        <w:rPr>
          <w:rFonts w:ascii="Times New Roman" w:hAnsi="Times New Roman" w:cs="Times New Roman"/>
          <w:szCs w:val="24"/>
        </w:rPr>
        <w:t xml:space="preserve"> w prawie unijnym wartości kwotowych, oraz</w:t>
      </w:r>
      <w:r w:rsidR="00042450">
        <w:rPr>
          <w:rFonts w:ascii="Times New Roman" w:hAnsi="Times New Roman" w:cs="Times New Roman"/>
          <w:szCs w:val="24"/>
        </w:rPr>
        <w:t xml:space="preserve"> </w:t>
      </w:r>
      <w:r w:rsidR="000B20A6" w:rsidRPr="006340EF">
        <w:rPr>
          <w:rFonts w:ascii="Times New Roman" w:hAnsi="Times New Roman" w:cs="Times New Roman"/>
          <w:szCs w:val="24"/>
        </w:rPr>
        <w:t xml:space="preserve">przyczyni się do większej </w:t>
      </w:r>
      <w:r w:rsidR="00E7740E" w:rsidRPr="006340EF">
        <w:rPr>
          <w:rFonts w:ascii="Times New Roman" w:hAnsi="Times New Roman" w:cs="Times New Roman"/>
          <w:szCs w:val="24"/>
        </w:rPr>
        <w:t>przejrzystości</w:t>
      </w:r>
      <w:r w:rsidR="000B20A6" w:rsidRPr="006340EF">
        <w:rPr>
          <w:rFonts w:ascii="Times New Roman" w:hAnsi="Times New Roman" w:cs="Times New Roman"/>
          <w:szCs w:val="24"/>
        </w:rPr>
        <w:t xml:space="preserve"> ustawy i skrótowości jej przepisów. </w:t>
      </w:r>
    </w:p>
    <w:p w14:paraId="7C62E007" w14:textId="4EA45EAB" w:rsidR="005E742E" w:rsidRPr="006340EF" w:rsidRDefault="005E742E"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 xml:space="preserve">Jednocześnie, aby zapewnić odpowiedni </w:t>
      </w:r>
      <w:r w:rsidR="00211FDB" w:rsidRPr="006340EF">
        <w:rPr>
          <w:rFonts w:ascii="Times New Roman" w:hAnsi="Times New Roman" w:cs="Times New Roman"/>
          <w:szCs w:val="24"/>
        </w:rPr>
        <w:t>dostęp do informacji dotyczącej aktualnego progu u</w:t>
      </w:r>
      <w:r w:rsidR="00CB2D8E" w:rsidRPr="006340EF">
        <w:rPr>
          <w:rFonts w:ascii="Times New Roman" w:hAnsi="Times New Roman" w:cs="Times New Roman"/>
          <w:szCs w:val="24"/>
        </w:rPr>
        <w:t>nijnego</w:t>
      </w:r>
      <w:r w:rsidR="002362BC" w:rsidRPr="006340EF">
        <w:rPr>
          <w:rFonts w:ascii="Times New Roman" w:hAnsi="Times New Roman" w:cs="Times New Roman"/>
          <w:szCs w:val="24"/>
        </w:rPr>
        <w:t xml:space="preserve">, projekt ustawy, poprzez zmianę </w:t>
      </w:r>
      <w:r w:rsidR="006C3966" w:rsidRPr="006340EF">
        <w:rPr>
          <w:rFonts w:ascii="Times New Roman" w:hAnsi="Times New Roman" w:cs="Times New Roman"/>
          <w:szCs w:val="24"/>
        </w:rPr>
        <w:t xml:space="preserve">w </w:t>
      </w:r>
      <w:r w:rsidR="002362BC" w:rsidRPr="006340EF">
        <w:rPr>
          <w:rFonts w:ascii="Times New Roman" w:hAnsi="Times New Roman" w:cs="Times New Roman"/>
          <w:szCs w:val="24"/>
        </w:rPr>
        <w:t xml:space="preserve">art. 18 </w:t>
      </w:r>
      <w:r w:rsidR="006C3966" w:rsidRPr="006340EF">
        <w:rPr>
          <w:rFonts w:ascii="Times New Roman" w:hAnsi="Times New Roman" w:cs="Times New Roman"/>
          <w:szCs w:val="24"/>
        </w:rPr>
        <w:t xml:space="preserve">ustawy o umowie koncesji brzmienia </w:t>
      </w:r>
      <w:r w:rsidR="00792F96" w:rsidRPr="006340EF">
        <w:rPr>
          <w:rFonts w:ascii="Times New Roman" w:hAnsi="Times New Roman" w:cs="Times New Roman"/>
          <w:szCs w:val="24"/>
        </w:rPr>
        <w:t>ust</w:t>
      </w:r>
      <w:r w:rsidR="008E4C83">
        <w:rPr>
          <w:rFonts w:ascii="Times New Roman" w:hAnsi="Times New Roman" w:cs="Times New Roman"/>
          <w:szCs w:val="24"/>
        </w:rPr>
        <w:t>.</w:t>
      </w:r>
      <w:r w:rsidR="00792F96" w:rsidRPr="006340EF">
        <w:rPr>
          <w:rFonts w:ascii="Times New Roman" w:hAnsi="Times New Roman" w:cs="Times New Roman"/>
          <w:szCs w:val="24"/>
        </w:rPr>
        <w:t xml:space="preserve"> 2 i dodanie </w:t>
      </w:r>
      <w:r w:rsidR="000F3302" w:rsidRPr="006340EF">
        <w:rPr>
          <w:rFonts w:ascii="Times New Roman" w:hAnsi="Times New Roman" w:cs="Times New Roman"/>
          <w:szCs w:val="24"/>
        </w:rPr>
        <w:t>ust. 2a</w:t>
      </w:r>
      <w:r w:rsidR="002362BC" w:rsidRPr="006340EF">
        <w:rPr>
          <w:rFonts w:ascii="Times New Roman" w:hAnsi="Times New Roman" w:cs="Times New Roman"/>
          <w:szCs w:val="24"/>
        </w:rPr>
        <w:t xml:space="preserve">, </w:t>
      </w:r>
      <w:r w:rsidRPr="006340EF">
        <w:rPr>
          <w:rFonts w:ascii="Times New Roman" w:hAnsi="Times New Roman" w:cs="Times New Roman"/>
          <w:szCs w:val="24"/>
        </w:rPr>
        <w:t xml:space="preserve">nakłada na </w:t>
      </w:r>
      <w:r w:rsidR="004254CC" w:rsidRPr="006340EF">
        <w:rPr>
          <w:rFonts w:ascii="Times New Roman" w:hAnsi="Times New Roman" w:cs="Times New Roman"/>
          <w:szCs w:val="24"/>
        </w:rPr>
        <w:t>ministra właściwego do spraw gospodarki</w:t>
      </w:r>
      <w:r w:rsidRPr="006340EF">
        <w:rPr>
          <w:rFonts w:ascii="Times New Roman" w:hAnsi="Times New Roman" w:cs="Times New Roman"/>
          <w:szCs w:val="24"/>
        </w:rPr>
        <w:t xml:space="preserve"> obowiązek informowania o </w:t>
      </w:r>
      <w:r w:rsidR="004254CC" w:rsidRPr="006340EF">
        <w:rPr>
          <w:rFonts w:ascii="Times New Roman" w:hAnsi="Times New Roman" w:cs="Times New Roman"/>
          <w:szCs w:val="24"/>
        </w:rPr>
        <w:t xml:space="preserve">aktualnym progu unijnym, jego </w:t>
      </w:r>
      <w:r w:rsidR="00FC256C" w:rsidRPr="006340EF">
        <w:rPr>
          <w:rFonts w:ascii="Times New Roman" w:hAnsi="Times New Roman" w:cs="Times New Roman"/>
          <w:szCs w:val="24"/>
        </w:rPr>
        <w:t>równowartoś</w:t>
      </w:r>
      <w:r w:rsidR="00C51D7F">
        <w:rPr>
          <w:rFonts w:ascii="Times New Roman" w:hAnsi="Times New Roman" w:cs="Times New Roman"/>
          <w:szCs w:val="24"/>
        </w:rPr>
        <w:t>ci</w:t>
      </w:r>
      <w:r w:rsidR="00FC256C" w:rsidRPr="006340EF">
        <w:rPr>
          <w:rFonts w:ascii="Times New Roman" w:hAnsi="Times New Roman" w:cs="Times New Roman"/>
          <w:szCs w:val="24"/>
        </w:rPr>
        <w:t xml:space="preserve"> w złotych, ustalonej</w:t>
      </w:r>
      <w:r w:rsidR="004254CC" w:rsidRPr="006340EF">
        <w:rPr>
          <w:rFonts w:ascii="Times New Roman" w:hAnsi="Times New Roman" w:cs="Times New Roman"/>
          <w:szCs w:val="24"/>
        </w:rPr>
        <w:t xml:space="preserve"> zgodnie z komunikatem Komisji Europejskiej, wydanym na podstawie art. 9 ust. 2 dyrektywy 2014/23/UE oraz średni</w:t>
      </w:r>
      <w:r w:rsidR="00FC256C" w:rsidRPr="006340EF">
        <w:rPr>
          <w:rFonts w:ascii="Times New Roman" w:hAnsi="Times New Roman" w:cs="Times New Roman"/>
          <w:szCs w:val="24"/>
        </w:rPr>
        <w:t>m</w:t>
      </w:r>
      <w:r w:rsidR="004254CC" w:rsidRPr="006340EF">
        <w:rPr>
          <w:rFonts w:ascii="Times New Roman" w:hAnsi="Times New Roman" w:cs="Times New Roman"/>
          <w:szCs w:val="24"/>
        </w:rPr>
        <w:t xml:space="preserve"> kurs</w:t>
      </w:r>
      <w:r w:rsidR="00FC256C" w:rsidRPr="006340EF">
        <w:rPr>
          <w:rFonts w:ascii="Times New Roman" w:hAnsi="Times New Roman" w:cs="Times New Roman"/>
          <w:szCs w:val="24"/>
        </w:rPr>
        <w:t>ie</w:t>
      </w:r>
      <w:r w:rsidR="004254CC" w:rsidRPr="006340EF">
        <w:rPr>
          <w:rFonts w:ascii="Times New Roman" w:hAnsi="Times New Roman" w:cs="Times New Roman"/>
          <w:szCs w:val="24"/>
        </w:rPr>
        <w:t xml:space="preserve"> złotego w stosunku do euro, stanowiący</w:t>
      </w:r>
      <w:r w:rsidR="00FC256C" w:rsidRPr="006340EF">
        <w:rPr>
          <w:rFonts w:ascii="Times New Roman" w:hAnsi="Times New Roman" w:cs="Times New Roman"/>
          <w:szCs w:val="24"/>
        </w:rPr>
        <w:t>m</w:t>
      </w:r>
      <w:r w:rsidR="004254CC" w:rsidRPr="006340EF">
        <w:rPr>
          <w:rFonts w:ascii="Times New Roman" w:hAnsi="Times New Roman" w:cs="Times New Roman"/>
          <w:szCs w:val="24"/>
        </w:rPr>
        <w:t xml:space="preserve"> podstawę przeliczania wartości umów koncesji, ustalony</w:t>
      </w:r>
      <w:r w:rsidR="000F2A07" w:rsidRPr="006340EF">
        <w:rPr>
          <w:rFonts w:ascii="Times New Roman" w:hAnsi="Times New Roman" w:cs="Times New Roman"/>
          <w:szCs w:val="24"/>
        </w:rPr>
        <w:t>m</w:t>
      </w:r>
      <w:r w:rsidR="004254CC" w:rsidRPr="006340EF">
        <w:rPr>
          <w:rFonts w:ascii="Times New Roman" w:hAnsi="Times New Roman" w:cs="Times New Roman"/>
          <w:szCs w:val="24"/>
        </w:rPr>
        <w:t xml:space="preserve"> na podstawie kwoty określonej w ww. komunikacie Komisji Europejskiej</w:t>
      </w:r>
      <w:r w:rsidR="000F2A07" w:rsidRPr="006340EF">
        <w:rPr>
          <w:rFonts w:ascii="Times New Roman" w:hAnsi="Times New Roman" w:cs="Times New Roman"/>
          <w:szCs w:val="24"/>
        </w:rPr>
        <w:t xml:space="preserve">. </w:t>
      </w:r>
      <w:r w:rsidRPr="006340EF">
        <w:rPr>
          <w:rFonts w:ascii="Times New Roman" w:hAnsi="Times New Roman" w:cs="Times New Roman"/>
          <w:szCs w:val="24"/>
        </w:rPr>
        <w:t xml:space="preserve">Taka informacja będzie publikowana w formie obwieszczenia ogłaszanego w Dzienniku Urzędowym Rzeczypospolitej Polskiej „Monitor Polski” oraz na stronie internetowej Urzędu Zamówień Publicznych, niezwłocznie po publikacji </w:t>
      </w:r>
      <w:r w:rsidR="002362BC" w:rsidRPr="006340EF">
        <w:rPr>
          <w:rFonts w:ascii="Times New Roman" w:hAnsi="Times New Roman" w:cs="Times New Roman"/>
          <w:szCs w:val="24"/>
        </w:rPr>
        <w:t xml:space="preserve">ww. </w:t>
      </w:r>
      <w:r w:rsidRPr="006340EF">
        <w:rPr>
          <w:rFonts w:ascii="Times New Roman" w:hAnsi="Times New Roman" w:cs="Times New Roman"/>
          <w:szCs w:val="24"/>
        </w:rPr>
        <w:t>komunikatu Komisji Europejskiej w Dzienniku Urzędowym Unii Europejskiej.</w:t>
      </w:r>
      <w:r w:rsidR="000F3302" w:rsidRPr="006340EF">
        <w:rPr>
          <w:rFonts w:ascii="Times New Roman" w:hAnsi="Times New Roman" w:cs="Times New Roman"/>
          <w:szCs w:val="24"/>
        </w:rPr>
        <w:t xml:space="preserve"> Informacja ta będzie miała zastosowanie do postępowań o zawarcie umowy koncesji wszczętych od dnia wejścia w życie aktów wykonawczych Komisji Europejskiej, wydawanych na podstawie art. 9 ust. 4 dyrektywy 2014/23/UE.</w:t>
      </w:r>
    </w:p>
    <w:p w14:paraId="783972BD" w14:textId="77777777" w:rsidR="00F565A8" w:rsidRPr="006340EF" w:rsidRDefault="00F565A8" w:rsidP="008A198A">
      <w:pPr>
        <w:pStyle w:val="ARTartustawynprozporzdzenia"/>
        <w:spacing w:before="0"/>
        <w:ind w:firstLine="708"/>
        <w:rPr>
          <w:rFonts w:ascii="Times New Roman" w:hAnsi="Times New Roman" w:cs="Times New Roman"/>
          <w:szCs w:val="24"/>
        </w:rPr>
      </w:pPr>
    </w:p>
    <w:p w14:paraId="4EF3A2C9" w14:textId="77777777" w:rsidR="005E742E" w:rsidRPr="006340EF" w:rsidRDefault="0064370B" w:rsidP="008A198A">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u w:val="single"/>
        </w:rPr>
        <w:t>Wyłączenia stosowania ustawy</w:t>
      </w:r>
    </w:p>
    <w:p w14:paraId="17D0ED51" w14:textId="77777777" w:rsidR="00B91A3D" w:rsidRPr="006340EF" w:rsidRDefault="00B91A3D" w:rsidP="008A198A">
      <w:pPr>
        <w:pStyle w:val="ARTartustawynprozporzdzenia"/>
        <w:spacing w:before="0"/>
        <w:rPr>
          <w:rFonts w:ascii="Times New Roman" w:hAnsi="Times New Roman" w:cs="Times New Roman"/>
          <w:szCs w:val="24"/>
        </w:rPr>
      </w:pPr>
      <w:r w:rsidRPr="006340EF">
        <w:rPr>
          <w:rFonts w:ascii="Times New Roman" w:hAnsi="Times New Roman" w:cs="Times New Roman"/>
          <w:szCs w:val="24"/>
        </w:rPr>
        <w:t xml:space="preserve">Wyłączenia spod obowiązku stosowania ustawy uregulowane w art. 5 ustawy o umowie koncesji </w:t>
      </w:r>
      <w:r w:rsidR="00192025" w:rsidRPr="006340EF">
        <w:rPr>
          <w:rFonts w:ascii="Times New Roman" w:hAnsi="Times New Roman" w:cs="Times New Roman"/>
          <w:szCs w:val="24"/>
        </w:rPr>
        <w:t>stanowią odzwierciedlenie przepisów unijnych w tym zakresie</w:t>
      </w:r>
      <w:r w:rsidR="00E33CC9" w:rsidRPr="006340EF">
        <w:rPr>
          <w:rFonts w:ascii="Times New Roman" w:hAnsi="Times New Roman" w:cs="Times New Roman"/>
          <w:szCs w:val="24"/>
        </w:rPr>
        <w:t xml:space="preserve">. Należy podkreślić, że </w:t>
      </w:r>
      <w:r w:rsidR="004D0B19" w:rsidRPr="006340EF">
        <w:rPr>
          <w:rFonts w:ascii="Times New Roman" w:hAnsi="Times New Roman" w:cs="Times New Roman"/>
          <w:szCs w:val="24"/>
        </w:rPr>
        <w:t>dyrektywa 2014/23/UE w sposób zamknięty określiła</w:t>
      </w:r>
      <w:r w:rsidR="00E33CC9" w:rsidRPr="006340EF">
        <w:rPr>
          <w:rFonts w:ascii="Times New Roman" w:hAnsi="Times New Roman" w:cs="Times New Roman"/>
          <w:szCs w:val="24"/>
        </w:rPr>
        <w:t xml:space="preserve"> przypadki, w których następuje wyłączenie stosowania ich przepisów, ograniczając tym samym przypadki, w których na gruncie prawa polskiego jako prawa krajowego może nie mieć zastosowania ustawa o umowie koncesji.</w:t>
      </w:r>
    </w:p>
    <w:p w14:paraId="452CF765" w14:textId="77777777" w:rsidR="003C28CE" w:rsidRPr="006340EF" w:rsidRDefault="0048197D"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 xml:space="preserve">Zmiana art. 5 ust. 1 pkt 1 i dodanie pkt 1a i 1b stanowi dostosowanie tego przepisu do brzmienia art. </w:t>
      </w:r>
      <w:r w:rsidR="00D2528F" w:rsidRPr="006340EF">
        <w:rPr>
          <w:rFonts w:ascii="Times New Roman" w:hAnsi="Times New Roman" w:cs="Times New Roman"/>
          <w:szCs w:val="24"/>
        </w:rPr>
        <w:t>9 nowej ustawy Pzp</w:t>
      </w:r>
      <w:r w:rsidR="00A60681" w:rsidRPr="006340EF">
        <w:rPr>
          <w:rFonts w:ascii="Times New Roman" w:hAnsi="Times New Roman" w:cs="Times New Roman"/>
          <w:szCs w:val="24"/>
        </w:rPr>
        <w:t>.</w:t>
      </w:r>
    </w:p>
    <w:p w14:paraId="691BB5A8" w14:textId="6CA5C973" w:rsidR="00A60681" w:rsidRPr="006340EF" w:rsidRDefault="00A60681" w:rsidP="005F5244">
      <w:pPr>
        <w:pStyle w:val="CM1"/>
        <w:spacing w:line="360" w:lineRule="auto"/>
        <w:ind w:firstLine="708"/>
        <w:jc w:val="both"/>
      </w:pPr>
      <w:r w:rsidRPr="006340EF">
        <w:t xml:space="preserve">Projekt </w:t>
      </w:r>
      <w:r w:rsidR="00CC5A12" w:rsidRPr="006340EF">
        <w:t xml:space="preserve">w art. 5 </w:t>
      </w:r>
      <w:r w:rsidR="00960FB2" w:rsidRPr="006340EF">
        <w:t xml:space="preserve">ust. 1 pkt 3 lit. k </w:t>
      </w:r>
      <w:r w:rsidRPr="006340EF">
        <w:t xml:space="preserve">rozszerza wyłączenia o </w:t>
      </w:r>
      <w:r w:rsidR="00960FB2" w:rsidRPr="006340EF">
        <w:t xml:space="preserve">zawieranie umów koncesji, których przedmiotem są usługi publiczne w zakresie transportu pasażerskiego </w:t>
      </w:r>
      <w:r w:rsidR="00CF3678" w:rsidRPr="006340EF">
        <w:t>co stanowi przeniesienie regulacji z art. 11 ust. 1 pkt 10 nowej ustawy Pzp.</w:t>
      </w:r>
      <w:r w:rsidR="004B4316" w:rsidRPr="006340EF">
        <w:t xml:space="preserve"> Przy czym, inaczej niż w nowej ustawie Pzp, w wyłączeniu </w:t>
      </w:r>
      <w:r w:rsidR="00545DD1" w:rsidRPr="006340EF">
        <w:t xml:space="preserve">dodawanym </w:t>
      </w:r>
      <w:r w:rsidR="004B4316" w:rsidRPr="006340EF">
        <w:t xml:space="preserve">w art. 5 ust. </w:t>
      </w:r>
      <w:r w:rsidR="004B4316" w:rsidRPr="006340EF">
        <w:lastRenderedPageBreak/>
        <w:t xml:space="preserve">1 pkt 3 lit. k ustawy o umowie koncesji </w:t>
      </w:r>
      <w:r w:rsidR="009F01A5" w:rsidRPr="006340EF">
        <w:t>odnoszącym się do</w:t>
      </w:r>
      <w:r w:rsidR="00545DD1" w:rsidRPr="006340EF">
        <w:t xml:space="preserve"> usług publicznych w zakresie transportu pasażerskiego nie ma ograniczenia tego wyłączenia </w:t>
      </w:r>
      <w:r w:rsidR="005F5244" w:rsidRPr="006340EF">
        <w:t xml:space="preserve">tylko </w:t>
      </w:r>
      <w:r w:rsidR="00545DD1" w:rsidRPr="006340EF">
        <w:t>do usług publicznych</w:t>
      </w:r>
      <w:r w:rsidR="00042450">
        <w:t xml:space="preserve"> </w:t>
      </w:r>
      <w:r w:rsidR="004B4316" w:rsidRPr="006340EF">
        <w:t>transportu pasażerskiego koleją lub metrem</w:t>
      </w:r>
      <w:r w:rsidR="005F5244" w:rsidRPr="006340EF">
        <w:t>, ale</w:t>
      </w:r>
      <w:r w:rsidR="00545DD1" w:rsidRPr="006340EF">
        <w:t xml:space="preserve"> obejmuje </w:t>
      </w:r>
      <w:r w:rsidR="009F01A5" w:rsidRPr="006340EF">
        <w:t xml:space="preserve">ono </w:t>
      </w:r>
      <w:r w:rsidR="00545DD1" w:rsidRPr="006340EF">
        <w:t>wszystkie rodzaje usług publicznych w zakresie transportu pasażerskiego</w:t>
      </w:r>
      <w:r w:rsidR="004B4316" w:rsidRPr="006340EF">
        <w:t xml:space="preserve">. Różnica ta </w:t>
      </w:r>
      <w:r w:rsidR="00545DD1" w:rsidRPr="006340EF">
        <w:t xml:space="preserve">stanowi odzwierciedlenie różnicy </w:t>
      </w:r>
      <w:r w:rsidR="009F01A5" w:rsidRPr="006340EF">
        <w:t>w uregulowaniu</w:t>
      </w:r>
      <w:r w:rsidR="004B4316" w:rsidRPr="006340EF">
        <w:t xml:space="preserve"> zakresu wyłączenia </w:t>
      </w:r>
      <w:r w:rsidR="001217D0" w:rsidRPr="006340EF">
        <w:t xml:space="preserve">usług publicznych </w:t>
      </w:r>
      <w:r w:rsidR="009F01A5" w:rsidRPr="006340EF">
        <w:t>w</w:t>
      </w:r>
      <w:r w:rsidR="00042450">
        <w:t xml:space="preserve"> </w:t>
      </w:r>
      <w:r w:rsidR="009F01A5" w:rsidRPr="006340EF">
        <w:t>obszarze</w:t>
      </w:r>
      <w:r w:rsidR="001217D0" w:rsidRPr="006340EF">
        <w:t xml:space="preserve"> transportu pasażerskiego określonego dyrektywą koncesyjną w art. 10 ust. 3, który stanowi m.in. o nie stosowaniu tej dyrektywy do usług publicznych w zakresie transportu pasażerskiego w rozumieniu rozporządzenia (WE) nr 1370/2007</w:t>
      </w:r>
      <w:r w:rsidR="00E553A1" w:rsidRPr="006340EF">
        <w:rPr>
          <w:rStyle w:val="Odwoanieprzypisudolnego"/>
        </w:rPr>
        <w:footnoteReference w:id="1"/>
      </w:r>
      <w:r w:rsidR="001217D0" w:rsidRPr="006340EF">
        <w:t xml:space="preserve">, </w:t>
      </w:r>
      <w:r w:rsidR="009F01A5" w:rsidRPr="006340EF">
        <w:t>w stosunku do</w:t>
      </w:r>
      <w:r w:rsidR="001217D0" w:rsidRPr="006340EF">
        <w:t xml:space="preserve"> analogiczn</w:t>
      </w:r>
      <w:r w:rsidR="005F5244" w:rsidRPr="006340EF">
        <w:t>ego</w:t>
      </w:r>
      <w:r w:rsidR="001217D0" w:rsidRPr="006340EF">
        <w:t xml:space="preserve"> wyłączeni</w:t>
      </w:r>
      <w:r w:rsidR="005F5244" w:rsidRPr="006340EF">
        <w:t>a</w:t>
      </w:r>
      <w:r w:rsidR="001217D0" w:rsidRPr="006340EF">
        <w:t xml:space="preserve"> określon</w:t>
      </w:r>
      <w:r w:rsidR="005F5244" w:rsidRPr="006340EF">
        <w:t>ego</w:t>
      </w:r>
      <w:r w:rsidR="001217D0" w:rsidRPr="006340EF">
        <w:t xml:space="preserve"> art. 10 lit. i dyrektywy klasycznej oraz art. 21 lit</w:t>
      </w:r>
      <w:r w:rsidR="00C2385E">
        <w:t>.</w:t>
      </w:r>
      <w:r w:rsidR="001217D0" w:rsidRPr="006340EF">
        <w:t xml:space="preserve"> g dyrektywy sektorowej, w których wyłączenie w zakresie usług publicznych w zakresie transportu pasażerskiego odnosi się </w:t>
      </w:r>
      <w:r w:rsidR="00545DD1" w:rsidRPr="006340EF">
        <w:t>wyłącznie</w:t>
      </w:r>
      <w:r w:rsidR="001217D0" w:rsidRPr="006340EF">
        <w:t xml:space="preserve"> do usług w zakresie transportu pasażerskiego koleją lub metrem</w:t>
      </w:r>
      <w:r w:rsidR="00545DD1" w:rsidRPr="006340EF">
        <w:t xml:space="preserve">. </w:t>
      </w:r>
      <w:r w:rsidR="005F5244" w:rsidRPr="006340EF">
        <w:t xml:space="preserve">Powyższe zróżnicowanie regulacji </w:t>
      </w:r>
      <w:r w:rsidR="009F01A5" w:rsidRPr="006340EF">
        <w:t xml:space="preserve">dyrektyw </w:t>
      </w:r>
      <w:r w:rsidR="005F5244" w:rsidRPr="006340EF">
        <w:t>wynika</w:t>
      </w:r>
      <w:r w:rsidR="00042450">
        <w:t xml:space="preserve"> </w:t>
      </w:r>
      <w:r w:rsidR="005F5244" w:rsidRPr="006340EF">
        <w:t xml:space="preserve">stąd, że na podstawie </w:t>
      </w:r>
      <w:r w:rsidR="00E553A1" w:rsidRPr="006340EF">
        <w:t xml:space="preserve">art. 5 ust. 1 rozporządzenia </w:t>
      </w:r>
      <w:r w:rsidR="008E4C83" w:rsidRPr="008E4C83">
        <w:t xml:space="preserve">(WE) nr 1370/2007 </w:t>
      </w:r>
      <w:r w:rsidR="00E553A1" w:rsidRPr="006340EF">
        <w:t xml:space="preserve">Parlamentu Europejskiego i Rady </w:t>
      </w:r>
      <w:r w:rsidR="009F01A5" w:rsidRPr="006340EF">
        <w:t>,</w:t>
      </w:r>
      <w:r w:rsidR="00E553A1" w:rsidRPr="006340EF">
        <w:t xml:space="preserve"> dyrektywy </w:t>
      </w:r>
      <w:r w:rsidR="005F5244" w:rsidRPr="006340EF">
        <w:t>klasyczna i sektorowa</w:t>
      </w:r>
      <w:r w:rsidR="00E553A1" w:rsidRPr="006340EF">
        <w:t xml:space="preserve"> mają odpowiednio zastosowanie do zamówień na świadczenie usług oraz zamówień publicznych na usługi publicznego pasażerskiego transportu autobusowego lub tramwajowego</w:t>
      </w:r>
      <w:r w:rsidR="005F5244" w:rsidRPr="006340EF">
        <w:t xml:space="preserve">. </w:t>
      </w:r>
      <w:r w:rsidR="004E001A" w:rsidRPr="006340EF">
        <w:t>Do zamówień publicznych na usługi publicznego pasażerskiego transportu kolejowego lub metrem mają natomiast zastosowanie p</w:t>
      </w:r>
      <w:r w:rsidR="005F5244" w:rsidRPr="006340EF">
        <w:t xml:space="preserve">rzepisy rozporządzenia. </w:t>
      </w:r>
      <w:r w:rsidR="009F01A5" w:rsidRPr="006340EF">
        <w:t>W przypadku umów koncesji p</w:t>
      </w:r>
      <w:r w:rsidR="005F5244" w:rsidRPr="006340EF">
        <w:t>rzepisy rozporządzenia</w:t>
      </w:r>
      <w:r w:rsidR="00E418CC">
        <w:t xml:space="preserve"> </w:t>
      </w:r>
      <w:r w:rsidR="00E553A1" w:rsidRPr="006340EF">
        <w:t>(WE) nr 1370/2007 ma</w:t>
      </w:r>
      <w:r w:rsidR="005F5244" w:rsidRPr="006340EF">
        <w:t xml:space="preserve">ją zastosowanie zarówno </w:t>
      </w:r>
      <w:r w:rsidR="00E553A1" w:rsidRPr="006340EF">
        <w:t xml:space="preserve">do </w:t>
      </w:r>
      <w:r w:rsidR="005F5244" w:rsidRPr="006340EF">
        <w:t xml:space="preserve">zawierania umów </w:t>
      </w:r>
      <w:r w:rsidR="00E553A1" w:rsidRPr="006340EF">
        <w:t>koncesji na usługi publicznego pasażerskiego transportu autobusowego lub tramwajowego</w:t>
      </w:r>
      <w:r w:rsidR="005F5244" w:rsidRPr="006340EF">
        <w:t xml:space="preserve"> jak i do zawierania umów koncesji na usługi publicznego transportu pasażerskiego koleją lub metrem</w:t>
      </w:r>
      <w:r w:rsidR="00E04FA3" w:rsidRPr="006340EF">
        <w:t>. W zakresie, w jakim zastosowanie mają przepisy rozporządzenia (WE) nr 1370/2007 przepisy dyrektyw klasycznej i sektorowej w zakresie udzielania zamówień publicznych oraz przepisy dyrektywy koncesyjnej w zakresie zawierania umów koncesji nie mają zastosowania.</w:t>
      </w:r>
      <w:r w:rsidR="00042450">
        <w:t xml:space="preserve"> </w:t>
      </w:r>
      <w:r w:rsidR="00E04FA3" w:rsidRPr="006340EF">
        <w:t xml:space="preserve">Ponieważ rozporządzenie (WE) nr 1370/2007 ma zastosowanie do zawierania umów koncesji na wszystkie </w:t>
      </w:r>
      <w:r w:rsidR="009F01A5" w:rsidRPr="006340EF">
        <w:t xml:space="preserve">rodzaje </w:t>
      </w:r>
      <w:r w:rsidR="00E04FA3" w:rsidRPr="006340EF">
        <w:t xml:space="preserve">usług publicznego transportu pasażerskiego, a do udzielania zamówień publicznych ma zastosowanie tylko w zakresie </w:t>
      </w:r>
      <w:r w:rsidR="00E04FA3" w:rsidRPr="006340EF">
        <w:lastRenderedPageBreak/>
        <w:t xml:space="preserve">usług publicznego transportu pasażerskiego koleją lub metrem, </w:t>
      </w:r>
      <w:r w:rsidR="009F01A5" w:rsidRPr="006340EF">
        <w:t>konieczne stało się uwzględnienie tej</w:t>
      </w:r>
      <w:r w:rsidR="00E04FA3" w:rsidRPr="006340EF">
        <w:t xml:space="preserve"> różnic</w:t>
      </w:r>
      <w:r w:rsidR="009F01A5" w:rsidRPr="006340EF">
        <w:t>y</w:t>
      </w:r>
      <w:r w:rsidR="00E04FA3" w:rsidRPr="006340EF">
        <w:t xml:space="preserve"> w zakresie brzmienia wyłączenia w dodawan</w:t>
      </w:r>
      <w:r w:rsidR="009F01A5" w:rsidRPr="006340EF">
        <w:t>ego w</w:t>
      </w:r>
      <w:r w:rsidR="00E04FA3" w:rsidRPr="006340EF">
        <w:t xml:space="preserve"> art. 5 ust. 1 pkt 3 lit. k ustawy o umowie koncesji w stosunku do analogicznego </w:t>
      </w:r>
      <w:r w:rsidR="009F01A5" w:rsidRPr="006340EF">
        <w:t xml:space="preserve">wyłączenia w </w:t>
      </w:r>
      <w:r w:rsidR="00E04FA3" w:rsidRPr="006340EF">
        <w:t>art. 11 ust. 1 pkt 10 nowej ustawy Pzp.</w:t>
      </w:r>
    </w:p>
    <w:p w14:paraId="6714D14F" w14:textId="2712AF36" w:rsidR="006C2ABE" w:rsidRPr="006340EF" w:rsidRDefault="006C2ABE"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 xml:space="preserve">Zmiana brzmienia art. 5 ust. 1 pkt 4 </w:t>
      </w:r>
      <w:r w:rsidR="00087B4E">
        <w:rPr>
          <w:rFonts w:ascii="Times New Roman" w:hAnsi="Times New Roman" w:cs="Times New Roman"/>
          <w:szCs w:val="24"/>
        </w:rPr>
        <w:t xml:space="preserve">ustawy o umowie koncesji </w:t>
      </w:r>
      <w:r w:rsidRPr="006340EF">
        <w:rPr>
          <w:rFonts w:ascii="Times New Roman" w:hAnsi="Times New Roman" w:cs="Times New Roman"/>
          <w:szCs w:val="24"/>
        </w:rPr>
        <w:t>jest efektem przeniesienia analogicznej regulacji z art. 12 ust. 1 pkt 1 ustawy Pzp</w:t>
      </w:r>
      <w:r w:rsidR="007D1F19" w:rsidRPr="006340EF">
        <w:rPr>
          <w:rFonts w:ascii="Times New Roman" w:hAnsi="Times New Roman" w:cs="Times New Roman"/>
          <w:szCs w:val="24"/>
        </w:rPr>
        <w:t xml:space="preserve">, natomiast </w:t>
      </w:r>
      <w:r w:rsidR="00A740F1" w:rsidRPr="006340EF">
        <w:rPr>
          <w:rFonts w:ascii="Times New Roman" w:hAnsi="Times New Roman" w:cs="Times New Roman"/>
          <w:szCs w:val="24"/>
        </w:rPr>
        <w:t>zmiany</w:t>
      </w:r>
      <w:r w:rsidR="00042450">
        <w:rPr>
          <w:rFonts w:ascii="Times New Roman" w:hAnsi="Times New Roman" w:cs="Times New Roman"/>
          <w:szCs w:val="24"/>
        </w:rPr>
        <w:t xml:space="preserve"> </w:t>
      </w:r>
      <w:r w:rsidR="00A740F1" w:rsidRPr="006340EF">
        <w:rPr>
          <w:rFonts w:ascii="Times New Roman" w:hAnsi="Times New Roman" w:cs="Times New Roman"/>
          <w:szCs w:val="24"/>
        </w:rPr>
        <w:t xml:space="preserve">w </w:t>
      </w:r>
      <w:r w:rsidR="007D1F19" w:rsidRPr="006340EF">
        <w:rPr>
          <w:rFonts w:ascii="Times New Roman" w:hAnsi="Times New Roman" w:cs="Times New Roman"/>
          <w:szCs w:val="24"/>
        </w:rPr>
        <w:t xml:space="preserve">art. 5 ust. 1 pkt 11-13 </w:t>
      </w:r>
      <w:r w:rsidR="00A740F1" w:rsidRPr="006340EF">
        <w:rPr>
          <w:rFonts w:ascii="Times New Roman" w:hAnsi="Times New Roman" w:cs="Times New Roman"/>
          <w:szCs w:val="24"/>
        </w:rPr>
        <w:t xml:space="preserve">oraz w ust. 2-4 są wynikiem dostosowania brzmienia tych przepisów </w:t>
      </w:r>
      <w:r w:rsidR="00A74E32" w:rsidRPr="006340EF">
        <w:rPr>
          <w:rFonts w:ascii="Times New Roman" w:hAnsi="Times New Roman" w:cs="Times New Roman"/>
          <w:szCs w:val="24"/>
        </w:rPr>
        <w:t xml:space="preserve">odpowiednio do </w:t>
      </w:r>
      <w:r w:rsidR="007D1F19" w:rsidRPr="006340EF">
        <w:rPr>
          <w:rFonts w:ascii="Times New Roman" w:hAnsi="Times New Roman" w:cs="Times New Roman"/>
          <w:szCs w:val="24"/>
        </w:rPr>
        <w:t xml:space="preserve">brzmienia art. 365 oraz art. 366 </w:t>
      </w:r>
      <w:r w:rsidR="00A74E32" w:rsidRPr="006340EF">
        <w:rPr>
          <w:rFonts w:ascii="Times New Roman" w:hAnsi="Times New Roman" w:cs="Times New Roman"/>
          <w:szCs w:val="24"/>
        </w:rPr>
        <w:t xml:space="preserve">nowej </w:t>
      </w:r>
      <w:r w:rsidR="007D1F19" w:rsidRPr="006340EF">
        <w:rPr>
          <w:rFonts w:ascii="Times New Roman" w:hAnsi="Times New Roman" w:cs="Times New Roman"/>
          <w:szCs w:val="24"/>
        </w:rPr>
        <w:t>ustawy Pzp</w:t>
      </w:r>
      <w:r w:rsidR="00A74E32" w:rsidRPr="006340EF">
        <w:rPr>
          <w:rFonts w:ascii="Times New Roman" w:hAnsi="Times New Roman" w:cs="Times New Roman"/>
          <w:szCs w:val="24"/>
        </w:rPr>
        <w:t>.</w:t>
      </w:r>
    </w:p>
    <w:p w14:paraId="24AEB764" w14:textId="77777777" w:rsidR="00AF56E5" w:rsidRDefault="002269D8" w:rsidP="008A198A">
      <w:pPr>
        <w:pStyle w:val="ARTartustawynprozporzdzenia"/>
        <w:spacing w:before="0"/>
        <w:ind w:firstLine="0"/>
        <w:rPr>
          <w:rFonts w:ascii="Times New Roman" w:hAnsi="Times New Roman" w:cs="Times New Roman"/>
          <w:szCs w:val="24"/>
        </w:rPr>
      </w:pPr>
      <w:r w:rsidRPr="006340EF">
        <w:rPr>
          <w:rFonts w:ascii="Times New Roman" w:hAnsi="Times New Roman" w:cs="Times New Roman"/>
          <w:szCs w:val="24"/>
        </w:rPr>
        <w:tab/>
        <w:t xml:space="preserve">Pozostałe zmiany </w:t>
      </w:r>
      <w:r w:rsidR="00CA793E" w:rsidRPr="006340EF">
        <w:rPr>
          <w:rFonts w:ascii="Times New Roman" w:hAnsi="Times New Roman" w:cs="Times New Roman"/>
          <w:szCs w:val="24"/>
        </w:rPr>
        <w:t>dostosowujące</w:t>
      </w:r>
      <w:r w:rsidRPr="006340EF">
        <w:rPr>
          <w:rFonts w:ascii="Times New Roman" w:hAnsi="Times New Roman" w:cs="Times New Roman"/>
          <w:szCs w:val="24"/>
        </w:rPr>
        <w:t xml:space="preserve"> art. 5 ustawy o umowie koncesji do regulacji </w:t>
      </w:r>
      <w:r w:rsidR="00CA793E" w:rsidRPr="006340EF">
        <w:rPr>
          <w:rFonts w:ascii="Times New Roman" w:hAnsi="Times New Roman" w:cs="Times New Roman"/>
          <w:szCs w:val="24"/>
        </w:rPr>
        <w:t>dotyczących wyłączeń zawartych w nowej ustawie Pzp zostały uwzględnione w ramach zmian przepisów wprowadzających.</w:t>
      </w:r>
    </w:p>
    <w:p w14:paraId="5DBE3C30" w14:textId="77777777" w:rsidR="00623092" w:rsidRDefault="00623092" w:rsidP="008A198A">
      <w:pPr>
        <w:pStyle w:val="ARTartustawynprozporzdzenia"/>
        <w:spacing w:before="0"/>
        <w:ind w:firstLine="0"/>
        <w:rPr>
          <w:rFonts w:ascii="Times New Roman" w:hAnsi="Times New Roman" w:cs="Times New Roman"/>
          <w:szCs w:val="24"/>
        </w:rPr>
      </w:pPr>
    </w:p>
    <w:p w14:paraId="6617D481" w14:textId="77777777" w:rsidR="00623092" w:rsidRPr="009149D9" w:rsidRDefault="00623092" w:rsidP="008A198A">
      <w:pPr>
        <w:pStyle w:val="ARTartustawynprozporzdzenia"/>
        <w:spacing w:before="0"/>
        <w:ind w:firstLine="0"/>
        <w:rPr>
          <w:rFonts w:ascii="Times New Roman" w:hAnsi="Times New Roman" w:cs="Times New Roman"/>
          <w:szCs w:val="24"/>
          <w:u w:val="single"/>
        </w:rPr>
      </w:pPr>
      <w:r w:rsidRPr="009149D9">
        <w:rPr>
          <w:rFonts w:ascii="Times New Roman" w:hAnsi="Times New Roman" w:cs="Times New Roman"/>
          <w:szCs w:val="24"/>
          <w:u w:val="single"/>
        </w:rPr>
        <w:t>Tajemnica przedsiębiorstwa</w:t>
      </w:r>
    </w:p>
    <w:p w14:paraId="2947B0AB" w14:textId="1178E7D1" w:rsidR="004C6981" w:rsidRDefault="007B391E" w:rsidP="008A198A">
      <w:pPr>
        <w:pStyle w:val="ARTartustawynprozporzdzenia"/>
        <w:spacing w:before="0"/>
        <w:ind w:firstLine="0"/>
        <w:rPr>
          <w:rFonts w:ascii="Times New Roman" w:hAnsi="Times New Roman" w:cs="Times New Roman"/>
          <w:szCs w:val="24"/>
        </w:rPr>
      </w:pPr>
      <w:r>
        <w:rPr>
          <w:rFonts w:ascii="Times New Roman" w:hAnsi="Times New Roman" w:cs="Times New Roman"/>
          <w:szCs w:val="24"/>
        </w:rPr>
        <w:t>Możliwość zastrzeżenia przez wykonawcę, że niektóre przekazywane przez niego informacje nie mogą być udostępniane, gdyż stanowią tajemnicę przedsiębiorstwa, stanowi uprawnienie wykonawcy w postępowaniu o zawarcie umowy koncesji.</w:t>
      </w:r>
      <w:r w:rsidR="00042450">
        <w:rPr>
          <w:rFonts w:ascii="Times New Roman" w:hAnsi="Times New Roman" w:cs="Times New Roman"/>
          <w:szCs w:val="24"/>
        </w:rPr>
        <w:t xml:space="preserve"> </w:t>
      </w:r>
      <w:r w:rsidR="004C6981">
        <w:rPr>
          <w:rFonts w:ascii="Times New Roman" w:hAnsi="Times New Roman" w:cs="Times New Roman"/>
          <w:szCs w:val="24"/>
        </w:rPr>
        <w:t xml:space="preserve">Uprawnienie to nie dotyczy tych informacji, których podawanie przez zamawiającego jest wymagane ustawą, w szczególności takich informacji, które zamawiający musi podać publikując np. ogłoszenie o </w:t>
      </w:r>
      <w:r w:rsidR="00A07275">
        <w:rPr>
          <w:rFonts w:ascii="Times New Roman" w:hAnsi="Times New Roman" w:cs="Times New Roman"/>
          <w:szCs w:val="24"/>
        </w:rPr>
        <w:t>zawarciu umowy</w:t>
      </w:r>
      <w:r w:rsidR="004C6981">
        <w:rPr>
          <w:rFonts w:ascii="Times New Roman" w:hAnsi="Times New Roman" w:cs="Times New Roman"/>
          <w:szCs w:val="24"/>
        </w:rPr>
        <w:t xml:space="preserve"> koncesji.</w:t>
      </w:r>
      <w:r w:rsidR="00042450">
        <w:rPr>
          <w:rFonts w:ascii="Times New Roman" w:hAnsi="Times New Roman" w:cs="Times New Roman"/>
          <w:szCs w:val="24"/>
        </w:rPr>
        <w:t xml:space="preserve"> </w:t>
      </w:r>
      <w:r>
        <w:rPr>
          <w:rFonts w:ascii="Times New Roman" w:hAnsi="Times New Roman" w:cs="Times New Roman"/>
          <w:szCs w:val="24"/>
        </w:rPr>
        <w:t>Jednym z większych problemów towarzyszących korzystaniu przez wykonawców</w:t>
      </w:r>
      <w:r w:rsidR="00042450">
        <w:rPr>
          <w:rFonts w:ascii="Times New Roman" w:hAnsi="Times New Roman" w:cs="Times New Roman"/>
          <w:szCs w:val="24"/>
        </w:rPr>
        <w:t xml:space="preserve"> </w:t>
      </w:r>
      <w:r w:rsidR="004C6981">
        <w:rPr>
          <w:rFonts w:ascii="Times New Roman" w:hAnsi="Times New Roman" w:cs="Times New Roman"/>
          <w:szCs w:val="24"/>
        </w:rPr>
        <w:t>z uprawnienia do zastrzegania  dotyczących ich informacji</w:t>
      </w:r>
      <w:r>
        <w:rPr>
          <w:rFonts w:ascii="Times New Roman" w:hAnsi="Times New Roman" w:cs="Times New Roman"/>
          <w:szCs w:val="24"/>
        </w:rPr>
        <w:t xml:space="preserve"> jest zastrzeganie niektórych informacji jako tajemnicy przedsiębiorstwa po ich przekazaniu zamawiającemu, w toku postępowania o zawarcie umowy koncesji. Zmiana projektowana w art. 13 ust. 3 ustawy o umowie koncesji ma na celu doprecyzowanie momentu do którego jest możliwe zastrzeganie przez wykonawcę informacji jako tajemnicy przedsiębiorstwa </w:t>
      </w:r>
      <w:r w:rsidR="004C6981">
        <w:rPr>
          <w:rFonts w:ascii="Times New Roman" w:hAnsi="Times New Roman" w:cs="Times New Roman"/>
          <w:szCs w:val="24"/>
        </w:rPr>
        <w:t xml:space="preserve">przez wskazanie, iż jest to możliwe tylko wraz z przekazaniem takich informacji. </w:t>
      </w:r>
      <w:r w:rsidR="00A07275">
        <w:rPr>
          <w:rFonts w:ascii="Times New Roman" w:hAnsi="Times New Roman" w:cs="Times New Roman"/>
          <w:szCs w:val="24"/>
        </w:rPr>
        <w:t>Zmiana ta pozwoli u</w:t>
      </w:r>
      <w:r w:rsidR="004C6981">
        <w:rPr>
          <w:rFonts w:ascii="Times New Roman" w:hAnsi="Times New Roman" w:cs="Times New Roman"/>
          <w:szCs w:val="24"/>
        </w:rPr>
        <w:t>niknąć problemów związanych z oceną tego typu zastrzeżenia, gdy jest ono dokonywane w toku postępowania. Projektowana regulacja art. 13 ust. 3 ustawy o umowie koncesji odpowiada analogicznemu uregulowaniu w art. 18 ust. 3 nowej ustawy Pzp.</w:t>
      </w:r>
    </w:p>
    <w:p w14:paraId="24F3F877" w14:textId="77777777" w:rsidR="00117DB7" w:rsidRDefault="00117DB7" w:rsidP="008A198A">
      <w:pPr>
        <w:pStyle w:val="ARTartustawynprozporzdzenia"/>
        <w:spacing w:before="0"/>
        <w:ind w:firstLine="0"/>
        <w:rPr>
          <w:rFonts w:ascii="Times New Roman" w:hAnsi="Times New Roman" w:cs="Times New Roman"/>
          <w:szCs w:val="24"/>
          <w:u w:val="single"/>
        </w:rPr>
      </w:pPr>
    </w:p>
    <w:p w14:paraId="3E8FC113" w14:textId="77777777" w:rsidR="00235D27" w:rsidRPr="006340EF" w:rsidRDefault="00235D27" w:rsidP="008A198A">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u w:val="single"/>
        </w:rPr>
        <w:lastRenderedPageBreak/>
        <w:t>Komunikacja</w:t>
      </w:r>
    </w:p>
    <w:p w14:paraId="051D0CC2" w14:textId="78D6E4E0" w:rsidR="009C0A20" w:rsidRPr="006340EF" w:rsidRDefault="00A77C65" w:rsidP="001C0C61">
      <w:pPr>
        <w:pStyle w:val="ARTartustawynprozporzdzenia"/>
        <w:spacing w:before="0"/>
        <w:ind w:firstLine="0"/>
        <w:rPr>
          <w:rFonts w:ascii="Times New Roman" w:hAnsi="Times New Roman" w:cs="Times New Roman"/>
          <w:szCs w:val="24"/>
        </w:rPr>
      </w:pPr>
      <w:r w:rsidRPr="006340EF">
        <w:rPr>
          <w:rFonts w:ascii="Times New Roman" w:hAnsi="Times New Roman" w:cs="Times New Roman"/>
          <w:szCs w:val="24"/>
        </w:rPr>
        <w:t>K</w:t>
      </w:r>
      <w:r w:rsidR="0049790D" w:rsidRPr="006340EF">
        <w:rPr>
          <w:rFonts w:ascii="Times New Roman" w:hAnsi="Times New Roman" w:cs="Times New Roman"/>
          <w:szCs w:val="24"/>
        </w:rPr>
        <w:t xml:space="preserve">omunikacja między zamawiającym i wykonawcami </w:t>
      </w:r>
      <w:r w:rsidR="00E25669" w:rsidRPr="006340EF">
        <w:rPr>
          <w:rFonts w:ascii="Times New Roman" w:hAnsi="Times New Roman" w:cs="Times New Roman"/>
          <w:szCs w:val="24"/>
        </w:rPr>
        <w:t>w</w:t>
      </w:r>
      <w:r w:rsidR="0049790D" w:rsidRPr="006340EF">
        <w:rPr>
          <w:rFonts w:ascii="Times New Roman" w:hAnsi="Times New Roman" w:cs="Times New Roman"/>
          <w:szCs w:val="24"/>
        </w:rPr>
        <w:t xml:space="preserve"> postępowaniu o zawarcie umowy koncesji została w projekcie ustawy analogicznie uregulowana jak komunikacja w postępowaniu </w:t>
      </w:r>
      <w:r w:rsidR="00E25669" w:rsidRPr="006340EF">
        <w:rPr>
          <w:rFonts w:ascii="Times New Roman" w:hAnsi="Times New Roman" w:cs="Times New Roman"/>
          <w:szCs w:val="24"/>
        </w:rPr>
        <w:t>o udzieleni</w:t>
      </w:r>
      <w:r w:rsidR="0083588C" w:rsidRPr="006340EF">
        <w:rPr>
          <w:rFonts w:ascii="Times New Roman" w:hAnsi="Times New Roman" w:cs="Times New Roman"/>
          <w:szCs w:val="24"/>
        </w:rPr>
        <w:t>e</w:t>
      </w:r>
      <w:r w:rsidR="00E25669" w:rsidRPr="006340EF">
        <w:rPr>
          <w:rFonts w:ascii="Times New Roman" w:hAnsi="Times New Roman" w:cs="Times New Roman"/>
          <w:szCs w:val="24"/>
        </w:rPr>
        <w:t xml:space="preserve"> zamówienia w dziedzinach obronności </w:t>
      </w:r>
      <w:r w:rsidR="00C2385E">
        <w:rPr>
          <w:rFonts w:ascii="Times New Roman" w:hAnsi="Times New Roman" w:cs="Times New Roman"/>
          <w:szCs w:val="24"/>
        </w:rPr>
        <w:t xml:space="preserve">i </w:t>
      </w:r>
      <w:r w:rsidR="00E25669" w:rsidRPr="006340EF">
        <w:rPr>
          <w:rFonts w:ascii="Times New Roman" w:hAnsi="Times New Roman" w:cs="Times New Roman"/>
          <w:szCs w:val="24"/>
        </w:rPr>
        <w:t>bezpieczeństwa określona w nowej ustawie Pzp.</w:t>
      </w:r>
      <w:r w:rsidR="00042450">
        <w:rPr>
          <w:rFonts w:ascii="Times New Roman" w:hAnsi="Times New Roman" w:cs="Times New Roman"/>
          <w:szCs w:val="24"/>
        </w:rPr>
        <w:t xml:space="preserve"> </w:t>
      </w:r>
      <w:r w:rsidR="00336354" w:rsidRPr="006340EF">
        <w:rPr>
          <w:rFonts w:ascii="Times New Roman" w:hAnsi="Times New Roman" w:cs="Times New Roman"/>
          <w:szCs w:val="24"/>
        </w:rPr>
        <w:t>N</w:t>
      </w:r>
      <w:r w:rsidR="0083588C" w:rsidRPr="006340EF">
        <w:rPr>
          <w:rFonts w:ascii="Times New Roman" w:hAnsi="Times New Roman" w:cs="Times New Roman"/>
          <w:szCs w:val="24"/>
        </w:rPr>
        <w:t>owe brzmienie art. 14</w:t>
      </w:r>
      <w:r w:rsidR="00231FC5" w:rsidRPr="006340EF">
        <w:rPr>
          <w:rFonts w:ascii="Times New Roman" w:hAnsi="Times New Roman" w:cs="Times New Roman"/>
          <w:szCs w:val="24"/>
        </w:rPr>
        <w:t xml:space="preserve"> ust. 1</w:t>
      </w:r>
      <w:r w:rsidR="00087B4E">
        <w:rPr>
          <w:rFonts w:ascii="Times New Roman" w:hAnsi="Times New Roman" w:cs="Times New Roman"/>
          <w:szCs w:val="24"/>
        </w:rPr>
        <w:t xml:space="preserve"> ustawy o umowie koncesji</w:t>
      </w:r>
      <w:r w:rsidR="0083588C" w:rsidRPr="006340EF">
        <w:rPr>
          <w:rFonts w:ascii="Times New Roman" w:hAnsi="Times New Roman" w:cs="Times New Roman"/>
          <w:szCs w:val="24"/>
        </w:rPr>
        <w:t>, zgodnie z którym w</w:t>
      </w:r>
      <w:r w:rsidR="009C0A20" w:rsidRPr="006340EF">
        <w:rPr>
          <w:rFonts w:ascii="Times New Roman" w:hAnsi="Times New Roman" w:cs="Times New Roman"/>
          <w:szCs w:val="24"/>
        </w:rPr>
        <w:t xml:space="preserve"> postępowaniu o zawarcie umowy koncesji komunikacja między zamawiającym i wykonawcami, w tym przekazywanie wniosków o dopuszczenie do udziału w tym postępowaniu, ofert, oświadczeń i zawiadomień, odbywa się zgodnie z wyborem zamawiającego, za pośrednictwem operatora pocztowego, w rozumieniu ustawy z dnia 23 listopada 2012 r. – Prawo pocztowe (Dz. U. z 20</w:t>
      </w:r>
      <w:r w:rsidR="00087B4E">
        <w:rPr>
          <w:rFonts w:ascii="Times New Roman" w:hAnsi="Times New Roman" w:cs="Times New Roman"/>
          <w:szCs w:val="24"/>
        </w:rPr>
        <w:t>20</w:t>
      </w:r>
      <w:r w:rsidR="009C0A20" w:rsidRPr="006340EF">
        <w:rPr>
          <w:rFonts w:ascii="Times New Roman" w:hAnsi="Times New Roman" w:cs="Times New Roman"/>
          <w:szCs w:val="24"/>
        </w:rPr>
        <w:t xml:space="preserve"> r. poz. </w:t>
      </w:r>
      <w:r w:rsidR="00087B4E">
        <w:rPr>
          <w:rFonts w:ascii="Times New Roman" w:hAnsi="Times New Roman" w:cs="Times New Roman"/>
          <w:szCs w:val="24"/>
        </w:rPr>
        <w:t>1041</w:t>
      </w:r>
      <w:r w:rsidR="009C0A20" w:rsidRPr="006340EF">
        <w:rPr>
          <w:rFonts w:ascii="Times New Roman" w:hAnsi="Times New Roman" w:cs="Times New Roman"/>
          <w:szCs w:val="24"/>
        </w:rPr>
        <w:t>), osobiście, przez posłańca, przy użyciu faksu lub przy użyciu środków komunikacji elektronicznej</w:t>
      </w:r>
      <w:r w:rsidR="00A83C88" w:rsidRPr="006340EF">
        <w:rPr>
          <w:rFonts w:ascii="Times New Roman" w:hAnsi="Times New Roman" w:cs="Times New Roman"/>
          <w:szCs w:val="24"/>
        </w:rPr>
        <w:t xml:space="preserve">, stanowi odpowiednie odzwierciedlenie normy z art. </w:t>
      </w:r>
      <w:r w:rsidR="007B67E8" w:rsidRPr="006340EF">
        <w:rPr>
          <w:rFonts w:ascii="Times New Roman" w:hAnsi="Times New Roman" w:cs="Times New Roman"/>
          <w:szCs w:val="24"/>
        </w:rPr>
        <w:t>401 ust</w:t>
      </w:r>
      <w:r w:rsidR="0024129F" w:rsidRPr="006340EF">
        <w:rPr>
          <w:rFonts w:ascii="Times New Roman" w:hAnsi="Times New Roman" w:cs="Times New Roman"/>
          <w:szCs w:val="24"/>
        </w:rPr>
        <w:t>. 1 nowej ustawy Pzp.</w:t>
      </w:r>
    </w:p>
    <w:p w14:paraId="467F1EBB" w14:textId="65FAC808" w:rsidR="0055437B" w:rsidRPr="006340EF" w:rsidRDefault="0055437B" w:rsidP="008A198A">
      <w:pPr>
        <w:pStyle w:val="ARTartustawynprozporzdzenia"/>
        <w:spacing w:before="0"/>
        <w:ind w:firstLine="708"/>
        <w:rPr>
          <w:rFonts w:ascii="Times New Roman" w:hAnsi="Times New Roman" w:cs="Times New Roman"/>
          <w:szCs w:val="24"/>
        </w:rPr>
      </w:pPr>
      <w:r w:rsidRPr="006340EF">
        <w:rPr>
          <w:rFonts w:ascii="Times New Roman" w:hAnsi="Times New Roman" w:cs="Times New Roman"/>
          <w:szCs w:val="24"/>
        </w:rPr>
        <w:t xml:space="preserve">Projekt ustawy </w:t>
      </w:r>
      <w:r w:rsidR="00B3404C" w:rsidRPr="006340EF">
        <w:rPr>
          <w:rFonts w:ascii="Times New Roman" w:hAnsi="Times New Roman" w:cs="Times New Roman"/>
          <w:szCs w:val="24"/>
        </w:rPr>
        <w:t>dodaje również</w:t>
      </w:r>
      <w:r w:rsidR="00087B4E">
        <w:rPr>
          <w:rFonts w:ascii="Times New Roman" w:hAnsi="Times New Roman" w:cs="Times New Roman"/>
          <w:szCs w:val="24"/>
        </w:rPr>
        <w:t>,</w:t>
      </w:r>
      <w:r w:rsidR="00B3404C" w:rsidRPr="006340EF">
        <w:rPr>
          <w:rFonts w:ascii="Times New Roman" w:hAnsi="Times New Roman" w:cs="Times New Roman"/>
          <w:szCs w:val="24"/>
        </w:rPr>
        <w:t xml:space="preserve"> w art.</w:t>
      </w:r>
      <w:r w:rsidR="00231FC5" w:rsidRPr="006340EF">
        <w:rPr>
          <w:rFonts w:ascii="Times New Roman" w:hAnsi="Times New Roman" w:cs="Times New Roman"/>
          <w:szCs w:val="24"/>
        </w:rPr>
        <w:t xml:space="preserve"> 14</w:t>
      </w:r>
      <w:r w:rsidR="00087B4E">
        <w:rPr>
          <w:rFonts w:ascii="Times New Roman" w:hAnsi="Times New Roman" w:cs="Times New Roman"/>
          <w:szCs w:val="24"/>
        </w:rPr>
        <w:t>,</w:t>
      </w:r>
      <w:r w:rsidR="00231FC5" w:rsidRPr="006340EF">
        <w:rPr>
          <w:rFonts w:ascii="Times New Roman" w:hAnsi="Times New Roman" w:cs="Times New Roman"/>
          <w:szCs w:val="24"/>
        </w:rPr>
        <w:t xml:space="preserve"> ust. 5 określający formę </w:t>
      </w:r>
      <w:r w:rsidR="004272ED" w:rsidRPr="006340EF">
        <w:rPr>
          <w:rFonts w:ascii="Times New Roman" w:hAnsi="Times New Roman" w:cs="Times New Roman"/>
          <w:szCs w:val="24"/>
        </w:rPr>
        <w:t xml:space="preserve">w jakiej można składać w postępowaniu </w:t>
      </w:r>
      <w:r w:rsidR="00231FC5" w:rsidRPr="006340EF">
        <w:rPr>
          <w:rFonts w:ascii="Times New Roman" w:hAnsi="Times New Roman" w:cs="Times New Roman"/>
          <w:szCs w:val="24"/>
        </w:rPr>
        <w:t>ofert</w:t>
      </w:r>
      <w:r w:rsidR="004272ED" w:rsidRPr="006340EF">
        <w:rPr>
          <w:rFonts w:ascii="Times New Roman" w:hAnsi="Times New Roman" w:cs="Times New Roman"/>
          <w:szCs w:val="24"/>
        </w:rPr>
        <w:t>y</w:t>
      </w:r>
      <w:r w:rsidR="00231FC5" w:rsidRPr="006340EF">
        <w:rPr>
          <w:rFonts w:ascii="Times New Roman" w:hAnsi="Times New Roman" w:cs="Times New Roman"/>
          <w:szCs w:val="24"/>
        </w:rPr>
        <w:t>,</w:t>
      </w:r>
      <w:r w:rsidR="004272ED" w:rsidRPr="006340EF">
        <w:rPr>
          <w:rFonts w:ascii="Times New Roman" w:hAnsi="Times New Roman" w:cs="Times New Roman"/>
          <w:szCs w:val="24"/>
        </w:rPr>
        <w:t xml:space="preserve"> wnioski</w:t>
      </w:r>
      <w:r w:rsidR="00231FC5" w:rsidRPr="006340EF">
        <w:rPr>
          <w:rFonts w:ascii="Times New Roman" w:hAnsi="Times New Roman" w:cs="Times New Roman"/>
          <w:szCs w:val="24"/>
        </w:rPr>
        <w:t xml:space="preserve"> o dopuszczenie do udziału w postępowaniu oraz oświadczenia</w:t>
      </w:r>
      <w:r w:rsidR="004272ED" w:rsidRPr="006340EF">
        <w:rPr>
          <w:rFonts w:ascii="Times New Roman" w:hAnsi="Times New Roman" w:cs="Times New Roman"/>
          <w:szCs w:val="24"/>
        </w:rPr>
        <w:t>; z</w:t>
      </w:r>
      <w:r w:rsidR="00B248A8" w:rsidRPr="006340EF">
        <w:rPr>
          <w:rFonts w:ascii="Times New Roman" w:hAnsi="Times New Roman" w:cs="Times New Roman"/>
          <w:szCs w:val="24"/>
        </w:rPr>
        <w:t xml:space="preserve">ostała </w:t>
      </w:r>
      <w:r w:rsidR="00FB04CE" w:rsidRPr="006340EF">
        <w:rPr>
          <w:rFonts w:ascii="Times New Roman" w:hAnsi="Times New Roman" w:cs="Times New Roman"/>
          <w:szCs w:val="24"/>
        </w:rPr>
        <w:t xml:space="preserve">ona </w:t>
      </w:r>
      <w:r w:rsidR="00B248A8" w:rsidRPr="006340EF">
        <w:rPr>
          <w:rFonts w:ascii="Times New Roman" w:hAnsi="Times New Roman" w:cs="Times New Roman"/>
          <w:szCs w:val="24"/>
        </w:rPr>
        <w:t xml:space="preserve">uregulowana </w:t>
      </w:r>
      <w:r w:rsidR="00FB04CE" w:rsidRPr="006340EF">
        <w:rPr>
          <w:rFonts w:ascii="Times New Roman" w:hAnsi="Times New Roman" w:cs="Times New Roman"/>
          <w:szCs w:val="24"/>
        </w:rPr>
        <w:t>analogicznie</w:t>
      </w:r>
      <w:r w:rsidR="00B248A8" w:rsidRPr="006340EF">
        <w:rPr>
          <w:rFonts w:ascii="Times New Roman" w:hAnsi="Times New Roman" w:cs="Times New Roman"/>
          <w:szCs w:val="24"/>
        </w:rPr>
        <w:t xml:space="preserve"> jak w art. 401 ust. </w:t>
      </w:r>
      <w:r w:rsidR="004272ED" w:rsidRPr="006340EF">
        <w:rPr>
          <w:rFonts w:ascii="Times New Roman" w:hAnsi="Times New Roman" w:cs="Times New Roman"/>
          <w:szCs w:val="24"/>
        </w:rPr>
        <w:t>5 nowej ustawy Pzp.</w:t>
      </w:r>
      <w:r w:rsidR="00FB04CE" w:rsidRPr="006340EF">
        <w:rPr>
          <w:rFonts w:ascii="Times New Roman" w:hAnsi="Times New Roman" w:cs="Times New Roman"/>
          <w:szCs w:val="24"/>
        </w:rPr>
        <w:t xml:space="preserve"> Nowododany ust. 6 natomiast stanowi przeniesienie </w:t>
      </w:r>
      <w:r w:rsidR="00D84498" w:rsidRPr="006340EF">
        <w:rPr>
          <w:rFonts w:ascii="Times New Roman" w:hAnsi="Times New Roman" w:cs="Times New Roman"/>
          <w:szCs w:val="24"/>
        </w:rPr>
        <w:t xml:space="preserve">regulacji dotyczącej komunikacji w zamówieniach o wartości mniejszej niż progi unijnej wskazanej w </w:t>
      </w:r>
      <w:r w:rsidR="008E7088" w:rsidRPr="006340EF">
        <w:rPr>
          <w:rFonts w:ascii="Times New Roman" w:hAnsi="Times New Roman" w:cs="Times New Roman"/>
          <w:szCs w:val="24"/>
        </w:rPr>
        <w:t>art. 63 ust. 2 nowej ustawy Pzp.</w:t>
      </w:r>
    </w:p>
    <w:p w14:paraId="15CAC4E0" w14:textId="77777777" w:rsidR="00F565A8" w:rsidRPr="006340EF" w:rsidRDefault="00F565A8" w:rsidP="008A198A">
      <w:pPr>
        <w:pStyle w:val="ARTartustawynprozporzdzenia"/>
        <w:spacing w:before="0"/>
        <w:ind w:firstLine="708"/>
        <w:rPr>
          <w:rFonts w:ascii="Times New Roman" w:hAnsi="Times New Roman" w:cs="Times New Roman"/>
          <w:szCs w:val="24"/>
        </w:rPr>
      </w:pPr>
    </w:p>
    <w:p w14:paraId="1EEF9028" w14:textId="60D8D9AF" w:rsidR="00D03DD0" w:rsidRPr="006340EF" w:rsidRDefault="00D03DD0" w:rsidP="008A198A">
      <w:pPr>
        <w:spacing w:after="0" w:line="360" w:lineRule="auto"/>
        <w:jc w:val="both"/>
        <w:rPr>
          <w:rFonts w:ascii="Times New Roman" w:hAnsi="Times New Roman" w:cs="Times New Roman"/>
          <w:b/>
          <w:sz w:val="24"/>
          <w:szCs w:val="24"/>
        </w:rPr>
      </w:pPr>
      <w:r w:rsidRPr="006340EF">
        <w:rPr>
          <w:rFonts w:ascii="Times New Roman" w:hAnsi="Times New Roman" w:cs="Times New Roman"/>
          <w:b/>
          <w:sz w:val="24"/>
          <w:szCs w:val="24"/>
        </w:rPr>
        <w:t xml:space="preserve">2. Zmiana ustawy </w:t>
      </w:r>
      <w:r w:rsidR="00087B4E">
        <w:rPr>
          <w:rFonts w:ascii="Times New Roman" w:hAnsi="Times New Roman" w:cs="Times New Roman"/>
          <w:b/>
          <w:sz w:val="24"/>
          <w:szCs w:val="24"/>
        </w:rPr>
        <w:t xml:space="preserve">- </w:t>
      </w:r>
      <w:r w:rsidRPr="006340EF">
        <w:rPr>
          <w:rFonts w:ascii="Times New Roman" w:hAnsi="Times New Roman" w:cs="Times New Roman"/>
          <w:b/>
          <w:sz w:val="24"/>
          <w:szCs w:val="24"/>
        </w:rPr>
        <w:t xml:space="preserve">Przepisy wprowadzające ustawę – Prawo zamówień publicznych </w:t>
      </w:r>
    </w:p>
    <w:p w14:paraId="50440609" w14:textId="77777777" w:rsidR="00D03DD0" w:rsidRPr="006340EF" w:rsidRDefault="00D03DD0" w:rsidP="008A198A">
      <w:pPr>
        <w:spacing w:after="0" w:line="360" w:lineRule="auto"/>
        <w:ind w:firstLine="708"/>
        <w:jc w:val="both"/>
        <w:rPr>
          <w:rFonts w:ascii="Times New Roman" w:hAnsi="Times New Roman" w:cs="Times New Roman"/>
          <w:sz w:val="24"/>
          <w:szCs w:val="24"/>
        </w:rPr>
      </w:pPr>
      <w:r w:rsidRPr="006340EF">
        <w:rPr>
          <w:rFonts w:ascii="Times New Roman" w:eastAsia="Calibri" w:hAnsi="Times New Roman" w:cs="Times New Roman"/>
          <w:sz w:val="24"/>
          <w:szCs w:val="24"/>
        </w:rPr>
        <w:t xml:space="preserve">Projekt ustawy w zakresie nowelizacji pwPzp obejmuje zmiany niezbędne w zakresie odnoszącym się do </w:t>
      </w:r>
      <w:r w:rsidRPr="006340EF">
        <w:rPr>
          <w:rFonts w:ascii="Times New Roman" w:eastAsia="Times New Roman" w:hAnsi="Times New Roman" w:cs="Times New Roman"/>
          <w:sz w:val="24"/>
          <w:szCs w:val="24"/>
        </w:rPr>
        <w:t>przepisów zmienionych tą ustawą w</w:t>
      </w:r>
      <w:r w:rsidRPr="006340EF">
        <w:rPr>
          <w:rFonts w:ascii="Times New Roman" w:hAnsi="Times New Roman" w:cs="Times New Roman"/>
          <w:sz w:val="24"/>
          <w:szCs w:val="24"/>
        </w:rPr>
        <w:t xml:space="preserve"> zakresie występujących w nich odesłań do nowej numeracji ustawy Pzp. Zmiany te są</w:t>
      </w:r>
      <w:r w:rsidRPr="006340EF">
        <w:rPr>
          <w:rFonts w:ascii="Times New Roman" w:eastAsia="Calibri" w:hAnsi="Times New Roman" w:cs="Times New Roman"/>
          <w:sz w:val="24"/>
          <w:szCs w:val="24"/>
        </w:rPr>
        <w:t xml:space="preserve"> związane z prawidłową transpozycją tych przepisów dyrektywy 2014/23/UE, które ustawodawca unijny uregulował analogicznie jak w dyrektywach 2014/24/UE oraz 2014/25/UE. </w:t>
      </w:r>
      <w:r w:rsidRPr="006340EF">
        <w:rPr>
          <w:rFonts w:ascii="Times New Roman" w:eastAsia="Times New Roman" w:hAnsi="Times New Roman" w:cs="Times New Roman"/>
          <w:sz w:val="24"/>
          <w:szCs w:val="24"/>
        </w:rPr>
        <w:t>Z</w:t>
      </w:r>
      <w:r w:rsidRPr="006340EF">
        <w:rPr>
          <w:rFonts w:ascii="Times New Roman" w:hAnsi="Times New Roman" w:cs="Times New Roman"/>
          <w:sz w:val="24"/>
          <w:szCs w:val="24"/>
        </w:rPr>
        <w:t>miana poświęcona przepisom ustawy o umowie koncesji w obrębie przepisów</w:t>
      </w:r>
      <w:r w:rsidRPr="006340EF">
        <w:rPr>
          <w:rFonts w:ascii="Times New Roman" w:eastAsia="Times New Roman" w:hAnsi="Times New Roman" w:cs="Times New Roman"/>
          <w:sz w:val="24"/>
          <w:szCs w:val="24"/>
        </w:rPr>
        <w:t xml:space="preserve"> ustawy pwPzp jest konieczna,</w:t>
      </w:r>
      <w:r w:rsidRPr="006340EF">
        <w:rPr>
          <w:rFonts w:ascii="Times New Roman" w:hAnsi="Times New Roman" w:cs="Times New Roman"/>
          <w:sz w:val="24"/>
          <w:szCs w:val="24"/>
        </w:rPr>
        <w:t xml:space="preserve"> aby uniknąć równoległego wejścia w życie dwóch różnych zmian w obrębie tego samego przepisu.</w:t>
      </w:r>
    </w:p>
    <w:p w14:paraId="5CA856EB" w14:textId="7A8885A9" w:rsidR="00D03DD0" w:rsidRPr="006340EF" w:rsidRDefault="00D03DD0" w:rsidP="008A198A">
      <w:pPr>
        <w:spacing w:after="0" w:line="360" w:lineRule="auto"/>
        <w:ind w:firstLine="708"/>
        <w:jc w:val="both"/>
        <w:rPr>
          <w:rFonts w:ascii="Times New Roman" w:eastAsia="Calibri" w:hAnsi="Times New Roman" w:cs="Times New Roman"/>
          <w:sz w:val="24"/>
          <w:szCs w:val="24"/>
        </w:rPr>
      </w:pPr>
      <w:r w:rsidRPr="006340EF">
        <w:rPr>
          <w:rFonts w:ascii="Times New Roman" w:eastAsia="Calibri" w:hAnsi="Times New Roman" w:cs="Times New Roman"/>
          <w:sz w:val="24"/>
          <w:szCs w:val="24"/>
        </w:rPr>
        <w:lastRenderedPageBreak/>
        <w:t xml:space="preserve">W szczególności dostosowania wymagają przepisy dotyczące </w:t>
      </w:r>
      <w:r w:rsidR="000330F2" w:rsidRPr="006340EF">
        <w:rPr>
          <w:rFonts w:ascii="Times New Roman" w:eastAsia="Calibri" w:hAnsi="Times New Roman" w:cs="Times New Roman"/>
          <w:sz w:val="24"/>
          <w:szCs w:val="24"/>
        </w:rPr>
        <w:t>definicji</w:t>
      </w:r>
      <w:r w:rsidR="00042450">
        <w:rPr>
          <w:rFonts w:ascii="Times New Roman" w:eastAsia="Calibri" w:hAnsi="Times New Roman" w:cs="Times New Roman"/>
          <w:sz w:val="24"/>
          <w:szCs w:val="24"/>
        </w:rPr>
        <w:t xml:space="preserve"> </w:t>
      </w:r>
      <w:r w:rsidR="000330F2" w:rsidRPr="006340EF">
        <w:rPr>
          <w:rFonts w:ascii="Times New Roman" w:eastAsia="Calibri" w:hAnsi="Times New Roman" w:cs="Times New Roman"/>
          <w:sz w:val="24"/>
          <w:szCs w:val="24"/>
        </w:rPr>
        <w:t xml:space="preserve">zamawiającego </w:t>
      </w:r>
      <w:r w:rsidRPr="006340EF">
        <w:rPr>
          <w:rFonts w:ascii="Times New Roman" w:eastAsia="Calibri" w:hAnsi="Times New Roman" w:cs="Times New Roman"/>
          <w:sz w:val="24"/>
          <w:szCs w:val="24"/>
        </w:rPr>
        <w:t xml:space="preserve">(art. </w:t>
      </w:r>
      <w:r w:rsidR="000330F2" w:rsidRPr="006340EF">
        <w:rPr>
          <w:rFonts w:ascii="Times New Roman" w:eastAsia="Calibri" w:hAnsi="Times New Roman" w:cs="Times New Roman"/>
          <w:sz w:val="24"/>
          <w:szCs w:val="24"/>
        </w:rPr>
        <w:t>76 pkt 1 lit. d pwPzp w odniesieniu do art. 2 pkt 11 ustawy o umowie koncesji</w:t>
      </w:r>
      <w:r w:rsidRPr="006340EF">
        <w:rPr>
          <w:rFonts w:ascii="Times New Roman" w:eastAsia="Calibri" w:hAnsi="Times New Roman" w:cs="Times New Roman"/>
          <w:sz w:val="24"/>
          <w:szCs w:val="24"/>
        </w:rPr>
        <w:t>)</w:t>
      </w:r>
      <w:r w:rsidR="000330F2" w:rsidRPr="006340EF">
        <w:rPr>
          <w:rFonts w:ascii="Times New Roman" w:eastAsia="Calibri" w:hAnsi="Times New Roman" w:cs="Times New Roman"/>
          <w:sz w:val="24"/>
          <w:szCs w:val="24"/>
        </w:rPr>
        <w:t>, wyłączeń (art. 76 pkt 3 pwPzp w odniesieniu do art. 5 ust. 1 pkt 2, 5</w:t>
      </w:r>
      <w:r w:rsidR="007E4E6F" w:rsidRPr="006340EF">
        <w:rPr>
          <w:rFonts w:ascii="Times New Roman" w:eastAsia="Calibri" w:hAnsi="Times New Roman" w:cs="Times New Roman"/>
          <w:sz w:val="24"/>
          <w:szCs w:val="24"/>
        </w:rPr>
        <w:t xml:space="preserve"> i</w:t>
      </w:r>
      <w:r w:rsidR="00117DB7">
        <w:rPr>
          <w:rFonts w:ascii="Times New Roman" w:eastAsia="Calibri" w:hAnsi="Times New Roman" w:cs="Times New Roman"/>
          <w:sz w:val="24"/>
          <w:szCs w:val="24"/>
        </w:rPr>
        <w:t xml:space="preserve"> </w:t>
      </w:r>
      <w:r w:rsidR="000330F2" w:rsidRPr="006340EF">
        <w:rPr>
          <w:rFonts w:ascii="Times New Roman" w:eastAsia="Calibri" w:hAnsi="Times New Roman" w:cs="Times New Roman"/>
          <w:sz w:val="24"/>
          <w:szCs w:val="24"/>
        </w:rPr>
        <w:t>7</w:t>
      </w:r>
      <w:r w:rsidR="00774AE7" w:rsidRPr="006340EF">
        <w:rPr>
          <w:rFonts w:ascii="Times New Roman" w:eastAsia="Calibri" w:hAnsi="Times New Roman" w:cs="Times New Roman"/>
          <w:sz w:val="24"/>
          <w:szCs w:val="24"/>
        </w:rPr>
        <w:t>)</w:t>
      </w:r>
      <w:r w:rsidR="000330F2" w:rsidRPr="006340EF">
        <w:rPr>
          <w:rFonts w:ascii="Times New Roman" w:eastAsia="Calibri" w:hAnsi="Times New Roman" w:cs="Times New Roman"/>
          <w:sz w:val="24"/>
          <w:szCs w:val="24"/>
        </w:rPr>
        <w:t>,</w:t>
      </w:r>
      <w:r w:rsidR="00117DB7">
        <w:rPr>
          <w:rFonts w:ascii="Times New Roman" w:eastAsia="Calibri" w:hAnsi="Times New Roman" w:cs="Times New Roman"/>
          <w:sz w:val="24"/>
          <w:szCs w:val="24"/>
        </w:rPr>
        <w:t xml:space="preserve"> </w:t>
      </w:r>
      <w:r w:rsidR="00774AE7" w:rsidRPr="006340EF">
        <w:rPr>
          <w:rFonts w:ascii="Times New Roman" w:eastAsia="Calibri" w:hAnsi="Times New Roman" w:cs="Times New Roman"/>
          <w:sz w:val="24"/>
          <w:szCs w:val="24"/>
        </w:rPr>
        <w:t xml:space="preserve">koncesji mieszanych (art. 76 pkt 4 i 5 pwPzp w odniesieniu do art. 10 i </w:t>
      </w:r>
      <w:r w:rsidR="001C71F2">
        <w:rPr>
          <w:rFonts w:ascii="Times New Roman" w:eastAsia="Calibri" w:hAnsi="Times New Roman" w:cs="Times New Roman"/>
          <w:sz w:val="24"/>
          <w:szCs w:val="24"/>
        </w:rPr>
        <w:t xml:space="preserve">art. </w:t>
      </w:r>
      <w:r w:rsidR="00774AE7" w:rsidRPr="006340EF">
        <w:rPr>
          <w:rFonts w:ascii="Times New Roman" w:eastAsia="Calibri" w:hAnsi="Times New Roman" w:cs="Times New Roman"/>
          <w:sz w:val="24"/>
          <w:szCs w:val="24"/>
        </w:rPr>
        <w:t xml:space="preserve">11 ustawy o umowie koncesji) oraz podstaw wykluczenia wykonawcy </w:t>
      </w:r>
      <w:r w:rsidRPr="006340EF">
        <w:rPr>
          <w:rFonts w:ascii="Times New Roman" w:eastAsia="Calibri" w:hAnsi="Times New Roman" w:cs="Times New Roman"/>
          <w:sz w:val="24"/>
          <w:szCs w:val="24"/>
        </w:rPr>
        <w:t xml:space="preserve">z postępowania o zawarcie umowy koncesji </w:t>
      </w:r>
      <w:r w:rsidR="00774AE7" w:rsidRPr="006340EF">
        <w:rPr>
          <w:rFonts w:ascii="Times New Roman" w:eastAsia="Calibri" w:hAnsi="Times New Roman" w:cs="Times New Roman"/>
          <w:sz w:val="24"/>
          <w:szCs w:val="24"/>
        </w:rPr>
        <w:t>(art. 76 pkt 8 pwPzp w odniesieniu do art. 32 ustawy o umowie koncesji)</w:t>
      </w:r>
      <w:r w:rsidRPr="006340EF">
        <w:rPr>
          <w:rFonts w:ascii="Times New Roman" w:eastAsia="Calibri" w:hAnsi="Times New Roman" w:cs="Times New Roman"/>
          <w:sz w:val="24"/>
          <w:szCs w:val="24"/>
        </w:rPr>
        <w:t xml:space="preserve">. </w:t>
      </w:r>
    </w:p>
    <w:p w14:paraId="411B526F" w14:textId="77777777" w:rsidR="00F565A8" w:rsidRPr="006340EF" w:rsidRDefault="00F565A8" w:rsidP="008A198A">
      <w:pPr>
        <w:spacing w:after="0" w:line="360" w:lineRule="auto"/>
        <w:ind w:firstLine="708"/>
        <w:jc w:val="both"/>
        <w:rPr>
          <w:rFonts w:ascii="Times New Roman" w:eastAsia="Calibri" w:hAnsi="Times New Roman" w:cs="Times New Roman"/>
          <w:sz w:val="24"/>
          <w:szCs w:val="24"/>
        </w:rPr>
      </w:pPr>
    </w:p>
    <w:p w14:paraId="503636BA" w14:textId="77777777" w:rsidR="00D03DD0" w:rsidRDefault="00D03DD0" w:rsidP="008A198A">
      <w:pPr>
        <w:pStyle w:val="ARTartustawynprozporzdzenia"/>
        <w:spacing w:before="0"/>
        <w:ind w:firstLine="0"/>
        <w:rPr>
          <w:rFonts w:ascii="Times New Roman" w:hAnsi="Times New Roman" w:cs="Times New Roman"/>
          <w:b/>
          <w:szCs w:val="24"/>
        </w:rPr>
      </w:pPr>
      <w:r w:rsidRPr="006340EF">
        <w:rPr>
          <w:rFonts w:ascii="Times New Roman" w:hAnsi="Times New Roman" w:cs="Times New Roman"/>
          <w:b/>
          <w:szCs w:val="24"/>
        </w:rPr>
        <w:t>Szczegółowe omówienie najważniejszych zmian</w:t>
      </w:r>
    </w:p>
    <w:p w14:paraId="4E01F5D4" w14:textId="77777777" w:rsidR="001C0C61" w:rsidRPr="006340EF" w:rsidRDefault="001C0C61" w:rsidP="008A198A">
      <w:pPr>
        <w:pStyle w:val="ARTartustawynprozporzdzenia"/>
        <w:spacing w:before="0"/>
        <w:ind w:firstLine="0"/>
        <w:rPr>
          <w:rFonts w:ascii="Times New Roman" w:hAnsi="Times New Roman" w:cs="Times New Roman"/>
          <w:b/>
          <w:szCs w:val="24"/>
        </w:rPr>
      </w:pPr>
    </w:p>
    <w:p w14:paraId="50EB7060" w14:textId="77777777" w:rsidR="00117DB7" w:rsidRDefault="00774AE7" w:rsidP="00117DB7">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u w:val="single"/>
        </w:rPr>
        <w:t>Definicje</w:t>
      </w:r>
    </w:p>
    <w:p w14:paraId="67B12EF9" w14:textId="6530C15D" w:rsidR="003D7C34" w:rsidRPr="00117DB7" w:rsidRDefault="003D7C34" w:rsidP="00117DB7">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rPr>
        <w:t xml:space="preserve">Definicja zamawiającego z art. 2 pkt 11 ustawy o umowie koncesji, na skutek zmian w nowej ustawie Pzp, pomija obecnie jedną z kategorii zamawiających określoną w nowej ustawie Pzp w art. 5 ust. 1 pkt 1 tj. </w:t>
      </w:r>
      <w:r w:rsidRPr="006340EF">
        <w:rPr>
          <w:rFonts w:ascii="Times New Roman" w:eastAsia="Times New Roman" w:hAnsi="Times New Roman" w:cs="Times New Roman"/>
          <w:szCs w:val="24"/>
        </w:rPr>
        <w:t xml:space="preserve">zamawiających publicznych w zakresie, w jakim wykonują jeden z rodzajów działalności sektorowej, </w:t>
      </w:r>
      <w:r w:rsidR="00F565A8" w:rsidRPr="006340EF">
        <w:rPr>
          <w:rFonts w:ascii="Times New Roman" w:eastAsia="Times New Roman" w:hAnsi="Times New Roman" w:cs="Times New Roman"/>
          <w:szCs w:val="24"/>
        </w:rPr>
        <w:t xml:space="preserve">przez </w:t>
      </w:r>
      <w:r w:rsidRPr="006340EF">
        <w:rPr>
          <w:rFonts w:ascii="Times New Roman" w:eastAsia="Times New Roman" w:hAnsi="Times New Roman" w:cs="Times New Roman"/>
          <w:szCs w:val="24"/>
        </w:rPr>
        <w:t>co stanowi odzwierciedleni</w:t>
      </w:r>
      <w:r w:rsidR="008F2A50">
        <w:rPr>
          <w:rFonts w:ascii="Times New Roman" w:eastAsia="Times New Roman" w:hAnsi="Times New Roman" w:cs="Times New Roman"/>
          <w:szCs w:val="24"/>
        </w:rPr>
        <w:t>e</w:t>
      </w:r>
      <w:r w:rsidRPr="006340EF">
        <w:rPr>
          <w:rFonts w:ascii="Times New Roman" w:eastAsia="Times New Roman" w:hAnsi="Times New Roman" w:cs="Times New Roman"/>
          <w:szCs w:val="24"/>
        </w:rPr>
        <w:t xml:space="preserve"> art. 1 ust. 2 w związku z art. 7 ust. 1 lit. a dyrektywy koncesyjnej. Ponadto w celu zapewnienia pełnej zgodności z art. </w:t>
      </w:r>
      <w:r w:rsidR="00CD6DE6" w:rsidRPr="006340EF">
        <w:rPr>
          <w:rFonts w:ascii="Times New Roman" w:eastAsia="Times New Roman" w:hAnsi="Times New Roman" w:cs="Times New Roman"/>
          <w:szCs w:val="24"/>
        </w:rPr>
        <w:t>7 ust. 1 lit b dyrektywy koncesyjnej i uzgodnienia treści definicji z art. 5 ust. 1 pkt 2 nowej ustawy Pzp niezbędne jest dopełnienie definicji o konieczność wykonywania przez definiowany podmiot działalności sektorowej.</w:t>
      </w:r>
    </w:p>
    <w:p w14:paraId="1363EB3D" w14:textId="77777777" w:rsidR="00CD6DE6" w:rsidRPr="006340EF" w:rsidRDefault="00CD6DE6" w:rsidP="008A198A">
      <w:pPr>
        <w:spacing w:after="0" w:line="360" w:lineRule="auto"/>
        <w:jc w:val="both"/>
        <w:rPr>
          <w:rFonts w:ascii="Times New Roman" w:eastAsia="Times New Roman" w:hAnsi="Times New Roman" w:cs="Times New Roman"/>
          <w:sz w:val="24"/>
          <w:szCs w:val="24"/>
          <w:lang w:eastAsia="pl-PL"/>
        </w:rPr>
      </w:pPr>
    </w:p>
    <w:p w14:paraId="7B444265" w14:textId="77777777" w:rsidR="00117DB7" w:rsidRDefault="00CD6DE6" w:rsidP="00117DB7">
      <w:pPr>
        <w:spacing w:after="0" w:line="360" w:lineRule="auto"/>
        <w:jc w:val="both"/>
        <w:rPr>
          <w:rFonts w:ascii="Times New Roman" w:eastAsia="Times New Roman" w:hAnsi="Times New Roman" w:cs="Times New Roman"/>
          <w:sz w:val="24"/>
          <w:szCs w:val="24"/>
          <w:u w:val="single"/>
          <w:lang w:eastAsia="pl-PL"/>
        </w:rPr>
      </w:pPr>
      <w:r w:rsidRPr="006340EF">
        <w:rPr>
          <w:rFonts w:ascii="Times New Roman" w:eastAsia="Times New Roman" w:hAnsi="Times New Roman" w:cs="Times New Roman"/>
          <w:sz w:val="24"/>
          <w:szCs w:val="24"/>
          <w:u w:val="single"/>
          <w:lang w:eastAsia="pl-PL"/>
        </w:rPr>
        <w:t>Wyłączenia</w:t>
      </w:r>
    </w:p>
    <w:p w14:paraId="04B42896" w14:textId="77777777" w:rsidR="00C3493A" w:rsidRPr="001C71F2" w:rsidRDefault="00C3493A" w:rsidP="00117DB7">
      <w:pPr>
        <w:spacing w:after="0" w:line="360" w:lineRule="auto"/>
        <w:jc w:val="both"/>
        <w:rPr>
          <w:rFonts w:ascii="Times New Roman" w:eastAsia="Times New Roman" w:hAnsi="Times New Roman" w:cs="Times New Roman"/>
          <w:sz w:val="24"/>
          <w:szCs w:val="24"/>
          <w:u w:val="single"/>
          <w:lang w:eastAsia="pl-PL"/>
        </w:rPr>
      </w:pPr>
      <w:r w:rsidRPr="00B54BB6">
        <w:rPr>
          <w:rFonts w:ascii="Times New Roman" w:hAnsi="Times New Roman" w:cs="Times New Roman"/>
          <w:sz w:val="24"/>
          <w:szCs w:val="24"/>
        </w:rPr>
        <w:t>Wyłączenia spod obowiązku stosowania ustawy uregulowane w art. 5 ustawy o umowie koncesji znajdują swoje odzwierciedlenie w przepisach dyrektywy koncesyjnej tworząc katalog zamknięty, który nie podlega rozszerzeniu w prawie krajowym.</w:t>
      </w:r>
    </w:p>
    <w:p w14:paraId="0E85BAC4" w14:textId="77777777" w:rsidR="003D7C34" w:rsidRPr="006340EF" w:rsidRDefault="00CD6DE6" w:rsidP="008A198A">
      <w:pPr>
        <w:pStyle w:val="ARTartustawynprozporzdzenia"/>
        <w:spacing w:before="0"/>
        <w:ind w:firstLine="0"/>
        <w:rPr>
          <w:rFonts w:ascii="Times New Roman" w:hAnsi="Times New Roman" w:cs="Times New Roman"/>
          <w:szCs w:val="24"/>
        </w:rPr>
      </w:pPr>
      <w:r w:rsidRPr="006340EF">
        <w:rPr>
          <w:rFonts w:ascii="Times New Roman" w:hAnsi="Times New Roman" w:cs="Times New Roman"/>
          <w:szCs w:val="24"/>
        </w:rPr>
        <w:t>W odniesieniu do wyłączeń w dziedzinach obronności lub bezpieczeństwa określonych art. 5 ust. 1 pkt 2 ustawy o umowie koncesji niezbędne jest dostosowanie zakresu tego wyłączenia do zakresu określonego art. 13 nowej ustawy Pzp</w:t>
      </w:r>
      <w:r w:rsidR="00C41627" w:rsidRPr="006340EF">
        <w:rPr>
          <w:rFonts w:ascii="Times New Roman" w:hAnsi="Times New Roman" w:cs="Times New Roman"/>
          <w:szCs w:val="24"/>
        </w:rPr>
        <w:t xml:space="preserve"> oraz równocześnie w celu zapewnienia zgodności z art. 10 ust. 5 dyrektywy koncesyjnej.</w:t>
      </w:r>
    </w:p>
    <w:p w14:paraId="3B5AB47D" w14:textId="627CB082" w:rsidR="00D03DD0" w:rsidRPr="006340EF" w:rsidRDefault="00C41627" w:rsidP="008A198A">
      <w:pPr>
        <w:pStyle w:val="ARTartustawynprozporzdzenia"/>
        <w:spacing w:before="0"/>
        <w:ind w:firstLine="0"/>
        <w:rPr>
          <w:rFonts w:ascii="Times New Roman" w:hAnsi="Times New Roman" w:cs="Times New Roman"/>
          <w:szCs w:val="24"/>
        </w:rPr>
      </w:pPr>
      <w:r w:rsidRPr="006340EF">
        <w:rPr>
          <w:rFonts w:ascii="Times New Roman" w:hAnsi="Times New Roman" w:cs="Times New Roman"/>
          <w:szCs w:val="24"/>
        </w:rPr>
        <w:t xml:space="preserve">Wyłączenie odnoszące się do zawierania umów koncesji z zamawiającym publicznym posiadającym prawo wyłączne na podstawie opublikowanego aktu </w:t>
      </w:r>
      <w:r w:rsidRPr="006340EF">
        <w:rPr>
          <w:rFonts w:ascii="Times New Roman" w:hAnsi="Times New Roman" w:cs="Times New Roman"/>
          <w:szCs w:val="24"/>
        </w:rPr>
        <w:lastRenderedPageBreak/>
        <w:t>prawnego</w:t>
      </w:r>
      <w:r w:rsidR="00D75766" w:rsidRPr="006340EF">
        <w:rPr>
          <w:rFonts w:ascii="Times New Roman" w:hAnsi="Times New Roman" w:cs="Times New Roman"/>
          <w:szCs w:val="24"/>
        </w:rPr>
        <w:t>, o którym mowa</w:t>
      </w:r>
      <w:r w:rsidR="00042450">
        <w:rPr>
          <w:rFonts w:ascii="Times New Roman" w:hAnsi="Times New Roman" w:cs="Times New Roman"/>
          <w:szCs w:val="24"/>
        </w:rPr>
        <w:t xml:space="preserve"> </w:t>
      </w:r>
      <w:r w:rsidR="00D75766" w:rsidRPr="006340EF">
        <w:rPr>
          <w:rFonts w:ascii="Times New Roman" w:hAnsi="Times New Roman" w:cs="Times New Roman"/>
          <w:szCs w:val="24"/>
        </w:rPr>
        <w:t>w art. 5 ust. 1 pkt 5 ustawy o umowie koncesji wymaga uspójnienia z treścią art. 10 ust. 2 pkt 4 nowej ustawy Pzp zawierającej analogiczną normę. W tym celu, jak również w celu uzgodnienia treści tego przepisu z art. 10 ust. 1 dyrektywy koncesyjnej</w:t>
      </w:r>
      <w:r w:rsidR="001C71F2">
        <w:rPr>
          <w:rFonts w:ascii="Times New Roman" w:hAnsi="Times New Roman" w:cs="Times New Roman"/>
          <w:szCs w:val="24"/>
        </w:rPr>
        <w:t>,</w:t>
      </w:r>
      <w:r w:rsidR="00D75766" w:rsidRPr="006340EF">
        <w:rPr>
          <w:rFonts w:ascii="Times New Roman" w:hAnsi="Times New Roman" w:cs="Times New Roman"/>
          <w:szCs w:val="24"/>
        </w:rPr>
        <w:t xml:space="preserve"> do przepisu tego została włączona definicja prawa wyłącznego.</w:t>
      </w:r>
    </w:p>
    <w:p w14:paraId="21CAFD99" w14:textId="648C5ED7" w:rsidR="00D75766" w:rsidRPr="006340EF" w:rsidRDefault="00D75766" w:rsidP="008A198A">
      <w:pPr>
        <w:pStyle w:val="ARTartustawynprozporzdzenia"/>
        <w:spacing w:before="0"/>
        <w:ind w:firstLine="0"/>
        <w:rPr>
          <w:rFonts w:ascii="Times New Roman" w:hAnsi="Times New Roman" w:cs="Times New Roman"/>
          <w:szCs w:val="24"/>
        </w:rPr>
      </w:pPr>
      <w:r w:rsidRPr="006340EF">
        <w:rPr>
          <w:rFonts w:ascii="Times New Roman" w:hAnsi="Times New Roman" w:cs="Times New Roman"/>
          <w:szCs w:val="24"/>
        </w:rPr>
        <w:t>Wyłączenie dotyczące działalności podmiotów publicznych w dziedzinie łączności elektronicznej zawarte w art. 5 ust. 1 pkt 7 ustawy o umowie koncesji wymaga dostosowania do brzmienia analogicznej normy w art. 10 ust. 1 pkt 3 nowej ustawy Pzp</w:t>
      </w:r>
      <w:r w:rsidR="001C71F2">
        <w:rPr>
          <w:rFonts w:ascii="Times New Roman" w:hAnsi="Times New Roman" w:cs="Times New Roman"/>
          <w:szCs w:val="24"/>
        </w:rPr>
        <w:t>,</w:t>
      </w:r>
      <w:r w:rsidRPr="006340EF">
        <w:rPr>
          <w:rFonts w:ascii="Times New Roman" w:hAnsi="Times New Roman" w:cs="Times New Roman"/>
          <w:szCs w:val="24"/>
        </w:rPr>
        <w:t xml:space="preserve"> a jednocześnie dostosowania do art. 11 dyrektywy koncesyjnej.</w:t>
      </w:r>
    </w:p>
    <w:p w14:paraId="036F966D" w14:textId="77777777" w:rsidR="00F565A8" w:rsidRPr="006340EF" w:rsidRDefault="00F565A8" w:rsidP="008A198A">
      <w:pPr>
        <w:pStyle w:val="ARTartustawynprozporzdzenia"/>
        <w:spacing w:before="0"/>
        <w:ind w:firstLine="0"/>
        <w:rPr>
          <w:rFonts w:ascii="Times New Roman" w:hAnsi="Times New Roman" w:cs="Times New Roman"/>
          <w:szCs w:val="24"/>
        </w:rPr>
      </w:pPr>
    </w:p>
    <w:p w14:paraId="6AEA7DC8" w14:textId="77777777" w:rsidR="007E4E6F" w:rsidRDefault="007E4E6F" w:rsidP="008A198A">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u w:val="single"/>
        </w:rPr>
        <w:t>Koncesje mieszane</w:t>
      </w:r>
    </w:p>
    <w:p w14:paraId="29C35780" w14:textId="223F1282" w:rsidR="007E4E6F" w:rsidRPr="006340EF" w:rsidRDefault="007030A8" w:rsidP="008A198A">
      <w:pPr>
        <w:pStyle w:val="ARTartustawynprozporzdzenia"/>
        <w:spacing w:before="0"/>
        <w:ind w:firstLine="0"/>
        <w:rPr>
          <w:rFonts w:ascii="Times New Roman" w:hAnsi="Times New Roman" w:cs="Times New Roman"/>
          <w:szCs w:val="24"/>
        </w:rPr>
      </w:pPr>
      <w:r w:rsidRPr="006340EF">
        <w:rPr>
          <w:rFonts w:ascii="Times New Roman" w:eastAsia="Times New Roman" w:hAnsi="Times New Roman" w:cs="Times New Roman"/>
          <w:szCs w:val="24"/>
        </w:rPr>
        <w:t>Rozbudowany w nowych dyrektywach z 2014 r. wątek dotyczący stosowania przepisów tych dyrektyw do zamówień i koncesji o charakterze mieszanym, które podlegają różnym reżimom prawny</w:t>
      </w:r>
      <w:r w:rsidR="008F2A50">
        <w:rPr>
          <w:rFonts w:ascii="Times New Roman" w:eastAsia="Times New Roman" w:hAnsi="Times New Roman" w:cs="Times New Roman"/>
          <w:szCs w:val="24"/>
        </w:rPr>
        <w:t>m</w:t>
      </w:r>
      <w:r w:rsidRPr="006340EF">
        <w:rPr>
          <w:rFonts w:ascii="Times New Roman" w:eastAsia="Times New Roman" w:hAnsi="Times New Roman" w:cs="Times New Roman"/>
          <w:szCs w:val="24"/>
        </w:rPr>
        <w:t>, właściwym odpowiednio dla zamówień klasycznych, sektorowych lub w dziedzinach obronności i bezpieczeństwa</w:t>
      </w:r>
      <w:r w:rsidR="008D7A05" w:rsidRPr="006340EF">
        <w:rPr>
          <w:rFonts w:ascii="Times New Roman" w:eastAsia="Times New Roman" w:hAnsi="Times New Roman" w:cs="Times New Roman"/>
          <w:szCs w:val="24"/>
        </w:rPr>
        <w:t xml:space="preserve"> albo dla umów koncesji</w:t>
      </w:r>
      <w:r w:rsidR="00F565A8" w:rsidRPr="006340EF">
        <w:rPr>
          <w:rFonts w:ascii="Times New Roman" w:eastAsia="Times New Roman" w:hAnsi="Times New Roman" w:cs="Times New Roman"/>
          <w:szCs w:val="24"/>
        </w:rPr>
        <w:t xml:space="preserve"> wskazuje na dużą wagę jaką dyrektywy przywiązują do tego zagadnienia, co jest odpowiedzią na wątpliwości, jakie pojawiały się w tym zakresie w praktyce</w:t>
      </w:r>
      <w:r w:rsidRPr="006340EF">
        <w:rPr>
          <w:rFonts w:ascii="Times New Roman" w:eastAsia="Times New Roman" w:hAnsi="Times New Roman" w:cs="Times New Roman"/>
          <w:szCs w:val="24"/>
        </w:rPr>
        <w:t xml:space="preserve">. </w:t>
      </w:r>
      <w:r w:rsidR="007E4E6F" w:rsidRPr="006340EF">
        <w:rPr>
          <w:rFonts w:ascii="Times New Roman" w:hAnsi="Times New Roman" w:cs="Times New Roman"/>
          <w:szCs w:val="24"/>
        </w:rPr>
        <w:t>Analiza przepisów art. 10 i 11 ustawy o umowie koncesji doprowadziła do wniosku, że w celu właściwego stosowania tego przepisu, w szczególności z uwzględnieniem stosowania przepisów nowej ustawy Pzp w przypadku, gdy część poddana pod ustawę Pzp jest niższej wartości niż kwota progu unijnego, wymaga</w:t>
      </w:r>
      <w:r w:rsidR="008F2A50">
        <w:rPr>
          <w:rFonts w:ascii="Times New Roman" w:hAnsi="Times New Roman" w:cs="Times New Roman"/>
          <w:szCs w:val="24"/>
        </w:rPr>
        <w:t>ne</w:t>
      </w:r>
      <w:r w:rsidR="00042450">
        <w:rPr>
          <w:rFonts w:ascii="Times New Roman" w:hAnsi="Times New Roman" w:cs="Times New Roman"/>
          <w:szCs w:val="24"/>
        </w:rPr>
        <w:t xml:space="preserve"> </w:t>
      </w:r>
      <w:r w:rsidR="008F2A50">
        <w:rPr>
          <w:rFonts w:ascii="Times New Roman" w:hAnsi="Times New Roman" w:cs="Times New Roman"/>
          <w:szCs w:val="24"/>
        </w:rPr>
        <w:t xml:space="preserve">jest </w:t>
      </w:r>
      <w:r w:rsidR="007E4E6F" w:rsidRPr="006340EF">
        <w:rPr>
          <w:rFonts w:ascii="Times New Roman" w:hAnsi="Times New Roman" w:cs="Times New Roman"/>
          <w:szCs w:val="24"/>
        </w:rPr>
        <w:t>dostosowani</w:t>
      </w:r>
      <w:r w:rsidR="008F2A50">
        <w:rPr>
          <w:rFonts w:ascii="Times New Roman" w:hAnsi="Times New Roman" w:cs="Times New Roman"/>
          <w:szCs w:val="24"/>
        </w:rPr>
        <w:t>e</w:t>
      </w:r>
      <w:r w:rsidR="007E4E6F" w:rsidRPr="006340EF">
        <w:rPr>
          <w:rFonts w:ascii="Times New Roman" w:hAnsi="Times New Roman" w:cs="Times New Roman"/>
          <w:szCs w:val="24"/>
        </w:rPr>
        <w:t xml:space="preserve"> treści tych przepisów do analogicznych regulacji z art. 24-26 nowej ustawy Pzp. Takie dostosowanie wpłynie również na pełniejsze </w:t>
      </w:r>
      <w:r w:rsidR="00F565A8" w:rsidRPr="006340EF">
        <w:rPr>
          <w:rFonts w:ascii="Times New Roman" w:hAnsi="Times New Roman" w:cs="Times New Roman"/>
          <w:szCs w:val="24"/>
        </w:rPr>
        <w:t xml:space="preserve">i bardziej czytelne </w:t>
      </w:r>
      <w:r w:rsidR="007E4E6F" w:rsidRPr="006340EF">
        <w:rPr>
          <w:rFonts w:ascii="Times New Roman" w:hAnsi="Times New Roman" w:cs="Times New Roman"/>
          <w:szCs w:val="24"/>
        </w:rPr>
        <w:t xml:space="preserve">oddanie regulacji </w:t>
      </w:r>
      <w:r w:rsidR="00B63C4F">
        <w:rPr>
          <w:rFonts w:ascii="Times New Roman" w:hAnsi="Times New Roman" w:cs="Times New Roman"/>
          <w:szCs w:val="24"/>
        </w:rPr>
        <w:br/>
      </w:r>
      <w:r w:rsidR="007E4E6F" w:rsidRPr="006340EF">
        <w:rPr>
          <w:rFonts w:ascii="Times New Roman" w:hAnsi="Times New Roman" w:cs="Times New Roman"/>
          <w:szCs w:val="24"/>
        </w:rPr>
        <w:t>art. 20</w:t>
      </w:r>
      <w:r w:rsidR="00042450" w:rsidRPr="00A714EB">
        <w:rPr>
          <w:rFonts w:ascii="Times New Roman" w:hAnsi="Times New Roman" w:cs="Times New Roman"/>
          <w:bCs/>
          <w:szCs w:val="24"/>
        </w:rPr>
        <w:t>–</w:t>
      </w:r>
      <w:r w:rsidR="007E4E6F" w:rsidRPr="006340EF">
        <w:rPr>
          <w:rFonts w:ascii="Times New Roman" w:hAnsi="Times New Roman" w:cs="Times New Roman"/>
          <w:szCs w:val="24"/>
        </w:rPr>
        <w:t>23 dyrektywy koncesyjnej.</w:t>
      </w:r>
    </w:p>
    <w:p w14:paraId="46009D92" w14:textId="77777777" w:rsidR="00F565A8" w:rsidRPr="006340EF" w:rsidRDefault="00F565A8" w:rsidP="008A198A">
      <w:pPr>
        <w:pStyle w:val="ARTartustawynprozporzdzenia"/>
        <w:spacing w:before="0"/>
        <w:ind w:firstLine="0"/>
        <w:rPr>
          <w:rFonts w:ascii="Times New Roman" w:hAnsi="Times New Roman" w:cs="Times New Roman"/>
          <w:szCs w:val="24"/>
        </w:rPr>
      </w:pPr>
    </w:p>
    <w:p w14:paraId="20A9BC3D" w14:textId="77777777" w:rsidR="007E4E6F" w:rsidRDefault="00903E3A" w:rsidP="008A198A">
      <w:pPr>
        <w:pStyle w:val="ARTartustawynprozporzdzenia"/>
        <w:spacing w:before="0"/>
        <w:ind w:firstLine="0"/>
        <w:rPr>
          <w:rFonts w:ascii="Times New Roman" w:hAnsi="Times New Roman" w:cs="Times New Roman"/>
          <w:szCs w:val="24"/>
          <w:u w:val="single"/>
        </w:rPr>
      </w:pPr>
      <w:r w:rsidRPr="006340EF">
        <w:rPr>
          <w:rFonts w:ascii="Times New Roman" w:hAnsi="Times New Roman" w:cs="Times New Roman"/>
          <w:szCs w:val="24"/>
          <w:u w:val="single"/>
        </w:rPr>
        <w:t>Wykluczenia</w:t>
      </w:r>
    </w:p>
    <w:p w14:paraId="6A8D44AF" w14:textId="5EEB2250" w:rsidR="00903E3A" w:rsidRPr="006340EF" w:rsidRDefault="00C3493A" w:rsidP="001C0C61">
      <w:pPr>
        <w:spacing w:after="0" w:line="360" w:lineRule="auto"/>
        <w:jc w:val="both"/>
        <w:rPr>
          <w:rFonts w:ascii="Times New Roman" w:hAnsi="Times New Roman" w:cs="Times New Roman"/>
          <w:sz w:val="24"/>
          <w:szCs w:val="24"/>
        </w:rPr>
      </w:pPr>
      <w:r w:rsidRPr="006340EF">
        <w:rPr>
          <w:rFonts w:ascii="Times New Roman" w:eastAsia="Times New Roman" w:hAnsi="Times New Roman" w:cs="Times New Roman"/>
          <w:sz w:val="24"/>
          <w:szCs w:val="24"/>
        </w:rPr>
        <w:t>W nowej ustawie Pzp zasadniczo została ograniczona liczba obligatoryjnych podstaw wykluczenia do przesłanek wskazanych w dyrektywie klasycznej</w:t>
      </w:r>
      <w:r w:rsidR="00F565A8" w:rsidRPr="006340EF">
        <w:rPr>
          <w:rFonts w:ascii="Times New Roman" w:eastAsia="Times New Roman" w:hAnsi="Times New Roman" w:cs="Times New Roman"/>
          <w:sz w:val="24"/>
          <w:szCs w:val="24"/>
        </w:rPr>
        <w:t>,</w:t>
      </w:r>
      <w:r w:rsidRPr="006340EF">
        <w:rPr>
          <w:rFonts w:ascii="Times New Roman" w:eastAsia="Times New Roman" w:hAnsi="Times New Roman" w:cs="Times New Roman"/>
          <w:sz w:val="24"/>
          <w:szCs w:val="24"/>
        </w:rPr>
        <w:t xml:space="preserve"> a niektóre</w:t>
      </w:r>
      <w:r w:rsidR="00042450">
        <w:rPr>
          <w:rFonts w:ascii="Times New Roman" w:eastAsia="Times New Roman" w:hAnsi="Times New Roman" w:cs="Times New Roman"/>
          <w:sz w:val="24"/>
          <w:szCs w:val="24"/>
        </w:rPr>
        <w:t xml:space="preserve"> </w:t>
      </w:r>
      <w:r w:rsidRPr="006340EF">
        <w:rPr>
          <w:rFonts w:ascii="Times New Roman" w:eastAsia="Times New Roman" w:hAnsi="Times New Roman" w:cs="Times New Roman"/>
          <w:sz w:val="24"/>
          <w:szCs w:val="24"/>
        </w:rPr>
        <w:t>dotychczasowe obligatoryjne podstawy wykluczenia zostały przeniesione do katalogu fa</w:t>
      </w:r>
      <w:r w:rsidRPr="006340EF">
        <w:rPr>
          <w:rFonts w:ascii="Times New Roman" w:eastAsia="Times New Roman" w:hAnsi="Times New Roman" w:cs="Times New Roman"/>
          <w:sz w:val="24"/>
          <w:szCs w:val="24"/>
        </w:rPr>
        <w:lastRenderedPageBreak/>
        <w:t xml:space="preserve">kultatywnych podstaw wykluczenia. </w:t>
      </w:r>
      <w:r w:rsidR="007030A8" w:rsidRPr="006340EF">
        <w:rPr>
          <w:rFonts w:ascii="Times New Roman" w:eastAsia="Times New Roman" w:hAnsi="Times New Roman" w:cs="Times New Roman"/>
          <w:sz w:val="24"/>
          <w:szCs w:val="24"/>
        </w:rPr>
        <w:t xml:space="preserve">Ponadto niezbędne jest utrzymanie spójnej regulacji w zakresie okresów wykluczenia na skutek zaistnienia </w:t>
      </w:r>
      <w:r w:rsidR="00F565A8" w:rsidRPr="006340EF">
        <w:rPr>
          <w:rFonts w:ascii="Times New Roman" w:eastAsia="Times New Roman" w:hAnsi="Times New Roman" w:cs="Times New Roman"/>
          <w:sz w:val="24"/>
          <w:szCs w:val="24"/>
        </w:rPr>
        <w:t xml:space="preserve">odpowiedniej </w:t>
      </w:r>
      <w:r w:rsidR="007030A8" w:rsidRPr="006340EF">
        <w:rPr>
          <w:rFonts w:ascii="Times New Roman" w:eastAsia="Times New Roman" w:hAnsi="Times New Roman" w:cs="Times New Roman"/>
          <w:sz w:val="24"/>
          <w:szCs w:val="24"/>
        </w:rPr>
        <w:t>podstawy wykluczenia</w:t>
      </w:r>
      <w:r w:rsidRPr="006340EF">
        <w:rPr>
          <w:rFonts w:ascii="Times New Roman" w:eastAsia="Times New Roman" w:hAnsi="Times New Roman" w:cs="Times New Roman"/>
          <w:sz w:val="24"/>
          <w:szCs w:val="24"/>
        </w:rPr>
        <w:t xml:space="preserve">. </w:t>
      </w:r>
      <w:r w:rsidR="00903E3A" w:rsidRPr="006340EF">
        <w:rPr>
          <w:rFonts w:ascii="Times New Roman" w:hAnsi="Times New Roman" w:cs="Times New Roman"/>
          <w:sz w:val="24"/>
          <w:szCs w:val="24"/>
        </w:rPr>
        <w:t xml:space="preserve">Ze względu na wagę przepisu art. 32 ustawy o umowie koncesji dotyczącego wykluczeń wykonawców z udziału w postępowaniu o zawarcie umowy koncesji i </w:t>
      </w:r>
      <w:r w:rsidR="00F565A8" w:rsidRPr="006340EF">
        <w:rPr>
          <w:rFonts w:ascii="Times New Roman" w:hAnsi="Times New Roman" w:cs="Times New Roman"/>
          <w:sz w:val="24"/>
          <w:szCs w:val="24"/>
        </w:rPr>
        <w:t xml:space="preserve">z uwagi na potrzebę </w:t>
      </w:r>
      <w:r w:rsidR="00903E3A" w:rsidRPr="006340EF">
        <w:rPr>
          <w:rFonts w:ascii="Times New Roman" w:hAnsi="Times New Roman" w:cs="Times New Roman"/>
          <w:sz w:val="24"/>
          <w:szCs w:val="24"/>
        </w:rPr>
        <w:t>zapobieżeni</w:t>
      </w:r>
      <w:r w:rsidR="00F565A8" w:rsidRPr="006340EF">
        <w:rPr>
          <w:rFonts w:ascii="Times New Roman" w:hAnsi="Times New Roman" w:cs="Times New Roman"/>
          <w:sz w:val="24"/>
          <w:szCs w:val="24"/>
        </w:rPr>
        <w:t>a</w:t>
      </w:r>
      <w:r w:rsidR="00903E3A" w:rsidRPr="006340EF">
        <w:rPr>
          <w:rFonts w:ascii="Times New Roman" w:hAnsi="Times New Roman" w:cs="Times New Roman"/>
          <w:sz w:val="24"/>
          <w:szCs w:val="24"/>
        </w:rPr>
        <w:t xml:space="preserve"> wszelkim wątpliwościom interpretacyjnym niezbędne jest uspójnienie tej regulacji z analogicznymi przepisami z art. 108</w:t>
      </w:r>
      <w:r w:rsidR="00F565A8" w:rsidRPr="006340EF">
        <w:rPr>
          <w:rFonts w:ascii="Times New Roman" w:hAnsi="Times New Roman" w:cs="Times New Roman"/>
          <w:sz w:val="24"/>
          <w:szCs w:val="24"/>
        </w:rPr>
        <w:t>,</w:t>
      </w:r>
      <w:r w:rsidR="00903E3A" w:rsidRPr="006340EF">
        <w:rPr>
          <w:rFonts w:ascii="Times New Roman" w:hAnsi="Times New Roman" w:cs="Times New Roman"/>
          <w:sz w:val="24"/>
          <w:szCs w:val="24"/>
        </w:rPr>
        <w:t xml:space="preserve"> </w:t>
      </w:r>
      <w:r w:rsidR="001C71F2">
        <w:rPr>
          <w:rFonts w:ascii="Times New Roman" w:hAnsi="Times New Roman" w:cs="Times New Roman"/>
          <w:sz w:val="24"/>
          <w:szCs w:val="24"/>
        </w:rPr>
        <w:t xml:space="preserve">art. </w:t>
      </w:r>
      <w:r w:rsidR="00903E3A" w:rsidRPr="006340EF">
        <w:rPr>
          <w:rFonts w:ascii="Times New Roman" w:hAnsi="Times New Roman" w:cs="Times New Roman"/>
          <w:sz w:val="24"/>
          <w:szCs w:val="24"/>
        </w:rPr>
        <w:t xml:space="preserve">109 i </w:t>
      </w:r>
      <w:r w:rsidR="001C71F2">
        <w:rPr>
          <w:rFonts w:ascii="Times New Roman" w:hAnsi="Times New Roman" w:cs="Times New Roman"/>
          <w:sz w:val="24"/>
          <w:szCs w:val="24"/>
        </w:rPr>
        <w:t xml:space="preserve">art. </w:t>
      </w:r>
      <w:r w:rsidR="00903E3A" w:rsidRPr="006340EF">
        <w:rPr>
          <w:rFonts w:ascii="Times New Roman" w:hAnsi="Times New Roman" w:cs="Times New Roman"/>
          <w:sz w:val="24"/>
          <w:szCs w:val="24"/>
        </w:rPr>
        <w:t xml:space="preserve">111 nowej ustawy Pzp. Zmiana umożliwi również </w:t>
      </w:r>
      <w:r w:rsidR="00F565A8" w:rsidRPr="006340EF">
        <w:rPr>
          <w:rFonts w:ascii="Times New Roman" w:hAnsi="Times New Roman" w:cs="Times New Roman"/>
          <w:sz w:val="24"/>
          <w:szCs w:val="24"/>
        </w:rPr>
        <w:t xml:space="preserve">pełniejsze i bardziej przejrzyste </w:t>
      </w:r>
      <w:r w:rsidR="00903E3A" w:rsidRPr="006340EF">
        <w:rPr>
          <w:rFonts w:ascii="Times New Roman" w:hAnsi="Times New Roman" w:cs="Times New Roman"/>
          <w:sz w:val="24"/>
          <w:szCs w:val="24"/>
        </w:rPr>
        <w:t>oddanie podstaw wykluczenia wykonawców</w:t>
      </w:r>
      <w:r w:rsidR="00F565A8" w:rsidRPr="006340EF">
        <w:rPr>
          <w:rFonts w:ascii="Times New Roman" w:hAnsi="Times New Roman" w:cs="Times New Roman"/>
          <w:sz w:val="24"/>
          <w:szCs w:val="24"/>
        </w:rPr>
        <w:t xml:space="preserve"> wynikające</w:t>
      </w:r>
      <w:r w:rsidR="00903E3A" w:rsidRPr="006340EF">
        <w:rPr>
          <w:rFonts w:ascii="Times New Roman" w:hAnsi="Times New Roman" w:cs="Times New Roman"/>
          <w:sz w:val="24"/>
          <w:szCs w:val="24"/>
        </w:rPr>
        <w:t xml:space="preserve"> z art. 38 dyrektywy koncesyjnej.</w:t>
      </w:r>
    </w:p>
    <w:p w14:paraId="4890E250" w14:textId="632AF4CA" w:rsidR="00A714EB" w:rsidRDefault="00A714EB" w:rsidP="00A714EB">
      <w:pPr>
        <w:pStyle w:val="ARTartustawynprozporzdzenia"/>
        <w:ind w:firstLine="0"/>
        <w:rPr>
          <w:rFonts w:ascii="Times New Roman" w:hAnsi="Times New Roman" w:cs="Times New Roman"/>
          <w:szCs w:val="24"/>
        </w:rPr>
      </w:pPr>
      <w:r w:rsidRPr="00A714EB">
        <w:rPr>
          <w:rFonts w:ascii="Times New Roman" w:hAnsi="Times New Roman" w:cs="Times New Roman"/>
          <w:szCs w:val="24"/>
        </w:rPr>
        <w:t>Ponadto niezbędne jest utrzymanie spójnej regulacji w zakresie okresów wykluczenia na skutek zaistnienia odpowiedniej podstawy wykluczenia.</w:t>
      </w:r>
    </w:p>
    <w:p w14:paraId="7946F0C0" w14:textId="77777777" w:rsidR="00A714EB" w:rsidRPr="00A714EB" w:rsidRDefault="00A714EB" w:rsidP="00A714EB">
      <w:pPr>
        <w:pStyle w:val="ARTartustawynprozporzdzenia"/>
        <w:ind w:firstLine="0"/>
        <w:rPr>
          <w:rFonts w:ascii="Times New Roman" w:hAnsi="Times New Roman" w:cs="Times New Roman"/>
          <w:szCs w:val="24"/>
        </w:rPr>
      </w:pPr>
    </w:p>
    <w:p w14:paraId="318EDFDA" w14:textId="6BC5FB39" w:rsidR="00A714EB" w:rsidRDefault="00A714EB" w:rsidP="00A714EB">
      <w:pPr>
        <w:pStyle w:val="ARTartustawynprozporzdzenia"/>
        <w:ind w:firstLine="0"/>
        <w:rPr>
          <w:rFonts w:ascii="Times New Roman" w:hAnsi="Times New Roman" w:cs="Times New Roman"/>
          <w:b/>
          <w:szCs w:val="24"/>
        </w:rPr>
      </w:pPr>
      <w:r w:rsidRPr="00A714EB">
        <w:rPr>
          <w:rFonts w:ascii="Times New Roman" w:hAnsi="Times New Roman" w:cs="Times New Roman"/>
          <w:b/>
          <w:szCs w:val="24"/>
        </w:rPr>
        <w:t>3. Zmiana nowej ustawy Pzp</w:t>
      </w:r>
    </w:p>
    <w:p w14:paraId="7C90C7B4" w14:textId="24312119" w:rsidR="00A714EB" w:rsidRDefault="00A714E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bCs/>
          <w:szCs w:val="24"/>
        </w:rPr>
        <w:t>Mając świadomość odpowiedzialności jaką za sobą niesie wejście w życie z dniem 1 stycznia 2021 r. nowej ustawy Pzp, projektodawcy tej ustawy nie poprzestali jedynie na pracach związanych z przygotowaniem nowych aktów wykonawczych. Niezwłocznie po ogłoszeniu w Dzienniku Ustaw R</w:t>
      </w:r>
      <w:r w:rsidR="00527858">
        <w:rPr>
          <w:rFonts w:ascii="Times New Roman" w:hAnsi="Times New Roman" w:cs="Times New Roman"/>
          <w:bCs/>
          <w:szCs w:val="24"/>
        </w:rPr>
        <w:t xml:space="preserve">zeczypospolitej </w:t>
      </w:r>
      <w:r w:rsidRPr="00A714EB">
        <w:rPr>
          <w:rFonts w:ascii="Times New Roman" w:hAnsi="Times New Roman" w:cs="Times New Roman"/>
          <w:bCs/>
          <w:szCs w:val="24"/>
        </w:rPr>
        <w:t>P</w:t>
      </w:r>
      <w:r w:rsidR="00527858">
        <w:rPr>
          <w:rFonts w:ascii="Times New Roman" w:hAnsi="Times New Roman" w:cs="Times New Roman"/>
          <w:bCs/>
          <w:szCs w:val="24"/>
        </w:rPr>
        <w:t>olskiej</w:t>
      </w:r>
      <w:r w:rsidRPr="00A714EB">
        <w:rPr>
          <w:rFonts w:ascii="Times New Roman" w:hAnsi="Times New Roman" w:cs="Times New Roman"/>
          <w:bCs/>
          <w:szCs w:val="24"/>
        </w:rPr>
        <w:t xml:space="preserve"> nowej ustawy Pzp przystąpiono do szeregu analiz przepisów pod kątem ich praktycznego zastosowania w przyszłości. Ponadto zorganizowane zostały konferencje i warsztaty szkoleniowe, podczas których wymieniano spostrzeżenia na temat przyszłego zastosowania nowych regulacji w praktyce. Z przeprowadzonych analiz oraz sugestii zamawiających i wykonawców wynika, że zasadne jest wprowadzenie zmian ujętych w art. </w:t>
      </w:r>
      <w:r w:rsidR="00FB0653">
        <w:rPr>
          <w:rFonts w:ascii="Times New Roman" w:hAnsi="Times New Roman" w:cs="Times New Roman"/>
          <w:bCs/>
          <w:szCs w:val="24"/>
        </w:rPr>
        <w:t>3</w:t>
      </w:r>
      <w:r w:rsidRPr="00A714EB">
        <w:rPr>
          <w:rFonts w:ascii="Times New Roman" w:hAnsi="Times New Roman" w:cs="Times New Roman"/>
          <w:bCs/>
          <w:szCs w:val="24"/>
        </w:rPr>
        <w:t xml:space="preserve"> projektu niniejszej ustawy. Biorąc pod uwagę fakt, że nowa ustawa Pzp nie zaczęła jeszcze obowiązywać, możliwe jest – bez uszczerbku dla uczestników rynku zamówień publicznych – doprecyzowanie niektórych przepisów.</w:t>
      </w:r>
    </w:p>
    <w:p w14:paraId="594A3D8C" w14:textId="77777777" w:rsidR="00A714EB" w:rsidRDefault="00261663" w:rsidP="00A714EB">
      <w:pPr>
        <w:pStyle w:val="ARTartustawynprozporzdzenia"/>
        <w:ind w:firstLine="0"/>
        <w:rPr>
          <w:rFonts w:ascii="Times New Roman" w:hAnsi="Times New Roman" w:cs="Times New Roman"/>
          <w:bCs/>
          <w:szCs w:val="24"/>
        </w:rPr>
      </w:pPr>
      <w:r>
        <w:rPr>
          <w:rFonts w:ascii="Times New Roman" w:hAnsi="Times New Roman" w:cs="Times New Roman"/>
          <w:bCs/>
          <w:szCs w:val="24"/>
        </w:rPr>
        <w:t>Projekt ustawy uwzględnia również szereg uwag i sugestii zgłaszanych na etapie uzgodnień, konsultacji publicznych i opiniowania</w:t>
      </w:r>
      <w:r w:rsidR="0013293C">
        <w:rPr>
          <w:rFonts w:ascii="Times New Roman" w:hAnsi="Times New Roman" w:cs="Times New Roman"/>
          <w:bCs/>
          <w:szCs w:val="24"/>
        </w:rPr>
        <w:t xml:space="preserve">. </w:t>
      </w:r>
    </w:p>
    <w:p w14:paraId="10281920" w14:textId="77777777" w:rsidR="00117DB7" w:rsidRDefault="00117DB7" w:rsidP="00A714EB">
      <w:pPr>
        <w:pStyle w:val="ARTartustawynprozporzdzenia"/>
        <w:ind w:firstLine="0"/>
        <w:rPr>
          <w:rFonts w:ascii="Times New Roman" w:hAnsi="Times New Roman" w:cs="Times New Roman"/>
          <w:bCs/>
          <w:szCs w:val="24"/>
        </w:rPr>
      </w:pPr>
    </w:p>
    <w:p w14:paraId="6D589E5D" w14:textId="77777777" w:rsidR="00A714EB" w:rsidRDefault="00A714EB" w:rsidP="00A714EB">
      <w:pPr>
        <w:pStyle w:val="ARTartustawynprozporzdzenia"/>
        <w:ind w:firstLine="0"/>
        <w:rPr>
          <w:rFonts w:ascii="Times New Roman" w:hAnsi="Times New Roman" w:cs="Times New Roman"/>
          <w:b/>
          <w:szCs w:val="24"/>
        </w:rPr>
      </w:pPr>
      <w:r w:rsidRPr="00A714EB">
        <w:rPr>
          <w:rFonts w:ascii="Times New Roman" w:hAnsi="Times New Roman" w:cs="Times New Roman"/>
          <w:b/>
          <w:szCs w:val="24"/>
        </w:rPr>
        <w:t>Szczegółowe omówienie najważniejszych zmian</w:t>
      </w:r>
    </w:p>
    <w:p w14:paraId="3C40A759" w14:textId="77777777" w:rsidR="001C0C61" w:rsidRPr="00A714EB" w:rsidRDefault="001C0C61" w:rsidP="00A714EB">
      <w:pPr>
        <w:pStyle w:val="ARTartustawynprozporzdzenia"/>
        <w:ind w:firstLine="0"/>
        <w:rPr>
          <w:rFonts w:ascii="Times New Roman" w:hAnsi="Times New Roman" w:cs="Times New Roman"/>
          <w:b/>
          <w:szCs w:val="24"/>
        </w:rPr>
      </w:pPr>
    </w:p>
    <w:p w14:paraId="1ACCB263" w14:textId="77777777" w:rsidR="00A714EB" w:rsidRDefault="00A714EB" w:rsidP="00A714EB">
      <w:pPr>
        <w:pStyle w:val="ARTartustawynprozporzdzenia"/>
        <w:ind w:firstLine="0"/>
        <w:rPr>
          <w:rFonts w:ascii="Times New Roman" w:hAnsi="Times New Roman" w:cs="Times New Roman"/>
          <w:bCs/>
          <w:szCs w:val="24"/>
          <w:u w:val="single"/>
        </w:rPr>
      </w:pPr>
      <w:r w:rsidRPr="00A714EB">
        <w:rPr>
          <w:rFonts w:ascii="Times New Roman" w:hAnsi="Times New Roman" w:cs="Times New Roman"/>
          <w:bCs/>
          <w:szCs w:val="24"/>
          <w:u w:val="single"/>
        </w:rPr>
        <w:t>Zamówienia o wartości mniejszej niż progi unijne</w:t>
      </w:r>
    </w:p>
    <w:p w14:paraId="03D8393E" w14:textId="5A05019F" w:rsidR="00A714EB" w:rsidRPr="00A714EB" w:rsidRDefault="00A714EB" w:rsidP="00A714EB">
      <w:pPr>
        <w:pStyle w:val="ARTartustawynprozporzdzenia"/>
        <w:ind w:firstLine="0"/>
        <w:rPr>
          <w:rFonts w:ascii="Times New Roman" w:hAnsi="Times New Roman" w:cs="Times New Roman"/>
          <w:szCs w:val="24"/>
        </w:rPr>
      </w:pPr>
      <w:r w:rsidRPr="00A714EB">
        <w:rPr>
          <w:rFonts w:ascii="Times New Roman" w:hAnsi="Times New Roman" w:cs="Times New Roman"/>
          <w:bCs/>
          <w:szCs w:val="24"/>
        </w:rPr>
        <w:t>Przede wszystkim zasadne jest wprowadzenie zmian w przepisach dotyczących postępowania o udzielenie zamówienia publicznego o wartości mniejszej niż progi unijne, polegających na doprecyzowaniu przepisów nowej procedury, tj. trybu podstawowego. Procedura ta oparta jest wyłącznie na przepisach krajowych nowej ustawy Pzp (a więc nie będzie mogła być interpretowana w świetle regulacji dyrektyw) oraz będzie stosowana głównie przez mniejszych zamawiających i wykonawców z sektora mikro, małych i średnich przedsiębiorstw. Dlatego też tym bardziej uzasadnione jest doprecyzowanie regulacji. W związku z tym proponuje się zmiany w</w:t>
      </w:r>
      <w:r w:rsidR="00CB0967">
        <w:rPr>
          <w:rFonts w:ascii="Times New Roman" w:hAnsi="Times New Roman" w:cs="Times New Roman"/>
          <w:bCs/>
          <w:szCs w:val="24"/>
        </w:rPr>
        <w:t>: art. 266, art. 274,</w:t>
      </w:r>
      <w:r w:rsidRPr="00A714EB">
        <w:rPr>
          <w:rFonts w:ascii="Times New Roman" w:hAnsi="Times New Roman" w:cs="Times New Roman"/>
          <w:bCs/>
          <w:szCs w:val="24"/>
        </w:rPr>
        <w:t xml:space="preserve"> </w:t>
      </w:r>
      <w:r w:rsidR="003E1BBF">
        <w:rPr>
          <w:rFonts w:ascii="Times New Roman" w:hAnsi="Times New Roman" w:cs="Times New Roman"/>
          <w:bCs/>
          <w:szCs w:val="24"/>
        </w:rPr>
        <w:t xml:space="preserve">art. </w:t>
      </w:r>
      <w:r w:rsidR="00234F35">
        <w:rPr>
          <w:rFonts w:ascii="Times New Roman" w:hAnsi="Times New Roman" w:cs="Times New Roman"/>
          <w:bCs/>
          <w:szCs w:val="24"/>
        </w:rPr>
        <w:t xml:space="preserve">275 pkt </w:t>
      </w:r>
      <w:r w:rsidR="00CB0967">
        <w:rPr>
          <w:rFonts w:ascii="Times New Roman" w:hAnsi="Times New Roman" w:cs="Times New Roman"/>
          <w:bCs/>
          <w:szCs w:val="24"/>
        </w:rPr>
        <w:t>2</w:t>
      </w:r>
      <w:r w:rsidR="00234F35">
        <w:rPr>
          <w:rFonts w:ascii="Times New Roman" w:hAnsi="Times New Roman" w:cs="Times New Roman"/>
          <w:bCs/>
          <w:szCs w:val="24"/>
        </w:rPr>
        <w:t xml:space="preserve"> i </w:t>
      </w:r>
      <w:r w:rsidR="00CB0967">
        <w:rPr>
          <w:rFonts w:ascii="Times New Roman" w:hAnsi="Times New Roman" w:cs="Times New Roman"/>
          <w:bCs/>
          <w:szCs w:val="24"/>
        </w:rPr>
        <w:t>3</w:t>
      </w:r>
      <w:r w:rsidR="00234F35">
        <w:rPr>
          <w:rFonts w:ascii="Times New Roman" w:hAnsi="Times New Roman" w:cs="Times New Roman"/>
          <w:bCs/>
          <w:szCs w:val="24"/>
        </w:rPr>
        <w:t>,</w:t>
      </w:r>
      <w:r w:rsidR="00F80DBD">
        <w:rPr>
          <w:rFonts w:ascii="Times New Roman" w:hAnsi="Times New Roman" w:cs="Times New Roman"/>
          <w:bCs/>
          <w:szCs w:val="24"/>
        </w:rPr>
        <w:t xml:space="preserve"> </w:t>
      </w:r>
      <w:r w:rsidR="00234F35">
        <w:rPr>
          <w:rFonts w:ascii="Times New Roman" w:hAnsi="Times New Roman" w:cs="Times New Roman"/>
          <w:bCs/>
          <w:szCs w:val="24"/>
        </w:rPr>
        <w:t xml:space="preserve">art. 280 ust. 1, art. 281, </w:t>
      </w:r>
      <w:r w:rsidRPr="00A714EB">
        <w:rPr>
          <w:rFonts w:ascii="Times New Roman" w:hAnsi="Times New Roman" w:cs="Times New Roman"/>
          <w:bCs/>
          <w:szCs w:val="24"/>
        </w:rPr>
        <w:t xml:space="preserve">art. 282 ust. 2 pkt 1, art. 286, art. 287, art. 289, </w:t>
      </w:r>
      <w:r w:rsidRPr="00A714EB">
        <w:rPr>
          <w:rFonts w:ascii="Times New Roman" w:hAnsi="Times New Roman" w:cs="Times New Roman"/>
          <w:szCs w:val="24"/>
        </w:rPr>
        <w:t xml:space="preserve">art. 293, art. 294, </w:t>
      </w:r>
      <w:r w:rsidRPr="00A714EB">
        <w:rPr>
          <w:rFonts w:ascii="Times New Roman" w:hAnsi="Times New Roman" w:cs="Times New Roman"/>
          <w:bCs/>
          <w:szCs w:val="24"/>
        </w:rPr>
        <w:t xml:space="preserve">art. 295 ust. </w:t>
      </w:r>
      <w:r w:rsidR="00775C6D">
        <w:rPr>
          <w:rFonts w:ascii="Times New Roman" w:hAnsi="Times New Roman" w:cs="Times New Roman"/>
          <w:bCs/>
          <w:szCs w:val="24"/>
        </w:rPr>
        <w:t>2</w:t>
      </w:r>
      <w:r w:rsidR="00F329D0">
        <w:rPr>
          <w:rFonts w:ascii="Times New Roman" w:hAnsi="Times New Roman" w:cs="Times New Roman"/>
          <w:bCs/>
          <w:szCs w:val="24"/>
        </w:rPr>
        <w:t>-</w:t>
      </w:r>
      <w:r w:rsidRPr="00A714EB">
        <w:rPr>
          <w:rFonts w:ascii="Times New Roman" w:hAnsi="Times New Roman" w:cs="Times New Roman"/>
          <w:bCs/>
          <w:szCs w:val="24"/>
        </w:rPr>
        <w:t>4</w:t>
      </w:r>
      <w:r w:rsidR="00F329D0">
        <w:rPr>
          <w:rFonts w:ascii="Times New Roman" w:hAnsi="Times New Roman" w:cs="Times New Roman"/>
          <w:bCs/>
          <w:szCs w:val="24"/>
        </w:rPr>
        <w:t>,</w:t>
      </w:r>
      <w:r w:rsidRPr="00A714EB">
        <w:rPr>
          <w:rFonts w:ascii="Times New Roman" w:hAnsi="Times New Roman" w:cs="Times New Roman"/>
          <w:bCs/>
          <w:szCs w:val="24"/>
        </w:rPr>
        <w:t xml:space="preserve"> </w:t>
      </w:r>
      <w:r w:rsidRPr="00A714EB">
        <w:rPr>
          <w:rFonts w:ascii="Times New Roman" w:hAnsi="Times New Roman" w:cs="Times New Roman"/>
          <w:szCs w:val="24"/>
        </w:rPr>
        <w:t>art. 296</w:t>
      </w:r>
      <w:r w:rsidR="00F329D0">
        <w:rPr>
          <w:rFonts w:ascii="Times New Roman" w:hAnsi="Times New Roman" w:cs="Times New Roman"/>
          <w:szCs w:val="24"/>
        </w:rPr>
        <w:t xml:space="preserve">, art. 301 </w:t>
      </w:r>
      <w:r w:rsidR="00F329D0">
        <w:t xml:space="preserve">ust. 1 </w:t>
      </w:r>
      <w:r w:rsidR="00F329D0" w:rsidRPr="00F21D6B">
        <w:t>pkt 2</w:t>
      </w:r>
      <w:r w:rsidR="00F329D0">
        <w:t xml:space="preserve">, art. 305 </w:t>
      </w:r>
      <w:r w:rsidR="00F329D0" w:rsidRPr="00F21D6B">
        <w:t>pkt 2</w:t>
      </w:r>
      <w:r w:rsidR="00F329D0">
        <w:t xml:space="preserve"> oraz art. 307 ust. 1 nowej ustawy Pzp</w:t>
      </w:r>
      <w:r w:rsidRPr="00A714EB">
        <w:rPr>
          <w:rFonts w:ascii="Times New Roman" w:hAnsi="Times New Roman" w:cs="Times New Roman"/>
          <w:szCs w:val="24"/>
        </w:rPr>
        <w:t xml:space="preserve">. </w:t>
      </w:r>
    </w:p>
    <w:p w14:paraId="1918B15A" w14:textId="0A64A9E0" w:rsidR="005756F4" w:rsidRDefault="003E1BBF" w:rsidP="00A714EB">
      <w:pPr>
        <w:pStyle w:val="ARTartustawynprozporzdzenia"/>
        <w:ind w:firstLine="0"/>
        <w:rPr>
          <w:rFonts w:ascii="Times New Roman" w:hAnsi="Times New Roman" w:cs="Times New Roman"/>
          <w:bCs/>
          <w:szCs w:val="24"/>
        </w:rPr>
      </w:pPr>
      <w:r>
        <w:rPr>
          <w:rFonts w:ascii="Times New Roman" w:hAnsi="Times New Roman" w:cs="Times New Roman"/>
          <w:szCs w:val="24"/>
        </w:rPr>
        <w:t>Propozycja zmiany</w:t>
      </w:r>
      <w:r w:rsidRPr="003E1BBF">
        <w:rPr>
          <w:rFonts w:ascii="Times New Roman" w:hAnsi="Times New Roman" w:cs="Times New Roman"/>
          <w:bCs/>
          <w:szCs w:val="24"/>
        </w:rPr>
        <w:t xml:space="preserve"> </w:t>
      </w:r>
      <w:r>
        <w:rPr>
          <w:rFonts w:ascii="Times New Roman" w:hAnsi="Times New Roman" w:cs="Times New Roman"/>
          <w:bCs/>
          <w:szCs w:val="24"/>
        </w:rPr>
        <w:t xml:space="preserve">art. 275 pkt </w:t>
      </w:r>
      <w:r w:rsidR="00CB0967">
        <w:rPr>
          <w:rFonts w:ascii="Times New Roman" w:hAnsi="Times New Roman" w:cs="Times New Roman"/>
          <w:bCs/>
          <w:szCs w:val="24"/>
        </w:rPr>
        <w:t>2</w:t>
      </w:r>
      <w:r>
        <w:rPr>
          <w:rFonts w:ascii="Times New Roman" w:hAnsi="Times New Roman" w:cs="Times New Roman"/>
          <w:bCs/>
          <w:szCs w:val="24"/>
        </w:rPr>
        <w:t xml:space="preserve"> i </w:t>
      </w:r>
      <w:r w:rsidR="00CB0967">
        <w:rPr>
          <w:rFonts w:ascii="Times New Roman" w:hAnsi="Times New Roman" w:cs="Times New Roman"/>
          <w:bCs/>
          <w:szCs w:val="24"/>
        </w:rPr>
        <w:t>3</w:t>
      </w:r>
      <w:r>
        <w:rPr>
          <w:rFonts w:ascii="Times New Roman" w:hAnsi="Times New Roman" w:cs="Times New Roman"/>
          <w:bCs/>
          <w:szCs w:val="24"/>
        </w:rPr>
        <w:t xml:space="preserve"> polega na </w:t>
      </w:r>
      <w:r w:rsidR="005756F4">
        <w:rPr>
          <w:rFonts w:ascii="Times New Roman" w:hAnsi="Times New Roman" w:cs="Times New Roman"/>
          <w:bCs/>
          <w:szCs w:val="24"/>
        </w:rPr>
        <w:t>doprecyzowaniu definicji</w:t>
      </w:r>
      <w:r>
        <w:rPr>
          <w:rFonts w:ascii="Times New Roman" w:hAnsi="Times New Roman" w:cs="Times New Roman"/>
          <w:bCs/>
          <w:szCs w:val="24"/>
        </w:rPr>
        <w:t xml:space="preserve"> przypadku procedury podstawowej</w:t>
      </w:r>
      <w:r w:rsidRPr="003E1BBF">
        <w:rPr>
          <w:rFonts w:ascii="Times New Roman" w:hAnsi="Times New Roman" w:cs="Times New Roman"/>
          <w:bCs/>
          <w:szCs w:val="24"/>
        </w:rPr>
        <w:t>, o którym mowa w art. 275 pkt 2, zwanym dalej „wariantem 2”</w:t>
      </w:r>
      <w:r>
        <w:rPr>
          <w:rFonts w:ascii="Times New Roman" w:hAnsi="Times New Roman" w:cs="Times New Roman"/>
          <w:bCs/>
          <w:szCs w:val="24"/>
        </w:rPr>
        <w:t>, oraz</w:t>
      </w:r>
      <w:r w:rsidRPr="003E1BBF">
        <w:rPr>
          <w:rFonts w:ascii="Times New Roman" w:hAnsi="Times New Roman" w:cs="Times New Roman"/>
          <w:bCs/>
          <w:szCs w:val="24"/>
        </w:rPr>
        <w:t xml:space="preserve"> przypadku </w:t>
      </w:r>
      <w:r>
        <w:rPr>
          <w:rFonts w:ascii="Times New Roman" w:hAnsi="Times New Roman" w:cs="Times New Roman"/>
          <w:bCs/>
          <w:szCs w:val="24"/>
        </w:rPr>
        <w:t>procedury podstawowej</w:t>
      </w:r>
      <w:r w:rsidRPr="003E1BBF">
        <w:rPr>
          <w:rFonts w:ascii="Times New Roman" w:hAnsi="Times New Roman" w:cs="Times New Roman"/>
          <w:bCs/>
          <w:szCs w:val="24"/>
        </w:rPr>
        <w:t>, o którym mowa w art. 275 pkt 3, zwanym dalej „wariantem 3”</w:t>
      </w:r>
      <w:r>
        <w:rPr>
          <w:rFonts w:ascii="Times New Roman" w:hAnsi="Times New Roman" w:cs="Times New Roman"/>
          <w:bCs/>
          <w:szCs w:val="24"/>
        </w:rPr>
        <w:t xml:space="preserve">. </w:t>
      </w:r>
    </w:p>
    <w:p w14:paraId="63589B84" w14:textId="77777777" w:rsidR="00B9460E" w:rsidRDefault="003E1BBF" w:rsidP="00ED1F6C">
      <w:pPr>
        <w:pStyle w:val="ARTartustawynprozporzdzenia"/>
        <w:spacing w:before="0"/>
        <w:ind w:firstLine="0"/>
        <w:rPr>
          <w:rFonts w:ascii="Times New Roman" w:hAnsi="Times New Roman" w:cs="Times New Roman"/>
          <w:bCs/>
          <w:szCs w:val="24"/>
        </w:rPr>
      </w:pPr>
      <w:r>
        <w:rPr>
          <w:rFonts w:ascii="Times New Roman" w:hAnsi="Times New Roman" w:cs="Times New Roman"/>
          <w:bCs/>
          <w:szCs w:val="24"/>
        </w:rPr>
        <w:t xml:space="preserve">Wariant </w:t>
      </w:r>
      <w:r w:rsidR="00DA3A1B">
        <w:rPr>
          <w:rFonts w:ascii="Times New Roman" w:hAnsi="Times New Roman" w:cs="Times New Roman"/>
          <w:bCs/>
          <w:szCs w:val="24"/>
        </w:rPr>
        <w:t>2</w:t>
      </w:r>
      <w:r>
        <w:rPr>
          <w:rFonts w:ascii="Times New Roman" w:hAnsi="Times New Roman" w:cs="Times New Roman"/>
          <w:bCs/>
          <w:szCs w:val="24"/>
        </w:rPr>
        <w:t xml:space="preserve"> jest procedurą udzielenia zamówienia</w:t>
      </w:r>
      <w:r w:rsidR="001E112C">
        <w:rPr>
          <w:rFonts w:ascii="Times New Roman" w:hAnsi="Times New Roman" w:cs="Times New Roman"/>
          <w:bCs/>
          <w:szCs w:val="24"/>
        </w:rPr>
        <w:t>, w której w odpowiedzi na ogłoszenie o zamówieniu oferty mogą składać wszyscy zainteresowani wykonawcy</w:t>
      </w:r>
      <w:r w:rsidR="00B95E22">
        <w:rPr>
          <w:rFonts w:ascii="Times New Roman" w:hAnsi="Times New Roman" w:cs="Times New Roman"/>
          <w:bCs/>
          <w:szCs w:val="24"/>
        </w:rPr>
        <w:t xml:space="preserve">, z którymi zamawiający może prowadzić negocjacje, </w:t>
      </w:r>
      <w:r w:rsidR="00B95E22" w:rsidRPr="001E112C">
        <w:rPr>
          <w:rFonts w:ascii="Times New Roman" w:hAnsi="Times New Roman" w:cs="Times New Roman"/>
          <w:bCs/>
          <w:szCs w:val="24"/>
        </w:rPr>
        <w:t>o ile przewidział taką możliwość</w:t>
      </w:r>
      <w:r w:rsidR="001E112C">
        <w:rPr>
          <w:rFonts w:ascii="Times New Roman" w:hAnsi="Times New Roman" w:cs="Times New Roman"/>
          <w:bCs/>
          <w:szCs w:val="24"/>
        </w:rPr>
        <w:t xml:space="preserve">. Po  złożeniu </w:t>
      </w:r>
      <w:r w:rsidR="00B95E22">
        <w:rPr>
          <w:rFonts w:ascii="Times New Roman" w:hAnsi="Times New Roman" w:cs="Times New Roman"/>
          <w:bCs/>
          <w:szCs w:val="24"/>
        </w:rPr>
        <w:t xml:space="preserve">ofert </w:t>
      </w:r>
      <w:r w:rsidR="001E112C">
        <w:rPr>
          <w:rFonts w:ascii="Times New Roman" w:hAnsi="Times New Roman" w:cs="Times New Roman"/>
          <w:bCs/>
          <w:szCs w:val="24"/>
        </w:rPr>
        <w:t xml:space="preserve">zamawiający </w:t>
      </w:r>
      <w:r w:rsidR="00B9460E">
        <w:rPr>
          <w:rFonts w:ascii="Times New Roman" w:hAnsi="Times New Roman" w:cs="Times New Roman"/>
          <w:bCs/>
          <w:szCs w:val="24"/>
        </w:rPr>
        <w:t xml:space="preserve">ma </w:t>
      </w:r>
      <w:r w:rsidR="00B95E22">
        <w:rPr>
          <w:rFonts w:ascii="Times New Roman" w:hAnsi="Times New Roman" w:cs="Times New Roman"/>
          <w:bCs/>
          <w:szCs w:val="24"/>
        </w:rPr>
        <w:t xml:space="preserve">więc </w:t>
      </w:r>
      <w:r w:rsidR="00B9460E">
        <w:rPr>
          <w:rFonts w:ascii="Times New Roman" w:hAnsi="Times New Roman" w:cs="Times New Roman"/>
          <w:bCs/>
          <w:szCs w:val="24"/>
        </w:rPr>
        <w:t>dwie możliwości, tj.:</w:t>
      </w:r>
    </w:p>
    <w:p w14:paraId="5952FE47" w14:textId="77777777" w:rsidR="00B95E22" w:rsidRDefault="00B9460E" w:rsidP="00ED1F6C">
      <w:pPr>
        <w:pStyle w:val="ARTartustawynprozporzdzenia"/>
        <w:spacing w:before="0"/>
        <w:ind w:firstLine="0"/>
        <w:rPr>
          <w:rFonts w:ascii="Times New Roman" w:hAnsi="Times New Roman" w:cs="Times New Roman"/>
          <w:bCs/>
          <w:szCs w:val="24"/>
        </w:rPr>
      </w:pPr>
      <w:r>
        <w:rPr>
          <w:rFonts w:ascii="Times New Roman" w:hAnsi="Times New Roman" w:cs="Times New Roman"/>
          <w:bCs/>
          <w:szCs w:val="24"/>
        </w:rPr>
        <w:t xml:space="preserve">1) </w:t>
      </w:r>
      <w:r w:rsidR="001E112C">
        <w:rPr>
          <w:rFonts w:ascii="Times New Roman" w:hAnsi="Times New Roman" w:cs="Times New Roman"/>
          <w:bCs/>
          <w:szCs w:val="24"/>
        </w:rPr>
        <w:t>może</w:t>
      </w:r>
      <w:r>
        <w:rPr>
          <w:rFonts w:ascii="Times New Roman" w:hAnsi="Times New Roman" w:cs="Times New Roman"/>
          <w:bCs/>
          <w:szCs w:val="24"/>
        </w:rPr>
        <w:t xml:space="preserve"> on</w:t>
      </w:r>
      <w:r w:rsidR="001E112C">
        <w:rPr>
          <w:rFonts w:ascii="Times New Roman" w:hAnsi="Times New Roman" w:cs="Times New Roman"/>
          <w:bCs/>
          <w:szCs w:val="24"/>
        </w:rPr>
        <w:t xml:space="preserve"> wybrać najkorzystniejszą ofertę </w:t>
      </w:r>
      <w:r w:rsidR="00B95E22">
        <w:rPr>
          <w:rFonts w:ascii="Times New Roman" w:hAnsi="Times New Roman" w:cs="Times New Roman"/>
          <w:bCs/>
          <w:szCs w:val="24"/>
        </w:rPr>
        <w:t xml:space="preserve">bez negocjacji </w:t>
      </w:r>
      <w:r w:rsidR="001E112C">
        <w:rPr>
          <w:rFonts w:ascii="Times New Roman" w:hAnsi="Times New Roman" w:cs="Times New Roman"/>
          <w:bCs/>
          <w:szCs w:val="24"/>
        </w:rPr>
        <w:t xml:space="preserve">albo </w:t>
      </w:r>
    </w:p>
    <w:p w14:paraId="5FF1D623" w14:textId="77777777" w:rsidR="005E5ABF" w:rsidRDefault="00B95E22" w:rsidP="00ED1F6C">
      <w:pPr>
        <w:pStyle w:val="ARTartustawynprozporzdzenia"/>
        <w:spacing w:before="0"/>
        <w:ind w:firstLine="0"/>
        <w:rPr>
          <w:rFonts w:ascii="Times New Roman" w:hAnsi="Times New Roman" w:cs="Times New Roman"/>
          <w:bCs/>
          <w:szCs w:val="24"/>
        </w:rPr>
      </w:pPr>
      <w:r>
        <w:rPr>
          <w:rFonts w:ascii="Times New Roman" w:hAnsi="Times New Roman" w:cs="Times New Roman"/>
          <w:bCs/>
          <w:szCs w:val="24"/>
        </w:rPr>
        <w:t xml:space="preserve">2) </w:t>
      </w:r>
      <w:r w:rsidR="001E112C" w:rsidRPr="001E112C">
        <w:rPr>
          <w:rFonts w:ascii="Times New Roman" w:hAnsi="Times New Roman" w:cs="Times New Roman"/>
          <w:bCs/>
          <w:szCs w:val="24"/>
        </w:rPr>
        <w:t>prowadzić negocjacje w celu</w:t>
      </w:r>
      <w:r w:rsidR="00DA3A1B">
        <w:rPr>
          <w:rFonts w:ascii="Times New Roman" w:hAnsi="Times New Roman" w:cs="Times New Roman"/>
          <w:bCs/>
          <w:szCs w:val="24"/>
        </w:rPr>
        <w:t xml:space="preserve"> </w:t>
      </w:r>
      <w:r w:rsidR="0015463D">
        <w:rPr>
          <w:rFonts w:ascii="Times New Roman" w:hAnsi="Times New Roman" w:cs="Times New Roman"/>
          <w:bCs/>
          <w:szCs w:val="24"/>
        </w:rPr>
        <w:t xml:space="preserve">ulepszenia treści ofert, </w:t>
      </w:r>
      <w:r w:rsidR="005E5ABF" w:rsidRPr="001C5606">
        <w:t>które podlegają ocenie w ramach kryteriów oceny ofert, o ile przewidział taką możliwość, a po zakończeniu negocjacji zamawiający zaprasza wykonawców do składania ofert dodatkowych</w:t>
      </w:r>
      <w:r w:rsidR="005E5ABF">
        <w:rPr>
          <w:rFonts w:ascii="Times New Roman" w:hAnsi="Times New Roman" w:cs="Times New Roman"/>
          <w:bCs/>
          <w:szCs w:val="24"/>
        </w:rPr>
        <w:t>.</w:t>
      </w:r>
    </w:p>
    <w:p w14:paraId="5BB0EF94" w14:textId="7A99E230" w:rsidR="005756F4" w:rsidRDefault="005E5ABF" w:rsidP="00ED1F6C">
      <w:pPr>
        <w:pStyle w:val="ARTartustawynprozporzdzenia"/>
        <w:spacing w:before="0"/>
        <w:ind w:firstLine="0"/>
        <w:rPr>
          <w:rFonts w:ascii="Times New Roman" w:hAnsi="Times New Roman" w:cs="Times New Roman"/>
          <w:bCs/>
          <w:szCs w:val="24"/>
        </w:rPr>
      </w:pPr>
      <w:r>
        <w:rPr>
          <w:rFonts w:cs="Times New Roman"/>
          <w:szCs w:val="24"/>
        </w:rPr>
        <w:t>Z projektu ustawy wynika, że w wariancie 2 z</w:t>
      </w:r>
      <w:r w:rsidR="004B4D66" w:rsidRPr="006F5464">
        <w:rPr>
          <w:rFonts w:cs="Times New Roman"/>
          <w:szCs w:val="24"/>
        </w:rPr>
        <w:t xml:space="preserve">amawiający w zaproszeniu do negocjacji </w:t>
      </w:r>
      <w:r w:rsidR="00E516D1">
        <w:rPr>
          <w:rFonts w:cs="Times New Roman"/>
          <w:szCs w:val="24"/>
        </w:rPr>
        <w:t xml:space="preserve">będzie </w:t>
      </w:r>
      <w:r w:rsidR="004B4D66" w:rsidRPr="006F5464">
        <w:rPr>
          <w:rFonts w:cs="Times New Roman"/>
          <w:szCs w:val="24"/>
        </w:rPr>
        <w:t>wskaz</w:t>
      </w:r>
      <w:r w:rsidR="00E516D1">
        <w:rPr>
          <w:rFonts w:cs="Times New Roman"/>
          <w:szCs w:val="24"/>
        </w:rPr>
        <w:t>ywał</w:t>
      </w:r>
      <w:r w:rsidR="004B4D66" w:rsidRPr="006F5464">
        <w:rPr>
          <w:rFonts w:cs="Times New Roman"/>
          <w:szCs w:val="24"/>
        </w:rPr>
        <w:t xml:space="preserve"> kryteria oceny ofert w ramach których będą prowadzone negocjacje w celu ulepszenia treści ofert</w:t>
      </w:r>
      <w:r>
        <w:rPr>
          <w:rFonts w:cs="Times New Roman"/>
          <w:szCs w:val="24"/>
        </w:rPr>
        <w:t xml:space="preserve"> (</w:t>
      </w:r>
      <w:r w:rsidRPr="006153A0">
        <w:rPr>
          <w:rFonts w:cs="Times New Roman"/>
          <w:i/>
          <w:szCs w:val="24"/>
        </w:rPr>
        <w:t>vide:</w:t>
      </w:r>
      <w:r>
        <w:rPr>
          <w:rFonts w:cs="Times New Roman"/>
          <w:szCs w:val="24"/>
        </w:rPr>
        <w:t xml:space="preserve"> projektowany art. 289 ust. 5 w nowej ustawy Pzp)</w:t>
      </w:r>
      <w:r w:rsidR="004B4D66" w:rsidRPr="006F5464">
        <w:rPr>
          <w:rFonts w:cs="Times New Roman"/>
          <w:szCs w:val="24"/>
        </w:rPr>
        <w:t>.</w:t>
      </w:r>
      <w:r w:rsidR="00AA3C1B" w:rsidRPr="00AA3C1B">
        <w:rPr>
          <w:rFonts w:ascii="Times New Roman" w:hAnsi="Times New Roman" w:cs="Times New Roman"/>
          <w:bCs/>
          <w:szCs w:val="24"/>
        </w:rPr>
        <w:t xml:space="preserve"> </w:t>
      </w:r>
    </w:p>
    <w:p w14:paraId="2DE3EC10" w14:textId="77777777" w:rsidR="00AA3C1B" w:rsidRDefault="001E112C" w:rsidP="00A714EB">
      <w:pPr>
        <w:pStyle w:val="ARTartustawynprozporzdzenia"/>
        <w:ind w:firstLine="0"/>
        <w:rPr>
          <w:rFonts w:ascii="Times New Roman" w:hAnsi="Times New Roman" w:cs="Times New Roman"/>
          <w:bCs/>
          <w:szCs w:val="24"/>
        </w:rPr>
      </w:pPr>
      <w:r>
        <w:rPr>
          <w:rFonts w:ascii="Times New Roman" w:hAnsi="Times New Roman" w:cs="Times New Roman"/>
          <w:bCs/>
          <w:szCs w:val="24"/>
        </w:rPr>
        <w:lastRenderedPageBreak/>
        <w:t xml:space="preserve">Wariant </w:t>
      </w:r>
      <w:r w:rsidR="00DA3A1B">
        <w:rPr>
          <w:rFonts w:ascii="Times New Roman" w:hAnsi="Times New Roman" w:cs="Times New Roman"/>
          <w:bCs/>
          <w:szCs w:val="24"/>
        </w:rPr>
        <w:t>3</w:t>
      </w:r>
      <w:r>
        <w:rPr>
          <w:rFonts w:ascii="Times New Roman" w:hAnsi="Times New Roman" w:cs="Times New Roman"/>
          <w:bCs/>
          <w:szCs w:val="24"/>
        </w:rPr>
        <w:t xml:space="preserve"> tworzą trzy </w:t>
      </w:r>
      <w:r w:rsidR="00042450">
        <w:rPr>
          <w:rFonts w:ascii="Times New Roman" w:hAnsi="Times New Roman" w:cs="Times New Roman"/>
          <w:bCs/>
          <w:szCs w:val="24"/>
        </w:rPr>
        <w:t>etapy</w:t>
      </w:r>
      <w:r>
        <w:rPr>
          <w:rFonts w:ascii="Times New Roman" w:hAnsi="Times New Roman" w:cs="Times New Roman"/>
          <w:bCs/>
          <w:szCs w:val="24"/>
        </w:rPr>
        <w:t xml:space="preserve">. </w:t>
      </w:r>
      <w:r w:rsidR="00AA3C1B">
        <w:rPr>
          <w:rFonts w:ascii="Times New Roman" w:hAnsi="Times New Roman" w:cs="Times New Roman"/>
          <w:bCs/>
          <w:szCs w:val="24"/>
        </w:rPr>
        <w:t xml:space="preserve">W pierwszym, w odpowiedzi na ogłoszenie o zamówieniu oferty mogą składać wszyscy zainteresowani wykonawcy. W drugim </w:t>
      </w:r>
      <w:r w:rsidR="00042450">
        <w:rPr>
          <w:rFonts w:ascii="Times New Roman" w:hAnsi="Times New Roman" w:cs="Times New Roman"/>
          <w:bCs/>
          <w:szCs w:val="24"/>
        </w:rPr>
        <w:t>etapie</w:t>
      </w:r>
      <w:r w:rsidR="00AA3C1B">
        <w:rPr>
          <w:rFonts w:ascii="Times New Roman" w:hAnsi="Times New Roman" w:cs="Times New Roman"/>
          <w:bCs/>
          <w:szCs w:val="24"/>
        </w:rPr>
        <w:t xml:space="preserve"> zamawiający </w:t>
      </w:r>
      <w:r w:rsidR="00AA3C1B" w:rsidRPr="00AA3C1B">
        <w:rPr>
          <w:rFonts w:ascii="Times New Roman" w:hAnsi="Times New Roman" w:cs="Times New Roman"/>
          <w:bCs/>
          <w:szCs w:val="24"/>
        </w:rPr>
        <w:t>prowadzi negocjacje w celu ulepszenia treści ofert</w:t>
      </w:r>
      <w:r w:rsidR="00AA3C1B">
        <w:rPr>
          <w:rFonts w:ascii="Times New Roman" w:hAnsi="Times New Roman" w:cs="Times New Roman"/>
          <w:bCs/>
          <w:szCs w:val="24"/>
        </w:rPr>
        <w:t xml:space="preserve">. W końcu w trzecim </w:t>
      </w:r>
      <w:r w:rsidR="00042450">
        <w:rPr>
          <w:rFonts w:ascii="Times New Roman" w:hAnsi="Times New Roman" w:cs="Times New Roman"/>
          <w:bCs/>
          <w:szCs w:val="24"/>
        </w:rPr>
        <w:t>etapie</w:t>
      </w:r>
      <w:r w:rsidR="00AA3C1B">
        <w:rPr>
          <w:rFonts w:ascii="Times New Roman" w:hAnsi="Times New Roman" w:cs="Times New Roman"/>
          <w:bCs/>
          <w:szCs w:val="24"/>
        </w:rPr>
        <w:t xml:space="preserve"> wykonawcy składają oferty ostateczne, a zamawiający dokonuje wyboru oferty najkorzystniejszej.</w:t>
      </w:r>
      <w:r w:rsidR="00AA3C1B" w:rsidRPr="00AA3C1B">
        <w:rPr>
          <w:rFonts w:ascii="Times New Roman" w:hAnsi="Times New Roman" w:cs="Times New Roman"/>
          <w:bCs/>
          <w:szCs w:val="24"/>
        </w:rPr>
        <w:t xml:space="preserve"> </w:t>
      </w:r>
    </w:p>
    <w:p w14:paraId="1BE3FFDA" w14:textId="77777777" w:rsidR="00AA3C1B" w:rsidRDefault="00AA3C1B" w:rsidP="00A714EB">
      <w:pPr>
        <w:pStyle w:val="ARTartustawynprozporzdzenia"/>
        <w:ind w:firstLine="0"/>
        <w:rPr>
          <w:rFonts w:ascii="Times New Roman" w:hAnsi="Times New Roman" w:cs="Times New Roman"/>
          <w:szCs w:val="24"/>
        </w:rPr>
      </w:pPr>
      <w:bookmarkStart w:id="0" w:name="_Hlk51573494"/>
      <w:r w:rsidRPr="00A714EB">
        <w:rPr>
          <w:rFonts w:ascii="Times New Roman" w:hAnsi="Times New Roman" w:cs="Times New Roman"/>
          <w:szCs w:val="24"/>
        </w:rPr>
        <w:t>Propozycja zmiany w art. 28</w:t>
      </w:r>
      <w:r>
        <w:rPr>
          <w:rFonts w:ascii="Times New Roman" w:hAnsi="Times New Roman" w:cs="Times New Roman"/>
          <w:szCs w:val="24"/>
        </w:rPr>
        <w:t>0</w:t>
      </w:r>
      <w:r w:rsidRPr="00A714EB">
        <w:rPr>
          <w:rFonts w:ascii="Times New Roman" w:hAnsi="Times New Roman" w:cs="Times New Roman"/>
          <w:szCs w:val="24"/>
        </w:rPr>
        <w:t xml:space="preserve"> ust. </w:t>
      </w:r>
      <w:r>
        <w:rPr>
          <w:rFonts w:ascii="Times New Roman" w:hAnsi="Times New Roman" w:cs="Times New Roman"/>
          <w:szCs w:val="24"/>
        </w:rPr>
        <w:t>1</w:t>
      </w:r>
      <w:r w:rsidRPr="00A714EB">
        <w:rPr>
          <w:rFonts w:ascii="Times New Roman" w:hAnsi="Times New Roman" w:cs="Times New Roman"/>
          <w:szCs w:val="24"/>
        </w:rPr>
        <w:t xml:space="preserve"> </w:t>
      </w:r>
      <w:r w:rsidR="00E516D1">
        <w:rPr>
          <w:rFonts w:ascii="Times New Roman" w:hAnsi="Times New Roman" w:cs="Times New Roman"/>
          <w:szCs w:val="24"/>
        </w:rPr>
        <w:t xml:space="preserve">nowej ustawy Pzp </w:t>
      </w:r>
      <w:r w:rsidRPr="00A714EB">
        <w:rPr>
          <w:rFonts w:ascii="Times New Roman" w:hAnsi="Times New Roman" w:cs="Times New Roman"/>
          <w:szCs w:val="24"/>
        </w:rPr>
        <w:t>ma charakter porządkujący i polega na doprecyzowaniu, że</w:t>
      </w:r>
      <w:r w:rsidR="00DA3A1B">
        <w:t xml:space="preserve"> </w:t>
      </w:r>
      <w:r w:rsidRPr="00AA3C1B">
        <w:rPr>
          <w:rFonts w:ascii="Times New Roman" w:hAnsi="Times New Roman" w:cs="Times New Roman"/>
          <w:szCs w:val="24"/>
        </w:rPr>
        <w:t xml:space="preserve">bezpłatny, pełny, bezpośredni i nieograniczony dostęp </w:t>
      </w:r>
      <w:r w:rsidR="00DA3A1B" w:rsidRPr="00AA7BFC">
        <w:t>na stronie internetowej prowadzonego postępowania</w:t>
      </w:r>
      <w:r w:rsidR="00DA3A1B">
        <w:rPr>
          <w:rFonts w:ascii="Times New Roman" w:hAnsi="Times New Roman" w:cs="Times New Roman"/>
          <w:szCs w:val="24"/>
        </w:rPr>
        <w:t xml:space="preserve"> </w:t>
      </w:r>
      <w:r>
        <w:rPr>
          <w:rFonts w:ascii="Times New Roman" w:hAnsi="Times New Roman" w:cs="Times New Roman"/>
          <w:szCs w:val="24"/>
        </w:rPr>
        <w:t>do SIWZ</w:t>
      </w:r>
      <w:r w:rsidR="00DA3A1B">
        <w:rPr>
          <w:rFonts w:ascii="Times New Roman" w:hAnsi="Times New Roman" w:cs="Times New Roman"/>
          <w:szCs w:val="24"/>
        </w:rPr>
        <w:t xml:space="preserve"> lub opisu potrzeb ma być zapewniony nie krócej niż do dnia udzielenia zamówienia.</w:t>
      </w:r>
      <w:r w:rsidRPr="00A714EB">
        <w:rPr>
          <w:rFonts w:ascii="Times New Roman" w:hAnsi="Times New Roman" w:cs="Times New Roman"/>
          <w:szCs w:val="24"/>
        </w:rPr>
        <w:t xml:space="preserve"> </w:t>
      </w:r>
    </w:p>
    <w:p w14:paraId="14DB001A" w14:textId="77777777" w:rsidR="00DA3A1B" w:rsidRDefault="00DA3A1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bCs/>
          <w:szCs w:val="24"/>
        </w:rPr>
        <w:t>Projektowana zmiana w art. 28</w:t>
      </w:r>
      <w:r>
        <w:rPr>
          <w:rFonts w:ascii="Times New Roman" w:hAnsi="Times New Roman" w:cs="Times New Roman"/>
          <w:bCs/>
          <w:szCs w:val="24"/>
        </w:rPr>
        <w:t>1</w:t>
      </w:r>
      <w:r w:rsidR="005756F4">
        <w:rPr>
          <w:rFonts w:ascii="Times New Roman" w:hAnsi="Times New Roman" w:cs="Times New Roman"/>
          <w:bCs/>
          <w:szCs w:val="24"/>
        </w:rPr>
        <w:t xml:space="preserve"> </w:t>
      </w:r>
      <w:r w:rsidR="007E451C">
        <w:rPr>
          <w:rFonts w:ascii="Times New Roman" w:hAnsi="Times New Roman" w:cs="Times New Roman"/>
          <w:bCs/>
          <w:szCs w:val="24"/>
        </w:rPr>
        <w:t xml:space="preserve">nowej ustawy Pzp </w:t>
      </w:r>
      <w:r w:rsidR="005756F4">
        <w:rPr>
          <w:rFonts w:ascii="Times New Roman" w:hAnsi="Times New Roman" w:cs="Times New Roman"/>
          <w:bCs/>
          <w:szCs w:val="24"/>
        </w:rPr>
        <w:t>dotyczy wadium</w:t>
      </w:r>
      <w:r w:rsidRPr="00A714EB">
        <w:rPr>
          <w:rFonts w:ascii="Times New Roman" w:hAnsi="Times New Roman" w:cs="Times New Roman"/>
          <w:bCs/>
          <w:szCs w:val="24"/>
        </w:rPr>
        <w:t xml:space="preserve"> </w:t>
      </w:r>
      <w:r w:rsidR="005756F4">
        <w:rPr>
          <w:rFonts w:ascii="Times New Roman" w:hAnsi="Times New Roman" w:cs="Times New Roman"/>
          <w:bCs/>
          <w:szCs w:val="24"/>
        </w:rPr>
        <w:t xml:space="preserve">i </w:t>
      </w:r>
      <w:r w:rsidRPr="00A714EB">
        <w:rPr>
          <w:rFonts w:ascii="Times New Roman" w:hAnsi="Times New Roman" w:cs="Times New Roman"/>
          <w:bCs/>
          <w:szCs w:val="24"/>
        </w:rPr>
        <w:t xml:space="preserve">polega na </w:t>
      </w:r>
      <w:r>
        <w:rPr>
          <w:rFonts w:ascii="Times New Roman" w:hAnsi="Times New Roman" w:cs="Times New Roman"/>
          <w:bCs/>
          <w:szCs w:val="24"/>
        </w:rPr>
        <w:t xml:space="preserve">korekcie ust. 2 pkt 10 </w:t>
      </w:r>
      <w:r w:rsidR="005756F4">
        <w:rPr>
          <w:rFonts w:ascii="Times New Roman" w:hAnsi="Times New Roman" w:cs="Times New Roman"/>
          <w:bCs/>
          <w:szCs w:val="24"/>
        </w:rPr>
        <w:t>oraz</w:t>
      </w:r>
      <w:r>
        <w:rPr>
          <w:rFonts w:ascii="Times New Roman" w:hAnsi="Times New Roman" w:cs="Times New Roman"/>
          <w:bCs/>
          <w:szCs w:val="24"/>
        </w:rPr>
        <w:t xml:space="preserve"> </w:t>
      </w:r>
      <w:r w:rsidRPr="00A714EB">
        <w:rPr>
          <w:rFonts w:ascii="Times New Roman" w:hAnsi="Times New Roman" w:cs="Times New Roman"/>
          <w:bCs/>
          <w:szCs w:val="24"/>
        </w:rPr>
        <w:t xml:space="preserve">dodaniu ust. </w:t>
      </w:r>
      <w:r>
        <w:rPr>
          <w:rFonts w:ascii="Times New Roman" w:hAnsi="Times New Roman" w:cs="Times New Roman"/>
          <w:bCs/>
          <w:szCs w:val="24"/>
        </w:rPr>
        <w:t>4</w:t>
      </w:r>
      <w:r w:rsidR="00B9460E">
        <w:rPr>
          <w:rFonts w:ascii="Times New Roman" w:hAnsi="Times New Roman" w:cs="Times New Roman"/>
          <w:bCs/>
          <w:szCs w:val="24"/>
        </w:rPr>
        <w:t xml:space="preserve"> - z</w:t>
      </w:r>
      <w:r w:rsidR="005756F4">
        <w:rPr>
          <w:rFonts w:ascii="Times New Roman" w:hAnsi="Times New Roman" w:cs="Times New Roman"/>
          <w:bCs/>
          <w:szCs w:val="24"/>
        </w:rPr>
        <w:t>mian</w:t>
      </w:r>
      <w:r w:rsidR="00B9460E">
        <w:rPr>
          <w:rFonts w:ascii="Times New Roman" w:hAnsi="Times New Roman" w:cs="Times New Roman"/>
          <w:bCs/>
          <w:szCs w:val="24"/>
        </w:rPr>
        <w:t>a</w:t>
      </w:r>
      <w:r w:rsidR="005756F4">
        <w:rPr>
          <w:rFonts w:ascii="Times New Roman" w:hAnsi="Times New Roman" w:cs="Times New Roman"/>
          <w:bCs/>
          <w:szCs w:val="24"/>
        </w:rPr>
        <w:t xml:space="preserve"> t</w:t>
      </w:r>
      <w:r w:rsidR="00B9460E">
        <w:rPr>
          <w:rFonts w:ascii="Times New Roman" w:hAnsi="Times New Roman" w:cs="Times New Roman"/>
          <w:bCs/>
          <w:szCs w:val="24"/>
        </w:rPr>
        <w:t>a</w:t>
      </w:r>
      <w:r w:rsidR="005756F4">
        <w:rPr>
          <w:rFonts w:ascii="Times New Roman" w:hAnsi="Times New Roman" w:cs="Times New Roman"/>
          <w:bCs/>
          <w:szCs w:val="24"/>
        </w:rPr>
        <w:t xml:space="preserve"> </w:t>
      </w:r>
      <w:r w:rsidRPr="00A714EB">
        <w:rPr>
          <w:rFonts w:ascii="Times New Roman" w:hAnsi="Times New Roman" w:cs="Times New Roman"/>
          <w:bCs/>
          <w:szCs w:val="24"/>
        </w:rPr>
        <w:t>ma charakter porządkujący</w:t>
      </w:r>
      <w:r>
        <w:rPr>
          <w:rFonts w:ascii="Times New Roman" w:hAnsi="Times New Roman" w:cs="Times New Roman"/>
          <w:bCs/>
          <w:szCs w:val="24"/>
        </w:rPr>
        <w:t>.</w:t>
      </w:r>
    </w:p>
    <w:p w14:paraId="309F97E0" w14:textId="7C874DA9" w:rsidR="00A714EB" w:rsidRPr="00A714EB" w:rsidRDefault="00A714E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szCs w:val="24"/>
        </w:rPr>
        <w:t xml:space="preserve">Propozycja zmiany w art. 282 ust. 2 pkt 1 </w:t>
      </w:r>
      <w:r w:rsidR="007E451C">
        <w:rPr>
          <w:rFonts w:ascii="Times New Roman" w:hAnsi="Times New Roman" w:cs="Times New Roman"/>
          <w:szCs w:val="24"/>
        </w:rPr>
        <w:t xml:space="preserve">nowej ustawy Pzp </w:t>
      </w:r>
      <w:r w:rsidRPr="00A714EB">
        <w:rPr>
          <w:rFonts w:ascii="Times New Roman" w:hAnsi="Times New Roman" w:cs="Times New Roman"/>
          <w:szCs w:val="24"/>
        </w:rPr>
        <w:t>ma charakter porządkujący i polega na doprecyzowaniu, że również</w:t>
      </w:r>
      <w:bookmarkEnd w:id="0"/>
      <w:r w:rsidRPr="00A714EB">
        <w:rPr>
          <w:rFonts w:ascii="Times New Roman" w:hAnsi="Times New Roman" w:cs="Times New Roman"/>
          <w:szCs w:val="24"/>
        </w:rPr>
        <w:t xml:space="preserve"> w przypadku</w:t>
      </w:r>
      <w:r w:rsidR="007E451C">
        <w:rPr>
          <w:rFonts w:ascii="Times New Roman" w:hAnsi="Times New Roman" w:cs="Times New Roman"/>
          <w:szCs w:val="24"/>
        </w:rPr>
        <w:t xml:space="preserve"> wariantu </w:t>
      </w:r>
      <w:r w:rsidRPr="00A714EB">
        <w:rPr>
          <w:rFonts w:ascii="Times New Roman" w:hAnsi="Times New Roman" w:cs="Times New Roman"/>
          <w:szCs w:val="24"/>
        </w:rPr>
        <w:t>3 (</w:t>
      </w:r>
      <w:r w:rsidRPr="00A714EB">
        <w:rPr>
          <w:rFonts w:ascii="Times New Roman" w:hAnsi="Times New Roman" w:cs="Times New Roman"/>
          <w:i/>
          <w:szCs w:val="24"/>
        </w:rPr>
        <w:t xml:space="preserve">vide </w:t>
      </w:r>
      <w:r w:rsidRPr="00A714EB">
        <w:rPr>
          <w:rFonts w:ascii="Times New Roman" w:hAnsi="Times New Roman" w:cs="Times New Roman"/>
          <w:szCs w:val="24"/>
        </w:rPr>
        <w:t>art. 288 ust. 1), opis potrzeb i wymagań zawiera informację, czy zamawiający przewiduje możliwość ograniczenia liczby wykonawców, których zaprosi do negocjacji, stosując kryteria oceny ofert. Dlatego proponuje się dodanie w zmienianym przepisie odesłania również do art. 281 ust. 3.</w:t>
      </w:r>
    </w:p>
    <w:p w14:paraId="75922937" w14:textId="77777777" w:rsidR="00A714EB" w:rsidRPr="00A714EB" w:rsidRDefault="00A714E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bCs/>
          <w:szCs w:val="24"/>
        </w:rPr>
        <w:t>Projektowana zmiana w art. 286 polegająca na dodaniu ust. 9 ma charakter porządkujący.</w:t>
      </w:r>
    </w:p>
    <w:p w14:paraId="03440FB5" w14:textId="77777777" w:rsidR="00A714EB" w:rsidRPr="00A714EB" w:rsidRDefault="00A714E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bCs/>
          <w:szCs w:val="24"/>
        </w:rPr>
        <w:t xml:space="preserve">Propozycja zmiany brzemienia art. 287 </w:t>
      </w:r>
      <w:r w:rsidR="007E451C">
        <w:rPr>
          <w:rFonts w:ascii="Times New Roman" w:hAnsi="Times New Roman" w:cs="Times New Roman"/>
          <w:bCs/>
          <w:szCs w:val="24"/>
        </w:rPr>
        <w:t xml:space="preserve">nowej ustawy Pzp </w:t>
      </w:r>
      <w:r w:rsidRPr="00A714EB">
        <w:rPr>
          <w:rFonts w:ascii="Times New Roman" w:hAnsi="Times New Roman" w:cs="Times New Roman"/>
          <w:bCs/>
          <w:szCs w:val="24"/>
        </w:rPr>
        <w:t xml:space="preserve">ma na celu uporządkowanie kolejności regulacji dotyczących procedowania w </w:t>
      </w:r>
      <w:r w:rsidR="007036F2">
        <w:rPr>
          <w:rFonts w:ascii="Times New Roman" w:hAnsi="Times New Roman" w:cs="Times New Roman"/>
          <w:bCs/>
          <w:szCs w:val="24"/>
        </w:rPr>
        <w:t xml:space="preserve">wariancie 2 i 3 </w:t>
      </w:r>
      <w:r w:rsidRPr="00A714EB">
        <w:rPr>
          <w:rFonts w:ascii="Times New Roman" w:hAnsi="Times New Roman" w:cs="Times New Roman"/>
          <w:bCs/>
          <w:szCs w:val="24"/>
        </w:rPr>
        <w:t>tryb</w:t>
      </w:r>
      <w:r w:rsidR="007036F2">
        <w:rPr>
          <w:rFonts w:ascii="Times New Roman" w:hAnsi="Times New Roman" w:cs="Times New Roman"/>
          <w:bCs/>
          <w:szCs w:val="24"/>
        </w:rPr>
        <w:t>u</w:t>
      </w:r>
      <w:r w:rsidRPr="00A714EB">
        <w:rPr>
          <w:rFonts w:ascii="Times New Roman" w:hAnsi="Times New Roman" w:cs="Times New Roman"/>
          <w:bCs/>
          <w:szCs w:val="24"/>
        </w:rPr>
        <w:t xml:space="preserve"> podstawow</w:t>
      </w:r>
      <w:r w:rsidR="007036F2">
        <w:rPr>
          <w:rFonts w:ascii="Times New Roman" w:hAnsi="Times New Roman" w:cs="Times New Roman"/>
          <w:bCs/>
          <w:szCs w:val="24"/>
        </w:rPr>
        <w:t>ego</w:t>
      </w:r>
      <w:r w:rsidRPr="00A714EB">
        <w:rPr>
          <w:rFonts w:ascii="Times New Roman" w:hAnsi="Times New Roman" w:cs="Times New Roman"/>
          <w:bCs/>
          <w:szCs w:val="24"/>
        </w:rPr>
        <w:t xml:space="preserve"> oraz dookreślenie sposobu postępowania z </w:t>
      </w:r>
      <w:r w:rsidRPr="00A714EB">
        <w:rPr>
          <w:rFonts w:ascii="Times New Roman" w:hAnsi="Times New Roman" w:cs="Times New Roman"/>
          <w:szCs w:val="24"/>
        </w:rPr>
        <w:t>ofertami złożonymi w odpowiedzi na ogłoszenie o zamówieniu.</w:t>
      </w:r>
    </w:p>
    <w:p w14:paraId="651B3572" w14:textId="77777777" w:rsidR="00A714EB" w:rsidRPr="00A714EB" w:rsidRDefault="00A714E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bCs/>
          <w:szCs w:val="24"/>
        </w:rPr>
        <w:t xml:space="preserve">Projektowane zmiany w art. 289 ust. 3 i 4 </w:t>
      </w:r>
      <w:r w:rsidR="007E451C">
        <w:rPr>
          <w:rFonts w:ascii="Times New Roman" w:hAnsi="Times New Roman" w:cs="Times New Roman"/>
          <w:bCs/>
          <w:szCs w:val="24"/>
        </w:rPr>
        <w:t xml:space="preserve">nowej ustawy Pzp </w:t>
      </w:r>
      <w:r w:rsidRPr="00A714EB">
        <w:rPr>
          <w:rFonts w:ascii="Times New Roman" w:hAnsi="Times New Roman" w:cs="Times New Roman"/>
          <w:bCs/>
          <w:szCs w:val="24"/>
        </w:rPr>
        <w:t>mają na celu wyeliminowanie niewłaściwych lub zbędnych odesłań.</w:t>
      </w:r>
      <w:r w:rsidR="007E451C">
        <w:rPr>
          <w:rFonts w:ascii="Times New Roman" w:hAnsi="Times New Roman" w:cs="Times New Roman"/>
          <w:bCs/>
          <w:szCs w:val="24"/>
        </w:rPr>
        <w:t xml:space="preserve"> Z kolei dodawany w art. 289 ust. </w:t>
      </w:r>
      <w:r w:rsidR="007E451C" w:rsidRPr="006F5464">
        <w:rPr>
          <w:rFonts w:cs="Times New Roman"/>
          <w:szCs w:val="24"/>
        </w:rPr>
        <w:t>5</w:t>
      </w:r>
      <w:r w:rsidR="007E451C">
        <w:rPr>
          <w:rFonts w:cs="Times New Roman"/>
          <w:szCs w:val="24"/>
        </w:rPr>
        <w:t xml:space="preserve"> stanowi co zawiera zaproszenie do negocjacji</w:t>
      </w:r>
      <w:r w:rsidR="007E451C" w:rsidRPr="006F5464">
        <w:rPr>
          <w:rFonts w:cs="Times New Roman"/>
          <w:szCs w:val="24"/>
        </w:rPr>
        <w:t xml:space="preserve">. </w:t>
      </w:r>
    </w:p>
    <w:p w14:paraId="5FDE3413" w14:textId="152180FC" w:rsidR="00A714EB" w:rsidRPr="00A714EB" w:rsidRDefault="00A714EB" w:rsidP="00A714EB">
      <w:pPr>
        <w:pStyle w:val="ARTartustawynprozporzdzenia"/>
        <w:ind w:firstLine="0"/>
        <w:rPr>
          <w:rFonts w:ascii="Times New Roman" w:hAnsi="Times New Roman" w:cs="Times New Roman"/>
          <w:bCs/>
          <w:szCs w:val="24"/>
        </w:rPr>
      </w:pPr>
      <w:r w:rsidRPr="00A714EB">
        <w:rPr>
          <w:rFonts w:ascii="Times New Roman" w:hAnsi="Times New Roman" w:cs="Times New Roman"/>
          <w:szCs w:val="24"/>
        </w:rPr>
        <w:t xml:space="preserve">Proponowana zmiana w art. 293 </w:t>
      </w:r>
      <w:r w:rsidR="007E451C">
        <w:rPr>
          <w:rFonts w:ascii="Times New Roman" w:hAnsi="Times New Roman" w:cs="Times New Roman"/>
          <w:szCs w:val="24"/>
        </w:rPr>
        <w:t xml:space="preserve">nowej ustawy Pzp </w:t>
      </w:r>
      <w:r w:rsidRPr="00A714EB">
        <w:rPr>
          <w:rFonts w:ascii="Times New Roman" w:hAnsi="Times New Roman" w:cs="Times New Roman"/>
          <w:szCs w:val="24"/>
        </w:rPr>
        <w:t>polega przede wszystkim na odróżnieniu ofert dodatkowych</w:t>
      </w:r>
      <w:r w:rsidR="007036F2">
        <w:rPr>
          <w:rFonts w:ascii="Times New Roman" w:hAnsi="Times New Roman" w:cs="Times New Roman"/>
          <w:szCs w:val="24"/>
        </w:rPr>
        <w:t xml:space="preserve">, składanych w </w:t>
      </w:r>
      <w:r w:rsidRPr="00A714EB">
        <w:rPr>
          <w:rFonts w:ascii="Times New Roman" w:hAnsi="Times New Roman" w:cs="Times New Roman"/>
          <w:szCs w:val="24"/>
        </w:rPr>
        <w:t>warian</w:t>
      </w:r>
      <w:r w:rsidR="007036F2">
        <w:rPr>
          <w:rFonts w:ascii="Times New Roman" w:hAnsi="Times New Roman" w:cs="Times New Roman"/>
          <w:szCs w:val="24"/>
        </w:rPr>
        <w:t xml:space="preserve">cie </w:t>
      </w:r>
      <w:r w:rsidRPr="00A714EB">
        <w:rPr>
          <w:rFonts w:ascii="Times New Roman" w:hAnsi="Times New Roman" w:cs="Times New Roman"/>
          <w:szCs w:val="24"/>
        </w:rPr>
        <w:t>2</w:t>
      </w:r>
      <w:r w:rsidR="007036F2">
        <w:rPr>
          <w:rFonts w:ascii="Times New Roman" w:hAnsi="Times New Roman" w:cs="Times New Roman"/>
          <w:szCs w:val="24"/>
        </w:rPr>
        <w:t xml:space="preserve"> trybu podstawowego,</w:t>
      </w:r>
      <w:r w:rsidRPr="00A714EB">
        <w:rPr>
          <w:rFonts w:ascii="Times New Roman" w:hAnsi="Times New Roman" w:cs="Times New Roman"/>
          <w:szCs w:val="24"/>
        </w:rPr>
        <w:t xml:space="preserve"> od ofert ostatecznych</w:t>
      </w:r>
      <w:r w:rsidR="007036F2">
        <w:rPr>
          <w:rFonts w:ascii="Times New Roman" w:hAnsi="Times New Roman" w:cs="Times New Roman"/>
          <w:szCs w:val="24"/>
        </w:rPr>
        <w:t xml:space="preserve">, składanych w </w:t>
      </w:r>
      <w:r w:rsidRPr="00A714EB">
        <w:rPr>
          <w:rFonts w:ascii="Times New Roman" w:hAnsi="Times New Roman" w:cs="Times New Roman"/>
          <w:szCs w:val="24"/>
        </w:rPr>
        <w:t>warian</w:t>
      </w:r>
      <w:r w:rsidR="007036F2">
        <w:rPr>
          <w:rFonts w:ascii="Times New Roman" w:hAnsi="Times New Roman" w:cs="Times New Roman"/>
          <w:szCs w:val="24"/>
        </w:rPr>
        <w:t>cie</w:t>
      </w:r>
      <w:r w:rsidRPr="00A714EB">
        <w:rPr>
          <w:rFonts w:ascii="Times New Roman" w:hAnsi="Times New Roman" w:cs="Times New Roman"/>
          <w:szCs w:val="24"/>
        </w:rPr>
        <w:t xml:space="preserve"> 3</w:t>
      </w:r>
      <w:r w:rsidR="007036F2">
        <w:rPr>
          <w:rFonts w:ascii="Times New Roman" w:hAnsi="Times New Roman" w:cs="Times New Roman"/>
          <w:szCs w:val="24"/>
        </w:rPr>
        <w:t xml:space="preserve"> trybu podstawowego</w:t>
      </w:r>
      <w:r w:rsidRPr="00A714EB">
        <w:rPr>
          <w:rFonts w:ascii="Times New Roman" w:hAnsi="Times New Roman" w:cs="Times New Roman"/>
          <w:szCs w:val="24"/>
        </w:rPr>
        <w:t xml:space="preserve">. Ponadto zmiana </w:t>
      </w:r>
      <w:r w:rsidRPr="00A714EB">
        <w:rPr>
          <w:rFonts w:ascii="Times New Roman" w:hAnsi="Times New Roman" w:cs="Times New Roman"/>
          <w:szCs w:val="24"/>
        </w:rPr>
        <w:lastRenderedPageBreak/>
        <w:t>w art. 293 ust. 1 polega na doprecyzowaniu, że w wariancie 2 trybu podstawowego wykonawca nie musi brać udziału w negocjacjach, a zamawiający zaprasza do składania ofert dodatkowych wszystkich wykonawców, których oferty złożone w odpowiedzi na ogłoszenie o zamówieniu nie zostały odrzucone. Z kolei propozycja zmiany w art. 293 ust. 2 polega na doprecyzowaniu, że w wariancie 3 trybu podstawowego, zamawiający zaprasza do składania ofert ostatecznych wszystkich wykonawców, których oferty złożone w odpowiedzi na ogłoszenie o zamówieniu nie zostały odrzucone, i którzy brali udział w negocjacjach.</w:t>
      </w:r>
      <w:r w:rsidR="00666748" w:rsidRPr="00666748">
        <w:t xml:space="preserve"> </w:t>
      </w:r>
      <w:r w:rsidR="00666748">
        <w:t xml:space="preserve">Konsekwencją wyróżnienia ofert dodatkowych jest </w:t>
      </w:r>
      <w:r w:rsidR="007E451C">
        <w:t xml:space="preserve">projektowana </w:t>
      </w:r>
      <w:r w:rsidR="00666748">
        <w:t>zmiana a</w:t>
      </w:r>
      <w:r w:rsidR="00666748" w:rsidRPr="00666748">
        <w:rPr>
          <w:rFonts w:ascii="Times New Roman" w:hAnsi="Times New Roman" w:cs="Times New Roman"/>
          <w:szCs w:val="24"/>
        </w:rPr>
        <w:t>rt. 62</w:t>
      </w:r>
      <w:r w:rsidR="007E451C">
        <w:rPr>
          <w:rFonts w:ascii="Times New Roman" w:hAnsi="Times New Roman" w:cs="Times New Roman"/>
          <w:szCs w:val="24"/>
        </w:rPr>
        <w:t xml:space="preserve"> nowej ustawy Pzp</w:t>
      </w:r>
      <w:r w:rsidR="00666748" w:rsidRPr="00666748">
        <w:rPr>
          <w:rFonts w:ascii="Times New Roman" w:hAnsi="Times New Roman" w:cs="Times New Roman"/>
          <w:szCs w:val="24"/>
        </w:rPr>
        <w:t>.</w:t>
      </w:r>
    </w:p>
    <w:p w14:paraId="6A80AFB1" w14:textId="35B1FF01" w:rsidR="00A714EB" w:rsidRPr="00A714EB" w:rsidRDefault="00A714EB" w:rsidP="00A714EB">
      <w:pPr>
        <w:pStyle w:val="ARTartustawynprozporzdzenia"/>
        <w:ind w:firstLine="0"/>
        <w:rPr>
          <w:rFonts w:ascii="Times New Roman" w:hAnsi="Times New Roman" w:cs="Times New Roman"/>
          <w:szCs w:val="24"/>
        </w:rPr>
      </w:pPr>
      <w:r w:rsidRPr="00A714EB">
        <w:rPr>
          <w:rFonts w:ascii="Times New Roman" w:hAnsi="Times New Roman" w:cs="Times New Roman"/>
          <w:szCs w:val="24"/>
        </w:rPr>
        <w:t xml:space="preserve">Propozycje zmian w art. 295 ust. </w:t>
      </w:r>
      <w:r w:rsidR="00775C6D">
        <w:rPr>
          <w:rFonts w:ascii="Times New Roman" w:hAnsi="Times New Roman" w:cs="Times New Roman"/>
          <w:szCs w:val="24"/>
        </w:rPr>
        <w:t>2-</w:t>
      </w:r>
      <w:r w:rsidRPr="00A714EB">
        <w:rPr>
          <w:rFonts w:ascii="Times New Roman" w:hAnsi="Times New Roman" w:cs="Times New Roman"/>
          <w:szCs w:val="24"/>
        </w:rPr>
        <w:t xml:space="preserve">4 </w:t>
      </w:r>
      <w:r w:rsidR="00A37DF9">
        <w:rPr>
          <w:rFonts w:ascii="Times New Roman" w:hAnsi="Times New Roman" w:cs="Times New Roman"/>
          <w:szCs w:val="24"/>
        </w:rPr>
        <w:t xml:space="preserve">nowej ustawy Pzp </w:t>
      </w:r>
      <w:r w:rsidRPr="00A714EB">
        <w:rPr>
          <w:rFonts w:ascii="Times New Roman" w:hAnsi="Times New Roman" w:cs="Times New Roman"/>
          <w:szCs w:val="24"/>
        </w:rPr>
        <w:t>dotyczą specyfikacji warunków zamówienia (SWZ), która w przypadku wariantu 3 trybu podstawowego jest przekazywana wraz z zaproszeniem do składania ofert ostatecznych. W związku z tym zasadne jest wprowadzenie właściwych odesłań</w:t>
      </w:r>
      <w:r w:rsidRPr="00A714EB">
        <w:rPr>
          <w:rFonts w:ascii="Times New Roman" w:hAnsi="Times New Roman" w:cs="Times New Roman"/>
          <w:bCs/>
          <w:szCs w:val="24"/>
        </w:rPr>
        <w:t>.</w:t>
      </w:r>
    </w:p>
    <w:p w14:paraId="65E0FDA1" w14:textId="0890ACB9" w:rsidR="00B63C4F" w:rsidRDefault="00A37DF9" w:rsidP="00B63C4F">
      <w:pPr>
        <w:pStyle w:val="ARTartustawynprozporzdzenia"/>
        <w:ind w:firstLine="0"/>
        <w:rPr>
          <w:rFonts w:ascii="Times New Roman" w:hAnsi="Times New Roman" w:cs="Times New Roman"/>
          <w:szCs w:val="24"/>
        </w:rPr>
      </w:pPr>
      <w:r>
        <w:rPr>
          <w:rFonts w:ascii="Times New Roman" w:hAnsi="Times New Roman" w:cs="Times New Roman"/>
          <w:szCs w:val="24"/>
        </w:rPr>
        <w:t>Projektowana z</w:t>
      </w:r>
      <w:r w:rsidR="00A714EB" w:rsidRPr="00A714EB">
        <w:rPr>
          <w:rFonts w:ascii="Times New Roman" w:hAnsi="Times New Roman" w:cs="Times New Roman"/>
          <w:szCs w:val="24"/>
        </w:rPr>
        <w:t>miana w art. 296 ust. 1</w:t>
      </w:r>
      <w:r>
        <w:rPr>
          <w:rFonts w:ascii="Times New Roman" w:hAnsi="Times New Roman" w:cs="Times New Roman"/>
          <w:szCs w:val="24"/>
        </w:rPr>
        <w:t xml:space="preserve"> nowej ustawy Pzp</w:t>
      </w:r>
      <w:r w:rsidR="00A714EB" w:rsidRPr="00A714EB">
        <w:rPr>
          <w:rFonts w:ascii="Times New Roman" w:hAnsi="Times New Roman" w:cs="Times New Roman"/>
          <w:szCs w:val="24"/>
        </w:rPr>
        <w:t xml:space="preserve"> polegałaby na skróceniu minimalnego terminu na składanie ofert dodatkowych (dotyczy to wariantu 2 trybu podstawowego), bo w wielu przypadkach może być to „ulepszenie” oferty polegające jedynie na zmianie ceny. Minimalny czas potrzeb</w:t>
      </w:r>
      <w:r w:rsidR="008F2A50">
        <w:rPr>
          <w:rFonts w:ascii="Times New Roman" w:hAnsi="Times New Roman" w:cs="Times New Roman"/>
          <w:szCs w:val="24"/>
        </w:rPr>
        <w:t>n</w:t>
      </w:r>
      <w:r w:rsidR="00A714EB" w:rsidRPr="00A714EB">
        <w:rPr>
          <w:rFonts w:ascii="Times New Roman" w:hAnsi="Times New Roman" w:cs="Times New Roman"/>
          <w:szCs w:val="24"/>
        </w:rPr>
        <w:t>y na przygotowanie ofert dodatkowych powinien być więc krótszy niż w przypadku ofert ostatecznych (składnych w wariancie 3 trybu podstawowego). Dlatego też proponuje się, aby w</w:t>
      </w:r>
      <w:r w:rsidR="00A714EB" w:rsidRPr="00A714EB">
        <w:rPr>
          <w:rFonts w:ascii="Times New Roman" w:hAnsi="Times New Roman" w:cs="Times New Roman"/>
          <w:bCs/>
          <w:szCs w:val="24"/>
        </w:rPr>
        <w:t xml:space="preserve"> przypadku, o którym mowa w art. 275 pkt 2, </w:t>
      </w:r>
      <w:r w:rsidR="00A714EB" w:rsidRPr="00A714EB">
        <w:rPr>
          <w:rFonts w:ascii="Times New Roman" w:hAnsi="Times New Roman" w:cs="Times New Roman"/>
          <w:szCs w:val="24"/>
        </w:rPr>
        <w:t xml:space="preserve">zamawiający wyznaczał termin na złożenie ofert dodatkowych z uwzględnieniem czasu potrzebnego na przygotowanie tych ofert, z tym że termin ten nie mógłby być krótszy niż </w:t>
      </w:r>
      <w:r w:rsidR="0015463D">
        <w:rPr>
          <w:rFonts w:ascii="Times New Roman" w:hAnsi="Times New Roman" w:cs="Times New Roman"/>
          <w:szCs w:val="24"/>
        </w:rPr>
        <w:t>5</w:t>
      </w:r>
      <w:r w:rsidR="00A714EB" w:rsidRPr="00A714EB">
        <w:rPr>
          <w:rFonts w:ascii="Times New Roman" w:hAnsi="Times New Roman" w:cs="Times New Roman"/>
          <w:szCs w:val="24"/>
        </w:rPr>
        <w:t xml:space="preserve"> dni od dnia przekazania zaproszenia do składania ofert dodatkowych.</w:t>
      </w:r>
    </w:p>
    <w:p w14:paraId="036EEBA6" w14:textId="10EB1C72" w:rsidR="00B90A39" w:rsidRDefault="00A714EB" w:rsidP="00A1624F">
      <w:pPr>
        <w:pStyle w:val="ARTartustawynprozporzdzenia"/>
        <w:ind w:firstLine="0"/>
        <w:rPr>
          <w:rFonts w:ascii="Times New Roman" w:hAnsi="Times New Roman" w:cs="Times New Roman"/>
          <w:szCs w:val="24"/>
        </w:rPr>
      </w:pPr>
      <w:r w:rsidRPr="00A714EB">
        <w:rPr>
          <w:rFonts w:ascii="Times New Roman" w:hAnsi="Times New Roman" w:cs="Times New Roman"/>
          <w:szCs w:val="24"/>
        </w:rPr>
        <w:t xml:space="preserve">Celem projektowanego art. 296 ust. </w:t>
      </w:r>
      <w:r w:rsidR="00A1624F">
        <w:rPr>
          <w:rFonts w:ascii="Times New Roman" w:hAnsi="Times New Roman" w:cs="Times New Roman"/>
          <w:szCs w:val="24"/>
        </w:rPr>
        <w:t>2</w:t>
      </w:r>
      <w:r w:rsidRPr="00A714EB">
        <w:rPr>
          <w:rFonts w:ascii="Times New Roman" w:hAnsi="Times New Roman" w:cs="Times New Roman"/>
          <w:szCs w:val="24"/>
        </w:rPr>
        <w:t xml:space="preserve"> zdanie pierwsze jest przesądzenie, że w wariancie 2 trybu podstawowego wykonawca może (ale nie musi) złożyć ofertę dodatkową, która zawiera nowe propozycje w zakresie treści ofert</w:t>
      </w:r>
      <w:r w:rsidR="00A37DF9">
        <w:rPr>
          <w:rFonts w:ascii="Times New Roman" w:hAnsi="Times New Roman" w:cs="Times New Roman"/>
          <w:szCs w:val="24"/>
        </w:rPr>
        <w:t xml:space="preserve">y </w:t>
      </w:r>
      <w:r w:rsidR="00A37DF9" w:rsidRPr="0075376A">
        <w:rPr>
          <w:rFonts w:cs="Times New Roman"/>
          <w:color w:val="000000"/>
          <w:szCs w:val="24"/>
        </w:rPr>
        <w:t>podlegających</w:t>
      </w:r>
      <w:r w:rsidRPr="00A714EB">
        <w:rPr>
          <w:rFonts w:ascii="Times New Roman" w:hAnsi="Times New Roman" w:cs="Times New Roman"/>
          <w:szCs w:val="24"/>
        </w:rPr>
        <w:t xml:space="preserve"> ocenie w ramach kryteriów oceny ofert</w:t>
      </w:r>
      <w:r w:rsidR="00A37DF9">
        <w:rPr>
          <w:rFonts w:ascii="Times New Roman" w:hAnsi="Times New Roman" w:cs="Times New Roman"/>
          <w:szCs w:val="24"/>
        </w:rPr>
        <w:t xml:space="preserve"> </w:t>
      </w:r>
      <w:r w:rsidR="00A37DF9" w:rsidRPr="0075376A">
        <w:rPr>
          <w:rFonts w:cs="Times New Roman"/>
          <w:szCs w:val="24"/>
        </w:rPr>
        <w:t>wskazanych przez zamawiającego w zaproszeniu do negocjacji</w:t>
      </w:r>
      <w:r w:rsidRPr="00A714EB">
        <w:rPr>
          <w:rFonts w:ascii="Times New Roman" w:hAnsi="Times New Roman" w:cs="Times New Roman"/>
          <w:szCs w:val="24"/>
        </w:rPr>
        <w:t xml:space="preserve">. Ponadto z normy projektowanej w art. 296 ust. </w:t>
      </w:r>
      <w:r w:rsidR="00A1624F">
        <w:rPr>
          <w:rFonts w:ascii="Times New Roman" w:hAnsi="Times New Roman" w:cs="Times New Roman"/>
          <w:szCs w:val="24"/>
        </w:rPr>
        <w:t>2</w:t>
      </w:r>
      <w:r w:rsidRPr="00A714EB">
        <w:rPr>
          <w:rFonts w:ascii="Times New Roman" w:hAnsi="Times New Roman" w:cs="Times New Roman"/>
          <w:szCs w:val="24"/>
        </w:rPr>
        <w:t xml:space="preserve"> zdanie drugie wynika wyraźnie, że oferta dodatkowa nie może być mniej korzystna </w:t>
      </w:r>
      <w:r w:rsidR="00A37DF9" w:rsidRPr="0075376A">
        <w:rPr>
          <w:rFonts w:cs="Times New Roman"/>
          <w:szCs w:val="24"/>
        </w:rPr>
        <w:t xml:space="preserve">w </w:t>
      </w:r>
      <w:r w:rsidR="00A37DF9" w:rsidRPr="00A27442">
        <w:rPr>
          <w:rFonts w:cs="Times New Roman"/>
          <w:color w:val="000000" w:themeColor="text1"/>
          <w:szCs w:val="24"/>
        </w:rPr>
        <w:t>żadnym</w:t>
      </w:r>
      <w:r w:rsidR="00A37DF9" w:rsidRPr="000531E8">
        <w:rPr>
          <w:rFonts w:cs="Times New Roman"/>
          <w:color w:val="1F497D"/>
          <w:szCs w:val="24"/>
        </w:rPr>
        <w:t xml:space="preserve"> </w:t>
      </w:r>
      <w:r w:rsidR="00A37DF9" w:rsidRPr="000531E8">
        <w:rPr>
          <w:rFonts w:cs="Times New Roman"/>
          <w:szCs w:val="24"/>
        </w:rPr>
        <w:t>z kryteriów oceny ofert wskazanych w zaproszeniu do negocjacji</w:t>
      </w:r>
      <w:r w:rsidR="00A37DF9" w:rsidRPr="00A714EB">
        <w:rPr>
          <w:rFonts w:ascii="Times New Roman" w:hAnsi="Times New Roman" w:cs="Times New Roman"/>
          <w:szCs w:val="24"/>
        </w:rPr>
        <w:t xml:space="preserve"> </w:t>
      </w:r>
      <w:r w:rsidRPr="00A714EB">
        <w:rPr>
          <w:rFonts w:ascii="Times New Roman" w:hAnsi="Times New Roman" w:cs="Times New Roman"/>
          <w:szCs w:val="24"/>
        </w:rPr>
        <w:t>niż oferta złożona w odpowiedzi na ogłoszenie o zamówieniu</w:t>
      </w:r>
      <w:r w:rsidR="008F2A50">
        <w:rPr>
          <w:rFonts w:ascii="Times New Roman" w:hAnsi="Times New Roman" w:cs="Times New Roman"/>
          <w:szCs w:val="24"/>
        </w:rPr>
        <w:t>.</w:t>
      </w:r>
      <w:r w:rsidR="00A1624F">
        <w:rPr>
          <w:rFonts w:ascii="Times New Roman" w:hAnsi="Times New Roman" w:cs="Times New Roman"/>
          <w:szCs w:val="24"/>
        </w:rPr>
        <w:t xml:space="preserve"> Wyjaśniono również stan </w:t>
      </w:r>
      <w:r w:rsidR="00A1624F">
        <w:rPr>
          <w:rFonts w:ascii="Times New Roman" w:hAnsi="Times New Roman" w:cs="Times New Roman"/>
          <w:szCs w:val="24"/>
        </w:rPr>
        <w:lastRenderedPageBreak/>
        <w:t>prawny wywołany złożeniem oferty dodatkowej. Stosownie do projektowanego art. 296 ust. 2 zdanie trzecie o</w:t>
      </w:r>
      <w:r w:rsidR="00A1624F" w:rsidRPr="00A1624F">
        <w:rPr>
          <w:rFonts w:ascii="Times New Roman" w:hAnsi="Times New Roman" w:cs="Times New Roman"/>
          <w:szCs w:val="24"/>
        </w:rPr>
        <w:t>ferta przestaje wiązać wykonawcę, w zakresie w jakim złoży on ofertę dodatkową zawierającą korzystniejsze propozycje</w:t>
      </w:r>
      <w:r w:rsidR="008A1E57" w:rsidRPr="008A1E57">
        <w:rPr>
          <w:rFonts w:cs="Times New Roman"/>
          <w:bCs/>
          <w:color w:val="000000"/>
          <w:szCs w:val="24"/>
        </w:rPr>
        <w:t xml:space="preserve"> </w:t>
      </w:r>
      <w:r w:rsidR="008A1E57">
        <w:rPr>
          <w:rFonts w:cs="Times New Roman"/>
          <w:bCs/>
          <w:color w:val="000000"/>
          <w:szCs w:val="24"/>
        </w:rPr>
        <w:t>w ramach każdego z kryteriów oceny ofert</w:t>
      </w:r>
      <w:r w:rsidR="008A1E57">
        <w:rPr>
          <w:rFonts w:cs="Times New Roman"/>
          <w:color w:val="000000"/>
          <w:szCs w:val="24"/>
        </w:rPr>
        <w:t xml:space="preserve"> wskazanych w zaproszeniu do negocjacji</w:t>
      </w:r>
      <w:r w:rsidR="00A1624F" w:rsidRPr="00A1624F">
        <w:rPr>
          <w:rFonts w:ascii="Times New Roman" w:hAnsi="Times New Roman" w:cs="Times New Roman"/>
          <w:szCs w:val="24"/>
        </w:rPr>
        <w:t>.</w:t>
      </w:r>
      <w:r w:rsidR="00A1624F">
        <w:rPr>
          <w:rFonts w:ascii="Times New Roman" w:hAnsi="Times New Roman" w:cs="Times New Roman"/>
          <w:szCs w:val="24"/>
        </w:rPr>
        <w:t xml:space="preserve"> </w:t>
      </w:r>
    </w:p>
    <w:p w14:paraId="5152F0D5" w14:textId="1738D55F" w:rsidR="005F7FED" w:rsidRPr="00A714EB" w:rsidRDefault="00B90A39" w:rsidP="00A1624F">
      <w:pPr>
        <w:pStyle w:val="ARTartustawynprozporzdzenia"/>
        <w:ind w:firstLine="0"/>
        <w:rPr>
          <w:rFonts w:ascii="Times New Roman" w:hAnsi="Times New Roman" w:cs="Times New Roman"/>
          <w:szCs w:val="24"/>
        </w:rPr>
      </w:pPr>
      <w:r>
        <w:rPr>
          <w:rFonts w:cs="Times New Roman"/>
          <w:szCs w:val="24"/>
        </w:rPr>
        <w:t xml:space="preserve">Powyższe </w:t>
      </w:r>
      <w:r>
        <w:rPr>
          <w:rFonts w:ascii="Times New Roman" w:hAnsi="Times New Roman" w:cs="Times New Roman"/>
          <w:szCs w:val="24"/>
        </w:rPr>
        <w:t>o</w:t>
      </w:r>
      <w:r w:rsidR="00E24298">
        <w:rPr>
          <w:rFonts w:ascii="Times New Roman" w:hAnsi="Times New Roman" w:cs="Times New Roman"/>
          <w:szCs w:val="24"/>
        </w:rPr>
        <w:t>znacza, że</w:t>
      </w:r>
      <w:r w:rsidR="00A1624F" w:rsidRPr="00A1624F">
        <w:rPr>
          <w:rFonts w:ascii="Times New Roman" w:hAnsi="Times New Roman" w:cs="Times New Roman"/>
          <w:szCs w:val="24"/>
        </w:rPr>
        <w:t xml:space="preserve"> oferta dodatkowa stanowi jedynie wyjątkowo dopuszczalną zmianę pierwotnie oferowanych elementów oferty, które podlegają ocenie w ramach kryteriów oceny ofert</w:t>
      </w:r>
      <w:r>
        <w:rPr>
          <w:rFonts w:ascii="Times New Roman" w:hAnsi="Times New Roman" w:cs="Times New Roman"/>
          <w:szCs w:val="24"/>
        </w:rPr>
        <w:t xml:space="preserve"> </w:t>
      </w:r>
      <w:r w:rsidRPr="0075376A">
        <w:rPr>
          <w:rFonts w:cs="Times New Roman"/>
          <w:szCs w:val="24"/>
        </w:rPr>
        <w:t>wskazanych przez zamawiającego w zaproszeniu do negocjacji</w:t>
      </w:r>
      <w:r w:rsidR="00A1624F" w:rsidRPr="00A1624F">
        <w:rPr>
          <w:rFonts w:ascii="Times New Roman" w:hAnsi="Times New Roman" w:cs="Times New Roman"/>
          <w:szCs w:val="24"/>
        </w:rPr>
        <w:t xml:space="preserve">. </w:t>
      </w:r>
      <w:r w:rsidR="00E24298">
        <w:rPr>
          <w:rFonts w:ascii="Times New Roman" w:hAnsi="Times New Roman" w:cs="Times New Roman"/>
          <w:szCs w:val="24"/>
        </w:rPr>
        <w:t xml:space="preserve">W pozostałym zakresie wykonawca jest nadal związany ofertą złożoną w odpowiedzi na ogłoszenie. </w:t>
      </w:r>
      <w:r w:rsidR="00DB3CC1">
        <w:rPr>
          <w:rFonts w:ascii="Times New Roman" w:hAnsi="Times New Roman" w:cs="Times New Roman"/>
          <w:szCs w:val="24"/>
        </w:rPr>
        <w:t xml:space="preserve">Ponieważ </w:t>
      </w:r>
      <w:r w:rsidR="003C7478">
        <w:rPr>
          <w:rFonts w:ascii="Times New Roman" w:hAnsi="Times New Roman" w:cs="Times New Roman"/>
          <w:szCs w:val="24"/>
        </w:rPr>
        <w:t xml:space="preserve">oferta dodatkowa nie </w:t>
      </w:r>
      <w:r w:rsidR="00A85A5C">
        <w:rPr>
          <w:rFonts w:ascii="Times New Roman" w:hAnsi="Times New Roman" w:cs="Times New Roman"/>
          <w:szCs w:val="24"/>
        </w:rPr>
        <w:t>jest samoistną ofertą</w:t>
      </w:r>
      <w:r w:rsidR="00CC0A16">
        <w:rPr>
          <w:rFonts w:ascii="Times New Roman" w:hAnsi="Times New Roman" w:cs="Times New Roman"/>
          <w:szCs w:val="24"/>
        </w:rPr>
        <w:t xml:space="preserve">, tylko modyfikacją oferty złożonej w odpowiedzi na ogłoszenie, </w:t>
      </w:r>
      <w:r w:rsidR="00A85A5C">
        <w:rPr>
          <w:rFonts w:ascii="Times New Roman" w:hAnsi="Times New Roman" w:cs="Times New Roman"/>
          <w:szCs w:val="24"/>
        </w:rPr>
        <w:t>wykonawca pozostaje związany ofertą dodatkową wyłącznie do upływu terminu związania ofertą złożoną w odpowiedzi na ogłoszenie</w:t>
      </w:r>
      <w:r w:rsidR="003C7478" w:rsidRPr="003C7478">
        <w:rPr>
          <w:rFonts w:ascii="Times New Roman" w:hAnsi="Times New Roman" w:cs="Times New Roman"/>
          <w:szCs w:val="24"/>
        </w:rPr>
        <w:t xml:space="preserve">. </w:t>
      </w:r>
      <w:r w:rsidR="00A1624F" w:rsidRPr="00A1624F">
        <w:rPr>
          <w:rFonts w:ascii="Times New Roman" w:hAnsi="Times New Roman" w:cs="Times New Roman"/>
          <w:szCs w:val="24"/>
        </w:rPr>
        <w:t xml:space="preserve">Charakter oraz skutki prawne złożenia oferty dodatkowej, o której mowa art. 296 ust. </w:t>
      </w:r>
      <w:r w:rsidR="00E24298">
        <w:rPr>
          <w:rFonts w:ascii="Times New Roman" w:hAnsi="Times New Roman" w:cs="Times New Roman"/>
          <w:szCs w:val="24"/>
        </w:rPr>
        <w:t>2,</w:t>
      </w:r>
      <w:r w:rsidR="00A1624F" w:rsidRPr="00A1624F">
        <w:rPr>
          <w:rFonts w:ascii="Times New Roman" w:hAnsi="Times New Roman" w:cs="Times New Roman"/>
          <w:szCs w:val="24"/>
        </w:rPr>
        <w:t xml:space="preserve"> są więc identyczne z charakterem i skutkami prawnymi złożenia oferty dodatkowej, o której mowa w art. 248</w:t>
      </w:r>
      <w:r>
        <w:rPr>
          <w:rFonts w:ascii="Times New Roman" w:hAnsi="Times New Roman" w:cs="Times New Roman"/>
          <w:szCs w:val="24"/>
        </w:rPr>
        <w:t xml:space="preserve"> nowej ustawy Pzp</w:t>
      </w:r>
      <w:r w:rsidR="00A1624F" w:rsidRPr="00A1624F">
        <w:rPr>
          <w:rFonts w:ascii="Times New Roman" w:hAnsi="Times New Roman" w:cs="Times New Roman"/>
          <w:szCs w:val="24"/>
        </w:rPr>
        <w:t xml:space="preserve">. Podobieństwo to uzasadnia posługiwanie się w obu przypadkach pojęciem „oferta dodatkowa”. </w:t>
      </w:r>
      <w:r w:rsidR="00ED1F6C">
        <w:rPr>
          <w:rFonts w:ascii="Times New Roman" w:hAnsi="Times New Roman" w:cs="Times New Roman"/>
          <w:szCs w:val="24"/>
        </w:rPr>
        <w:t xml:space="preserve">Dodatkowo, w art. 296 ust. 2 </w:t>
      </w:r>
      <w:r>
        <w:rPr>
          <w:rFonts w:ascii="Times New Roman" w:hAnsi="Times New Roman" w:cs="Times New Roman"/>
          <w:szCs w:val="24"/>
        </w:rPr>
        <w:t xml:space="preserve">zdanie czwarte </w:t>
      </w:r>
      <w:r w:rsidR="00ED1F6C">
        <w:rPr>
          <w:rFonts w:ascii="Times New Roman" w:hAnsi="Times New Roman" w:cs="Times New Roman"/>
          <w:szCs w:val="24"/>
        </w:rPr>
        <w:t>proponuje się unormowanie wprost, że o</w:t>
      </w:r>
      <w:r w:rsidR="00ED1F6C">
        <w:rPr>
          <w:color w:val="000000"/>
          <w:szCs w:val="24"/>
        </w:rPr>
        <w:t xml:space="preserve">ferta dodatkowa, która jest mniej korzystna </w:t>
      </w:r>
      <w:r w:rsidR="008A1E57">
        <w:rPr>
          <w:rFonts w:cs="Times New Roman"/>
          <w:szCs w:val="24"/>
        </w:rPr>
        <w:t>w którymkolwiek</w:t>
      </w:r>
      <w:r w:rsidR="008A1E57">
        <w:rPr>
          <w:rFonts w:cs="Times New Roman"/>
          <w:color w:val="1F497D"/>
          <w:szCs w:val="24"/>
        </w:rPr>
        <w:t xml:space="preserve"> </w:t>
      </w:r>
      <w:r w:rsidR="008A1E57">
        <w:rPr>
          <w:rFonts w:cs="Times New Roman"/>
          <w:szCs w:val="24"/>
        </w:rPr>
        <w:t>z kryteriów oceny ofert wskazanych w zaproszeniu do negocjacji</w:t>
      </w:r>
      <w:r w:rsidR="008A1E57" w:rsidRPr="00F21D6B">
        <w:t xml:space="preserve"> </w:t>
      </w:r>
      <w:r w:rsidR="00ED1F6C" w:rsidRPr="00F21D6B">
        <w:t>niż oferta złożona w odpowiedzi na ogłoszenie o zamówieniu</w:t>
      </w:r>
      <w:r w:rsidR="00B63C4F">
        <w:t xml:space="preserve"> podlega odrzuceniu</w:t>
      </w:r>
      <w:r w:rsidR="00D54EEC">
        <w:t>.</w:t>
      </w:r>
      <w:r w:rsidR="00CE7B18" w:rsidRPr="00CE7B18">
        <w:t xml:space="preserve"> </w:t>
      </w:r>
      <w:r w:rsidR="00CE7B18">
        <w:t>W</w:t>
      </w:r>
      <w:r w:rsidR="00CE7B18" w:rsidRPr="00CE7B18">
        <w:t xml:space="preserve"> przypadku odrzucenia oferty dodatkowej wykonawca </w:t>
      </w:r>
      <w:r w:rsidR="00CE7B18">
        <w:t>pozostaje</w:t>
      </w:r>
      <w:r w:rsidR="00CE7B18" w:rsidRPr="00CE7B18">
        <w:t xml:space="preserve"> związany ofertą złożoną w odpowiedzi na ogłoszenie o zamówieniu</w:t>
      </w:r>
      <w:r w:rsidR="00CE7B18">
        <w:t>.</w:t>
      </w:r>
    </w:p>
    <w:p w14:paraId="454412BF" w14:textId="0E28B485" w:rsidR="00A714EB" w:rsidRDefault="00C07CE4" w:rsidP="00C07CE4">
      <w:pPr>
        <w:pStyle w:val="ZLITUSTzmustliter"/>
        <w:ind w:left="0" w:firstLine="0"/>
      </w:pPr>
      <w:r>
        <w:t xml:space="preserve">Projekt ustawy przewiduje również zmianę art. 274, który dotyczy kwalifikacji podmiotowej wykonawców. Zmiana w art. 274 ust. 1 ma na celu dostosowanie jego brzmienia do brzmienia analogicznej normy dotyczącej zamówień klasycznych o wartości równej lub przekraczającej progi unijne (tj. art. 126 ust. 1). Z kolei dodanie w art. 274 ust. 4 związane jest z wyłączeniem w art. 266 przepisu art. 127 ust. 1 pkt 1, który stanowi </w:t>
      </w:r>
      <w:r w:rsidR="000D74F1">
        <w:t xml:space="preserve">o </w:t>
      </w:r>
      <w:r>
        <w:t>dostępie do podmiotowych środków dowodowych za pomocą bezpłatnych i ogólnodostępnych baz danych. W zamówieniach klasycznych o wartości mniejszej niż progi unijne również powinna być taka możliwoś</w:t>
      </w:r>
      <w:r w:rsidR="007B130C">
        <w:t>ć</w:t>
      </w:r>
      <w:r>
        <w:t xml:space="preserve">, dlatego też wprowadzona została analogiczna </w:t>
      </w:r>
      <w:r w:rsidR="00C53FF3">
        <w:t>regulacja</w:t>
      </w:r>
      <w:r>
        <w:t xml:space="preserve">.  </w:t>
      </w:r>
    </w:p>
    <w:p w14:paraId="6B1842A7" w14:textId="77777777" w:rsidR="00570701" w:rsidRDefault="00570701" w:rsidP="00570701">
      <w:pPr>
        <w:pStyle w:val="ZLITUSTzmustliter"/>
        <w:spacing w:before="120"/>
        <w:ind w:left="0" w:firstLine="0"/>
        <w:rPr>
          <w:rFonts w:ascii="Times New Roman" w:hAnsi="Times New Roman" w:cs="Times New Roman"/>
          <w:bCs w:val="0"/>
          <w:iCs/>
          <w:szCs w:val="24"/>
        </w:rPr>
      </w:pPr>
      <w:r>
        <w:rPr>
          <w:rFonts w:ascii="Times New Roman" w:hAnsi="Times New Roman" w:cs="Times New Roman"/>
          <w:bCs w:val="0"/>
          <w:iCs/>
          <w:szCs w:val="24"/>
        </w:rPr>
        <w:lastRenderedPageBreak/>
        <w:t xml:space="preserve">Ponadto w projekcie przewiduje się rezygnację z rozwiązań proponowanych w nowej ustawie Pzp, dotyczących zamówień bagatelnych, tj. zamówień o wartości mniejszej niż 130 000 zł lecz nie mniejszych niż 50 000 zł. Rozwiązania te są zawarte w art. 2 ust. 2 oraz art. 268, zatem konieczne stało się uchylenie tych przepisów w nowej ustawie. </w:t>
      </w:r>
    </w:p>
    <w:p w14:paraId="5F90144F" w14:textId="184D15DE" w:rsidR="00B63C4F" w:rsidRDefault="00570701" w:rsidP="00570701">
      <w:pPr>
        <w:pStyle w:val="ZLITUSTzmustliter"/>
        <w:spacing w:before="120"/>
        <w:ind w:left="0" w:firstLine="0"/>
        <w:rPr>
          <w:rFonts w:ascii="Times New Roman" w:hAnsi="Times New Roman" w:cs="Times New Roman"/>
          <w:bCs w:val="0"/>
          <w:iCs/>
          <w:szCs w:val="24"/>
        </w:rPr>
      </w:pPr>
      <w:r>
        <w:t xml:space="preserve">Rezygnacja z regulowania w nowej ustawie Pzp zamówień bagatelnych wynika z przychylenia się do postulatów uczestników rynku zamówień publicznych, zwłaszcza zamawiających, którzy wskazywali na zbytnie sformalizowanie udzielania zamówień o najmniejszej wartości. </w:t>
      </w:r>
      <w:r w:rsidR="005D28A4">
        <w:t>Podnosili również kwestię ewentualnych niejasności, które mogą towarzyszyć nowym rozwiązaniom w zakresie zamówień bagatelnych, zwłaszcza mając na uwadze, że nowa ustawa Pzp wprowadza wiele rozwiązań wymagających, po stronie zamawiających, profesjonalizacji procesu zakupowego.</w:t>
      </w:r>
    </w:p>
    <w:p w14:paraId="3567FC42" w14:textId="77777777" w:rsidR="00A714EB" w:rsidRDefault="00A714EB" w:rsidP="00A714EB">
      <w:pPr>
        <w:pStyle w:val="ARTartustawynprozporzdzenia"/>
        <w:ind w:firstLine="0"/>
        <w:rPr>
          <w:rFonts w:ascii="Times New Roman" w:hAnsi="Times New Roman" w:cs="Times New Roman"/>
          <w:bCs/>
          <w:iCs/>
          <w:szCs w:val="24"/>
          <w:u w:val="single"/>
        </w:rPr>
      </w:pPr>
      <w:r w:rsidRPr="00A714EB">
        <w:rPr>
          <w:rFonts w:ascii="Times New Roman" w:hAnsi="Times New Roman" w:cs="Times New Roman"/>
          <w:bCs/>
          <w:iCs/>
          <w:szCs w:val="24"/>
          <w:u w:val="single"/>
        </w:rPr>
        <w:t>Umowa w sprawie zamówienia publicznego</w:t>
      </w:r>
    </w:p>
    <w:p w14:paraId="074809F8" w14:textId="289DF905" w:rsidR="00A714EB" w:rsidRDefault="00A714EB" w:rsidP="00A714EB">
      <w:pPr>
        <w:pStyle w:val="ARTartustawynprozporzdzenia"/>
        <w:ind w:firstLine="0"/>
        <w:rPr>
          <w:rFonts w:ascii="Times New Roman" w:hAnsi="Times New Roman" w:cs="Times New Roman"/>
          <w:szCs w:val="24"/>
        </w:rPr>
      </w:pPr>
      <w:r w:rsidRPr="00A714EB">
        <w:rPr>
          <w:rFonts w:ascii="Times New Roman" w:hAnsi="Times New Roman" w:cs="Times New Roman"/>
          <w:bCs/>
          <w:iCs/>
          <w:szCs w:val="24"/>
        </w:rPr>
        <w:t xml:space="preserve">W odniesieniu do umów w sprawie zamówienia publicznego zaproponowano </w:t>
      </w:r>
      <w:r w:rsidR="001C0C61">
        <w:rPr>
          <w:rFonts w:ascii="Times New Roman" w:hAnsi="Times New Roman" w:cs="Times New Roman"/>
          <w:bCs/>
          <w:iCs/>
          <w:szCs w:val="24"/>
        </w:rPr>
        <w:t>cztery</w:t>
      </w:r>
      <w:r w:rsidR="001C0C61" w:rsidRPr="00A714EB">
        <w:rPr>
          <w:rFonts w:ascii="Times New Roman" w:hAnsi="Times New Roman" w:cs="Times New Roman"/>
          <w:bCs/>
          <w:iCs/>
          <w:szCs w:val="24"/>
        </w:rPr>
        <w:t xml:space="preserve"> </w:t>
      </w:r>
      <w:r w:rsidRPr="00A714EB">
        <w:rPr>
          <w:rFonts w:ascii="Times New Roman" w:hAnsi="Times New Roman" w:cs="Times New Roman"/>
          <w:bCs/>
          <w:iCs/>
          <w:szCs w:val="24"/>
        </w:rPr>
        <w:t xml:space="preserve">zmiany. Pierwsza z nich polega na </w:t>
      </w:r>
      <w:r w:rsidRPr="00A714EB">
        <w:rPr>
          <w:rFonts w:ascii="Times New Roman" w:hAnsi="Times New Roman" w:cs="Times New Roman"/>
          <w:bCs/>
          <w:szCs w:val="24"/>
        </w:rPr>
        <w:t>przywróceniu dotychczasowego brzmienia art. 142 ust. 1 Pzp2004, tak</w:t>
      </w:r>
      <w:r w:rsidR="00A84800">
        <w:rPr>
          <w:rFonts w:ascii="Times New Roman" w:hAnsi="Times New Roman" w:cs="Times New Roman"/>
          <w:bCs/>
          <w:szCs w:val="24"/>
        </w:rPr>
        <w:t>,</w:t>
      </w:r>
      <w:r w:rsidRPr="00A714EB">
        <w:rPr>
          <w:rFonts w:ascii="Times New Roman" w:hAnsi="Times New Roman" w:cs="Times New Roman"/>
          <w:bCs/>
          <w:szCs w:val="24"/>
        </w:rPr>
        <w:t xml:space="preserve"> aby nie ograniczać zawierania umów w sprawie zamówienia publicznego wyłącznie do 4 lat</w:t>
      </w:r>
      <w:r w:rsidR="00A84800">
        <w:rPr>
          <w:rFonts w:ascii="Times New Roman" w:hAnsi="Times New Roman" w:cs="Times New Roman"/>
          <w:bCs/>
          <w:szCs w:val="24"/>
        </w:rPr>
        <w:t xml:space="preserve"> -</w:t>
      </w:r>
      <w:r w:rsidRPr="00A714EB">
        <w:rPr>
          <w:rFonts w:ascii="Times New Roman" w:hAnsi="Times New Roman" w:cs="Times New Roman"/>
          <w:bCs/>
          <w:szCs w:val="24"/>
        </w:rPr>
        <w:t xml:space="preserve"> ma to przede wszystkim znaczenie przy wieloletnich umowach na roboty budowlane (</w:t>
      </w:r>
      <w:r w:rsidRPr="00A714EB">
        <w:rPr>
          <w:rFonts w:ascii="Times New Roman" w:hAnsi="Times New Roman" w:cs="Times New Roman"/>
          <w:bCs/>
          <w:i/>
          <w:szCs w:val="24"/>
        </w:rPr>
        <w:t xml:space="preserve">vide </w:t>
      </w:r>
      <w:r w:rsidRPr="00A714EB">
        <w:rPr>
          <w:rFonts w:ascii="Times New Roman" w:hAnsi="Times New Roman" w:cs="Times New Roman"/>
          <w:bCs/>
          <w:szCs w:val="24"/>
        </w:rPr>
        <w:t xml:space="preserve">projektowany art. 434 ust. 1). </w:t>
      </w:r>
      <w:r w:rsidR="00B91853">
        <w:rPr>
          <w:rFonts w:ascii="Times New Roman" w:hAnsi="Times New Roman" w:cs="Times New Roman"/>
          <w:bCs/>
          <w:szCs w:val="24"/>
        </w:rPr>
        <w:t>Druga</w:t>
      </w:r>
      <w:r w:rsidRPr="00A714EB">
        <w:rPr>
          <w:rFonts w:ascii="Times New Roman" w:hAnsi="Times New Roman" w:cs="Times New Roman"/>
          <w:bCs/>
          <w:szCs w:val="24"/>
        </w:rPr>
        <w:t xml:space="preserve"> propozycja zmiany dotyczy waloryzacji wynagrodzenia, w przypadku gdy </w:t>
      </w:r>
      <w:r w:rsidRPr="00A714EB">
        <w:rPr>
          <w:rFonts w:ascii="Times New Roman" w:hAnsi="Times New Roman" w:cs="Times New Roman"/>
          <w:szCs w:val="24"/>
        </w:rPr>
        <w:t>umowa została zawarta po upływie 180 dni od dnia upływu terminu składania ofert. Zgodnie z projektowanym art. 439 ust. 3, jeżeli umowa została zawarta po upływie 180 dni od dnia upływu terminu składania ofert początkowym terminem ustalenia zmiany wynagrodzenia jest dzień otwarcia ofert</w:t>
      </w:r>
      <w:r w:rsidR="00FB0653">
        <w:rPr>
          <w:rFonts w:ascii="Times New Roman" w:hAnsi="Times New Roman" w:cs="Times New Roman"/>
          <w:szCs w:val="24"/>
        </w:rPr>
        <w:t>, chyba że zamawiający określi termin wcześniejszy. Należy w tym miejscu p</w:t>
      </w:r>
      <w:r w:rsidR="000F0EC8">
        <w:rPr>
          <w:rFonts w:ascii="Times New Roman" w:hAnsi="Times New Roman" w:cs="Times New Roman"/>
          <w:szCs w:val="24"/>
        </w:rPr>
        <w:t xml:space="preserve">odkreślić, że przepis art. 439 ust. 3, zarówno w obecnym jak i projektowanym kształcie, nie reguluje kwestii sposobu dokonywania waloryzacji wynagrodzenia wykonawcy, lecz jedynie sposób ustalania początkowego terminu zmiany wynagrodzenia. Sposób dokonania waloryzacji wynika z art. 439 ust. 2. </w:t>
      </w:r>
      <w:r w:rsidR="00B91853">
        <w:rPr>
          <w:rFonts w:ascii="Times New Roman" w:hAnsi="Times New Roman" w:cs="Times New Roman"/>
          <w:szCs w:val="24"/>
        </w:rPr>
        <w:t xml:space="preserve"> </w:t>
      </w:r>
      <w:r w:rsidR="001C0C61">
        <w:rPr>
          <w:rFonts w:ascii="Times New Roman" w:hAnsi="Times New Roman" w:cs="Times New Roman"/>
          <w:szCs w:val="24"/>
        </w:rPr>
        <w:t xml:space="preserve">Trzecia propozycja zmiany tj. zmiana art. 446 w ust. 1 pkt 3 dookreśla kwestię obowiązku sporządzania raportu z realizacji umowy w przypadku opóźnień. Przepis ten wskazuje, że obowiązek wykonania raportu </w:t>
      </w:r>
      <w:r w:rsidR="001C0C61">
        <w:rPr>
          <w:rFonts w:ascii="Times New Roman" w:hAnsi="Times New Roman" w:cs="Times New Roman"/>
          <w:szCs w:val="24"/>
        </w:rPr>
        <w:lastRenderedPageBreak/>
        <w:t xml:space="preserve">następuje odpowiednio dla opóźnień (i) o </w:t>
      </w:r>
      <w:r w:rsidR="001C0C61" w:rsidRPr="001C0C61">
        <w:rPr>
          <w:rFonts w:ascii="Times New Roman" w:hAnsi="Times New Roman" w:cs="Times New Roman"/>
          <w:szCs w:val="24"/>
        </w:rPr>
        <w:t>co najmniej 90 dni, w przypadku zamówień na roboty budowlane o wartości równej lub przekraczającej wyrażoną w złotych równowartość kwoty dla robót budowlanych - 20 000 000 euro, a dla dostaw lub usług - 10 000 000 euro</w:t>
      </w:r>
      <w:r w:rsidR="001C0C61">
        <w:rPr>
          <w:rFonts w:ascii="Times New Roman" w:hAnsi="Times New Roman" w:cs="Times New Roman"/>
          <w:szCs w:val="24"/>
        </w:rPr>
        <w:t xml:space="preserve"> oraz (ii) o co najmniej 30 dni </w:t>
      </w:r>
      <w:r w:rsidR="001C0C61" w:rsidRPr="001C0C61">
        <w:rPr>
          <w:rFonts w:ascii="Times New Roman" w:hAnsi="Times New Roman" w:cs="Times New Roman"/>
          <w:szCs w:val="24"/>
        </w:rPr>
        <w:t>w przypadku zamówień o wartości mniejszej niż wyrażona w złotych równowartość kwoty dla robót budowlanych - 20 000 000 euro, a dla dostaw lub usług - 10 000 000 euro</w:t>
      </w:r>
      <w:r w:rsidR="001C0C61">
        <w:rPr>
          <w:rFonts w:ascii="Times New Roman" w:hAnsi="Times New Roman" w:cs="Times New Roman"/>
          <w:szCs w:val="24"/>
        </w:rPr>
        <w:t>. Czwarta</w:t>
      </w:r>
      <w:r w:rsidR="00B91853">
        <w:rPr>
          <w:rFonts w:ascii="Times New Roman" w:hAnsi="Times New Roman" w:cs="Times New Roman"/>
          <w:szCs w:val="24"/>
        </w:rPr>
        <w:t xml:space="preserve"> propozycja zmiany polega na doprecyzowaniu przepisu art. 448 stanowiącego o ogłoszeniu o wykonaniu umowy</w:t>
      </w:r>
      <w:r w:rsidR="00515174">
        <w:rPr>
          <w:rFonts w:ascii="Times New Roman" w:hAnsi="Times New Roman" w:cs="Times New Roman"/>
          <w:szCs w:val="24"/>
        </w:rPr>
        <w:t xml:space="preserve">, które jest zamieszczane w Biuletynie Zamówień Publicznych na zasadach określonych </w:t>
      </w:r>
      <w:r w:rsidR="00A84800">
        <w:rPr>
          <w:rFonts w:ascii="Times New Roman" w:hAnsi="Times New Roman" w:cs="Times New Roman"/>
          <w:szCs w:val="24"/>
        </w:rPr>
        <w:t xml:space="preserve">w dziale </w:t>
      </w:r>
      <w:r w:rsidR="00515174" w:rsidRPr="003C476B">
        <w:t>III rozdziale 2</w:t>
      </w:r>
      <w:r w:rsidR="00515174">
        <w:t xml:space="preserve"> ustawy,</w:t>
      </w:r>
      <w:r w:rsidR="00515174">
        <w:rPr>
          <w:rFonts w:ascii="Times New Roman" w:hAnsi="Times New Roman" w:cs="Times New Roman"/>
          <w:szCs w:val="24"/>
        </w:rPr>
        <w:t xml:space="preserve"> również w przypadku zamówień (klasycznych oraz sektorowych) o wartości równej lub przekraczającej progi unijne. </w:t>
      </w:r>
    </w:p>
    <w:p w14:paraId="62BB1972" w14:textId="77777777" w:rsidR="001659C2" w:rsidRDefault="001659C2" w:rsidP="00A714EB">
      <w:pPr>
        <w:pStyle w:val="ARTartustawynprozporzdzenia"/>
        <w:ind w:firstLine="0"/>
        <w:rPr>
          <w:rFonts w:ascii="Times New Roman" w:hAnsi="Times New Roman" w:cs="Times New Roman"/>
          <w:bCs/>
          <w:szCs w:val="24"/>
          <w:u w:val="single"/>
        </w:rPr>
      </w:pPr>
    </w:p>
    <w:p w14:paraId="3ECC1975" w14:textId="77777777" w:rsidR="00FE6187" w:rsidRDefault="00FE6187" w:rsidP="00A714EB">
      <w:pPr>
        <w:pStyle w:val="ARTartustawynprozporzdzenia"/>
        <w:ind w:firstLine="0"/>
        <w:rPr>
          <w:rFonts w:ascii="Times New Roman" w:hAnsi="Times New Roman" w:cs="Times New Roman"/>
          <w:bCs/>
          <w:szCs w:val="24"/>
          <w:u w:val="single"/>
        </w:rPr>
      </w:pPr>
      <w:r w:rsidRPr="00FE6187">
        <w:rPr>
          <w:rFonts w:ascii="Times New Roman" w:hAnsi="Times New Roman" w:cs="Times New Roman"/>
          <w:bCs/>
          <w:szCs w:val="24"/>
          <w:u w:val="single"/>
        </w:rPr>
        <w:t>Krajowa Izba Odwoławcza</w:t>
      </w:r>
    </w:p>
    <w:p w14:paraId="1C7DEFF8" w14:textId="77777777" w:rsidR="00FE6187" w:rsidRPr="00FE6187" w:rsidRDefault="00FE6187" w:rsidP="00A714EB">
      <w:pPr>
        <w:pStyle w:val="ARTartustawynprozporzdzenia"/>
        <w:ind w:firstLine="0"/>
        <w:rPr>
          <w:rFonts w:ascii="Times New Roman" w:hAnsi="Times New Roman" w:cs="Times New Roman"/>
          <w:bCs/>
          <w:szCs w:val="24"/>
        </w:rPr>
      </w:pPr>
      <w:r>
        <w:rPr>
          <w:rFonts w:ascii="Times New Roman" w:hAnsi="Times New Roman" w:cs="Times New Roman"/>
          <w:bCs/>
          <w:szCs w:val="24"/>
        </w:rPr>
        <w:t>Projektowane regulacje w zakresie Krajowej Izby Odwoławczej</w:t>
      </w:r>
      <w:r w:rsidR="005907DB">
        <w:rPr>
          <w:rFonts w:ascii="Times New Roman" w:hAnsi="Times New Roman" w:cs="Times New Roman"/>
          <w:bCs/>
          <w:szCs w:val="24"/>
        </w:rPr>
        <w:t xml:space="preserve"> (dalej: KIO)</w:t>
      </w:r>
      <w:r>
        <w:rPr>
          <w:rFonts w:ascii="Times New Roman" w:hAnsi="Times New Roman" w:cs="Times New Roman"/>
          <w:bCs/>
          <w:szCs w:val="24"/>
        </w:rPr>
        <w:t xml:space="preserve"> to w przeważającej części zmiany o charakterze doprec</w:t>
      </w:r>
      <w:r w:rsidR="001659C2">
        <w:rPr>
          <w:rFonts w:ascii="Times New Roman" w:hAnsi="Times New Roman" w:cs="Times New Roman"/>
          <w:bCs/>
          <w:szCs w:val="24"/>
        </w:rPr>
        <w:t>yzowującym</w:t>
      </w:r>
      <w:r w:rsidR="007829E4">
        <w:rPr>
          <w:rFonts w:ascii="Times New Roman" w:hAnsi="Times New Roman" w:cs="Times New Roman"/>
          <w:bCs/>
          <w:szCs w:val="24"/>
        </w:rPr>
        <w:t xml:space="preserve"> i uzupełniającym</w:t>
      </w:r>
      <w:r w:rsidR="001659C2">
        <w:rPr>
          <w:rFonts w:ascii="Times New Roman" w:hAnsi="Times New Roman" w:cs="Times New Roman"/>
          <w:bCs/>
          <w:szCs w:val="24"/>
        </w:rPr>
        <w:t xml:space="preserve"> brzmienie poszczególnych przepisów. Pozwoli to uniknąć ewentualnych wątpliwości interpretacyjnych, które mogłyby pojawić się na tle stosowania przedmiotowych przepisów. </w:t>
      </w:r>
    </w:p>
    <w:p w14:paraId="266BC241" w14:textId="608C6414" w:rsidR="00FE6187" w:rsidRDefault="005907DB" w:rsidP="00A714EB">
      <w:pPr>
        <w:pStyle w:val="ARTartustawynprozporzdzenia"/>
        <w:ind w:firstLine="0"/>
        <w:rPr>
          <w:rFonts w:ascii="Times New Roman" w:hAnsi="Times New Roman" w:cs="Times New Roman"/>
          <w:bCs/>
          <w:szCs w:val="24"/>
        </w:rPr>
      </w:pPr>
      <w:r>
        <w:rPr>
          <w:rFonts w:ascii="Times New Roman" w:hAnsi="Times New Roman" w:cs="Times New Roman"/>
          <w:bCs/>
          <w:szCs w:val="24"/>
        </w:rPr>
        <w:t xml:space="preserve">Do kluczowych zmian w zakresie KIO należy zaliczyć zmianę art. 476 ust. 2 pkt 1, zgodnie z którą członek KIO nie może </w:t>
      </w:r>
      <w:r w:rsidRPr="005907DB">
        <w:rPr>
          <w:rFonts w:ascii="Times New Roman" w:hAnsi="Times New Roman" w:cs="Times New Roman"/>
          <w:bCs/>
          <w:szCs w:val="24"/>
        </w:rPr>
        <w:t xml:space="preserve">podejmować dodatkowych zajęć zarobkowych, z wyjątkiem zatrudnienia na stanowisku dydaktycznym, badawczym lub </w:t>
      </w:r>
      <w:r>
        <w:rPr>
          <w:rFonts w:ascii="Times New Roman" w:hAnsi="Times New Roman" w:cs="Times New Roman"/>
          <w:bCs/>
          <w:szCs w:val="24"/>
        </w:rPr>
        <w:br/>
      </w:r>
      <w:r w:rsidRPr="005907DB">
        <w:rPr>
          <w:rFonts w:ascii="Times New Roman" w:hAnsi="Times New Roman" w:cs="Times New Roman"/>
          <w:bCs/>
          <w:szCs w:val="24"/>
        </w:rPr>
        <w:t>badawczo-dydaktycznym, w łącznym wymiarze nieprzekraczającym pełnego wymiaru czasu pracy pracowników zatrudnionych na tych stanowiskach</w:t>
      </w:r>
      <w:r>
        <w:rPr>
          <w:rFonts w:ascii="Times New Roman" w:hAnsi="Times New Roman" w:cs="Times New Roman"/>
          <w:bCs/>
          <w:szCs w:val="24"/>
        </w:rPr>
        <w:t xml:space="preserve">. Oznacza to wprowadzenie </w:t>
      </w:r>
      <w:r w:rsidR="00520A84">
        <w:rPr>
          <w:rFonts w:ascii="Times New Roman" w:hAnsi="Times New Roman" w:cs="Times New Roman"/>
          <w:bCs/>
          <w:szCs w:val="24"/>
        </w:rPr>
        <w:t xml:space="preserve">– </w:t>
      </w:r>
      <w:r w:rsidR="00642A78">
        <w:rPr>
          <w:rFonts w:ascii="Times New Roman" w:hAnsi="Times New Roman" w:cs="Times New Roman"/>
          <w:bCs/>
          <w:szCs w:val="24"/>
        </w:rPr>
        <w:t>z</w:t>
      </w:r>
      <w:r w:rsidR="00520A84">
        <w:rPr>
          <w:rFonts w:ascii="Times New Roman" w:hAnsi="Times New Roman" w:cs="Times New Roman"/>
          <w:bCs/>
          <w:szCs w:val="24"/>
        </w:rPr>
        <w:t xml:space="preserve"> wyjątkami wskazanymi w przedmiotowym przepisie – bezwzględnego zakazu podejmowania przez członków KIO dodatkowych zajęć zarobkowych. Na gruncie aktualnego brzmienia art. 476 ust. 2 pkt 1 dopuszczalne jest podejmowanie dodatkowych zajęć zarobkowych za zgodą Prezesa KIO. </w:t>
      </w:r>
    </w:p>
    <w:p w14:paraId="0F080431" w14:textId="5C4872D4" w:rsidR="005907DB" w:rsidRDefault="00520A84" w:rsidP="00A714EB">
      <w:pPr>
        <w:pStyle w:val="ARTartustawynprozporzdzenia"/>
        <w:ind w:firstLine="0"/>
        <w:rPr>
          <w:rFonts w:ascii="Times New Roman" w:hAnsi="Times New Roman" w:cs="Times New Roman"/>
          <w:bCs/>
          <w:szCs w:val="24"/>
        </w:rPr>
      </w:pPr>
      <w:r>
        <w:rPr>
          <w:rFonts w:ascii="Times New Roman" w:hAnsi="Times New Roman" w:cs="Times New Roman"/>
          <w:bCs/>
          <w:szCs w:val="24"/>
        </w:rPr>
        <w:t xml:space="preserve">Kolejną istotną zmianą jest dodanie przesłanki odwołania członka KIO przez ministra właściwego do spraw gospodarki. Proponuje się, aby odwołanie członka KIO było </w:t>
      </w:r>
      <w:r>
        <w:rPr>
          <w:rFonts w:ascii="Times New Roman" w:hAnsi="Times New Roman" w:cs="Times New Roman"/>
          <w:bCs/>
          <w:szCs w:val="24"/>
        </w:rPr>
        <w:lastRenderedPageBreak/>
        <w:t xml:space="preserve">możliwe w sytuacji </w:t>
      </w:r>
      <w:r w:rsidRPr="00520A84">
        <w:rPr>
          <w:rFonts w:ascii="Times New Roman" w:hAnsi="Times New Roman" w:cs="Times New Roman"/>
          <w:bCs/>
          <w:szCs w:val="24"/>
        </w:rPr>
        <w:t xml:space="preserve">trwałej </w:t>
      </w:r>
      <w:bookmarkStart w:id="1" w:name="highlightHit_1"/>
      <w:bookmarkEnd w:id="1"/>
      <w:r w:rsidRPr="00520A84">
        <w:rPr>
          <w:rFonts w:ascii="Times New Roman" w:hAnsi="Times New Roman" w:cs="Times New Roman"/>
          <w:bCs/>
          <w:szCs w:val="24"/>
        </w:rPr>
        <w:t>niezdolności do pełnienia obowiązków członka Izby stwierdzonej przez orzecznika Zakładu Ubezpieczeń Społecznych lub odmowy bez uzasadnionej przyczyny poddania się ocenie zdolności do pełnienia tych obowiązków, mimo zalecenia Prezesa Izby</w:t>
      </w:r>
      <w:r w:rsidR="00305CAF">
        <w:rPr>
          <w:rFonts w:ascii="Times New Roman" w:hAnsi="Times New Roman" w:cs="Times New Roman"/>
          <w:bCs/>
          <w:szCs w:val="24"/>
        </w:rPr>
        <w:t>.</w:t>
      </w:r>
    </w:p>
    <w:p w14:paraId="2662D8F0" w14:textId="2FA2D3EE" w:rsidR="00305CAF" w:rsidRDefault="00305CAF" w:rsidP="000D5A4C">
      <w:pPr>
        <w:pStyle w:val="ARTartustawynprozporzdzenia"/>
        <w:rPr>
          <w:rFonts w:ascii="Times New Roman" w:hAnsi="Times New Roman" w:cs="Times New Roman"/>
          <w:bCs/>
          <w:iCs/>
          <w:szCs w:val="24"/>
        </w:rPr>
      </w:pPr>
      <w:bookmarkStart w:id="2" w:name="_GoBack"/>
      <w:bookmarkEnd w:id="2"/>
      <w:r w:rsidRPr="00B54BB6">
        <w:rPr>
          <w:rFonts w:ascii="Times New Roman" w:hAnsi="Times New Roman" w:cs="Times New Roman"/>
          <w:bCs/>
          <w:iCs/>
          <w:szCs w:val="24"/>
        </w:rPr>
        <w:t xml:space="preserve">Przepisy rozporządzenia </w:t>
      </w:r>
      <w:r w:rsidR="000D5A4C" w:rsidRPr="000D5A4C">
        <w:rPr>
          <w:rFonts w:ascii="Times New Roman" w:hAnsi="Times New Roman" w:cs="Times New Roman"/>
          <w:bCs/>
          <w:iCs/>
          <w:szCs w:val="24"/>
        </w:rPr>
        <w:t>Parlamentu Europejskiego i Rady (UE) 2016/679 z dnia 27 kwietnia 2016 r.</w:t>
      </w:r>
      <w:r w:rsidR="000D5A4C">
        <w:rPr>
          <w:rFonts w:ascii="Times New Roman" w:hAnsi="Times New Roman" w:cs="Times New Roman"/>
          <w:bCs/>
          <w:iCs/>
          <w:szCs w:val="24"/>
        </w:rPr>
        <w:t xml:space="preserve"> </w:t>
      </w:r>
      <w:r w:rsidRPr="00B54BB6">
        <w:rPr>
          <w:rFonts w:ascii="Times New Roman" w:hAnsi="Times New Roman" w:cs="Times New Roman"/>
          <w:bCs/>
          <w:iCs/>
          <w:szCs w:val="24"/>
        </w:rPr>
        <w:t xml:space="preserve">w sprawie ochrony osób fizycznych w związku z przetwarzaniem danych osobowych i w sprawie swobodnego przepływu takich danych oraz uchylenia dyrektywy 95/46/WE </w:t>
      </w:r>
      <w:r w:rsidR="000D5A4C">
        <w:rPr>
          <w:rFonts w:ascii="Times New Roman" w:hAnsi="Times New Roman" w:cs="Times New Roman"/>
          <w:bCs/>
          <w:iCs/>
          <w:szCs w:val="24"/>
        </w:rPr>
        <w:t xml:space="preserve">(Dz. Urz. UE </w:t>
      </w:r>
      <w:r w:rsidR="000D5A4C" w:rsidRPr="000D5A4C">
        <w:rPr>
          <w:rFonts w:ascii="Times New Roman" w:hAnsi="Times New Roman" w:cs="Times New Roman"/>
          <w:bCs/>
          <w:iCs/>
          <w:szCs w:val="24"/>
        </w:rPr>
        <w:t xml:space="preserve">L 119, </w:t>
      </w:r>
      <w:r w:rsidR="000D5A4C">
        <w:rPr>
          <w:rFonts w:ascii="Times New Roman" w:hAnsi="Times New Roman" w:cs="Times New Roman"/>
          <w:bCs/>
          <w:iCs/>
          <w:szCs w:val="24"/>
        </w:rPr>
        <w:t xml:space="preserve">z 04.05.2016, </w:t>
      </w:r>
      <w:r w:rsidR="000D5A4C" w:rsidRPr="000D5A4C">
        <w:rPr>
          <w:rFonts w:ascii="Times New Roman" w:hAnsi="Times New Roman" w:cs="Times New Roman"/>
          <w:bCs/>
          <w:iCs/>
          <w:szCs w:val="24"/>
        </w:rPr>
        <w:t>str. 1</w:t>
      </w:r>
      <w:r w:rsidR="000D5A4C">
        <w:rPr>
          <w:rFonts w:ascii="Times New Roman" w:hAnsi="Times New Roman" w:cs="Times New Roman"/>
          <w:bCs/>
          <w:iCs/>
          <w:szCs w:val="24"/>
        </w:rPr>
        <w:t>, z późn. zm.</w:t>
      </w:r>
      <w:r w:rsidR="000D5A4C" w:rsidRPr="000D5A4C">
        <w:rPr>
          <w:rFonts w:ascii="Times New Roman" w:hAnsi="Times New Roman" w:cs="Times New Roman"/>
          <w:bCs/>
          <w:iCs/>
          <w:szCs w:val="24"/>
        </w:rPr>
        <w:t>)</w:t>
      </w:r>
      <w:r w:rsidR="000D5A4C">
        <w:rPr>
          <w:rFonts w:ascii="Times New Roman" w:hAnsi="Times New Roman" w:cs="Times New Roman"/>
          <w:bCs/>
          <w:iCs/>
          <w:szCs w:val="24"/>
        </w:rPr>
        <w:t xml:space="preserve"> </w:t>
      </w:r>
      <w:r w:rsidRPr="00B54BB6">
        <w:rPr>
          <w:rFonts w:ascii="Times New Roman" w:hAnsi="Times New Roman" w:cs="Times New Roman"/>
          <w:bCs/>
          <w:iCs/>
          <w:szCs w:val="24"/>
        </w:rPr>
        <w:t>dotyczą zadań realizowanych na podstawie art. 477 ustawy z dnia 1</w:t>
      </w:r>
      <w:r w:rsidR="000D5A4C">
        <w:rPr>
          <w:rFonts w:ascii="Times New Roman" w:hAnsi="Times New Roman" w:cs="Times New Roman"/>
          <w:bCs/>
          <w:iCs/>
          <w:szCs w:val="24"/>
        </w:rPr>
        <w:t>1</w:t>
      </w:r>
      <w:r w:rsidRPr="00B54BB6">
        <w:rPr>
          <w:rFonts w:ascii="Times New Roman" w:hAnsi="Times New Roman" w:cs="Times New Roman"/>
          <w:bCs/>
          <w:iCs/>
          <w:szCs w:val="24"/>
        </w:rPr>
        <w:t xml:space="preserve"> września 20</w:t>
      </w:r>
      <w:r w:rsidR="000D5A4C">
        <w:rPr>
          <w:rFonts w:ascii="Times New Roman" w:hAnsi="Times New Roman" w:cs="Times New Roman"/>
          <w:bCs/>
          <w:iCs/>
          <w:szCs w:val="24"/>
        </w:rPr>
        <w:t>19</w:t>
      </w:r>
      <w:r w:rsidRPr="00B54BB6">
        <w:rPr>
          <w:rFonts w:ascii="Times New Roman" w:hAnsi="Times New Roman" w:cs="Times New Roman"/>
          <w:bCs/>
          <w:iCs/>
          <w:szCs w:val="24"/>
        </w:rPr>
        <w:t xml:space="preserve"> r. – Prawo zamówień publicznych, w związku z przeprowadzanym postępowaniem kwalifikacyjnym na członka Krajowej Izby Odwoławczej. Z uwagi na to, że komisja przeprowadzająca postępowanie kwalifikacyjne, powoływana przez ministra właściwego do spraw gospodarki, jaki i samo postępowanie kwalifikacyjne, są obsługiwane przez Urząd Zamówień Publicznych, należało jednoznacznie wskazać, że administratorem danych osobowych kandydata przekazanych w zgłoszeniu na członka Izby oraz dołączonych do niego dokumentach, przetwarzanych w postępowaniu kwalifikacyjnym oraz w związku z wniesieniem odwołania od wyniku tego postępowania, a także danych osobowych członków komisji kwalifikacyjnej, jest Prezes Urzędu Zamówień Publicznych. Natomiast minister właściwy do spraw gospodarki jest administratorem danych osobowych kandydata w związku z wniesieniem przez niego odwołania od wyniku postępowania kwalifikacyjnego, a także danych osobowych członków komisji kwalifikacyjnej, w celu realizacji jego zadań, obowiązków i uprawnień wynikających z ustawy. Jednocześnie z samej ustawy oraz wydanych na jej podstawie aktów wykonawczych wynikać będzie zakres przetwarzanych danych osobowych. </w:t>
      </w:r>
    </w:p>
    <w:p w14:paraId="0351E399" w14:textId="39293F96" w:rsidR="00305CAF" w:rsidRPr="00B54BB6" w:rsidRDefault="00305CAF" w:rsidP="00305CAF">
      <w:pPr>
        <w:pStyle w:val="ARTartustawynprozporzdzenia"/>
        <w:rPr>
          <w:rFonts w:ascii="Times New Roman" w:hAnsi="Times New Roman" w:cs="Times New Roman"/>
          <w:bCs/>
          <w:iCs/>
          <w:szCs w:val="24"/>
        </w:rPr>
      </w:pPr>
      <w:r w:rsidRPr="00B54BB6">
        <w:rPr>
          <w:rFonts w:ascii="Times New Roman" w:hAnsi="Times New Roman" w:cs="Times New Roman"/>
          <w:bCs/>
          <w:iCs/>
          <w:szCs w:val="24"/>
        </w:rPr>
        <w:t xml:space="preserve">Jako okres przechowywania danych osobowych w związku z przeprowadzanym postępowaniem kwalifikacyjnym przyjęto okres 10 lat od końca roku, w którym zakończyło się postępowanie kwalifikacyjne, w którym dane osobowe zostały zgromadzone. Przyjęcie 10-letniego okresu przechowywania danych podyktowane jest potrzebą zastosowania analogicznego okresu przechowywania danych </w:t>
      </w:r>
      <w:r w:rsidRPr="00B54BB6">
        <w:rPr>
          <w:rFonts w:ascii="Times New Roman" w:hAnsi="Times New Roman" w:cs="Times New Roman"/>
          <w:bCs/>
          <w:iCs/>
          <w:szCs w:val="24"/>
        </w:rPr>
        <w:lastRenderedPageBreak/>
        <w:t>osobowych kandydatów na członków KIO do tego przewidzianego w przypadku zawodów prawniczych (m.in. adwokatów, radców prawnych, notariuszy), stosowanego względem kandydatów na aplikantów, czy też osób ubiegających się o wpis na listę celem wykonywania tego zawodu. Podkreślenia bowiem wymaga, że nowej ustawie Pzp, w art. 474 pkt 3, wprowadzono przesłankę w zakresie ubiegania się o funkcję członka KIO, tj. wymaganie dotyczące złożenia egzaminu sędziowskiego, prokuratorskiego, notarialnego, adwokackiego lub radcowskiego lub zajmowania stanowiska sędziego lub prokuratora, wykonywania zawodu notariusza lub posiadania tytułu zawodowego adwokata lub radcy prawnego.</w:t>
      </w:r>
    </w:p>
    <w:p w14:paraId="55C5B140" w14:textId="2F694B13" w:rsidR="00305CAF" w:rsidRPr="00B54BB6" w:rsidRDefault="00305CAF" w:rsidP="00305CAF">
      <w:pPr>
        <w:pStyle w:val="ARTartustawynprozporzdzenia"/>
        <w:rPr>
          <w:rFonts w:ascii="Times New Roman" w:hAnsi="Times New Roman" w:cs="Times New Roman"/>
          <w:bCs/>
          <w:iCs/>
          <w:szCs w:val="24"/>
        </w:rPr>
      </w:pPr>
      <w:r w:rsidRPr="00B54BB6">
        <w:rPr>
          <w:rFonts w:ascii="Times New Roman" w:hAnsi="Times New Roman" w:cs="Times New Roman"/>
          <w:bCs/>
          <w:iCs/>
          <w:szCs w:val="24"/>
        </w:rPr>
        <w:t>Ponadto, zaufanie społeczne, jakim muszą cieszyć się członkowie KIO, z uwagi na quasi</w:t>
      </w:r>
      <w:r w:rsidR="0053674D">
        <w:rPr>
          <w:rFonts w:ascii="Times New Roman" w:hAnsi="Times New Roman" w:cs="Times New Roman"/>
          <w:bCs/>
          <w:iCs/>
          <w:szCs w:val="24"/>
        </w:rPr>
        <w:t>-</w:t>
      </w:r>
      <w:r w:rsidRPr="00B54BB6">
        <w:rPr>
          <w:rFonts w:ascii="Times New Roman" w:hAnsi="Times New Roman" w:cs="Times New Roman"/>
          <w:bCs/>
          <w:iCs/>
          <w:szCs w:val="24"/>
        </w:rPr>
        <w:t>sądowy charakter KIO, jak i status członka KIO, niezawisłego w zakresie orzekania oraz korzystającego z ochrony przysługującej funkcjonariuszowi publicznemu, powodują, że okres przechowywania danych osobowych z przebiegu postępowania kwalifikacyjnego musi zapewniać możliwość sprawdzenia przebiegu tego postępowania, jeśli taka potrzeba zaistniałaby w przyszłości.</w:t>
      </w:r>
    </w:p>
    <w:p w14:paraId="74C74725" w14:textId="10B5B80F" w:rsidR="00305CAF" w:rsidRPr="00305CAF" w:rsidRDefault="00305CAF" w:rsidP="00B54BB6">
      <w:pPr>
        <w:pStyle w:val="ARTartustawynprozporzdzenia"/>
        <w:rPr>
          <w:rFonts w:ascii="Times New Roman" w:hAnsi="Times New Roman" w:cs="Times New Roman"/>
          <w:bCs/>
          <w:iCs/>
          <w:szCs w:val="24"/>
        </w:rPr>
      </w:pPr>
      <w:r w:rsidRPr="00B54BB6">
        <w:rPr>
          <w:rFonts w:ascii="Times New Roman" w:hAnsi="Times New Roman" w:cs="Times New Roman"/>
          <w:bCs/>
          <w:iCs/>
          <w:szCs w:val="24"/>
        </w:rPr>
        <w:t>Ponadto w art. 477 w dodawanym ust. 14 określono sposób wykonania obowiązku informacyjnego, o którym mowa w art. 13 ust. 1 i 2 rozporządzenia 2016/679, wskazując, że następuje to przez umieszczenie informacji określonych w ww. przepisach w Biuletynie Informacji Publicznej na stronie podmiotowej Urzędu Zamówień Publicznych oraz stronie podmiotowej urzędu obsługującego ministra właściwego do spraw gospodarki.</w:t>
      </w:r>
    </w:p>
    <w:p w14:paraId="419597B4" w14:textId="77777777" w:rsidR="007829E4" w:rsidRDefault="007829E4" w:rsidP="00A714EB">
      <w:pPr>
        <w:pStyle w:val="ARTartustawynprozporzdzenia"/>
        <w:ind w:firstLine="0"/>
        <w:rPr>
          <w:rFonts w:ascii="Times New Roman" w:hAnsi="Times New Roman" w:cs="Times New Roman"/>
          <w:bCs/>
          <w:szCs w:val="24"/>
        </w:rPr>
      </w:pPr>
    </w:p>
    <w:p w14:paraId="22E9AE4F" w14:textId="77777777" w:rsidR="007829E4" w:rsidRDefault="007829E4" w:rsidP="007829E4">
      <w:pPr>
        <w:pStyle w:val="ARTartustawynprozporzdzenia"/>
        <w:ind w:firstLine="0"/>
        <w:rPr>
          <w:rFonts w:ascii="Times New Roman" w:hAnsi="Times New Roman" w:cs="Times New Roman"/>
          <w:bCs/>
          <w:szCs w:val="24"/>
          <w:u w:val="single"/>
        </w:rPr>
      </w:pPr>
      <w:r w:rsidRPr="007829E4">
        <w:rPr>
          <w:rFonts w:ascii="Times New Roman" w:hAnsi="Times New Roman" w:cs="Times New Roman"/>
          <w:bCs/>
          <w:szCs w:val="24"/>
          <w:u w:val="single"/>
        </w:rPr>
        <w:t>Środki ochrony prawnej</w:t>
      </w:r>
    </w:p>
    <w:p w14:paraId="583B5216" w14:textId="5BC0E456" w:rsidR="007829E4" w:rsidRDefault="007829E4" w:rsidP="007829E4">
      <w:pPr>
        <w:pStyle w:val="ARTartustawynprozporzdzenia"/>
        <w:ind w:firstLine="0"/>
        <w:rPr>
          <w:rFonts w:ascii="Times New Roman" w:hAnsi="Times New Roman" w:cs="Times New Roman"/>
          <w:bCs/>
          <w:szCs w:val="24"/>
        </w:rPr>
      </w:pPr>
      <w:r w:rsidRPr="007829E4">
        <w:rPr>
          <w:rFonts w:ascii="Times New Roman" w:hAnsi="Times New Roman" w:cs="Times New Roman"/>
          <w:bCs/>
          <w:szCs w:val="24"/>
        </w:rPr>
        <w:t>W projekcie ustaw</w:t>
      </w:r>
      <w:r w:rsidR="000722EF">
        <w:rPr>
          <w:rFonts w:ascii="Times New Roman" w:hAnsi="Times New Roman" w:cs="Times New Roman"/>
          <w:bCs/>
          <w:szCs w:val="24"/>
        </w:rPr>
        <w:t>y</w:t>
      </w:r>
      <w:r w:rsidR="000722EF" w:rsidRPr="000722EF">
        <w:t xml:space="preserve"> </w:t>
      </w:r>
      <w:r w:rsidR="000722EF" w:rsidRPr="000722EF">
        <w:rPr>
          <w:rFonts w:ascii="Times New Roman" w:hAnsi="Times New Roman" w:cs="Times New Roman"/>
          <w:bCs/>
          <w:szCs w:val="24"/>
        </w:rPr>
        <w:t>Pzp</w:t>
      </w:r>
      <w:r w:rsidRPr="007829E4">
        <w:rPr>
          <w:rFonts w:ascii="Times New Roman" w:hAnsi="Times New Roman" w:cs="Times New Roman"/>
          <w:bCs/>
          <w:szCs w:val="24"/>
        </w:rPr>
        <w:t xml:space="preserve"> dokonuje się również zmian w dziale IX ustawy – „Środki ochrony prawnej”. Zmiany mają przede wszystkim charakter porządkujący i uzupełniający materię ustawową, w celu zapewnienia kompleksowości regulacji oraz wyeliminowania ewentualnych wątpliwości interpretacyjnych.</w:t>
      </w:r>
    </w:p>
    <w:p w14:paraId="19BBE0FB" w14:textId="77777777" w:rsidR="007829E4" w:rsidRPr="007829E4" w:rsidRDefault="007829E4" w:rsidP="007829E4">
      <w:pPr>
        <w:pStyle w:val="ARTartustawynprozporzdzenia"/>
        <w:ind w:firstLine="0"/>
        <w:rPr>
          <w:rFonts w:ascii="Times New Roman" w:hAnsi="Times New Roman" w:cs="Times New Roman"/>
          <w:bCs/>
          <w:szCs w:val="24"/>
          <w:u w:val="single"/>
        </w:rPr>
      </w:pPr>
      <w:r w:rsidRPr="007829E4">
        <w:rPr>
          <w:rFonts w:ascii="Times New Roman" w:hAnsi="Times New Roman" w:cs="Times New Roman"/>
          <w:bCs/>
          <w:szCs w:val="24"/>
        </w:rPr>
        <w:t>Jednoznacznego wyrażenia w treści przepisów ustawy Pzp wymagały zwłaszcza kwestie:</w:t>
      </w:r>
    </w:p>
    <w:p w14:paraId="57B2AC76" w14:textId="77777777" w:rsidR="007829E4" w:rsidRPr="007829E4" w:rsidRDefault="007829E4" w:rsidP="007829E4">
      <w:pPr>
        <w:pStyle w:val="ARTartustawynprozporzdzenia"/>
        <w:numPr>
          <w:ilvl w:val="0"/>
          <w:numId w:val="19"/>
        </w:numPr>
        <w:rPr>
          <w:rFonts w:ascii="Times New Roman" w:hAnsi="Times New Roman" w:cs="Times New Roman"/>
          <w:bCs/>
          <w:szCs w:val="24"/>
        </w:rPr>
      </w:pPr>
      <w:r w:rsidRPr="007829E4">
        <w:rPr>
          <w:rFonts w:ascii="Times New Roman" w:hAnsi="Times New Roman" w:cs="Times New Roman"/>
          <w:bCs/>
          <w:szCs w:val="24"/>
        </w:rPr>
        <w:lastRenderedPageBreak/>
        <w:t>niebudzącego wątpliwości wymagania co do składania odpisu, dla strony przeciwnej, pism w postępowaniu odwoławczym oraz pełnomocnictwa wyłącznie w przypadku pism składanych w formie pisemnej; pisma składane w postaci elektronicznej, z natury rzeczy, nie wymagają odpisu (art. 507, art. 511, art. 514, art. 516 i art. 528);</w:t>
      </w:r>
    </w:p>
    <w:p w14:paraId="7C8F1C4E" w14:textId="2E12E81A" w:rsidR="007829E4" w:rsidRPr="007829E4" w:rsidRDefault="007829E4" w:rsidP="007829E4">
      <w:pPr>
        <w:pStyle w:val="ARTartustawynprozporzdzenia"/>
        <w:numPr>
          <w:ilvl w:val="0"/>
          <w:numId w:val="19"/>
        </w:numPr>
        <w:rPr>
          <w:rFonts w:ascii="Times New Roman" w:hAnsi="Times New Roman" w:cs="Times New Roman"/>
          <w:bCs/>
          <w:szCs w:val="24"/>
        </w:rPr>
      </w:pPr>
      <w:r w:rsidRPr="007829E4">
        <w:rPr>
          <w:rFonts w:ascii="Times New Roman" w:hAnsi="Times New Roman" w:cs="Times New Roman"/>
          <w:bCs/>
          <w:szCs w:val="24"/>
        </w:rPr>
        <w:t>objęcia regulacją art. 510 ust. 1 dotycząc</w:t>
      </w:r>
      <w:r w:rsidR="000722EF">
        <w:rPr>
          <w:rFonts w:ascii="Times New Roman" w:hAnsi="Times New Roman" w:cs="Times New Roman"/>
          <w:bCs/>
          <w:szCs w:val="24"/>
        </w:rPr>
        <w:t>ą</w:t>
      </w:r>
      <w:r w:rsidRPr="007829E4">
        <w:rPr>
          <w:rFonts w:ascii="Times New Roman" w:hAnsi="Times New Roman" w:cs="Times New Roman"/>
          <w:bCs/>
          <w:szCs w:val="24"/>
        </w:rPr>
        <w:t xml:space="preserve"> udzielanego pełnomocnictwa w postępowaniu odwoławczym nie tylko strony, ale również uczestnika postępowania, zaś regulacją ust. 2 – niebędących przedsiębiorcami, jednostek nieposiadających osobowości prawnej;</w:t>
      </w:r>
    </w:p>
    <w:p w14:paraId="193DDCB1" w14:textId="77777777" w:rsidR="007829E4" w:rsidRPr="007829E4" w:rsidRDefault="007829E4" w:rsidP="007829E4">
      <w:pPr>
        <w:pStyle w:val="ARTartustawynprozporzdzenia"/>
        <w:numPr>
          <w:ilvl w:val="0"/>
          <w:numId w:val="19"/>
        </w:numPr>
        <w:rPr>
          <w:rFonts w:ascii="Times New Roman" w:hAnsi="Times New Roman" w:cs="Times New Roman"/>
          <w:bCs/>
          <w:szCs w:val="24"/>
        </w:rPr>
      </w:pPr>
      <w:r w:rsidRPr="007829E4">
        <w:rPr>
          <w:rFonts w:ascii="Times New Roman" w:hAnsi="Times New Roman" w:cs="Times New Roman"/>
          <w:bCs/>
          <w:szCs w:val="24"/>
        </w:rPr>
        <w:t>objęcia treścią odwołania wskazania, iż zaniechano przeprowadzenia postępowania o udzielenie zamówienia lub zorganizowania konkursu na podstawie ustawy (art. 516), jeżeli tego dotyczy wnoszone odwołanie;</w:t>
      </w:r>
    </w:p>
    <w:p w14:paraId="75482B9E" w14:textId="77777777" w:rsidR="007829E4" w:rsidRPr="007829E4" w:rsidRDefault="007829E4" w:rsidP="007829E4">
      <w:pPr>
        <w:pStyle w:val="ARTartustawynprozporzdzenia"/>
        <w:numPr>
          <w:ilvl w:val="0"/>
          <w:numId w:val="19"/>
        </w:numPr>
        <w:rPr>
          <w:rFonts w:ascii="Times New Roman" w:hAnsi="Times New Roman" w:cs="Times New Roman"/>
          <w:bCs/>
          <w:szCs w:val="24"/>
        </w:rPr>
      </w:pPr>
      <w:r w:rsidRPr="007829E4">
        <w:rPr>
          <w:rFonts w:ascii="Times New Roman" w:hAnsi="Times New Roman" w:cs="Times New Roman"/>
          <w:bCs/>
          <w:szCs w:val="24"/>
        </w:rPr>
        <w:t>uzupełniania braków formalnych w przypadku niedołączenia pełnomocnictwa, a także obowiązku sporządzenia przez Prezesa Izby uzasadnienia do postanowienia o zwrocie odwołania (art. 518 i art. 519);</w:t>
      </w:r>
    </w:p>
    <w:p w14:paraId="6CBE4AE0" w14:textId="77777777" w:rsidR="007829E4" w:rsidRPr="007829E4" w:rsidRDefault="007829E4" w:rsidP="007829E4">
      <w:pPr>
        <w:pStyle w:val="ARTartustawynprozporzdzenia"/>
        <w:numPr>
          <w:ilvl w:val="0"/>
          <w:numId w:val="19"/>
        </w:numPr>
        <w:rPr>
          <w:rFonts w:ascii="Times New Roman" w:hAnsi="Times New Roman" w:cs="Times New Roman"/>
          <w:bCs/>
          <w:szCs w:val="24"/>
        </w:rPr>
      </w:pPr>
      <w:r w:rsidRPr="007829E4">
        <w:rPr>
          <w:rFonts w:ascii="Times New Roman" w:hAnsi="Times New Roman" w:cs="Times New Roman"/>
          <w:bCs/>
          <w:szCs w:val="24"/>
        </w:rPr>
        <w:t>wyznaczania przez skład orzekający nowego terminu rozprawy w każdym przypadku w uzgodnieniu z Prezesem Izby (art. 550);</w:t>
      </w:r>
    </w:p>
    <w:p w14:paraId="5B4B6497" w14:textId="578E9E26" w:rsidR="007829E4" w:rsidRPr="007829E4" w:rsidRDefault="007829E4" w:rsidP="007829E4">
      <w:pPr>
        <w:pStyle w:val="ARTartustawynprozporzdzenia"/>
        <w:numPr>
          <w:ilvl w:val="0"/>
          <w:numId w:val="19"/>
        </w:numPr>
        <w:rPr>
          <w:rFonts w:ascii="Times New Roman" w:hAnsi="Times New Roman" w:cs="Times New Roman"/>
          <w:bCs/>
          <w:szCs w:val="24"/>
        </w:rPr>
      </w:pPr>
      <w:r w:rsidRPr="007829E4">
        <w:rPr>
          <w:rFonts w:ascii="Times New Roman" w:hAnsi="Times New Roman" w:cs="Times New Roman"/>
          <w:bCs/>
          <w:szCs w:val="24"/>
        </w:rPr>
        <w:t>uprawnienia uczestnika postępowania odwoławczego wnoszącego sprzeciw do zwrotu uzasadnionych kosztów, które poniósł w związku z aktywnym udziałem w tym postępowaniu (art. 574); ponadto uzupełniono upoważnienie ustawowe w kierunku pełniejszego odzwierciedlenia materii przekazanej do uregulowania aktem wykonawczym (art. 576)</w:t>
      </w:r>
      <w:r w:rsidR="000722EF">
        <w:rPr>
          <w:rFonts w:ascii="Times New Roman" w:hAnsi="Times New Roman" w:cs="Times New Roman"/>
          <w:bCs/>
          <w:szCs w:val="24"/>
        </w:rPr>
        <w:t>.</w:t>
      </w:r>
    </w:p>
    <w:p w14:paraId="765EE060" w14:textId="77777777" w:rsidR="007829E4" w:rsidRDefault="007829E4" w:rsidP="007829E4">
      <w:pPr>
        <w:pStyle w:val="ARTartustawynprozporzdzenia"/>
        <w:ind w:firstLine="0"/>
        <w:rPr>
          <w:rFonts w:ascii="Times New Roman" w:hAnsi="Times New Roman" w:cs="Times New Roman"/>
          <w:bCs/>
          <w:szCs w:val="24"/>
        </w:rPr>
      </w:pPr>
      <w:r w:rsidRPr="007829E4">
        <w:rPr>
          <w:rFonts w:ascii="Times New Roman" w:hAnsi="Times New Roman" w:cs="Times New Roman"/>
          <w:bCs/>
          <w:szCs w:val="24"/>
        </w:rPr>
        <w:t xml:space="preserve">Natomiast szerszego uzupełnienia wymagały przepisy dotyczące przeprowadzania dowodów w postępowaniu odwoławczym (art. 538-540). W związku z powyższym, w projektowanym art. 538 przesądzono o możliwości dopuszczenia dowodu nie tylko na rozprawie, ale również na posiedzeniu niejawnym. Powyższe rozwiązanie powinno w znaczącym stopniu usprawnić prowadzenie postępowania odwoławczego, które zgodnie z art. 544 ust. 1 ustawy musi zakończyć się w ciągu 15 dni. W postanowieniu o dopuszczeniu dowodu, w każdym przypadku, należy oznaczyć środek dowodowy i fakty, które mają nim zostać wykazane. Jednocześnie </w:t>
      </w:r>
      <w:r w:rsidRPr="007829E4">
        <w:rPr>
          <w:rFonts w:ascii="Times New Roman" w:hAnsi="Times New Roman" w:cs="Times New Roman"/>
          <w:bCs/>
          <w:szCs w:val="24"/>
        </w:rPr>
        <w:lastRenderedPageBreak/>
        <w:t>w art. 538 w ust. 4, w celu zapewnienia elastyczności prowadzonego postępowania, przewidziano, iż skład orzekający nie jest związany swym postanowieniem dowodowym i może je stosownie do okoliczności uchylić lub zmienić.</w:t>
      </w:r>
    </w:p>
    <w:p w14:paraId="14938643" w14:textId="52657379" w:rsidR="00A22C61" w:rsidRDefault="007829E4" w:rsidP="007829E4">
      <w:pPr>
        <w:pStyle w:val="ARTartustawynprozporzdzenia"/>
        <w:ind w:firstLine="0"/>
        <w:rPr>
          <w:rFonts w:ascii="Times New Roman" w:hAnsi="Times New Roman" w:cs="Times New Roman"/>
          <w:bCs/>
          <w:szCs w:val="24"/>
        </w:rPr>
      </w:pPr>
      <w:r w:rsidRPr="007829E4">
        <w:rPr>
          <w:rFonts w:ascii="Times New Roman" w:hAnsi="Times New Roman" w:cs="Times New Roman"/>
          <w:bCs/>
          <w:szCs w:val="24"/>
        </w:rPr>
        <w:t>W konsekwencji zmianie uległ również art. 539 ustawy, dotyczący przeprowadzania dowodu z opinii biegłego. Celem zmiany art. 539 jest uporządkowanie materii pod względem legislacyjnym i redakcyjnym, z uwagi na zmianę art. 538.</w:t>
      </w:r>
      <w:r w:rsidR="00A22C61">
        <w:rPr>
          <w:rFonts w:ascii="Times New Roman" w:hAnsi="Times New Roman" w:cs="Times New Roman"/>
          <w:bCs/>
          <w:szCs w:val="24"/>
        </w:rPr>
        <w:t xml:space="preserve"> Warto zaznaczyć, że w art. 539 ust. 1, na wzór procedury cywilnej, zrezygnowano z konieczności wskazywania imienia i nazwiska biegłego. </w:t>
      </w:r>
      <w:r w:rsidR="00A22C61" w:rsidRPr="00A22C61">
        <w:rPr>
          <w:rFonts w:ascii="Times New Roman" w:hAnsi="Times New Roman" w:cs="Times New Roman"/>
          <w:bCs/>
          <w:szCs w:val="24"/>
        </w:rPr>
        <w:t>Zgodnie z projektowanym art. 539 ust. 2, biegły</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jest</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powoływany</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z listy biegłych</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sądowych</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lub spoza niej. W projektowanych przepisach założono,</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iż</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w postanowieniu o dopuszczeniu dowodu powołany</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zostanie biegły</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określonej</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specjalności,</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ze wskazaniem przedmiotu opinii i dziedziny, z której biegły</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jest powoływany.</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Natomiast wskazanie imienia i nazwiska powołanego</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biegłego</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nastąpi</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już</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w toku</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wewnętrznych</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czynności</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związanych</w:t>
      </w:r>
      <w:r w:rsidR="00A22C61">
        <w:rPr>
          <w:rFonts w:ascii="Times New Roman" w:hAnsi="Times New Roman" w:cs="Times New Roman"/>
          <w:bCs/>
          <w:szCs w:val="24"/>
        </w:rPr>
        <w:t xml:space="preserve"> </w:t>
      </w:r>
      <w:r w:rsidR="00A22C61" w:rsidRPr="00A22C61">
        <w:rPr>
          <w:rFonts w:ascii="Times New Roman" w:hAnsi="Times New Roman" w:cs="Times New Roman"/>
          <w:bCs/>
          <w:szCs w:val="24"/>
        </w:rPr>
        <w:t>z wykonaniem postanowienia o dopuszczeniu dowodu.</w:t>
      </w:r>
    </w:p>
    <w:p w14:paraId="30D2B5D1" w14:textId="2E52355F" w:rsidR="007829E4" w:rsidRDefault="007829E4" w:rsidP="007829E4">
      <w:pPr>
        <w:pStyle w:val="ARTartustawynprozporzdzenia"/>
        <w:ind w:firstLine="0"/>
        <w:rPr>
          <w:rFonts w:ascii="Times New Roman" w:hAnsi="Times New Roman" w:cs="Times New Roman"/>
          <w:bCs/>
          <w:szCs w:val="24"/>
        </w:rPr>
      </w:pPr>
      <w:r w:rsidRPr="007829E4">
        <w:rPr>
          <w:rFonts w:ascii="Times New Roman" w:hAnsi="Times New Roman" w:cs="Times New Roman"/>
          <w:bCs/>
          <w:szCs w:val="24"/>
        </w:rPr>
        <w:t>Ponadto z racji możliwości przeprowadzania w postępowaniu odwoławczym dowodu z zeznań świadka, konieczne stało się uregulowanie w art. 540 ustawy podstawowych zagadnień związanych z przeprowadzeniem tego dowodu, m.in. w zakresie niezdolności do bycia świadkiem, prawa odmowy zeznań oraz prawa do odmowy udzielenia odpowiedzi na pytania zadawane przez skład orzekający.</w:t>
      </w:r>
    </w:p>
    <w:p w14:paraId="1E95DEFB" w14:textId="77777777" w:rsidR="007829E4" w:rsidRDefault="007829E4" w:rsidP="007829E4">
      <w:pPr>
        <w:pStyle w:val="ARTartustawynprozporzdzenia"/>
        <w:ind w:firstLine="0"/>
        <w:rPr>
          <w:rFonts w:ascii="Times New Roman" w:hAnsi="Times New Roman" w:cs="Times New Roman"/>
          <w:bCs/>
          <w:szCs w:val="24"/>
        </w:rPr>
      </w:pPr>
      <w:r w:rsidRPr="007829E4">
        <w:rPr>
          <w:rFonts w:ascii="Times New Roman" w:hAnsi="Times New Roman" w:cs="Times New Roman"/>
          <w:bCs/>
          <w:szCs w:val="24"/>
        </w:rPr>
        <w:t>Z kolei, w celu zapewnienia kompleksowości regulacji ustawowych dotyczących sporządzania protokołu poprzez utrwalenie przebiegu posiedzenia za pomocą urządzenia rejestrującego dźwięk albo obraz i dźwięk, w art. 570 dodano ust. 3 nakazujący odpowiednie stosowanie przepisów rozporządzenia regulującego od strony technicznej kwestie utrwalania przebiegu posiedzenia za pomocą urządzenia rejestrującego dźwięk albo obraz i dźwięk w postępowaniu cywilnym (art. 158 § 5 K.p.c.). Dodatkowo uspójniono ust. 1 i 2 w art. 571, w zakresie zawartości protokołu sporządzanego pisemnie. Natomiast w art. 572 dodano ust. 5 jednoznacznie przesądzający, iż zapis dźwięku albo obrazu i dźwięku objęty protokołem nie podlega sprostowaniu.</w:t>
      </w:r>
    </w:p>
    <w:p w14:paraId="1D869AB8" w14:textId="20BC8722" w:rsidR="00A22C61" w:rsidRPr="00A22C61" w:rsidRDefault="00951126" w:rsidP="00A714EB">
      <w:pPr>
        <w:pStyle w:val="ARTartustawynprozporzdzenia"/>
        <w:ind w:firstLine="0"/>
        <w:rPr>
          <w:rFonts w:ascii="Times New Roman" w:hAnsi="Times New Roman" w:cs="Times New Roman"/>
          <w:bCs/>
          <w:szCs w:val="24"/>
        </w:rPr>
      </w:pPr>
      <w:r>
        <w:rPr>
          <w:rFonts w:ascii="Times New Roman" w:hAnsi="Times New Roman" w:cs="Times New Roman"/>
          <w:bCs/>
          <w:szCs w:val="24"/>
        </w:rPr>
        <w:lastRenderedPageBreak/>
        <w:t>W ramach zmian porządkujących w</w:t>
      </w:r>
      <w:r w:rsidR="00A22C61">
        <w:rPr>
          <w:rFonts w:ascii="Times New Roman" w:hAnsi="Times New Roman" w:cs="Times New Roman"/>
          <w:bCs/>
          <w:szCs w:val="24"/>
        </w:rPr>
        <w:t>prowadzanych w zakresie kosztów postępowania odwoławczego, uzupełniono równie</w:t>
      </w:r>
      <w:r>
        <w:rPr>
          <w:rFonts w:ascii="Times New Roman" w:hAnsi="Times New Roman" w:cs="Times New Roman"/>
          <w:bCs/>
          <w:szCs w:val="24"/>
        </w:rPr>
        <w:t>ż</w:t>
      </w:r>
      <w:r w:rsidR="00A22C61">
        <w:rPr>
          <w:rFonts w:ascii="Times New Roman" w:hAnsi="Times New Roman" w:cs="Times New Roman"/>
          <w:bCs/>
          <w:szCs w:val="24"/>
        </w:rPr>
        <w:t xml:space="preserve"> regulację zawierającą upoważnienie do wydania rozporządzenia w sprawie kosztów tego postępowania. Zgodnie z art. 573 i art. 574 ustawy Pzp, do czasu zamknięcia rozprawy, strona oraz uczestnik postępowania odwoławczego mogą </w:t>
      </w:r>
      <w:r w:rsidR="002D7757">
        <w:rPr>
          <w:rFonts w:ascii="Times New Roman" w:hAnsi="Times New Roman" w:cs="Times New Roman"/>
          <w:bCs/>
          <w:szCs w:val="24"/>
        </w:rPr>
        <w:t xml:space="preserve">złożyć wniosek o zwrot kosztów postępowania odwoławczego, przy czym do kosztów tych zalicza się wpis </w:t>
      </w:r>
      <w:r w:rsidR="00660C68">
        <w:rPr>
          <w:rFonts w:ascii="Times New Roman" w:hAnsi="Times New Roman" w:cs="Times New Roman"/>
          <w:bCs/>
          <w:szCs w:val="24"/>
        </w:rPr>
        <w:t>oraz</w:t>
      </w:r>
      <w:r w:rsidR="002D7757">
        <w:rPr>
          <w:rFonts w:ascii="Times New Roman" w:hAnsi="Times New Roman" w:cs="Times New Roman"/>
          <w:bCs/>
          <w:szCs w:val="24"/>
        </w:rPr>
        <w:t xml:space="preserve"> uzasadnione koszty stron </w:t>
      </w:r>
      <w:r w:rsidR="00660C68">
        <w:rPr>
          <w:rFonts w:ascii="Times New Roman" w:hAnsi="Times New Roman" w:cs="Times New Roman"/>
          <w:bCs/>
          <w:szCs w:val="24"/>
        </w:rPr>
        <w:t xml:space="preserve">i </w:t>
      </w:r>
      <w:r w:rsidR="002D7757">
        <w:rPr>
          <w:rFonts w:ascii="Times New Roman" w:hAnsi="Times New Roman" w:cs="Times New Roman"/>
          <w:bCs/>
          <w:szCs w:val="24"/>
        </w:rPr>
        <w:t xml:space="preserve">uczestników postępowania odwoławczego. Ustawa nie określa </w:t>
      </w:r>
      <w:r w:rsidR="00660C68">
        <w:rPr>
          <w:rFonts w:ascii="Times New Roman" w:hAnsi="Times New Roman" w:cs="Times New Roman"/>
          <w:bCs/>
          <w:szCs w:val="24"/>
        </w:rPr>
        <w:t xml:space="preserve">szczegółowo, które koszty zalicza do uzasadnionych </w:t>
      </w:r>
      <w:r w:rsidR="002D7757">
        <w:rPr>
          <w:rFonts w:ascii="Times New Roman" w:hAnsi="Times New Roman" w:cs="Times New Roman"/>
          <w:bCs/>
          <w:szCs w:val="24"/>
        </w:rPr>
        <w:t xml:space="preserve">kosztów stron oraz uczestników </w:t>
      </w:r>
      <w:r w:rsidR="00660C68">
        <w:rPr>
          <w:rFonts w:ascii="Times New Roman" w:hAnsi="Times New Roman" w:cs="Times New Roman"/>
          <w:bCs/>
          <w:szCs w:val="24"/>
        </w:rPr>
        <w:t xml:space="preserve">postępowania, lecz w tym zakresie odsyła do uregulowania tych kwestii w rozporządzeniu, co ma na celu nadanie elastyczności regulacji </w:t>
      </w:r>
      <w:r>
        <w:rPr>
          <w:rFonts w:ascii="Times New Roman" w:hAnsi="Times New Roman" w:cs="Times New Roman"/>
          <w:bCs/>
          <w:szCs w:val="24"/>
        </w:rPr>
        <w:t>„kosztowej”</w:t>
      </w:r>
      <w:r w:rsidR="00660C68">
        <w:rPr>
          <w:rFonts w:ascii="Times New Roman" w:hAnsi="Times New Roman" w:cs="Times New Roman"/>
          <w:bCs/>
          <w:szCs w:val="24"/>
        </w:rPr>
        <w:t>. Ustawodawca nakazując określenie szczegółowych kosztów w akcie wykonawczy</w:t>
      </w:r>
      <w:r w:rsidR="0062777F">
        <w:rPr>
          <w:rFonts w:ascii="Times New Roman" w:hAnsi="Times New Roman" w:cs="Times New Roman"/>
          <w:bCs/>
          <w:szCs w:val="24"/>
        </w:rPr>
        <w:t>m</w:t>
      </w:r>
      <w:r w:rsidR="00660C68">
        <w:rPr>
          <w:rFonts w:ascii="Times New Roman" w:hAnsi="Times New Roman" w:cs="Times New Roman"/>
          <w:bCs/>
          <w:szCs w:val="24"/>
        </w:rPr>
        <w:t>, już na gruncie upoważnienia sprecyzował, iż do kosztów tych zalicza również wynagrodzenie oraz wydatki pełnomocnika strony lub uczestnika postępowania, który wniósł sprzeciw – nie pozostawiając w tym zakresie swobody organowi wydającemu rozporządzenie. Ponadto, w przypadku tych kosztów</w:t>
      </w:r>
      <w:r w:rsidR="0062777F">
        <w:rPr>
          <w:rFonts w:ascii="Times New Roman" w:hAnsi="Times New Roman" w:cs="Times New Roman"/>
          <w:bCs/>
          <w:szCs w:val="24"/>
        </w:rPr>
        <w:t>,</w:t>
      </w:r>
      <w:r w:rsidR="00660C68">
        <w:rPr>
          <w:rFonts w:ascii="Times New Roman" w:hAnsi="Times New Roman" w:cs="Times New Roman"/>
          <w:bCs/>
          <w:szCs w:val="24"/>
        </w:rPr>
        <w:t xml:space="preserve"> zobowiązał do określenia ich limitu, odnosząc jego wysokość do wynagrodzenia adwokata lub radcy prawnego przy określonej tam wartości przedmiotu sporu.</w:t>
      </w:r>
      <w:r>
        <w:rPr>
          <w:rFonts w:ascii="Times New Roman" w:hAnsi="Times New Roman" w:cs="Times New Roman"/>
          <w:bCs/>
          <w:szCs w:val="24"/>
        </w:rPr>
        <w:t xml:space="preserve"> </w:t>
      </w:r>
      <w:r w:rsidR="00A22C61" w:rsidRPr="00A22C61">
        <w:rPr>
          <w:rFonts w:ascii="Times New Roman" w:hAnsi="Times New Roman" w:cs="Times New Roman"/>
          <w:bCs/>
          <w:szCs w:val="24"/>
        </w:rPr>
        <w:t>Wskazać</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należy</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przy tym, iż</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limit kosztów ponoszonych na wynagrod</w:t>
      </w:r>
      <w:r>
        <w:rPr>
          <w:rFonts w:ascii="Times New Roman" w:hAnsi="Times New Roman" w:cs="Times New Roman"/>
          <w:bCs/>
          <w:szCs w:val="24"/>
        </w:rPr>
        <w:t>zenia</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oraz wydatki pełnomocnika, jest</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niezależny od</w:t>
      </w:r>
      <w:r>
        <w:rPr>
          <w:rFonts w:ascii="Times New Roman" w:hAnsi="Times New Roman" w:cs="Times New Roman"/>
          <w:bCs/>
          <w:szCs w:val="24"/>
        </w:rPr>
        <w:t xml:space="preserve"> </w:t>
      </w:r>
      <w:r w:rsidR="00A22C61" w:rsidRPr="00A22C61">
        <w:rPr>
          <w:rFonts w:ascii="Times New Roman" w:hAnsi="Times New Roman" w:cs="Times New Roman"/>
          <w:bCs/>
          <w:szCs w:val="24"/>
        </w:rPr>
        <w:t>wartości</w:t>
      </w:r>
      <w:r w:rsidR="00660C68">
        <w:rPr>
          <w:rFonts w:ascii="Times New Roman" w:hAnsi="Times New Roman" w:cs="Times New Roman"/>
          <w:bCs/>
          <w:szCs w:val="24"/>
        </w:rPr>
        <w:t xml:space="preserve"> </w:t>
      </w:r>
      <w:r w:rsidR="00F96F7A">
        <w:rPr>
          <w:rFonts w:ascii="Times New Roman" w:hAnsi="Times New Roman" w:cs="Times New Roman"/>
          <w:bCs/>
          <w:szCs w:val="24"/>
        </w:rPr>
        <w:t>zamówienia, i </w:t>
      </w:r>
      <w:r>
        <w:rPr>
          <w:rFonts w:ascii="Times New Roman" w:hAnsi="Times New Roman" w:cs="Times New Roman"/>
          <w:bCs/>
          <w:szCs w:val="24"/>
        </w:rPr>
        <w:t xml:space="preserve">w obecnym stanie prawnym - </w:t>
      </w:r>
      <w:r w:rsidR="00A22C61" w:rsidRPr="00A22C61">
        <w:rPr>
          <w:rFonts w:ascii="Times New Roman" w:hAnsi="Times New Roman" w:cs="Times New Roman"/>
          <w:bCs/>
          <w:szCs w:val="24"/>
        </w:rPr>
        <w:t>w każdym</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przypadku wynosi 3 600 zł</w:t>
      </w:r>
      <w:r>
        <w:rPr>
          <w:rFonts w:ascii="Times New Roman" w:hAnsi="Times New Roman" w:cs="Times New Roman"/>
          <w:bCs/>
          <w:szCs w:val="24"/>
        </w:rPr>
        <w:t xml:space="preserve">otych, zaś odniesienie go </w:t>
      </w:r>
      <w:r w:rsidR="00A22C61" w:rsidRPr="00A22C61">
        <w:rPr>
          <w:rFonts w:ascii="Times New Roman" w:hAnsi="Times New Roman" w:cs="Times New Roman"/>
          <w:bCs/>
          <w:szCs w:val="24"/>
        </w:rPr>
        <w:t>do wynagrodze</w:t>
      </w:r>
      <w:r>
        <w:rPr>
          <w:rFonts w:ascii="Times New Roman" w:hAnsi="Times New Roman" w:cs="Times New Roman"/>
          <w:bCs/>
          <w:szCs w:val="24"/>
        </w:rPr>
        <w:t>nia adwokata lub radcy prawnego jest</w:t>
      </w:r>
      <w:r w:rsidR="00660C68">
        <w:rPr>
          <w:rFonts w:ascii="Times New Roman" w:hAnsi="Times New Roman" w:cs="Times New Roman"/>
          <w:bCs/>
          <w:szCs w:val="24"/>
        </w:rPr>
        <w:t xml:space="preserve"> </w:t>
      </w:r>
      <w:r w:rsidR="00A22C61" w:rsidRPr="00A22C61">
        <w:rPr>
          <w:rFonts w:ascii="Times New Roman" w:hAnsi="Times New Roman" w:cs="Times New Roman"/>
          <w:bCs/>
          <w:szCs w:val="24"/>
        </w:rPr>
        <w:t>niezależnie</w:t>
      </w:r>
      <w:r>
        <w:rPr>
          <w:rFonts w:ascii="Times New Roman" w:hAnsi="Times New Roman" w:cs="Times New Roman"/>
          <w:bCs/>
          <w:szCs w:val="24"/>
        </w:rPr>
        <w:t xml:space="preserve"> </w:t>
      </w:r>
      <w:r w:rsidR="00A22C61" w:rsidRPr="00A22C61">
        <w:rPr>
          <w:rFonts w:ascii="Times New Roman" w:hAnsi="Times New Roman" w:cs="Times New Roman"/>
          <w:bCs/>
          <w:szCs w:val="24"/>
        </w:rPr>
        <w:t>od tego czy pełnomocnikiem jest adwokat, radca prawny</w:t>
      </w:r>
      <w:r>
        <w:rPr>
          <w:rFonts w:ascii="Times New Roman" w:hAnsi="Times New Roman" w:cs="Times New Roman"/>
          <w:bCs/>
          <w:szCs w:val="24"/>
        </w:rPr>
        <w:t>,</w:t>
      </w:r>
      <w:r w:rsidR="00A22C61" w:rsidRPr="00A22C61">
        <w:rPr>
          <w:rFonts w:ascii="Times New Roman" w:hAnsi="Times New Roman" w:cs="Times New Roman"/>
          <w:bCs/>
          <w:szCs w:val="24"/>
        </w:rPr>
        <w:t xml:space="preserve"> czy też</w:t>
      </w:r>
      <w:r>
        <w:rPr>
          <w:rFonts w:ascii="Times New Roman" w:hAnsi="Times New Roman" w:cs="Times New Roman"/>
          <w:bCs/>
          <w:szCs w:val="24"/>
        </w:rPr>
        <w:t xml:space="preserve"> </w:t>
      </w:r>
      <w:r w:rsidR="00A22C61" w:rsidRPr="00A22C61">
        <w:rPr>
          <w:rFonts w:ascii="Times New Roman" w:hAnsi="Times New Roman" w:cs="Times New Roman"/>
          <w:bCs/>
          <w:szCs w:val="24"/>
        </w:rPr>
        <w:t xml:space="preserve">osoba </w:t>
      </w:r>
      <w:r>
        <w:rPr>
          <w:rFonts w:ascii="Times New Roman" w:hAnsi="Times New Roman" w:cs="Times New Roman"/>
          <w:bCs/>
          <w:szCs w:val="24"/>
        </w:rPr>
        <w:t xml:space="preserve">nie będąca adwokatem bądź radcą prawnym (art. 510 ustawy Pzp). Dodatkowo zauważyć należy, że do kosztów postępowania nie będą zaliczone koszty </w:t>
      </w:r>
      <w:r w:rsidR="00A22C61" w:rsidRPr="00A22C61">
        <w:rPr>
          <w:rFonts w:ascii="Times New Roman" w:hAnsi="Times New Roman" w:cs="Times New Roman"/>
          <w:bCs/>
          <w:szCs w:val="24"/>
        </w:rPr>
        <w:t>tłumaczenia,</w:t>
      </w:r>
      <w:r>
        <w:rPr>
          <w:rFonts w:ascii="Times New Roman" w:hAnsi="Times New Roman" w:cs="Times New Roman"/>
          <w:bCs/>
          <w:szCs w:val="24"/>
        </w:rPr>
        <w:t xml:space="preserve"> </w:t>
      </w:r>
      <w:r w:rsidR="005948A4">
        <w:rPr>
          <w:rFonts w:ascii="Times New Roman" w:hAnsi="Times New Roman" w:cs="Times New Roman"/>
          <w:bCs/>
          <w:szCs w:val="24"/>
        </w:rPr>
        <w:t>o którym mowa w art. </w:t>
      </w:r>
      <w:r>
        <w:rPr>
          <w:rFonts w:ascii="Times New Roman" w:hAnsi="Times New Roman" w:cs="Times New Roman"/>
          <w:bCs/>
          <w:szCs w:val="24"/>
        </w:rPr>
        <w:t>506 ust. 2</w:t>
      </w:r>
      <w:r w:rsidR="00A22C61" w:rsidRPr="00A22C61">
        <w:rPr>
          <w:rFonts w:ascii="Times New Roman" w:hAnsi="Times New Roman" w:cs="Times New Roman"/>
          <w:bCs/>
          <w:szCs w:val="24"/>
        </w:rPr>
        <w:t>.</w:t>
      </w:r>
    </w:p>
    <w:p w14:paraId="40F80AE2" w14:textId="77777777" w:rsidR="00A714EB" w:rsidRDefault="00A714EB" w:rsidP="00A714EB">
      <w:pPr>
        <w:pStyle w:val="ARTartustawynprozporzdzenia"/>
        <w:ind w:firstLine="0"/>
        <w:rPr>
          <w:rFonts w:ascii="Times New Roman" w:hAnsi="Times New Roman" w:cs="Times New Roman"/>
          <w:bCs/>
          <w:szCs w:val="24"/>
          <w:u w:val="single"/>
        </w:rPr>
      </w:pPr>
      <w:r w:rsidRPr="00A714EB">
        <w:rPr>
          <w:rFonts w:ascii="Times New Roman" w:hAnsi="Times New Roman" w:cs="Times New Roman"/>
          <w:bCs/>
          <w:szCs w:val="24"/>
          <w:u w:val="single"/>
        </w:rPr>
        <w:t xml:space="preserve">Kontrola </w:t>
      </w:r>
    </w:p>
    <w:p w14:paraId="01E58AB1" w14:textId="77777777" w:rsidR="00B472D1" w:rsidRDefault="00A714EB" w:rsidP="00A714EB">
      <w:pPr>
        <w:pStyle w:val="ARTartustawynprozporzdzenia"/>
        <w:ind w:firstLine="0"/>
        <w:rPr>
          <w:rFonts w:ascii="Times New Roman" w:hAnsi="Times New Roman" w:cs="Times New Roman"/>
          <w:szCs w:val="24"/>
        </w:rPr>
      </w:pPr>
      <w:r w:rsidRPr="00A714EB">
        <w:rPr>
          <w:rFonts w:ascii="Times New Roman" w:hAnsi="Times New Roman" w:cs="Times New Roman"/>
          <w:bCs/>
          <w:szCs w:val="24"/>
        </w:rPr>
        <w:t xml:space="preserve">Projektowane są też zmiany w przepisach dotyczących kontroli, których celem jest głównie </w:t>
      </w:r>
      <w:r w:rsidRPr="00A714EB">
        <w:rPr>
          <w:rFonts w:ascii="Times New Roman" w:hAnsi="Times New Roman" w:cs="Times New Roman"/>
          <w:szCs w:val="24"/>
        </w:rPr>
        <w:t xml:space="preserve">doprecyzowanie zakresu kontroli, tj. wskazanie, że przepisy dotyczące kontroli prowadzonej przez Prezesa UZP mają nie tylko zastosowanie do postępowania o udzielenie zamówienia oraz do umowy, ale także odpowiednie zastosowanie do kontroli zgodności z przepisami ustawy postępowania o zawarcie </w:t>
      </w:r>
      <w:r w:rsidRPr="00A714EB">
        <w:rPr>
          <w:rFonts w:ascii="Times New Roman" w:hAnsi="Times New Roman" w:cs="Times New Roman"/>
          <w:szCs w:val="24"/>
        </w:rPr>
        <w:lastRenderedPageBreak/>
        <w:t>umowy ramowej, dynamicznego systemu zakup</w:t>
      </w:r>
      <w:r w:rsidR="008F2A50">
        <w:rPr>
          <w:rFonts w:ascii="Times New Roman" w:hAnsi="Times New Roman" w:cs="Times New Roman"/>
          <w:szCs w:val="24"/>
        </w:rPr>
        <w:t>ów</w:t>
      </w:r>
      <w:r w:rsidRPr="00A714EB">
        <w:rPr>
          <w:rFonts w:ascii="Times New Roman" w:hAnsi="Times New Roman" w:cs="Times New Roman"/>
          <w:szCs w:val="24"/>
        </w:rPr>
        <w:t>, systemu kwalifikowania wykonawców lub konkursu oraz do kontroli zawarcia lub zmiany umowy ramowej.</w:t>
      </w:r>
    </w:p>
    <w:p w14:paraId="5E066990" w14:textId="703D5EFA" w:rsidR="00B472D1" w:rsidRDefault="00680E63" w:rsidP="00A714EB">
      <w:pPr>
        <w:pStyle w:val="ARTartustawynprozporzdzenia"/>
        <w:ind w:firstLine="0"/>
        <w:rPr>
          <w:rFonts w:ascii="Times New Roman" w:hAnsi="Times New Roman" w:cs="Times New Roman"/>
          <w:szCs w:val="24"/>
        </w:rPr>
      </w:pPr>
      <w:r>
        <w:rPr>
          <w:rFonts w:ascii="Times New Roman" w:hAnsi="Times New Roman" w:cs="Times New Roman"/>
          <w:szCs w:val="24"/>
        </w:rPr>
        <w:t xml:space="preserve">W celu </w:t>
      </w:r>
      <w:r w:rsidR="00B472D1">
        <w:rPr>
          <w:rFonts w:ascii="Times New Roman" w:hAnsi="Times New Roman" w:cs="Times New Roman"/>
          <w:szCs w:val="24"/>
        </w:rPr>
        <w:t xml:space="preserve">wzmocnienia efektywności jednej z reguł przeprowadzania kontroli udzielania zamówień, polegającej na obowiązku organu kontroli uwzględniania wyników przeprowadzonej wcześniej kontroli innego organu kontroli, proponuje się dodanie </w:t>
      </w:r>
      <w:r w:rsidR="00B472D1">
        <w:rPr>
          <w:rFonts w:ascii="Times New Roman" w:hAnsi="Times New Roman" w:cs="Times New Roman"/>
          <w:szCs w:val="24"/>
        </w:rPr>
        <w:br/>
        <w:t>ust. 4 w art. 597. Zgodnie z projektowaną regulacją z</w:t>
      </w:r>
      <w:r w:rsidR="00B472D1" w:rsidRPr="00B472D1">
        <w:rPr>
          <w:rFonts w:ascii="Times New Roman" w:hAnsi="Times New Roman" w:cs="Times New Roman"/>
          <w:szCs w:val="24"/>
        </w:rPr>
        <w:t>amawiający niezwłocznie po wszczęciu kontroli informuje organ kontroli o przeprowadzonej wcześniej kontroli danego zamówienia przez inny organ kontroli, i udostępnia jej wyniki</w:t>
      </w:r>
      <w:r w:rsidR="00B472D1">
        <w:rPr>
          <w:rFonts w:ascii="Times New Roman" w:hAnsi="Times New Roman" w:cs="Times New Roman"/>
          <w:szCs w:val="24"/>
        </w:rPr>
        <w:t>.</w:t>
      </w:r>
    </w:p>
    <w:p w14:paraId="370C9B2C" w14:textId="77777777" w:rsidR="00A714EB" w:rsidRPr="00A714EB" w:rsidRDefault="00844582" w:rsidP="00A714EB">
      <w:pPr>
        <w:pStyle w:val="ARTartustawynprozporzdzenia"/>
        <w:ind w:firstLine="0"/>
        <w:rPr>
          <w:rFonts w:ascii="Times New Roman" w:hAnsi="Times New Roman" w:cs="Times New Roman"/>
          <w:szCs w:val="24"/>
        </w:rPr>
      </w:pPr>
      <w:r>
        <w:rPr>
          <w:rFonts w:ascii="Times New Roman" w:hAnsi="Times New Roman" w:cs="Times New Roman"/>
          <w:szCs w:val="24"/>
        </w:rPr>
        <w:t xml:space="preserve"> </w:t>
      </w:r>
      <w:r w:rsidR="00A714EB" w:rsidRPr="00A714EB">
        <w:rPr>
          <w:rFonts w:ascii="Times New Roman" w:hAnsi="Times New Roman" w:cs="Times New Roman"/>
          <w:szCs w:val="24"/>
        </w:rPr>
        <w:t xml:space="preserve">Zmiany dotyczące kontroli zostały zaprojektowane w art. 596 ust. </w:t>
      </w:r>
      <w:r w:rsidR="008F2A50">
        <w:rPr>
          <w:rFonts w:ascii="Times New Roman" w:hAnsi="Times New Roman" w:cs="Times New Roman"/>
          <w:szCs w:val="24"/>
        </w:rPr>
        <w:t>2</w:t>
      </w:r>
      <w:r w:rsidR="00E0114B">
        <w:rPr>
          <w:rFonts w:ascii="Times New Roman" w:hAnsi="Times New Roman" w:cs="Times New Roman"/>
          <w:szCs w:val="24"/>
        </w:rPr>
        <w:t xml:space="preserve"> </w:t>
      </w:r>
      <w:r w:rsidR="00A714EB" w:rsidRPr="00A714EB">
        <w:rPr>
          <w:rFonts w:ascii="Times New Roman" w:hAnsi="Times New Roman" w:cs="Times New Roman"/>
          <w:szCs w:val="24"/>
        </w:rPr>
        <w:t>pkt 4, art. 603 ust. 1 i 2, art. 607, art. 608 ust. 1 i 2, art. 609 ust. 1 pkt 1, art. 613 ust. 1 i 2 nowej ustawy Pzp.</w:t>
      </w:r>
    </w:p>
    <w:p w14:paraId="79A9BA00" w14:textId="77777777" w:rsidR="00A714EB" w:rsidRDefault="00A714EB" w:rsidP="00A714EB">
      <w:pPr>
        <w:pStyle w:val="ARTartustawynprozporzdzenia"/>
        <w:ind w:firstLine="0"/>
        <w:rPr>
          <w:rFonts w:ascii="Times New Roman" w:hAnsi="Times New Roman" w:cs="Times New Roman"/>
          <w:szCs w:val="24"/>
        </w:rPr>
      </w:pPr>
    </w:p>
    <w:p w14:paraId="7F519C17" w14:textId="77777777" w:rsidR="00A714EB" w:rsidRDefault="00A714EB" w:rsidP="00A714EB">
      <w:pPr>
        <w:pStyle w:val="ARTartustawynprozporzdzenia"/>
        <w:ind w:firstLine="0"/>
        <w:rPr>
          <w:rFonts w:ascii="Times New Roman" w:hAnsi="Times New Roman" w:cs="Times New Roman"/>
          <w:szCs w:val="24"/>
          <w:u w:val="single"/>
        </w:rPr>
      </w:pPr>
      <w:r w:rsidRPr="00A714EB">
        <w:rPr>
          <w:rFonts w:ascii="Times New Roman" w:hAnsi="Times New Roman" w:cs="Times New Roman"/>
          <w:szCs w:val="24"/>
          <w:u w:val="single"/>
        </w:rPr>
        <w:t>Zmiany dostosowujące</w:t>
      </w:r>
    </w:p>
    <w:p w14:paraId="7AEE3536" w14:textId="77777777" w:rsidR="00A23648" w:rsidRDefault="00A714EB" w:rsidP="00A714EB">
      <w:pPr>
        <w:pStyle w:val="ARTartustawynprozporzdzenia"/>
        <w:ind w:firstLine="0"/>
        <w:rPr>
          <w:rFonts w:ascii="Times New Roman" w:hAnsi="Times New Roman" w:cs="Times New Roman"/>
          <w:szCs w:val="24"/>
        </w:rPr>
      </w:pPr>
      <w:r w:rsidRPr="00A714EB">
        <w:rPr>
          <w:rFonts w:ascii="Times New Roman" w:hAnsi="Times New Roman" w:cs="Times New Roman"/>
          <w:szCs w:val="24"/>
        </w:rPr>
        <w:t>Kolejne zaproponowane zmiany w nowej ustawie Pzp polegają na doprecyzowaniu przepisów, tak aby ich brzmienie wiernie i w pełni wdrażało przepisy dyrektyw w sprawie zamówień publicznych. Dotyczy to propozycji zmian w art. 24, art. 25 ust. 1 pkt 1, art. 26 ust. 1, art. 35 ust. 1, art. 89 ust. 3 oraz art. 366 ust. 1 pkt 1 i 2.</w:t>
      </w:r>
      <w:r w:rsidR="00666748">
        <w:rPr>
          <w:rFonts w:ascii="Times New Roman" w:hAnsi="Times New Roman" w:cs="Times New Roman"/>
          <w:szCs w:val="24"/>
        </w:rPr>
        <w:t xml:space="preserve"> </w:t>
      </w:r>
    </w:p>
    <w:p w14:paraId="1F7C5B38" w14:textId="77777777" w:rsidR="00A714EB" w:rsidRPr="00A714EB" w:rsidRDefault="00666748" w:rsidP="00A714EB">
      <w:pPr>
        <w:pStyle w:val="ARTartustawynprozporzdzenia"/>
        <w:ind w:firstLine="0"/>
        <w:rPr>
          <w:rFonts w:ascii="Times New Roman" w:hAnsi="Times New Roman" w:cs="Times New Roman"/>
          <w:szCs w:val="24"/>
        </w:rPr>
      </w:pPr>
      <w:r>
        <w:rPr>
          <w:rFonts w:ascii="Times New Roman" w:hAnsi="Times New Roman" w:cs="Times New Roman"/>
          <w:szCs w:val="24"/>
        </w:rPr>
        <w:t>Przez użyte w art. 35 ust. 1 pojęcie „</w:t>
      </w:r>
      <w:r w:rsidRPr="00A554EA">
        <w:t>zamówień tego samego rodzaju</w:t>
      </w:r>
      <w:r>
        <w:t>” należy rozumieć usługi i dostawy, które mogą być dostarczone przez tego samego wykonawcę, choć mają nieco odmienne przeznaczenie (np. materiały biurowe) lub gdy są przeznaczone do identycznego lub podobnego użytku.</w:t>
      </w:r>
    </w:p>
    <w:p w14:paraId="00C43DE7" w14:textId="4FDC8C04" w:rsidR="00A714EB" w:rsidRPr="00A714EB" w:rsidRDefault="00A23648" w:rsidP="00A714EB">
      <w:pPr>
        <w:pStyle w:val="ARTartustawynprozporzdzenia"/>
        <w:ind w:firstLine="0"/>
        <w:rPr>
          <w:rFonts w:ascii="Times New Roman" w:hAnsi="Times New Roman" w:cs="Times New Roman"/>
          <w:szCs w:val="24"/>
        </w:rPr>
      </w:pPr>
      <w:r>
        <w:rPr>
          <w:rFonts w:ascii="Times New Roman" w:hAnsi="Times New Roman" w:cs="Times New Roman"/>
          <w:szCs w:val="24"/>
        </w:rPr>
        <w:t>W nowej ustawie Pzp z</w:t>
      </w:r>
      <w:r w:rsidR="00A714EB" w:rsidRPr="00A714EB">
        <w:rPr>
          <w:rFonts w:ascii="Times New Roman" w:hAnsi="Times New Roman" w:cs="Times New Roman"/>
          <w:szCs w:val="24"/>
        </w:rPr>
        <w:t>aproponowane zostały także zmiany polegające na poprawieniu wewnętrznych odesłań lub doprecyzowaniu regulacji, dotyczy to przepisów normujących:</w:t>
      </w:r>
    </w:p>
    <w:p w14:paraId="03877022" w14:textId="5AF445C6" w:rsidR="00E42700" w:rsidRDefault="00E42700" w:rsidP="00A714EB">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komunikacj</w:t>
      </w:r>
      <w:r w:rsidR="00A23648">
        <w:rPr>
          <w:rFonts w:ascii="Times New Roman" w:hAnsi="Times New Roman" w:cs="Times New Roman"/>
          <w:bCs/>
          <w:szCs w:val="24"/>
        </w:rPr>
        <w:t>ę</w:t>
      </w:r>
      <w:r>
        <w:rPr>
          <w:rFonts w:ascii="Times New Roman" w:hAnsi="Times New Roman" w:cs="Times New Roman"/>
          <w:bCs/>
          <w:szCs w:val="24"/>
        </w:rPr>
        <w:t xml:space="preserve"> zamawiającego z wykonawcami w</w:t>
      </w:r>
      <w:r>
        <w:t xml:space="preserve"> przypadku odstąpienia przez zamawiającego od wymagania użycia środków komunikacji elektronicznej, z uwagi na wystąpienie jednej z okoliczności, o której mowa w art. 65 ust. 1 ustawy Pzp</w:t>
      </w:r>
      <w:r w:rsidR="00ED1F6C">
        <w:t>, tj. art. 65 ust. 2 i 3, art. 70 pkt 2,</w:t>
      </w:r>
    </w:p>
    <w:p w14:paraId="7DE57814" w14:textId="36910E0F" w:rsidR="005C3509" w:rsidRDefault="005C3509" w:rsidP="00A714EB">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lastRenderedPageBreak/>
        <w:t xml:space="preserve">wyjaśnienia treści SWZ oraz opisu potrzeb i wymagań, tj. </w:t>
      </w:r>
      <w:r w:rsidR="00AD64F9">
        <w:rPr>
          <w:rFonts w:ascii="Times New Roman" w:hAnsi="Times New Roman" w:cs="Times New Roman"/>
          <w:bCs/>
          <w:szCs w:val="24"/>
        </w:rPr>
        <w:t xml:space="preserve">art. </w:t>
      </w:r>
      <w:r>
        <w:rPr>
          <w:rFonts w:ascii="Times New Roman" w:hAnsi="Times New Roman" w:cs="Times New Roman"/>
          <w:bCs/>
          <w:szCs w:val="24"/>
        </w:rPr>
        <w:t>143 ust. 1 i 3, art. 150 ust. 2, art. 157 ust. 1 i 2, art. 167 ust. 4, art. 175, art. 185 ust. 3</w:t>
      </w:r>
      <w:r w:rsidR="00FA1A53">
        <w:rPr>
          <w:rFonts w:ascii="Times New Roman" w:hAnsi="Times New Roman" w:cs="Times New Roman"/>
          <w:bCs/>
          <w:szCs w:val="24"/>
        </w:rPr>
        <w:t>,</w:t>
      </w:r>
      <w:r>
        <w:rPr>
          <w:rFonts w:ascii="Times New Roman" w:hAnsi="Times New Roman" w:cs="Times New Roman"/>
          <w:bCs/>
          <w:szCs w:val="24"/>
        </w:rPr>
        <w:t xml:space="preserve"> </w:t>
      </w:r>
      <w:r w:rsidR="00AD64F9">
        <w:rPr>
          <w:rFonts w:ascii="Times New Roman" w:hAnsi="Times New Roman" w:cs="Times New Roman"/>
          <w:bCs/>
          <w:szCs w:val="24"/>
        </w:rPr>
        <w:t xml:space="preserve">art. </w:t>
      </w:r>
      <w:r>
        <w:rPr>
          <w:rFonts w:ascii="Times New Roman" w:hAnsi="Times New Roman" w:cs="Times New Roman"/>
          <w:bCs/>
          <w:szCs w:val="24"/>
        </w:rPr>
        <w:t>192 ust. 4</w:t>
      </w:r>
      <w:r w:rsidR="00FA1A53">
        <w:rPr>
          <w:rFonts w:ascii="Times New Roman" w:hAnsi="Times New Roman" w:cs="Times New Roman"/>
          <w:bCs/>
          <w:szCs w:val="24"/>
        </w:rPr>
        <w:t xml:space="preserve"> i art. 203 ust. 4,</w:t>
      </w:r>
    </w:p>
    <w:p w14:paraId="673C97A6" w14:textId="0937A5A6" w:rsidR="005C3509" w:rsidRDefault="005C3509" w:rsidP="00A714EB">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udostępnianie części dokumentów zamówienia, któ</w:t>
      </w:r>
      <w:r w:rsidR="00FA1A53">
        <w:rPr>
          <w:rFonts w:ascii="Times New Roman" w:hAnsi="Times New Roman" w:cs="Times New Roman"/>
          <w:bCs/>
          <w:szCs w:val="24"/>
        </w:rPr>
        <w:t>ra nie została udostępniona na stronie internetowej prowadzonego postępowania, tj. art. 161 ust. 2, art. 168 ust. 3, art. 179 ust. 2, art. 185 ust. 3, art. 195 ust. 4, art. 203 ust. 3 i art. 295 ust. 2,</w:t>
      </w:r>
    </w:p>
    <w:p w14:paraId="1A92A9FA" w14:textId="75D51E80" w:rsidR="00FF4A71" w:rsidRPr="00FF4A71" w:rsidRDefault="00A714EB" w:rsidP="00FF4A71">
      <w:pPr>
        <w:pStyle w:val="ARTartustawynprozporzdzenia"/>
        <w:numPr>
          <w:ilvl w:val="0"/>
          <w:numId w:val="18"/>
        </w:numPr>
        <w:rPr>
          <w:rFonts w:ascii="Times New Roman" w:hAnsi="Times New Roman" w:cs="Times New Roman"/>
          <w:bCs/>
          <w:szCs w:val="24"/>
        </w:rPr>
      </w:pPr>
      <w:r w:rsidRPr="00FF4A71">
        <w:rPr>
          <w:rFonts w:ascii="Times New Roman" w:hAnsi="Times New Roman" w:cs="Times New Roman"/>
          <w:bCs/>
          <w:szCs w:val="24"/>
        </w:rPr>
        <w:t>tryb zamówienia z wolnej ręki, tj.</w:t>
      </w:r>
      <w:r w:rsidRPr="00FF4A71">
        <w:rPr>
          <w:rFonts w:ascii="Times New Roman" w:hAnsi="Times New Roman" w:cs="Times New Roman"/>
          <w:szCs w:val="24"/>
        </w:rPr>
        <w:t xml:space="preserve"> </w:t>
      </w:r>
      <w:r w:rsidR="0031645A">
        <w:rPr>
          <w:rFonts w:ascii="Times New Roman" w:hAnsi="Times New Roman" w:cs="Times New Roman"/>
          <w:szCs w:val="24"/>
        </w:rPr>
        <w:t>art. 214 ust</w:t>
      </w:r>
      <w:r w:rsidR="00AD64F9">
        <w:rPr>
          <w:rFonts w:ascii="Times New Roman" w:hAnsi="Times New Roman" w:cs="Times New Roman"/>
          <w:szCs w:val="24"/>
        </w:rPr>
        <w:t>.</w:t>
      </w:r>
      <w:r w:rsidR="0031645A">
        <w:rPr>
          <w:rFonts w:ascii="Times New Roman" w:hAnsi="Times New Roman" w:cs="Times New Roman"/>
          <w:szCs w:val="24"/>
        </w:rPr>
        <w:t xml:space="preserve"> 3, </w:t>
      </w:r>
      <w:r w:rsidRPr="00FF4A71">
        <w:rPr>
          <w:rFonts w:ascii="Times New Roman" w:hAnsi="Times New Roman" w:cs="Times New Roman"/>
          <w:szCs w:val="24"/>
        </w:rPr>
        <w:t>art. 217 ust. 2 oraz art. 305 pkt 2,</w:t>
      </w:r>
      <w:r w:rsidR="00FF4A71" w:rsidRPr="00FF4A71">
        <w:rPr>
          <w:rFonts w:ascii="Times New Roman" w:hAnsi="Times New Roman" w:cs="Times New Roman"/>
          <w:szCs w:val="24"/>
        </w:rPr>
        <w:t xml:space="preserve"> </w:t>
      </w:r>
    </w:p>
    <w:p w14:paraId="078F9A2A" w14:textId="77777777" w:rsidR="00FF4A71" w:rsidRPr="00E8623F" w:rsidRDefault="00FF4A71" w:rsidP="00E8623F">
      <w:pPr>
        <w:pStyle w:val="ARTartustawynprozporzdzenia"/>
        <w:numPr>
          <w:ilvl w:val="0"/>
          <w:numId w:val="18"/>
        </w:numPr>
        <w:rPr>
          <w:rFonts w:ascii="Times New Roman" w:hAnsi="Times New Roman" w:cs="Times New Roman"/>
          <w:bCs/>
          <w:szCs w:val="24"/>
        </w:rPr>
      </w:pPr>
      <w:r w:rsidRPr="00E8623F">
        <w:rPr>
          <w:rFonts w:ascii="Times New Roman" w:hAnsi="Times New Roman" w:cs="Times New Roman"/>
          <w:szCs w:val="24"/>
        </w:rPr>
        <w:t>ogł</w:t>
      </w:r>
      <w:r w:rsidR="00E8623F" w:rsidRPr="00E8623F">
        <w:rPr>
          <w:rFonts w:ascii="Times New Roman" w:hAnsi="Times New Roman" w:cs="Times New Roman"/>
          <w:szCs w:val="24"/>
        </w:rPr>
        <w:t>oszenie</w:t>
      </w:r>
      <w:r w:rsidRPr="00E8623F">
        <w:rPr>
          <w:rFonts w:ascii="Times New Roman" w:hAnsi="Times New Roman" w:cs="Times New Roman"/>
          <w:szCs w:val="24"/>
        </w:rPr>
        <w:t xml:space="preserve"> o spełnianiu okoliczności</w:t>
      </w:r>
      <w:r w:rsidR="00E8623F" w:rsidRPr="00E8623F">
        <w:rPr>
          <w:rFonts w:ascii="Times New Roman" w:hAnsi="Times New Roman" w:cs="Times New Roman"/>
          <w:szCs w:val="24"/>
        </w:rPr>
        <w:t xml:space="preserve"> (</w:t>
      </w:r>
      <w:r w:rsidR="00E8623F" w:rsidRPr="00E8623F">
        <w:rPr>
          <w:rFonts w:ascii="Times New Roman" w:hAnsi="Times New Roman" w:cs="Times New Roman"/>
          <w:i/>
          <w:szCs w:val="24"/>
        </w:rPr>
        <w:t xml:space="preserve">vide: </w:t>
      </w:r>
      <w:r w:rsidR="00E8623F" w:rsidRPr="00E8623F">
        <w:rPr>
          <w:rFonts w:ascii="Times New Roman" w:hAnsi="Times New Roman" w:cs="Times New Roman"/>
          <w:szCs w:val="24"/>
        </w:rPr>
        <w:t xml:space="preserve">art. 214 ust. 1 pkt 11-14 i ust. 4 nowej ustawy </w:t>
      </w:r>
      <w:r w:rsidR="00E8623F" w:rsidRPr="006153A0">
        <w:rPr>
          <w:rFonts w:ascii="Times New Roman" w:hAnsi="Times New Roman" w:cs="Times New Roman"/>
          <w:szCs w:val="24"/>
        </w:rPr>
        <w:t>Pzp) – projektowana zmiana w art. 267 ust. 2 pkt 9 ma charakter porządkujący i polega wyłącznie na uzupełnieniu katalogu ogłoszeń</w:t>
      </w:r>
      <w:r w:rsidR="00E8623F">
        <w:rPr>
          <w:rFonts w:ascii="Times New Roman" w:hAnsi="Times New Roman" w:cs="Times New Roman"/>
          <w:szCs w:val="24"/>
        </w:rPr>
        <w:t xml:space="preserve"> </w:t>
      </w:r>
      <w:r w:rsidR="00E8623F" w:rsidRPr="00E8623F">
        <w:rPr>
          <w:rFonts w:ascii="Times New Roman" w:hAnsi="Times New Roman" w:cs="Times New Roman"/>
          <w:szCs w:val="24"/>
        </w:rPr>
        <w:t>zamieszczanych w B</w:t>
      </w:r>
      <w:r w:rsidR="00E8623F">
        <w:rPr>
          <w:rFonts w:ascii="Times New Roman" w:hAnsi="Times New Roman" w:cs="Times New Roman"/>
          <w:szCs w:val="24"/>
        </w:rPr>
        <w:t xml:space="preserve">iuletynie </w:t>
      </w:r>
      <w:r w:rsidR="00E8623F" w:rsidRPr="00E8623F">
        <w:rPr>
          <w:rFonts w:ascii="Times New Roman" w:hAnsi="Times New Roman" w:cs="Times New Roman"/>
          <w:szCs w:val="24"/>
        </w:rPr>
        <w:t>Z</w:t>
      </w:r>
      <w:r w:rsidR="00E8623F">
        <w:rPr>
          <w:rFonts w:ascii="Times New Roman" w:hAnsi="Times New Roman" w:cs="Times New Roman"/>
          <w:szCs w:val="24"/>
        </w:rPr>
        <w:t xml:space="preserve">amówień </w:t>
      </w:r>
      <w:r w:rsidR="00E8623F" w:rsidRPr="00E8623F">
        <w:rPr>
          <w:rFonts w:ascii="Times New Roman" w:hAnsi="Times New Roman" w:cs="Times New Roman"/>
          <w:szCs w:val="24"/>
        </w:rPr>
        <w:t>P</w:t>
      </w:r>
      <w:r w:rsidR="00E8623F">
        <w:rPr>
          <w:rFonts w:ascii="Times New Roman" w:hAnsi="Times New Roman" w:cs="Times New Roman"/>
          <w:szCs w:val="24"/>
        </w:rPr>
        <w:t>ublicznych,</w:t>
      </w:r>
    </w:p>
    <w:p w14:paraId="2B19F588" w14:textId="77151726" w:rsidR="00FA1A53" w:rsidRDefault="00FA1A53" w:rsidP="00FA1A53">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spos</w:t>
      </w:r>
      <w:r w:rsidR="00DA4199">
        <w:rPr>
          <w:rFonts w:ascii="Times New Roman" w:hAnsi="Times New Roman" w:cs="Times New Roman"/>
          <w:bCs/>
          <w:szCs w:val="24"/>
        </w:rPr>
        <w:t>ób</w:t>
      </w:r>
      <w:r>
        <w:rPr>
          <w:rFonts w:ascii="Times New Roman" w:hAnsi="Times New Roman" w:cs="Times New Roman"/>
          <w:bCs/>
          <w:szCs w:val="24"/>
        </w:rPr>
        <w:t xml:space="preserve"> liczenia terminu związania ofertą, tj. art. 220 ust. 1</w:t>
      </w:r>
      <w:r w:rsidR="008A1E57">
        <w:rPr>
          <w:rFonts w:ascii="Times New Roman" w:hAnsi="Times New Roman" w:cs="Times New Roman"/>
          <w:bCs/>
          <w:szCs w:val="24"/>
        </w:rPr>
        <w:t xml:space="preserve"> i art. 307 ust. 1 </w:t>
      </w:r>
      <w:r w:rsidR="0025402F">
        <w:t xml:space="preserve"> (pozostawiono </w:t>
      </w:r>
      <w:r w:rsidR="0025402F" w:rsidRPr="0025402F">
        <w:rPr>
          <w:rFonts w:ascii="Times New Roman" w:hAnsi="Times New Roman" w:cs="Times New Roman"/>
          <w:bCs/>
          <w:szCs w:val="24"/>
        </w:rPr>
        <w:t>dotychczasow</w:t>
      </w:r>
      <w:r w:rsidR="0025402F">
        <w:rPr>
          <w:rFonts w:ascii="Times New Roman" w:hAnsi="Times New Roman" w:cs="Times New Roman"/>
          <w:bCs/>
          <w:szCs w:val="24"/>
        </w:rPr>
        <w:t>y</w:t>
      </w:r>
      <w:r w:rsidR="0025402F" w:rsidRPr="0025402F">
        <w:rPr>
          <w:rFonts w:ascii="Times New Roman" w:hAnsi="Times New Roman" w:cs="Times New Roman"/>
          <w:bCs/>
          <w:szCs w:val="24"/>
        </w:rPr>
        <w:t xml:space="preserve"> spos</w:t>
      </w:r>
      <w:r w:rsidR="0025402F">
        <w:rPr>
          <w:rFonts w:ascii="Times New Roman" w:hAnsi="Times New Roman" w:cs="Times New Roman"/>
          <w:bCs/>
          <w:szCs w:val="24"/>
        </w:rPr>
        <w:t>ób</w:t>
      </w:r>
      <w:r w:rsidR="0025402F" w:rsidRPr="0025402F">
        <w:rPr>
          <w:rFonts w:ascii="Times New Roman" w:hAnsi="Times New Roman" w:cs="Times New Roman"/>
          <w:bCs/>
          <w:szCs w:val="24"/>
        </w:rPr>
        <w:t xml:space="preserve"> obliczania terminu związania ofert</w:t>
      </w:r>
      <w:r w:rsidR="00993A17">
        <w:rPr>
          <w:rFonts w:ascii="Times New Roman" w:hAnsi="Times New Roman" w:cs="Times New Roman"/>
          <w:bCs/>
          <w:szCs w:val="24"/>
        </w:rPr>
        <w:t>ą</w:t>
      </w:r>
      <w:r w:rsidR="0025402F" w:rsidRPr="0025402F">
        <w:rPr>
          <w:rFonts w:ascii="Times New Roman" w:hAnsi="Times New Roman" w:cs="Times New Roman"/>
          <w:bCs/>
          <w:szCs w:val="24"/>
        </w:rPr>
        <w:t>, w którym dzień składania oferty wlicza się do terminu związania ofertą</w:t>
      </w:r>
      <w:r w:rsidR="0025402F">
        <w:rPr>
          <w:rFonts w:ascii="Times New Roman" w:hAnsi="Times New Roman" w:cs="Times New Roman"/>
          <w:bCs/>
          <w:szCs w:val="24"/>
        </w:rPr>
        <w:t xml:space="preserve"> jako jego pierwszy dzień),</w:t>
      </w:r>
    </w:p>
    <w:p w14:paraId="1DED25B2" w14:textId="74C76307" w:rsidR="00FA1A53" w:rsidRDefault="00FA1A53" w:rsidP="00FA1A53">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 xml:space="preserve">badania oferty pod kątem rażąco niskiej ceny, tj. art. 224 ust. </w:t>
      </w:r>
      <w:r w:rsidR="00DA4199">
        <w:rPr>
          <w:rFonts w:ascii="Times New Roman" w:hAnsi="Times New Roman" w:cs="Times New Roman"/>
          <w:bCs/>
          <w:szCs w:val="24"/>
        </w:rPr>
        <w:t xml:space="preserve">2, </w:t>
      </w:r>
      <w:r>
        <w:rPr>
          <w:rFonts w:ascii="Times New Roman" w:hAnsi="Times New Roman" w:cs="Times New Roman"/>
          <w:bCs/>
          <w:szCs w:val="24"/>
        </w:rPr>
        <w:t>3 i 6,</w:t>
      </w:r>
    </w:p>
    <w:p w14:paraId="2DCBD57D" w14:textId="77777777" w:rsidR="00A714EB" w:rsidRPr="00A714EB" w:rsidRDefault="00A714EB" w:rsidP="00A714EB">
      <w:pPr>
        <w:pStyle w:val="ARTartustawynprozporzdzenia"/>
        <w:numPr>
          <w:ilvl w:val="0"/>
          <w:numId w:val="18"/>
        </w:numPr>
        <w:rPr>
          <w:rFonts w:ascii="Times New Roman" w:hAnsi="Times New Roman" w:cs="Times New Roman"/>
          <w:bCs/>
          <w:szCs w:val="24"/>
        </w:rPr>
      </w:pPr>
      <w:r w:rsidRPr="00A714EB">
        <w:rPr>
          <w:rFonts w:ascii="Times New Roman" w:hAnsi="Times New Roman" w:cs="Times New Roman"/>
          <w:szCs w:val="24"/>
        </w:rPr>
        <w:t>tryb negocjacji bez ogłoszenia (art. 301 pkt 2),</w:t>
      </w:r>
    </w:p>
    <w:p w14:paraId="7FC9DC3F" w14:textId="77777777" w:rsidR="00A714EB" w:rsidRDefault="00A714EB" w:rsidP="00A714EB">
      <w:pPr>
        <w:pStyle w:val="ARTartustawynprozporzdzenia"/>
        <w:numPr>
          <w:ilvl w:val="0"/>
          <w:numId w:val="18"/>
        </w:numPr>
        <w:rPr>
          <w:rFonts w:ascii="Times New Roman" w:hAnsi="Times New Roman" w:cs="Times New Roman"/>
          <w:bCs/>
          <w:szCs w:val="24"/>
        </w:rPr>
      </w:pPr>
      <w:r w:rsidRPr="00A714EB">
        <w:rPr>
          <w:rFonts w:ascii="Times New Roman" w:hAnsi="Times New Roman" w:cs="Times New Roman"/>
          <w:bCs/>
          <w:szCs w:val="24"/>
        </w:rPr>
        <w:t xml:space="preserve">konkurs, tj. art. 325 ust. 3 pkt 3, art. 330 ust. 2, </w:t>
      </w:r>
      <w:r w:rsidRPr="00A714EB">
        <w:rPr>
          <w:rFonts w:ascii="Times New Roman" w:hAnsi="Times New Roman" w:cs="Times New Roman"/>
          <w:szCs w:val="24"/>
        </w:rPr>
        <w:t xml:space="preserve">art. 342 ust. 4, </w:t>
      </w:r>
      <w:r w:rsidRPr="00A714EB">
        <w:rPr>
          <w:rFonts w:ascii="Times New Roman" w:hAnsi="Times New Roman" w:cs="Times New Roman"/>
          <w:bCs/>
          <w:szCs w:val="24"/>
        </w:rPr>
        <w:t>art. 345 ust. 2</w:t>
      </w:r>
      <w:r w:rsidR="00422B86">
        <w:rPr>
          <w:rFonts w:ascii="Times New Roman" w:hAnsi="Times New Roman" w:cs="Times New Roman"/>
          <w:bCs/>
          <w:szCs w:val="24"/>
        </w:rPr>
        <w:t>,</w:t>
      </w:r>
    </w:p>
    <w:p w14:paraId="7E1353CB" w14:textId="202EEA33" w:rsidR="00422B86" w:rsidRDefault="00422B86" w:rsidP="00A714EB">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negocjacyjnych trybów udzielenia zamówienia sektorowego, tj. art. 381 ust. 1, art. 382, art. 383, art. 386, art. 388 pkt 1</w:t>
      </w:r>
      <w:r w:rsidR="00DA4199">
        <w:rPr>
          <w:rFonts w:ascii="Times New Roman" w:hAnsi="Times New Roman" w:cs="Times New Roman"/>
          <w:bCs/>
          <w:szCs w:val="24"/>
        </w:rPr>
        <w:t xml:space="preserve"> i pkt 2</w:t>
      </w:r>
      <w:r>
        <w:rPr>
          <w:rFonts w:ascii="Times New Roman" w:hAnsi="Times New Roman" w:cs="Times New Roman"/>
          <w:bCs/>
          <w:szCs w:val="24"/>
        </w:rPr>
        <w:t xml:space="preserve"> lit. d,  </w:t>
      </w:r>
    </w:p>
    <w:p w14:paraId="46829D23" w14:textId="77777777" w:rsidR="00422B86" w:rsidRDefault="00422B86" w:rsidP="00A714EB">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umowy ramowej zawieranej przez zamawiających sektorowych, tj. art. 389 ust. 3 i 4,</w:t>
      </w:r>
    </w:p>
    <w:p w14:paraId="1BD33470" w14:textId="6F1B6D1A" w:rsidR="00422B86" w:rsidRPr="00A714EB" w:rsidRDefault="00422B86" w:rsidP="00A714EB">
      <w:pPr>
        <w:pStyle w:val="ARTartustawynprozporzdzenia"/>
        <w:numPr>
          <w:ilvl w:val="0"/>
          <w:numId w:val="18"/>
        </w:numPr>
        <w:rPr>
          <w:rFonts w:ascii="Times New Roman" w:hAnsi="Times New Roman" w:cs="Times New Roman"/>
          <w:bCs/>
          <w:szCs w:val="24"/>
        </w:rPr>
      </w:pPr>
      <w:r>
        <w:rPr>
          <w:rFonts w:ascii="Times New Roman" w:hAnsi="Times New Roman" w:cs="Times New Roman"/>
          <w:bCs/>
          <w:szCs w:val="24"/>
        </w:rPr>
        <w:t xml:space="preserve">zamówień w dziedzinach obronności o bezpieczeństwa, tj. art. 395 ust. 1 i 2, </w:t>
      </w:r>
      <w:r w:rsidR="00DA4199">
        <w:rPr>
          <w:rFonts w:ascii="Times New Roman" w:hAnsi="Times New Roman" w:cs="Times New Roman"/>
          <w:bCs/>
          <w:szCs w:val="24"/>
        </w:rPr>
        <w:t xml:space="preserve">art. </w:t>
      </w:r>
      <w:r>
        <w:rPr>
          <w:rFonts w:ascii="Times New Roman" w:hAnsi="Times New Roman" w:cs="Times New Roman"/>
          <w:bCs/>
          <w:szCs w:val="24"/>
        </w:rPr>
        <w:t xml:space="preserve">401 ust. 5, </w:t>
      </w:r>
      <w:r w:rsidR="00DA4199">
        <w:rPr>
          <w:rFonts w:ascii="Times New Roman" w:hAnsi="Times New Roman" w:cs="Times New Roman"/>
          <w:bCs/>
          <w:szCs w:val="24"/>
        </w:rPr>
        <w:t xml:space="preserve">art. </w:t>
      </w:r>
      <w:r>
        <w:rPr>
          <w:rFonts w:ascii="Times New Roman" w:hAnsi="Times New Roman" w:cs="Times New Roman"/>
          <w:bCs/>
          <w:szCs w:val="24"/>
        </w:rPr>
        <w:t xml:space="preserve">413 ust. 1, 3, 4 i 8, </w:t>
      </w:r>
      <w:r w:rsidR="00531AEC">
        <w:rPr>
          <w:rFonts w:ascii="Times New Roman" w:hAnsi="Times New Roman" w:cs="Times New Roman"/>
          <w:bCs/>
          <w:szCs w:val="24"/>
        </w:rPr>
        <w:t xml:space="preserve">art. 415 ust. 2 pkt 5, </w:t>
      </w:r>
      <w:r>
        <w:rPr>
          <w:rFonts w:ascii="Times New Roman" w:hAnsi="Times New Roman" w:cs="Times New Roman"/>
          <w:bCs/>
          <w:szCs w:val="24"/>
        </w:rPr>
        <w:t>art. 422 ust. 1</w:t>
      </w:r>
      <w:r w:rsidR="00E6673B">
        <w:rPr>
          <w:rFonts w:ascii="Times New Roman" w:hAnsi="Times New Roman" w:cs="Times New Roman"/>
          <w:bCs/>
          <w:szCs w:val="24"/>
        </w:rPr>
        <w:t>, art. 424, art. 425.</w:t>
      </w:r>
    </w:p>
    <w:p w14:paraId="108F75AC" w14:textId="77777777" w:rsidR="00A650E6" w:rsidRPr="006340EF" w:rsidRDefault="00A650E6" w:rsidP="008A198A">
      <w:pPr>
        <w:pStyle w:val="ARTartustawynprozporzdzenia"/>
        <w:spacing w:before="0"/>
        <w:ind w:firstLine="0"/>
        <w:rPr>
          <w:rFonts w:ascii="Times New Roman" w:hAnsi="Times New Roman" w:cs="Times New Roman"/>
          <w:szCs w:val="24"/>
        </w:rPr>
      </w:pPr>
    </w:p>
    <w:p w14:paraId="6AA1F7D0" w14:textId="77777777" w:rsidR="00FC1C32" w:rsidRDefault="00FC1C32" w:rsidP="008A198A">
      <w:pPr>
        <w:pStyle w:val="ARTartustawynprozporzdzenia"/>
        <w:spacing w:before="0"/>
        <w:ind w:firstLine="0"/>
        <w:rPr>
          <w:rFonts w:ascii="Times New Roman" w:hAnsi="Times New Roman" w:cs="Times New Roman"/>
          <w:szCs w:val="24"/>
        </w:rPr>
      </w:pPr>
      <w:r>
        <w:rPr>
          <w:rFonts w:ascii="Times New Roman" w:hAnsi="Times New Roman" w:cs="Times New Roman"/>
          <w:szCs w:val="24"/>
        </w:rPr>
        <w:lastRenderedPageBreak/>
        <w:t xml:space="preserve">Przepis art. 325 ust. 3 </w:t>
      </w:r>
      <w:r w:rsidRPr="00FC1C32">
        <w:rPr>
          <w:rFonts w:ascii="Times New Roman" w:hAnsi="Times New Roman" w:cs="Times New Roman"/>
          <w:szCs w:val="24"/>
        </w:rPr>
        <w:t>nie wyłącza możliwości przeprowadzenia konkursu we wskazanych w nim przypadkach</w:t>
      </w:r>
      <w:r>
        <w:rPr>
          <w:rFonts w:ascii="Times New Roman" w:hAnsi="Times New Roman" w:cs="Times New Roman"/>
          <w:szCs w:val="24"/>
        </w:rPr>
        <w:t>.</w:t>
      </w:r>
    </w:p>
    <w:p w14:paraId="62ACC678" w14:textId="28A12EC9" w:rsidR="00CC0A16" w:rsidRDefault="00CC0A16" w:rsidP="006153A0">
      <w:pPr>
        <w:pStyle w:val="ARTartustawynprozporzdzenia"/>
        <w:ind w:firstLine="0"/>
        <w:rPr>
          <w:rFonts w:ascii="Times New Roman" w:hAnsi="Times New Roman" w:cs="Times New Roman"/>
          <w:szCs w:val="24"/>
        </w:rPr>
      </w:pPr>
      <w:r>
        <w:rPr>
          <w:rFonts w:ascii="Times New Roman" w:hAnsi="Times New Roman" w:cs="Times New Roman"/>
          <w:szCs w:val="24"/>
        </w:rPr>
        <w:t xml:space="preserve">Ponadto </w:t>
      </w:r>
      <w:r w:rsidRPr="00CC0A16">
        <w:rPr>
          <w:rFonts w:ascii="Times New Roman" w:hAnsi="Times New Roman" w:cs="Times New Roman"/>
          <w:szCs w:val="24"/>
        </w:rPr>
        <w:t xml:space="preserve">zaproponowano zmianę treści </w:t>
      </w:r>
      <w:r w:rsidR="00AD64F9">
        <w:rPr>
          <w:rFonts w:ascii="Times New Roman" w:hAnsi="Times New Roman" w:cs="Times New Roman"/>
          <w:szCs w:val="24"/>
        </w:rPr>
        <w:t>art.</w:t>
      </w:r>
      <w:r w:rsidR="00AD64F9" w:rsidRPr="00CC0A16">
        <w:rPr>
          <w:rFonts w:ascii="Times New Roman" w:hAnsi="Times New Roman" w:cs="Times New Roman"/>
          <w:szCs w:val="24"/>
        </w:rPr>
        <w:t xml:space="preserve"> </w:t>
      </w:r>
      <w:r w:rsidRPr="00CC0A16">
        <w:rPr>
          <w:rFonts w:ascii="Times New Roman" w:hAnsi="Times New Roman" w:cs="Times New Roman"/>
          <w:szCs w:val="24"/>
        </w:rPr>
        <w:t>56 ust. 3, poprzez zawężenie katalogu przestępstw skutkujących wy</w:t>
      </w:r>
      <w:r>
        <w:rPr>
          <w:rFonts w:ascii="Times New Roman" w:hAnsi="Times New Roman" w:cs="Times New Roman"/>
          <w:szCs w:val="24"/>
        </w:rPr>
        <w:t>łączeniem</w:t>
      </w:r>
      <w:r w:rsidR="00E42D55" w:rsidRPr="00E42D55">
        <w:rPr>
          <w:rFonts w:ascii="Times New Roman" w:hAnsi="Times New Roman" w:cs="Times New Roman"/>
          <w:szCs w:val="24"/>
        </w:rPr>
        <w:t xml:space="preserve"> </w:t>
      </w:r>
      <w:r w:rsidR="00E42D55">
        <w:rPr>
          <w:rFonts w:ascii="Times New Roman" w:hAnsi="Times New Roman" w:cs="Times New Roman"/>
          <w:szCs w:val="24"/>
        </w:rPr>
        <w:t>z dokonywania czynności w postępowaniu o udzielenie zamówienia osób</w:t>
      </w:r>
      <w:r w:rsidRPr="00CC0A16">
        <w:rPr>
          <w:rFonts w:ascii="Times New Roman" w:hAnsi="Times New Roman" w:cs="Times New Roman"/>
          <w:szCs w:val="24"/>
        </w:rPr>
        <w:t>, o których mowa w art. 56 ust. 1, w stosunku do obecnego brzmienia ustawy.</w:t>
      </w:r>
      <w:r w:rsidR="00E42D55" w:rsidRPr="00E42D55">
        <w:t xml:space="preserve"> </w:t>
      </w:r>
      <w:r w:rsidR="00E42D55">
        <w:t xml:space="preserve">Katalog tych przestępstw został ograniczony do czynów pozostających w związku z </w:t>
      </w:r>
      <w:r w:rsidR="0069089A">
        <w:t>udzielaniem zamówień publicznych</w:t>
      </w:r>
      <w:r w:rsidR="00E42D55">
        <w:t xml:space="preserve">. </w:t>
      </w:r>
    </w:p>
    <w:p w14:paraId="1946D69E" w14:textId="77777777" w:rsidR="00E0114B" w:rsidRDefault="00E0114B" w:rsidP="008A198A">
      <w:pPr>
        <w:pStyle w:val="ARTartustawynprozporzdzenia"/>
        <w:spacing w:before="0"/>
        <w:ind w:firstLine="0"/>
        <w:rPr>
          <w:rFonts w:ascii="Times New Roman" w:hAnsi="Times New Roman" w:cs="Times New Roman"/>
          <w:szCs w:val="24"/>
        </w:rPr>
      </w:pPr>
    </w:p>
    <w:p w14:paraId="4DA429E3" w14:textId="77777777" w:rsidR="00E0114B" w:rsidRDefault="00E0114B" w:rsidP="008A198A">
      <w:pPr>
        <w:pStyle w:val="ARTartustawynprozporzdzenia"/>
        <w:spacing w:before="0"/>
        <w:ind w:firstLine="0"/>
        <w:rPr>
          <w:rFonts w:ascii="Times New Roman" w:hAnsi="Times New Roman" w:cs="Times New Roman"/>
          <w:b/>
          <w:szCs w:val="24"/>
        </w:rPr>
      </w:pPr>
      <w:r w:rsidRPr="00B8700E">
        <w:rPr>
          <w:rFonts w:ascii="Times New Roman" w:hAnsi="Times New Roman" w:cs="Times New Roman"/>
          <w:b/>
          <w:szCs w:val="24"/>
        </w:rPr>
        <w:t>4. Zmiana ustawy o partnerstwie publiczno-prywatnym</w:t>
      </w:r>
    </w:p>
    <w:p w14:paraId="320AF8AD" w14:textId="4D8A0FA0" w:rsidR="00E0114B" w:rsidRPr="00E0114B" w:rsidRDefault="00E0114B" w:rsidP="00E0114B">
      <w:pPr>
        <w:pStyle w:val="ARTartustawynprozporzdzenia"/>
        <w:rPr>
          <w:rFonts w:ascii="Times New Roman" w:hAnsi="Times New Roman" w:cs="Times New Roman"/>
          <w:szCs w:val="24"/>
        </w:rPr>
      </w:pPr>
      <w:r w:rsidRPr="00E0114B">
        <w:rPr>
          <w:rFonts w:ascii="Times New Roman" w:hAnsi="Times New Roman" w:cs="Times New Roman"/>
          <w:szCs w:val="24"/>
        </w:rPr>
        <w:t xml:space="preserve">Umowa o </w:t>
      </w:r>
      <w:r>
        <w:rPr>
          <w:rFonts w:ascii="Times New Roman" w:hAnsi="Times New Roman" w:cs="Times New Roman"/>
          <w:szCs w:val="24"/>
        </w:rPr>
        <w:t>partnerstwie publiczno-prywatnym (dalej</w:t>
      </w:r>
      <w:r w:rsidR="002C22ED">
        <w:rPr>
          <w:rFonts w:ascii="Times New Roman" w:hAnsi="Times New Roman" w:cs="Times New Roman"/>
          <w:szCs w:val="24"/>
        </w:rPr>
        <w:t>:</w:t>
      </w:r>
      <w:r>
        <w:rPr>
          <w:rFonts w:ascii="Times New Roman" w:hAnsi="Times New Roman" w:cs="Times New Roman"/>
          <w:szCs w:val="24"/>
        </w:rPr>
        <w:t xml:space="preserve"> umowa ppp)</w:t>
      </w:r>
      <w:r w:rsidRPr="00E0114B">
        <w:rPr>
          <w:rFonts w:ascii="Times New Roman" w:hAnsi="Times New Roman" w:cs="Times New Roman"/>
          <w:szCs w:val="24"/>
        </w:rPr>
        <w:t xml:space="preserve"> najczęściej obejmuje swoim zakresem wykonanie robót budowlanych. </w:t>
      </w:r>
      <w:r>
        <w:rPr>
          <w:rFonts w:ascii="Times New Roman" w:hAnsi="Times New Roman" w:cs="Times New Roman"/>
          <w:szCs w:val="24"/>
        </w:rPr>
        <w:t>Stanowi</w:t>
      </w:r>
      <w:r w:rsidRPr="00E0114B">
        <w:rPr>
          <w:rFonts w:ascii="Times New Roman" w:hAnsi="Times New Roman" w:cs="Times New Roman"/>
          <w:szCs w:val="24"/>
        </w:rPr>
        <w:t xml:space="preserve"> to jednak wyłącznie jeden z</w:t>
      </w:r>
      <w:r>
        <w:rPr>
          <w:rFonts w:ascii="Times New Roman" w:hAnsi="Times New Roman" w:cs="Times New Roman"/>
          <w:szCs w:val="24"/>
        </w:rPr>
        <w:t xml:space="preserve"> wielu</w:t>
      </w:r>
      <w:r w:rsidRPr="00E0114B">
        <w:rPr>
          <w:rFonts w:ascii="Times New Roman" w:hAnsi="Times New Roman" w:cs="Times New Roman"/>
          <w:szCs w:val="24"/>
        </w:rPr>
        <w:t xml:space="preserve"> elementów całego projektu. W zwią</w:t>
      </w:r>
      <w:r>
        <w:rPr>
          <w:rFonts w:ascii="Times New Roman" w:hAnsi="Times New Roman" w:cs="Times New Roman"/>
          <w:szCs w:val="24"/>
        </w:rPr>
        <w:t>zku z tym kwalifikacja umowy ppp</w:t>
      </w:r>
      <w:r w:rsidRPr="00E0114B">
        <w:rPr>
          <w:rFonts w:ascii="Times New Roman" w:hAnsi="Times New Roman" w:cs="Times New Roman"/>
          <w:szCs w:val="24"/>
        </w:rPr>
        <w:t xml:space="preserve"> jako roboty budowlanej, usługi lub dostawy bywa niejednoznaczna i wymaga precyzyjnej analizy przepisów dotyczących zamów</w:t>
      </w:r>
      <w:r>
        <w:rPr>
          <w:rFonts w:ascii="Times New Roman" w:hAnsi="Times New Roman" w:cs="Times New Roman"/>
          <w:szCs w:val="24"/>
        </w:rPr>
        <w:t xml:space="preserve">ień mieszanych. Postępowanie mające na celu zawarcie </w:t>
      </w:r>
      <w:r w:rsidR="008C2860">
        <w:rPr>
          <w:rFonts w:ascii="Times New Roman" w:hAnsi="Times New Roman" w:cs="Times New Roman"/>
          <w:szCs w:val="24"/>
        </w:rPr>
        <w:t>umowy o partnerstwie publiczno-prywatnym</w:t>
      </w:r>
      <w:r w:rsidRPr="00E0114B">
        <w:rPr>
          <w:rFonts w:ascii="Times New Roman" w:hAnsi="Times New Roman" w:cs="Times New Roman"/>
          <w:szCs w:val="24"/>
        </w:rPr>
        <w:t>, nawet jeśli jest kwalifikowane jako zamówienie na roboty budowlane (lub spełnia przesłanki uznania za umowę na roboty budowlane), nie jest typowym zamówieniem</w:t>
      </w:r>
      <w:r w:rsidR="008C2860">
        <w:rPr>
          <w:rFonts w:ascii="Times New Roman" w:hAnsi="Times New Roman" w:cs="Times New Roman"/>
          <w:szCs w:val="24"/>
        </w:rPr>
        <w:t xml:space="preserve"> publicznym</w:t>
      </w:r>
      <w:r w:rsidRPr="00E0114B">
        <w:rPr>
          <w:rFonts w:ascii="Times New Roman" w:hAnsi="Times New Roman" w:cs="Times New Roman"/>
          <w:szCs w:val="24"/>
        </w:rPr>
        <w:t xml:space="preserve">. </w:t>
      </w:r>
    </w:p>
    <w:p w14:paraId="69F2E3C8" w14:textId="77777777" w:rsidR="00E0114B" w:rsidRPr="00E0114B" w:rsidRDefault="00E0114B" w:rsidP="00E0114B">
      <w:pPr>
        <w:pStyle w:val="ARTartustawynprozporzdzenia"/>
        <w:rPr>
          <w:rFonts w:ascii="Times New Roman" w:hAnsi="Times New Roman" w:cs="Times New Roman"/>
          <w:szCs w:val="24"/>
        </w:rPr>
      </w:pPr>
      <w:r w:rsidRPr="00E0114B">
        <w:rPr>
          <w:rFonts w:ascii="Times New Roman" w:hAnsi="Times New Roman" w:cs="Times New Roman"/>
          <w:szCs w:val="24"/>
        </w:rPr>
        <w:t>W szczególności, przepisy</w:t>
      </w:r>
      <w:r w:rsidR="008C2860">
        <w:rPr>
          <w:rFonts w:ascii="Times New Roman" w:hAnsi="Times New Roman" w:cs="Times New Roman"/>
          <w:szCs w:val="24"/>
        </w:rPr>
        <w:t xml:space="preserve"> nowej ustawy Pzp</w:t>
      </w:r>
      <w:r w:rsidRPr="00E0114B">
        <w:rPr>
          <w:rFonts w:ascii="Times New Roman" w:hAnsi="Times New Roman" w:cs="Times New Roman"/>
          <w:szCs w:val="24"/>
        </w:rPr>
        <w:t xml:space="preserve"> uwzględniające ochronę wykonawcy robót budowlanych (takie jak obowiązek zapłaty zaliczki, czy procedura zgłaszania podwykonawców) nie są i nie powinny znajdow</w:t>
      </w:r>
      <w:r w:rsidR="008C2860">
        <w:rPr>
          <w:rFonts w:ascii="Times New Roman" w:hAnsi="Times New Roman" w:cs="Times New Roman"/>
          <w:szCs w:val="24"/>
        </w:rPr>
        <w:t>ać zastosowania do projektów realizowanych w formule partnerstwa publiczno-prywatnego</w:t>
      </w:r>
      <w:r w:rsidRPr="00E0114B">
        <w:rPr>
          <w:rFonts w:ascii="Times New Roman" w:hAnsi="Times New Roman" w:cs="Times New Roman"/>
          <w:szCs w:val="24"/>
        </w:rPr>
        <w:t>, w których</w:t>
      </w:r>
      <w:r w:rsidR="008C2860">
        <w:rPr>
          <w:rFonts w:ascii="Times New Roman" w:hAnsi="Times New Roman" w:cs="Times New Roman"/>
          <w:szCs w:val="24"/>
        </w:rPr>
        <w:t xml:space="preserve"> to</w:t>
      </w:r>
      <w:r w:rsidRPr="00E0114B">
        <w:rPr>
          <w:rFonts w:ascii="Times New Roman" w:hAnsi="Times New Roman" w:cs="Times New Roman"/>
          <w:szCs w:val="24"/>
        </w:rPr>
        <w:t xml:space="preserve"> ryzyko budowy przeniesione jest na stronę partnera prywat</w:t>
      </w:r>
      <w:r w:rsidR="008C2860">
        <w:rPr>
          <w:rFonts w:ascii="Times New Roman" w:hAnsi="Times New Roman" w:cs="Times New Roman"/>
          <w:szCs w:val="24"/>
        </w:rPr>
        <w:t>nego (wykonawcy w rozumieniu prawa zamówień publicznych</w:t>
      </w:r>
      <w:r w:rsidRPr="00E0114B">
        <w:rPr>
          <w:rFonts w:ascii="Times New Roman" w:hAnsi="Times New Roman" w:cs="Times New Roman"/>
          <w:szCs w:val="24"/>
        </w:rPr>
        <w:t xml:space="preserve">). </w:t>
      </w:r>
    </w:p>
    <w:p w14:paraId="26194ED1" w14:textId="77777777" w:rsidR="00E0114B" w:rsidRPr="00E0114B" w:rsidRDefault="008C2860" w:rsidP="008C2860">
      <w:pPr>
        <w:pStyle w:val="ARTartustawynprozporzdzenia"/>
        <w:rPr>
          <w:rFonts w:ascii="Times New Roman" w:hAnsi="Times New Roman" w:cs="Times New Roman"/>
          <w:szCs w:val="24"/>
        </w:rPr>
      </w:pPr>
      <w:r>
        <w:rPr>
          <w:rFonts w:ascii="Times New Roman" w:hAnsi="Times New Roman" w:cs="Times New Roman"/>
          <w:szCs w:val="24"/>
        </w:rPr>
        <w:t>Cel gospodarczy umowy ppp</w:t>
      </w:r>
      <w:r w:rsidR="00E0114B" w:rsidRPr="00E0114B">
        <w:rPr>
          <w:rFonts w:ascii="Times New Roman" w:hAnsi="Times New Roman" w:cs="Times New Roman"/>
          <w:szCs w:val="24"/>
        </w:rPr>
        <w:t xml:space="preserve"> polega bowiem nie tyle na uzyskaniu przez zamawiającego obiektu budowlanego (jak jest w przypadku umów o roboty budo</w:t>
      </w:r>
      <w:r>
        <w:rPr>
          <w:rFonts w:ascii="Times New Roman" w:hAnsi="Times New Roman" w:cs="Times New Roman"/>
          <w:szCs w:val="24"/>
        </w:rPr>
        <w:t>wlane w rozumieniu przepisów prawa zamówień publicznych</w:t>
      </w:r>
      <w:r w:rsidR="00E0114B" w:rsidRPr="00E0114B">
        <w:rPr>
          <w:rFonts w:ascii="Times New Roman" w:hAnsi="Times New Roman" w:cs="Times New Roman"/>
          <w:szCs w:val="24"/>
        </w:rPr>
        <w:t>), co usługi (przykładowo – dostępu do wybudowanego obiektu przez okres kilkunastu</w:t>
      </w:r>
      <w:r>
        <w:rPr>
          <w:rFonts w:ascii="Times New Roman" w:hAnsi="Times New Roman" w:cs="Times New Roman"/>
          <w:szCs w:val="24"/>
        </w:rPr>
        <w:t>-kilkudziesięciu lat). Umowa ppp</w:t>
      </w:r>
      <w:r w:rsidR="00E0114B" w:rsidRPr="00E0114B">
        <w:rPr>
          <w:rFonts w:ascii="Times New Roman" w:hAnsi="Times New Roman" w:cs="Times New Roman"/>
          <w:szCs w:val="24"/>
        </w:rPr>
        <w:t xml:space="preserve"> jest na tyle specyficzną formą kontraktowania, że zastosowanie </w:t>
      </w:r>
      <w:r>
        <w:rPr>
          <w:rFonts w:ascii="Times New Roman" w:hAnsi="Times New Roman" w:cs="Times New Roman"/>
          <w:szCs w:val="24"/>
        </w:rPr>
        <w:t>w stosunku do niej przepisów prawa zamówień publicznych</w:t>
      </w:r>
      <w:r w:rsidR="00E0114B" w:rsidRPr="00E0114B">
        <w:rPr>
          <w:rFonts w:ascii="Times New Roman" w:hAnsi="Times New Roman" w:cs="Times New Roman"/>
          <w:szCs w:val="24"/>
        </w:rPr>
        <w:t xml:space="preserve"> </w:t>
      </w:r>
      <w:r w:rsidR="00E0114B" w:rsidRPr="00E0114B">
        <w:rPr>
          <w:rFonts w:ascii="Times New Roman" w:hAnsi="Times New Roman" w:cs="Times New Roman"/>
          <w:szCs w:val="24"/>
        </w:rPr>
        <w:lastRenderedPageBreak/>
        <w:t>odnoszących się do zamówień na roboty budowlane (dotyczących m.in. stosowania zaliczek, odpowiedzialności wobec podwykonawców) nie znajduje uzasadnienia.</w:t>
      </w:r>
    </w:p>
    <w:p w14:paraId="33F175A1" w14:textId="1A736B5F" w:rsidR="00E0114B" w:rsidRPr="00E0114B" w:rsidRDefault="00E0114B" w:rsidP="00E0114B">
      <w:pPr>
        <w:pStyle w:val="ARTartustawynprozporzdzenia"/>
        <w:rPr>
          <w:rFonts w:ascii="Times New Roman" w:hAnsi="Times New Roman" w:cs="Times New Roman"/>
          <w:szCs w:val="24"/>
        </w:rPr>
      </w:pPr>
      <w:r w:rsidRPr="00E0114B">
        <w:rPr>
          <w:rFonts w:ascii="Times New Roman" w:hAnsi="Times New Roman" w:cs="Times New Roman"/>
          <w:szCs w:val="24"/>
        </w:rPr>
        <w:t xml:space="preserve">Dla uniknięcia wątpliwości co do zastosowania do umów </w:t>
      </w:r>
      <w:r w:rsidR="002C22ED">
        <w:rPr>
          <w:rFonts w:ascii="Times New Roman" w:hAnsi="Times New Roman" w:cs="Times New Roman"/>
          <w:szCs w:val="24"/>
        </w:rPr>
        <w:t>ppp</w:t>
      </w:r>
      <w:r w:rsidR="002C22ED" w:rsidRPr="00E0114B">
        <w:rPr>
          <w:rFonts w:ascii="Times New Roman" w:hAnsi="Times New Roman" w:cs="Times New Roman"/>
          <w:szCs w:val="24"/>
        </w:rPr>
        <w:t xml:space="preserve"> </w:t>
      </w:r>
      <w:r w:rsidRPr="00E0114B">
        <w:rPr>
          <w:rFonts w:ascii="Times New Roman" w:hAnsi="Times New Roman" w:cs="Times New Roman"/>
          <w:szCs w:val="24"/>
        </w:rPr>
        <w:t>przepisów regulujących specyficzne dla umów o roboty budowlane zasady</w:t>
      </w:r>
      <w:r w:rsidR="008C2860">
        <w:rPr>
          <w:rFonts w:ascii="Times New Roman" w:hAnsi="Times New Roman" w:cs="Times New Roman"/>
          <w:szCs w:val="24"/>
        </w:rPr>
        <w:t xml:space="preserve"> ochrony wykonawców, proponuje się</w:t>
      </w:r>
      <w:r w:rsidRPr="00E0114B">
        <w:rPr>
          <w:rFonts w:ascii="Times New Roman" w:hAnsi="Times New Roman" w:cs="Times New Roman"/>
          <w:szCs w:val="24"/>
        </w:rPr>
        <w:t xml:space="preserve"> wskazanie, że </w:t>
      </w:r>
      <w:r w:rsidR="008C2860">
        <w:rPr>
          <w:rFonts w:ascii="Times New Roman" w:hAnsi="Times New Roman" w:cs="Times New Roman"/>
          <w:szCs w:val="24"/>
        </w:rPr>
        <w:t xml:space="preserve">do umów ppp nie mają zastosowania </w:t>
      </w:r>
      <w:r w:rsidR="008C2860" w:rsidRPr="008C2860">
        <w:rPr>
          <w:rFonts w:ascii="Times New Roman" w:hAnsi="Times New Roman" w:cs="Times New Roman"/>
          <w:szCs w:val="24"/>
        </w:rPr>
        <w:t xml:space="preserve">art. 95, art. 436 pkt 3 i 4, art. 437, art. 438, art. 439, art. 440, art. 443, art. 447, art. 463, art. 464, art. 465  </w:t>
      </w:r>
      <w:r w:rsidR="008C2860">
        <w:rPr>
          <w:rFonts w:ascii="Times New Roman" w:hAnsi="Times New Roman" w:cs="Times New Roman"/>
          <w:szCs w:val="24"/>
        </w:rPr>
        <w:t>nowej ustawy Pzp</w:t>
      </w:r>
      <w:r w:rsidR="002C22ED">
        <w:rPr>
          <w:rFonts w:ascii="Times New Roman" w:hAnsi="Times New Roman" w:cs="Times New Roman"/>
          <w:szCs w:val="24"/>
        </w:rPr>
        <w:t>.</w:t>
      </w:r>
      <w:r w:rsidRPr="00E0114B">
        <w:rPr>
          <w:rFonts w:ascii="Times New Roman" w:hAnsi="Times New Roman" w:cs="Times New Roman"/>
          <w:szCs w:val="24"/>
        </w:rPr>
        <w:t xml:space="preserve"> </w:t>
      </w:r>
    </w:p>
    <w:p w14:paraId="47EE217A" w14:textId="77777777" w:rsidR="00B84180" w:rsidRDefault="00B84180" w:rsidP="008A198A">
      <w:pPr>
        <w:pStyle w:val="ARTartustawynprozporzdzenia"/>
        <w:spacing w:before="0"/>
        <w:ind w:firstLine="0"/>
        <w:rPr>
          <w:rFonts w:ascii="Times New Roman" w:hAnsi="Times New Roman" w:cs="Times New Roman"/>
          <w:szCs w:val="24"/>
        </w:rPr>
      </w:pPr>
      <w:r w:rsidRPr="006340EF">
        <w:rPr>
          <w:rFonts w:ascii="Times New Roman" w:hAnsi="Times New Roman" w:cs="Times New Roman"/>
          <w:szCs w:val="24"/>
        </w:rPr>
        <w:t xml:space="preserve">Projektowane zmiany nie wprowadzają dodatkowych obciążeń finansowych po stronie zamawiających oraz wykonawców, a wręcz pozwalają na przesunięcie w czasie konieczności poniesienia takich kosztów oraz innych dodatkowych obciążeń związanych z dostosowaniem do wymogów wynikających z elektronizacji zamówień publicznych. </w:t>
      </w:r>
    </w:p>
    <w:p w14:paraId="1F51606B" w14:textId="064790B4" w:rsidR="00570701" w:rsidRPr="006340EF" w:rsidRDefault="00570701" w:rsidP="008A198A">
      <w:pPr>
        <w:pStyle w:val="ARTartustawynprozporzdzenia"/>
        <w:spacing w:before="0"/>
        <w:ind w:firstLine="0"/>
        <w:rPr>
          <w:rFonts w:ascii="Times New Roman" w:hAnsi="Times New Roman" w:cs="Times New Roman"/>
          <w:szCs w:val="24"/>
        </w:rPr>
      </w:pPr>
      <w:r>
        <w:t>Projekt nie dotyczy majątkowych praw i obowiązków przedsiębiorców lub praw i obowiązków przedsiębiorców wobec organów administracji publicznej, a zatem wpływa na działalność mikroprzedsiębiorców oraz małych i średnich przedsiębiorców w tym zakresie.</w:t>
      </w:r>
    </w:p>
    <w:p w14:paraId="7C6CD1EF" w14:textId="77777777" w:rsidR="009019A4" w:rsidRPr="006340EF" w:rsidRDefault="00B45126" w:rsidP="008A198A">
      <w:pPr>
        <w:spacing w:after="0" w:line="360" w:lineRule="auto"/>
        <w:jc w:val="both"/>
        <w:rPr>
          <w:rFonts w:ascii="Times New Roman" w:eastAsia="Times New Roman" w:hAnsi="Times New Roman" w:cs="Times New Roman"/>
          <w:sz w:val="24"/>
          <w:szCs w:val="24"/>
          <w:lang w:eastAsia="pl-PL"/>
        </w:rPr>
      </w:pPr>
      <w:r w:rsidRPr="006340EF">
        <w:rPr>
          <w:rFonts w:ascii="Times New Roman" w:eastAsia="Times New Roman" w:hAnsi="Times New Roman" w:cs="Times New Roman"/>
          <w:sz w:val="24"/>
          <w:szCs w:val="24"/>
          <w:lang w:eastAsia="pl-PL"/>
        </w:rPr>
        <w:t>P</w:t>
      </w:r>
      <w:r w:rsidR="00CD6319" w:rsidRPr="006340EF">
        <w:rPr>
          <w:rFonts w:ascii="Times New Roman" w:eastAsia="Times New Roman" w:hAnsi="Times New Roman" w:cs="Times New Roman"/>
          <w:sz w:val="24"/>
          <w:szCs w:val="24"/>
          <w:lang w:eastAsia="pl-PL"/>
        </w:rPr>
        <w:t>rojektowana</w:t>
      </w:r>
      <w:r w:rsidR="005756F4">
        <w:rPr>
          <w:rFonts w:ascii="Times New Roman" w:eastAsia="Times New Roman" w:hAnsi="Times New Roman" w:cs="Times New Roman"/>
          <w:sz w:val="24"/>
          <w:szCs w:val="24"/>
          <w:lang w:eastAsia="pl-PL"/>
        </w:rPr>
        <w:t xml:space="preserve"> </w:t>
      </w:r>
      <w:r w:rsidR="00CD6319" w:rsidRPr="006340EF">
        <w:rPr>
          <w:rFonts w:ascii="Times New Roman" w:eastAsia="Times New Roman" w:hAnsi="Times New Roman" w:cs="Times New Roman"/>
          <w:sz w:val="24"/>
          <w:szCs w:val="24"/>
          <w:lang w:eastAsia="pl-PL"/>
        </w:rPr>
        <w:t>ustawa</w:t>
      </w:r>
      <w:r w:rsidR="009019A4" w:rsidRPr="006340EF">
        <w:rPr>
          <w:rFonts w:ascii="Times New Roman" w:eastAsia="Times New Roman" w:hAnsi="Times New Roman" w:cs="Times New Roman"/>
          <w:sz w:val="24"/>
          <w:szCs w:val="24"/>
          <w:lang w:eastAsia="pl-PL"/>
        </w:rPr>
        <w:t xml:space="preserve"> nie zawiera przepisów technicznych w rozumieniu rozporządzenia Rady Ministrów z dnia 23 grudnia 2002 r. w sprawie sposobu funkcjonowania krajowego systemu notyfikacji norm i aktów prawnych (Dz. U. poz. 2039</w:t>
      </w:r>
      <w:r w:rsidR="0048786F" w:rsidRPr="006340EF">
        <w:rPr>
          <w:rFonts w:ascii="Times New Roman" w:eastAsia="Times New Roman" w:hAnsi="Times New Roman" w:cs="Times New Roman"/>
          <w:sz w:val="24"/>
          <w:szCs w:val="24"/>
          <w:lang w:eastAsia="pl-PL"/>
        </w:rPr>
        <w:t xml:space="preserve"> oraz z 2004 r.</w:t>
      </w:r>
      <w:r w:rsidR="0015463D">
        <w:rPr>
          <w:rFonts w:ascii="Times New Roman" w:eastAsia="Times New Roman" w:hAnsi="Times New Roman" w:cs="Times New Roman"/>
          <w:sz w:val="24"/>
          <w:szCs w:val="24"/>
          <w:lang w:eastAsia="pl-PL"/>
        </w:rPr>
        <w:t xml:space="preserve"> </w:t>
      </w:r>
      <w:r w:rsidR="0048786F" w:rsidRPr="006340EF">
        <w:rPr>
          <w:rFonts w:ascii="Times New Roman" w:eastAsia="Times New Roman" w:hAnsi="Times New Roman" w:cs="Times New Roman"/>
          <w:sz w:val="24"/>
          <w:szCs w:val="24"/>
          <w:lang w:eastAsia="pl-PL"/>
        </w:rPr>
        <w:t>poz. 597),</w:t>
      </w:r>
      <w:r w:rsidR="0015463D">
        <w:rPr>
          <w:rFonts w:ascii="Times New Roman" w:eastAsia="Times New Roman" w:hAnsi="Times New Roman" w:cs="Times New Roman"/>
          <w:sz w:val="24"/>
          <w:szCs w:val="24"/>
          <w:lang w:eastAsia="pl-PL"/>
        </w:rPr>
        <w:t xml:space="preserve"> </w:t>
      </w:r>
      <w:r w:rsidR="009019A4" w:rsidRPr="006340EF">
        <w:rPr>
          <w:rFonts w:ascii="Times New Roman" w:eastAsia="Times New Roman" w:hAnsi="Times New Roman" w:cs="Times New Roman"/>
          <w:sz w:val="24"/>
          <w:szCs w:val="24"/>
          <w:lang w:eastAsia="pl-PL"/>
        </w:rPr>
        <w:t>w związku z tym nie podlega notyfikacji Komisji Europejskiej.</w:t>
      </w:r>
    </w:p>
    <w:p w14:paraId="4CC83550" w14:textId="77777777" w:rsidR="009019A4" w:rsidRPr="006340EF" w:rsidRDefault="009019A4" w:rsidP="008A198A">
      <w:pPr>
        <w:spacing w:after="0" w:line="360" w:lineRule="auto"/>
        <w:jc w:val="both"/>
        <w:rPr>
          <w:rFonts w:ascii="Times New Roman" w:eastAsia="Times New Roman" w:hAnsi="Times New Roman" w:cs="Times New Roman"/>
          <w:sz w:val="24"/>
          <w:szCs w:val="24"/>
          <w:lang w:eastAsia="pl-PL"/>
        </w:rPr>
      </w:pPr>
      <w:r w:rsidRPr="006340EF">
        <w:rPr>
          <w:rFonts w:ascii="Times New Roman" w:eastAsia="Times New Roman" w:hAnsi="Times New Roman" w:cs="Times New Roman"/>
          <w:sz w:val="24"/>
          <w:szCs w:val="24"/>
          <w:lang w:eastAsia="pl-PL"/>
        </w:rPr>
        <w:t>Projektowan</w:t>
      </w:r>
      <w:r w:rsidR="00CD6319" w:rsidRPr="006340EF">
        <w:rPr>
          <w:rFonts w:ascii="Times New Roman" w:eastAsia="Times New Roman" w:hAnsi="Times New Roman" w:cs="Times New Roman"/>
          <w:sz w:val="24"/>
          <w:szCs w:val="24"/>
          <w:lang w:eastAsia="pl-PL"/>
        </w:rPr>
        <w:t>a ustawa</w:t>
      </w:r>
      <w:r w:rsidRPr="006340EF">
        <w:rPr>
          <w:rFonts w:ascii="Times New Roman" w:eastAsia="Times New Roman" w:hAnsi="Times New Roman" w:cs="Times New Roman"/>
          <w:sz w:val="24"/>
          <w:szCs w:val="24"/>
          <w:lang w:eastAsia="pl-PL"/>
        </w:rPr>
        <w:t xml:space="preserve"> nie wymaga przedłożenia instytucjom i organom Unii Europejskiej, w tym Europejskiemu Bankowi Centralnemu, w celu uzyskania opinii, dokonania powiadomienia,</w:t>
      </w:r>
      <w:r w:rsidR="00CF2698" w:rsidRPr="006340EF">
        <w:rPr>
          <w:rFonts w:ascii="Times New Roman" w:eastAsia="Times New Roman" w:hAnsi="Times New Roman" w:cs="Times New Roman"/>
          <w:sz w:val="24"/>
          <w:szCs w:val="24"/>
          <w:lang w:eastAsia="pl-PL"/>
        </w:rPr>
        <w:t xml:space="preserve"> konsultacji albo uzgodnienia.</w:t>
      </w:r>
    </w:p>
    <w:p w14:paraId="460C8D6F" w14:textId="77777777" w:rsidR="007E1CC4" w:rsidRDefault="007E1CC4" w:rsidP="008A198A">
      <w:pPr>
        <w:pStyle w:val="Teksttreci1"/>
        <w:shd w:val="clear" w:color="auto" w:fill="auto"/>
        <w:spacing w:after="0" w:line="360" w:lineRule="auto"/>
        <w:ind w:right="20" w:firstLine="0"/>
        <w:jc w:val="both"/>
        <w:rPr>
          <w:rStyle w:val="Teksttreci"/>
          <w:sz w:val="24"/>
          <w:szCs w:val="24"/>
        </w:rPr>
      </w:pPr>
      <w:r w:rsidRPr="006153A0">
        <w:rPr>
          <w:rStyle w:val="Teksttreci"/>
          <w:sz w:val="24"/>
          <w:szCs w:val="24"/>
        </w:rPr>
        <w:t>Przedmiotowy projekt jest zgodny z obowiązującymi regulacjami Unii Europejskiej w tym zakresie.</w:t>
      </w:r>
    </w:p>
    <w:p w14:paraId="0DAE58B2" w14:textId="63C6FF8C" w:rsidR="00570701" w:rsidRPr="006340EF" w:rsidRDefault="00C2306A" w:rsidP="008A198A">
      <w:pPr>
        <w:spacing w:after="0" w:line="360" w:lineRule="auto"/>
        <w:jc w:val="both"/>
        <w:rPr>
          <w:rFonts w:ascii="Times New Roman" w:hAnsi="Times New Roman" w:cs="Times New Roman"/>
          <w:sz w:val="24"/>
          <w:szCs w:val="24"/>
        </w:rPr>
      </w:pPr>
      <w:r w:rsidRPr="00C2306A">
        <w:rPr>
          <w:rFonts w:ascii="Times New Roman" w:eastAsia="Times New Roman" w:hAnsi="Times New Roman" w:cs="Times New Roman"/>
          <w:sz w:val="24"/>
          <w:szCs w:val="24"/>
          <w:lang w:eastAsia="pl-PL"/>
        </w:rPr>
        <w:t xml:space="preserve">Zgodnie z art. 5 ustawy z dnia 7 lipca 2005 r. o działalności lobbingowej w procesie stanowienia prawa (Dz. U. z 2017 r. poz. 248) oraz § 52 ust. 1 uchwały nr 190 Rady Ministrów z dnia 29 października 2013 r. – Regulamin pracy Rady Ministrów (M.P. z 2016 r. poz. 1006, z późn. zm.) projekt ustawy został udostępniony w Biuletynie Informacji Publicznej na stronie podmiotowej </w:t>
      </w:r>
      <w:r>
        <w:rPr>
          <w:rFonts w:ascii="Times New Roman" w:eastAsia="Times New Roman" w:hAnsi="Times New Roman" w:cs="Times New Roman"/>
          <w:sz w:val="24"/>
          <w:szCs w:val="24"/>
          <w:lang w:eastAsia="pl-PL"/>
        </w:rPr>
        <w:t xml:space="preserve">Rządowego Centrum Legislacji, </w:t>
      </w:r>
      <w:r>
        <w:rPr>
          <w:rFonts w:ascii="Times New Roman" w:eastAsia="Times New Roman" w:hAnsi="Times New Roman" w:cs="Times New Roman"/>
          <w:sz w:val="24"/>
          <w:szCs w:val="24"/>
          <w:lang w:eastAsia="pl-PL"/>
        </w:rPr>
        <w:lastRenderedPageBreak/>
        <w:t>w </w:t>
      </w:r>
      <w:r w:rsidRPr="00C2306A">
        <w:rPr>
          <w:rFonts w:ascii="Times New Roman" w:eastAsia="Times New Roman" w:hAnsi="Times New Roman" w:cs="Times New Roman"/>
          <w:sz w:val="24"/>
          <w:szCs w:val="24"/>
          <w:lang w:eastAsia="pl-PL"/>
        </w:rPr>
        <w:t>serwisie Rządowy Proces Legislacyjny.</w:t>
      </w:r>
      <w:r w:rsidR="00570701">
        <w:rPr>
          <w:rFonts w:ascii="Times New Roman" w:eastAsia="Times New Roman" w:hAnsi="Times New Roman" w:cs="Times New Roman"/>
          <w:sz w:val="24"/>
          <w:szCs w:val="24"/>
          <w:lang w:eastAsia="pl-PL"/>
        </w:rPr>
        <w:t xml:space="preserve"> Żaden z podmiotów nie zgłosił zainteresowania pracami nad projektem ustawy w trybie ustawy</w:t>
      </w:r>
      <w:r w:rsidR="00570701" w:rsidRPr="00522762">
        <w:rPr>
          <w:rFonts w:ascii="Times New Roman" w:eastAsia="Times New Roman" w:hAnsi="Times New Roman" w:cs="Times New Roman"/>
          <w:sz w:val="24"/>
          <w:szCs w:val="24"/>
          <w:lang w:eastAsia="pl-PL"/>
        </w:rPr>
        <w:t xml:space="preserve"> </w:t>
      </w:r>
      <w:r w:rsidR="00570701" w:rsidRPr="00C2306A">
        <w:rPr>
          <w:rFonts w:ascii="Times New Roman" w:eastAsia="Times New Roman" w:hAnsi="Times New Roman" w:cs="Times New Roman"/>
          <w:sz w:val="24"/>
          <w:szCs w:val="24"/>
          <w:lang w:eastAsia="pl-PL"/>
        </w:rPr>
        <w:t>o działalności lobbingowej w procesie stanowienia prawa</w:t>
      </w:r>
      <w:r w:rsidR="00570701">
        <w:rPr>
          <w:rFonts w:ascii="Times New Roman" w:eastAsia="Times New Roman" w:hAnsi="Times New Roman" w:cs="Times New Roman"/>
          <w:sz w:val="24"/>
          <w:szCs w:val="24"/>
          <w:lang w:eastAsia="pl-PL"/>
        </w:rPr>
        <w:t>.</w:t>
      </w:r>
    </w:p>
    <w:sectPr w:rsidR="00570701" w:rsidRPr="006340EF" w:rsidSect="001A311B">
      <w:footerReference w:type="default" r:id="rId8"/>
      <w:footerReference w:type="firs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1BDDB" w14:textId="77777777" w:rsidR="00FA26FA" w:rsidRDefault="00FA26FA" w:rsidP="001B4090">
      <w:pPr>
        <w:spacing w:after="0" w:line="240" w:lineRule="auto"/>
      </w:pPr>
      <w:r>
        <w:separator/>
      </w:r>
    </w:p>
  </w:endnote>
  <w:endnote w:type="continuationSeparator" w:id="0">
    <w:p w14:paraId="6E68997F" w14:textId="77777777" w:rsidR="00FA26FA" w:rsidRDefault="00FA26FA" w:rsidP="001B4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114749"/>
      <w:docPartObj>
        <w:docPartGallery w:val="Page Numbers (Bottom of Page)"/>
        <w:docPartUnique/>
      </w:docPartObj>
    </w:sdtPr>
    <w:sdtEndPr>
      <w:rPr>
        <w:rFonts w:ascii="Times New Roman" w:hAnsi="Times New Roman" w:cs="Times New Roman"/>
        <w:sz w:val="24"/>
        <w:szCs w:val="24"/>
      </w:rPr>
    </w:sdtEndPr>
    <w:sdtContent>
      <w:p w14:paraId="1A11FE0F" w14:textId="43239738" w:rsidR="002D7757" w:rsidRPr="001A311B" w:rsidRDefault="002D7757">
        <w:pPr>
          <w:pStyle w:val="Stopka"/>
          <w:jc w:val="center"/>
          <w:rPr>
            <w:rFonts w:ascii="Times New Roman" w:hAnsi="Times New Roman" w:cs="Times New Roman"/>
            <w:sz w:val="24"/>
            <w:szCs w:val="24"/>
          </w:rPr>
        </w:pPr>
        <w:r w:rsidRPr="001A311B">
          <w:rPr>
            <w:rFonts w:ascii="Times New Roman" w:hAnsi="Times New Roman" w:cs="Times New Roman"/>
            <w:sz w:val="24"/>
            <w:szCs w:val="24"/>
          </w:rPr>
          <w:fldChar w:fldCharType="begin"/>
        </w:r>
        <w:r w:rsidRPr="001A311B">
          <w:rPr>
            <w:rFonts w:ascii="Times New Roman" w:hAnsi="Times New Roman" w:cs="Times New Roman"/>
            <w:sz w:val="24"/>
            <w:szCs w:val="24"/>
          </w:rPr>
          <w:instrText>PAGE   \* MERGEFORMAT</w:instrText>
        </w:r>
        <w:r w:rsidRPr="001A311B">
          <w:rPr>
            <w:rFonts w:ascii="Times New Roman" w:hAnsi="Times New Roman" w:cs="Times New Roman"/>
            <w:sz w:val="24"/>
            <w:szCs w:val="24"/>
          </w:rPr>
          <w:fldChar w:fldCharType="separate"/>
        </w:r>
        <w:r w:rsidR="00942B17">
          <w:rPr>
            <w:rFonts w:ascii="Times New Roman" w:hAnsi="Times New Roman" w:cs="Times New Roman"/>
            <w:noProof/>
            <w:sz w:val="24"/>
            <w:szCs w:val="24"/>
          </w:rPr>
          <w:t>30</w:t>
        </w:r>
        <w:r w:rsidRPr="001A311B">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398344"/>
      <w:docPartObj>
        <w:docPartGallery w:val="Page Numbers (Bottom of Page)"/>
        <w:docPartUnique/>
      </w:docPartObj>
    </w:sdtPr>
    <w:sdtEndPr/>
    <w:sdtContent>
      <w:p w14:paraId="6D472A34" w14:textId="5D07B313" w:rsidR="002D7757" w:rsidRDefault="002D7757">
        <w:pPr>
          <w:pStyle w:val="Stopka"/>
          <w:jc w:val="right"/>
        </w:pPr>
        <w:r>
          <w:fldChar w:fldCharType="begin"/>
        </w:r>
        <w:r>
          <w:instrText xml:space="preserve"> PAGE   \* MERGEFORMAT </w:instrText>
        </w:r>
        <w:r>
          <w:fldChar w:fldCharType="separate"/>
        </w:r>
        <w:r w:rsidR="00942B17">
          <w:rPr>
            <w:noProof/>
          </w:rPr>
          <w:t>1</w:t>
        </w:r>
        <w:r>
          <w:rPr>
            <w:noProof/>
          </w:rPr>
          <w:fldChar w:fldCharType="end"/>
        </w:r>
      </w:p>
    </w:sdtContent>
  </w:sdt>
  <w:p w14:paraId="5E2AF7E3" w14:textId="77777777" w:rsidR="002D7757" w:rsidRDefault="002D775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ACA2A" w14:textId="77777777" w:rsidR="00FA26FA" w:rsidRDefault="00FA26FA" w:rsidP="001B4090">
      <w:pPr>
        <w:spacing w:after="0" w:line="240" w:lineRule="auto"/>
      </w:pPr>
      <w:r>
        <w:separator/>
      </w:r>
    </w:p>
  </w:footnote>
  <w:footnote w:type="continuationSeparator" w:id="0">
    <w:p w14:paraId="3088CE9F" w14:textId="77777777" w:rsidR="00FA26FA" w:rsidRDefault="00FA26FA" w:rsidP="001B4090">
      <w:pPr>
        <w:spacing w:after="0" w:line="240" w:lineRule="auto"/>
      </w:pPr>
      <w:r>
        <w:continuationSeparator/>
      </w:r>
    </w:p>
  </w:footnote>
  <w:footnote w:id="1">
    <w:p w14:paraId="14AA93B0" w14:textId="79C72DC3" w:rsidR="002D7757" w:rsidRPr="00E553A1" w:rsidRDefault="002D7757" w:rsidP="00E553A1">
      <w:pPr>
        <w:pStyle w:val="Tekstprzypisudolnego"/>
        <w:jc w:val="both"/>
        <w:rPr>
          <w:rFonts w:ascii="Times New Roman" w:hAnsi="Times New Roman" w:cs="Times New Roman"/>
        </w:rPr>
      </w:pPr>
      <w:r>
        <w:rPr>
          <w:rStyle w:val="Odwoanieprzypisudolnego"/>
        </w:rPr>
        <w:footnoteRef/>
      </w:r>
      <w:r w:rsidRPr="00E553A1">
        <w:rPr>
          <w:rFonts w:ascii="Times New Roman" w:hAnsi="Times New Roman" w:cs="Times New Roman"/>
        </w:rPr>
        <w:t xml:space="preserve">Rozporządzenie </w:t>
      </w:r>
      <w:r w:rsidR="008E4C83">
        <w:rPr>
          <w:rFonts w:ascii="Times New Roman" w:hAnsi="Times New Roman" w:cs="Times New Roman"/>
        </w:rPr>
        <w:t>(</w:t>
      </w:r>
      <w:r w:rsidRPr="00E553A1">
        <w:rPr>
          <w:rFonts w:ascii="Times New Roman" w:hAnsi="Times New Roman" w:cs="Times New Roman"/>
        </w:rPr>
        <w:t>WE</w:t>
      </w:r>
      <w:r w:rsidR="008E4C83">
        <w:rPr>
          <w:rFonts w:ascii="Times New Roman" w:hAnsi="Times New Roman" w:cs="Times New Roman"/>
        </w:rPr>
        <w:t>)</w:t>
      </w:r>
      <w:r w:rsidRPr="00E553A1">
        <w:rPr>
          <w:rFonts w:ascii="Times New Roman" w:hAnsi="Times New Roman" w:cs="Times New Roman"/>
        </w:rPr>
        <w:t xml:space="preserve"> nr 1370/2007 Parlamentu Europejskiego i Rady z dnia 23 października 2007 r. dotyczące usług publicznych w zakresie kolejowego i drogowego transportu pasażerskiego oraz uchylające rozporządzeni</w:t>
      </w:r>
      <w:r w:rsidR="008E4C83">
        <w:rPr>
          <w:rFonts w:ascii="Times New Roman" w:hAnsi="Times New Roman" w:cs="Times New Roman"/>
        </w:rPr>
        <w:t>a</w:t>
      </w:r>
      <w:r w:rsidRPr="00E553A1">
        <w:rPr>
          <w:rFonts w:ascii="Times New Roman" w:hAnsi="Times New Roman" w:cs="Times New Roman"/>
        </w:rPr>
        <w:t xml:space="preserve"> Rady (EWG) nr 1191/69 i (EWG) nr 1107/70 (Dz.</w:t>
      </w:r>
      <w:r w:rsidR="00C2385E">
        <w:rPr>
          <w:rFonts w:ascii="Times New Roman" w:hAnsi="Times New Roman" w:cs="Times New Roman"/>
        </w:rPr>
        <w:t xml:space="preserve"> </w:t>
      </w:r>
      <w:r w:rsidRPr="00E553A1">
        <w:rPr>
          <w:rFonts w:ascii="Times New Roman" w:hAnsi="Times New Roman" w:cs="Times New Roman"/>
        </w:rPr>
        <w:t>U</w:t>
      </w:r>
      <w:r w:rsidR="00C2385E">
        <w:rPr>
          <w:rFonts w:ascii="Times New Roman" w:hAnsi="Times New Roman" w:cs="Times New Roman"/>
        </w:rPr>
        <w:t>rz.</w:t>
      </w:r>
      <w:r w:rsidR="00C2385E" w:rsidRPr="00E553A1">
        <w:rPr>
          <w:rFonts w:ascii="Times New Roman" w:hAnsi="Times New Roman" w:cs="Times New Roman"/>
        </w:rPr>
        <w:t xml:space="preserve"> </w:t>
      </w:r>
      <w:r w:rsidR="007165D9">
        <w:rPr>
          <w:rFonts w:ascii="Times New Roman" w:hAnsi="Times New Roman" w:cs="Times New Roman"/>
        </w:rPr>
        <w:t xml:space="preserve">UE </w:t>
      </w:r>
      <w:r w:rsidRPr="00E553A1">
        <w:rPr>
          <w:rFonts w:ascii="Times New Roman" w:hAnsi="Times New Roman" w:cs="Times New Roman"/>
        </w:rPr>
        <w:t xml:space="preserve">L 315 z </w:t>
      </w:r>
      <w:r>
        <w:rPr>
          <w:rFonts w:ascii="Times New Roman" w:hAnsi="Times New Roman" w:cs="Times New Roman"/>
        </w:rPr>
        <w:br/>
      </w:r>
      <w:r w:rsidR="008E4C83">
        <w:rPr>
          <w:rFonts w:ascii="Times New Roman" w:hAnsi="Times New Roman" w:cs="Times New Roman"/>
        </w:rPr>
        <w:t>0</w:t>
      </w:r>
      <w:r w:rsidRPr="00E553A1">
        <w:rPr>
          <w:rFonts w:ascii="Times New Roman" w:hAnsi="Times New Roman" w:cs="Times New Roman"/>
        </w:rPr>
        <w:t>3.12.2007, s</w:t>
      </w:r>
      <w:r w:rsidR="00C2385E">
        <w:rPr>
          <w:rFonts w:ascii="Times New Roman" w:hAnsi="Times New Roman" w:cs="Times New Roman"/>
        </w:rPr>
        <w:t>tr</w:t>
      </w:r>
      <w:r w:rsidRPr="00E553A1">
        <w:rPr>
          <w:rFonts w:ascii="Times New Roman" w:hAnsi="Times New Roman" w:cs="Times New Roman"/>
        </w:rPr>
        <w:t>. 1</w:t>
      </w:r>
      <w:r w:rsidR="008E4C83">
        <w:rPr>
          <w:rFonts w:ascii="Times New Roman" w:hAnsi="Times New Roman" w:cs="Times New Roman"/>
        </w:rPr>
        <w:t>,</w:t>
      </w:r>
      <w:r w:rsidR="008E4C83" w:rsidRPr="008E4C83">
        <w:t xml:space="preserve"> </w:t>
      </w:r>
      <w:r w:rsidR="008E4C83" w:rsidRPr="008E4C83">
        <w:rPr>
          <w:rFonts w:ascii="Times New Roman" w:hAnsi="Times New Roman" w:cs="Times New Roman"/>
        </w:rPr>
        <w:t>z późn. zm.</w:t>
      </w:r>
      <w:r w:rsidRPr="00E553A1">
        <w:rPr>
          <w:rFonts w:ascii="Times New Roman" w:hAnsi="Times New Roman" w:cs="Times New Roman"/>
        </w:rPr>
        <w:t>)</w:t>
      </w:r>
      <w:r w:rsidR="00C2385E">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DA93C51"/>
    <w:multiLevelType w:val="multilevel"/>
    <w:tmpl w:val="972884F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15D3EF7"/>
    <w:multiLevelType w:val="hybridMultilevel"/>
    <w:tmpl w:val="9BE8883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B14740E"/>
    <w:multiLevelType w:val="multilevel"/>
    <w:tmpl w:val="B0D69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B33C2E"/>
    <w:multiLevelType w:val="hybridMultilevel"/>
    <w:tmpl w:val="0068DD1E"/>
    <w:lvl w:ilvl="0" w:tplc="04150011">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7" w15:restartNumberingAfterBreak="0">
    <w:nsid w:val="2505792C"/>
    <w:multiLevelType w:val="hybridMultilevel"/>
    <w:tmpl w:val="BCB4E12A"/>
    <w:lvl w:ilvl="0" w:tplc="4F46840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A151560"/>
    <w:multiLevelType w:val="hybridMultilevel"/>
    <w:tmpl w:val="40706E58"/>
    <w:lvl w:ilvl="0" w:tplc="DDCC9060">
      <w:start w:val="1"/>
      <w:numFmt w:val="upperRoman"/>
      <w:lvlText w:val="%1."/>
      <w:lvlJc w:val="left"/>
      <w:pPr>
        <w:ind w:left="740" w:hanging="72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9" w15:restartNumberingAfterBreak="0">
    <w:nsid w:val="40BA5A6A"/>
    <w:multiLevelType w:val="hybridMultilevel"/>
    <w:tmpl w:val="B7A4B768"/>
    <w:lvl w:ilvl="0" w:tplc="04150011">
      <w:start w:val="1"/>
      <w:numFmt w:val="decimal"/>
      <w:lvlText w:val="%1)"/>
      <w:lvlJc w:val="left"/>
      <w:pPr>
        <w:ind w:left="1428" w:hanging="360"/>
      </w:pPr>
    </w:lvl>
    <w:lvl w:ilvl="1" w:tplc="04150011">
      <w:start w:val="1"/>
      <w:numFmt w:val="decimal"/>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15:restartNumberingAfterBreak="0">
    <w:nsid w:val="474D1083"/>
    <w:multiLevelType w:val="hybridMultilevel"/>
    <w:tmpl w:val="50A641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A781861"/>
    <w:multiLevelType w:val="hybridMultilevel"/>
    <w:tmpl w:val="689487A6"/>
    <w:lvl w:ilvl="0" w:tplc="81EA6CE6">
      <w:start w:val="1"/>
      <w:numFmt w:val="decimal"/>
      <w:lvlText w:val="%1."/>
      <w:lvlJc w:val="left"/>
      <w:pPr>
        <w:ind w:left="1070" w:hanging="360"/>
      </w:pPr>
      <w:rPr>
        <w:rFonts w:ascii="Times New Roman" w:hAnsi="Times New Roman" w:cs="Times New Roman"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2" w15:restartNumberingAfterBreak="0">
    <w:nsid w:val="4C36726C"/>
    <w:multiLevelType w:val="hybridMultilevel"/>
    <w:tmpl w:val="E4342546"/>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3" w15:restartNumberingAfterBreak="0">
    <w:nsid w:val="4D201798"/>
    <w:multiLevelType w:val="hybridMultilevel"/>
    <w:tmpl w:val="BACCA0BC"/>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4" w15:restartNumberingAfterBreak="0">
    <w:nsid w:val="659C6EE9"/>
    <w:multiLevelType w:val="hybridMultilevel"/>
    <w:tmpl w:val="64102B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6D772EFD"/>
    <w:multiLevelType w:val="hybridMultilevel"/>
    <w:tmpl w:val="944A4C34"/>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7528639B"/>
    <w:multiLevelType w:val="multilevel"/>
    <w:tmpl w:val="07A0E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2C7C45"/>
    <w:multiLevelType w:val="hybridMultilevel"/>
    <w:tmpl w:val="F36C344E"/>
    <w:lvl w:ilvl="0" w:tplc="4A24DD6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7AB414F1"/>
    <w:multiLevelType w:val="hybridMultilevel"/>
    <w:tmpl w:val="B6D494CA"/>
    <w:lvl w:ilvl="0" w:tplc="E5C2D44E">
      <w:start w:val="1"/>
      <w:numFmt w:val="decimal"/>
      <w:lvlText w:val="%1)"/>
      <w:lvlJc w:val="left"/>
      <w:pPr>
        <w:ind w:left="1146" w:hanging="360"/>
      </w:pPr>
      <w:rPr>
        <w:rFonts w:ascii="Times New Roman" w:hAnsi="Times New Roman" w:cs="Times New Roman" w:hint="default"/>
      </w:rPr>
    </w:lvl>
    <w:lvl w:ilvl="1" w:tplc="7646F160">
      <w:start w:val="1"/>
      <w:numFmt w:val="decimal"/>
      <w:lvlText w:val="%2."/>
      <w:lvlJc w:val="left"/>
      <w:pPr>
        <w:ind w:left="798" w:firstLine="708"/>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4"/>
  </w:num>
  <w:num w:numId="2">
    <w:abstractNumId w:val="11"/>
  </w:num>
  <w:num w:numId="3">
    <w:abstractNumId w:val="12"/>
  </w:num>
  <w:num w:numId="4">
    <w:abstractNumId w:val="18"/>
  </w:num>
  <w:num w:numId="5">
    <w:abstractNumId w:val="6"/>
  </w:num>
  <w:num w:numId="6">
    <w:abstractNumId w:val="13"/>
  </w:num>
  <w:num w:numId="7">
    <w:abstractNumId w:val="15"/>
  </w:num>
  <w:num w:numId="8">
    <w:abstractNumId w:val="9"/>
  </w:num>
  <w:num w:numId="9">
    <w:abstractNumId w:val="16"/>
  </w:num>
  <w:num w:numId="10">
    <w:abstractNumId w:val="17"/>
  </w:num>
  <w:num w:numId="11">
    <w:abstractNumId w:val="10"/>
  </w:num>
  <w:num w:numId="12">
    <w:abstractNumId w:val="0"/>
  </w:num>
  <w:num w:numId="13">
    <w:abstractNumId w:val="1"/>
  </w:num>
  <w:num w:numId="14">
    <w:abstractNumId w:val="3"/>
  </w:num>
  <w:num w:numId="15">
    <w:abstractNumId w:val="5"/>
  </w:num>
  <w:num w:numId="16">
    <w:abstractNumId w:val="8"/>
  </w:num>
  <w:num w:numId="17">
    <w:abstractNumId w:val="2"/>
  </w:num>
  <w:num w:numId="18">
    <w:abstractNumId w:val="7"/>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9A4"/>
    <w:rsid w:val="00002BDB"/>
    <w:rsid w:val="00005330"/>
    <w:rsid w:val="00005C0E"/>
    <w:rsid w:val="00016DBB"/>
    <w:rsid w:val="0002312D"/>
    <w:rsid w:val="00024095"/>
    <w:rsid w:val="00025A34"/>
    <w:rsid w:val="000275E0"/>
    <w:rsid w:val="00027F76"/>
    <w:rsid w:val="00032F5F"/>
    <w:rsid w:val="000330F2"/>
    <w:rsid w:val="00042450"/>
    <w:rsid w:val="00053DEE"/>
    <w:rsid w:val="0005498E"/>
    <w:rsid w:val="00056744"/>
    <w:rsid w:val="00057354"/>
    <w:rsid w:val="00057457"/>
    <w:rsid w:val="000631E9"/>
    <w:rsid w:val="00064FCB"/>
    <w:rsid w:val="000722EF"/>
    <w:rsid w:val="00076595"/>
    <w:rsid w:val="00077CE4"/>
    <w:rsid w:val="00080D44"/>
    <w:rsid w:val="00081509"/>
    <w:rsid w:val="000819F4"/>
    <w:rsid w:val="0008331D"/>
    <w:rsid w:val="00085A7D"/>
    <w:rsid w:val="00086AD6"/>
    <w:rsid w:val="00087110"/>
    <w:rsid w:val="00087B4E"/>
    <w:rsid w:val="00094DD5"/>
    <w:rsid w:val="00097EA4"/>
    <w:rsid w:val="000A218D"/>
    <w:rsid w:val="000A3230"/>
    <w:rsid w:val="000A4BBD"/>
    <w:rsid w:val="000A51C3"/>
    <w:rsid w:val="000A5681"/>
    <w:rsid w:val="000A69D2"/>
    <w:rsid w:val="000B1D2B"/>
    <w:rsid w:val="000B20A6"/>
    <w:rsid w:val="000C0F2E"/>
    <w:rsid w:val="000C33E5"/>
    <w:rsid w:val="000C4FBC"/>
    <w:rsid w:val="000C7D5B"/>
    <w:rsid w:val="000D03FB"/>
    <w:rsid w:val="000D1857"/>
    <w:rsid w:val="000D2846"/>
    <w:rsid w:val="000D5319"/>
    <w:rsid w:val="000D5A4C"/>
    <w:rsid w:val="000D74F1"/>
    <w:rsid w:val="000E24CF"/>
    <w:rsid w:val="000E3D26"/>
    <w:rsid w:val="000F0EC8"/>
    <w:rsid w:val="000F2A07"/>
    <w:rsid w:val="000F3302"/>
    <w:rsid w:val="000F3D4A"/>
    <w:rsid w:val="000F6B85"/>
    <w:rsid w:val="0010150E"/>
    <w:rsid w:val="00102456"/>
    <w:rsid w:val="0010445E"/>
    <w:rsid w:val="00117CA2"/>
    <w:rsid w:val="00117DB7"/>
    <w:rsid w:val="001217D0"/>
    <w:rsid w:val="00123FF7"/>
    <w:rsid w:val="0013293C"/>
    <w:rsid w:val="00137F1F"/>
    <w:rsid w:val="001407A8"/>
    <w:rsid w:val="00142D38"/>
    <w:rsid w:val="001434F2"/>
    <w:rsid w:val="00145B53"/>
    <w:rsid w:val="0014682F"/>
    <w:rsid w:val="00147012"/>
    <w:rsid w:val="00150D73"/>
    <w:rsid w:val="0015463D"/>
    <w:rsid w:val="001659C2"/>
    <w:rsid w:val="001675EC"/>
    <w:rsid w:val="00170DB4"/>
    <w:rsid w:val="001717DD"/>
    <w:rsid w:val="0017192C"/>
    <w:rsid w:val="00173C0F"/>
    <w:rsid w:val="00173FB7"/>
    <w:rsid w:val="00176187"/>
    <w:rsid w:val="00182DB5"/>
    <w:rsid w:val="00183A4C"/>
    <w:rsid w:val="00187F3E"/>
    <w:rsid w:val="00192025"/>
    <w:rsid w:val="00195044"/>
    <w:rsid w:val="00196F40"/>
    <w:rsid w:val="001973FB"/>
    <w:rsid w:val="001A0E30"/>
    <w:rsid w:val="001A2644"/>
    <w:rsid w:val="001A311B"/>
    <w:rsid w:val="001A42E1"/>
    <w:rsid w:val="001A6F51"/>
    <w:rsid w:val="001B4090"/>
    <w:rsid w:val="001C0C61"/>
    <w:rsid w:val="001C1493"/>
    <w:rsid w:val="001C20EA"/>
    <w:rsid w:val="001C3B6C"/>
    <w:rsid w:val="001C5EA5"/>
    <w:rsid w:val="001C71F2"/>
    <w:rsid w:val="001D22A9"/>
    <w:rsid w:val="001D30CA"/>
    <w:rsid w:val="001E112C"/>
    <w:rsid w:val="001E647B"/>
    <w:rsid w:val="001F0BE1"/>
    <w:rsid w:val="001F4CE2"/>
    <w:rsid w:val="00200AB8"/>
    <w:rsid w:val="002045A1"/>
    <w:rsid w:val="00211FDB"/>
    <w:rsid w:val="002131AB"/>
    <w:rsid w:val="00214C06"/>
    <w:rsid w:val="00220F94"/>
    <w:rsid w:val="00226164"/>
    <w:rsid w:val="002269D8"/>
    <w:rsid w:val="002317D1"/>
    <w:rsid w:val="00231FC5"/>
    <w:rsid w:val="0023272D"/>
    <w:rsid w:val="00233A64"/>
    <w:rsid w:val="00234431"/>
    <w:rsid w:val="00234F35"/>
    <w:rsid w:val="00235D27"/>
    <w:rsid w:val="00235F38"/>
    <w:rsid w:val="002362BC"/>
    <w:rsid w:val="00237707"/>
    <w:rsid w:val="0024129F"/>
    <w:rsid w:val="002440C0"/>
    <w:rsid w:val="0025402F"/>
    <w:rsid w:val="0026017D"/>
    <w:rsid w:val="00261663"/>
    <w:rsid w:val="00261CE3"/>
    <w:rsid w:val="002651BE"/>
    <w:rsid w:val="00271FC8"/>
    <w:rsid w:val="0027664E"/>
    <w:rsid w:val="00290EB5"/>
    <w:rsid w:val="002912C9"/>
    <w:rsid w:val="002A024E"/>
    <w:rsid w:val="002A06E7"/>
    <w:rsid w:val="002A2696"/>
    <w:rsid w:val="002A2A1A"/>
    <w:rsid w:val="002B3053"/>
    <w:rsid w:val="002B399C"/>
    <w:rsid w:val="002C0794"/>
    <w:rsid w:val="002C22ED"/>
    <w:rsid w:val="002C4EBF"/>
    <w:rsid w:val="002C52D0"/>
    <w:rsid w:val="002D21FD"/>
    <w:rsid w:val="002D2D98"/>
    <w:rsid w:val="002D426F"/>
    <w:rsid w:val="002D613C"/>
    <w:rsid w:val="002D7757"/>
    <w:rsid w:val="002E2449"/>
    <w:rsid w:val="002E6F62"/>
    <w:rsid w:val="002F07A5"/>
    <w:rsid w:val="002F1DFF"/>
    <w:rsid w:val="002F3305"/>
    <w:rsid w:val="003010FB"/>
    <w:rsid w:val="003022FD"/>
    <w:rsid w:val="00305CAF"/>
    <w:rsid w:val="00311320"/>
    <w:rsid w:val="00313A5A"/>
    <w:rsid w:val="00314C7E"/>
    <w:rsid w:val="003158BD"/>
    <w:rsid w:val="0031645A"/>
    <w:rsid w:val="00322A3E"/>
    <w:rsid w:val="00322F21"/>
    <w:rsid w:val="00323E7A"/>
    <w:rsid w:val="00325316"/>
    <w:rsid w:val="00325B1C"/>
    <w:rsid w:val="003354DB"/>
    <w:rsid w:val="00336354"/>
    <w:rsid w:val="00336ADC"/>
    <w:rsid w:val="00344215"/>
    <w:rsid w:val="003448E2"/>
    <w:rsid w:val="003449B3"/>
    <w:rsid w:val="003548FB"/>
    <w:rsid w:val="00356264"/>
    <w:rsid w:val="0036370D"/>
    <w:rsid w:val="0036470F"/>
    <w:rsid w:val="003650E2"/>
    <w:rsid w:val="00367A43"/>
    <w:rsid w:val="00367FF1"/>
    <w:rsid w:val="00374CF5"/>
    <w:rsid w:val="00376026"/>
    <w:rsid w:val="0037769D"/>
    <w:rsid w:val="00380136"/>
    <w:rsid w:val="0038252D"/>
    <w:rsid w:val="003A6C3D"/>
    <w:rsid w:val="003B1A25"/>
    <w:rsid w:val="003C28CE"/>
    <w:rsid w:val="003C7478"/>
    <w:rsid w:val="003D7C34"/>
    <w:rsid w:val="003E1BBF"/>
    <w:rsid w:val="003E6227"/>
    <w:rsid w:val="003E72D2"/>
    <w:rsid w:val="003F13A2"/>
    <w:rsid w:val="003F6A97"/>
    <w:rsid w:val="004016CE"/>
    <w:rsid w:val="0040268A"/>
    <w:rsid w:val="004047F9"/>
    <w:rsid w:val="004077DE"/>
    <w:rsid w:val="00413D4F"/>
    <w:rsid w:val="0041510E"/>
    <w:rsid w:val="00415CCF"/>
    <w:rsid w:val="00417A6B"/>
    <w:rsid w:val="004210ED"/>
    <w:rsid w:val="00422B86"/>
    <w:rsid w:val="00422F96"/>
    <w:rsid w:val="004232F5"/>
    <w:rsid w:val="004254CC"/>
    <w:rsid w:val="00426528"/>
    <w:rsid w:val="004272ED"/>
    <w:rsid w:val="00430B90"/>
    <w:rsid w:val="00443471"/>
    <w:rsid w:val="00450D61"/>
    <w:rsid w:val="004519CF"/>
    <w:rsid w:val="00452BC1"/>
    <w:rsid w:val="00452FB8"/>
    <w:rsid w:val="004537A7"/>
    <w:rsid w:val="00460F31"/>
    <w:rsid w:val="00471CC1"/>
    <w:rsid w:val="00480BBE"/>
    <w:rsid w:val="0048197D"/>
    <w:rsid w:val="0048786F"/>
    <w:rsid w:val="00490BDD"/>
    <w:rsid w:val="0049790D"/>
    <w:rsid w:val="004A04F0"/>
    <w:rsid w:val="004A0D18"/>
    <w:rsid w:val="004A61C2"/>
    <w:rsid w:val="004A68AB"/>
    <w:rsid w:val="004B4316"/>
    <w:rsid w:val="004B4D66"/>
    <w:rsid w:val="004B52F4"/>
    <w:rsid w:val="004C17C4"/>
    <w:rsid w:val="004C4635"/>
    <w:rsid w:val="004C5DEE"/>
    <w:rsid w:val="004C6981"/>
    <w:rsid w:val="004C6D37"/>
    <w:rsid w:val="004D0B19"/>
    <w:rsid w:val="004D26AA"/>
    <w:rsid w:val="004D2805"/>
    <w:rsid w:val="004D4B27"/>
    <w:rsid w:val="004D4CAF"/>
    <w:rsid w:val="004D4F1D"/>
    <w:rsid w:val="004E001A"/>
    <w:rsid w:val="004F07BC"/>
    <w:rsid w:val="004F72A9"/>
    <w:rsid w:val="004F7F80"/>
    <w:rsid w:val="00506AD4"/>
    <w:rsid w:val="005102E5"/>
    <w:rsid w:val="005105E7"/>
    <w:rsid w:val="005134D2"/>
    <w:rsid w:val="00515174"/>
    <w:rsid w:val="005166A3"/>
    <w:rsid w:val="00520A84"/>
    <w:rsid w:val="00523BFE"/>
    <w:rsid w:val="00524E52"/>
    <w:rsid w:val="005250A0"/>
    <w:rsid w:val="0052715E"/>
    <w:rsid w:val="00527858"/>
    <w:rsid w:val="00530D5A"/>
    <w:rsid w:val="00531AEC"/>
    <w:rsid w:val="00535910"/>
    <w:rsid w:val="0053602B"/>
    <w:rsid w:val="0053674D"/>
    <w:rsid w:val="00536D82"/>
    <w:rsid w:val="005407AB"/>
    <w:rsid w:val="00545DD1"/>
    <w:rsid w:val="00545F3F"/>
    <w:rsid w:val="00546D99"/>
    <w:rsid w:val="0055437B"/>
    <w:rsid w:val="00561A8A"/>
    <w:rsid w:val="00570701"/>
    <w:rsid w:val="005712B9"/>
    <w:rsid w:val="00572612"/>
    <w:rsid w:val="005743CC"/>
    <w:rsid w:val="005756F4"/>
    <w:rsid w:val="00577579"/>
    <w:rsid w:val="005823C5"/>
    <w:rsid w:val="005832B1"/>
    <w:rsid w:val="00584864"/>
    <w:rsid w:val="005907DB"/>
    <w:rsid w:val="00590A44"/>
    <w:rsid w:val="00591788"/>
    <w:rsid w:val="005938F6"/>
    <w:rsid w:val="00594459"/>
    <w:rsid w:val="005948A4"/>
    <w:rsid w:val="00597502"/>
    <w:rsid w:val="005A1CE4"/>
    <w:rsid w:val="005A404E"/>
    <w:rsid w:val="005B20F2"/>
    <w:rsid w:val="005B3670"/>
    <w:rsid w:val="005C0AEB"/>
    <w:rsid w:val="005C1E21"/>
    <w:rsid w:val="005C3509"/>
    <w:rsid w:val="005D0C50"/>
    <w:rsid w:val="005D140A"/>
    <w:rsid w:val="005D28A4"/>
    <w:rsid w:val="005D4D9D"/>
    <w:rsid w:val="005D79BC"/>
    <w:rsid w:val="005D7BFC"/>
    <w:rsid w:val="005E050C"/>
    <w:rsid w:val="005E3090"/>
    <w:rsid w:val="005E55EC"/>
    <w:rsid w:val="005E5ABF"/>
    <w:rsid w:val="005E729F"/>
    <w:rsid w:val="005E742E"/>
    <w:rsid w:val="005E788D"/>
    <w:rsid w:val="005F31F3"/>
    <w:rsid w:val="005F5244"/>
    <w:rsid w:val="005F5493"/>
    <w:rsid w:val="005F7FED"/>
    <w:rsid w:val="00606232"/>
    <w:rsid w:val="006071FE"/>
    <w:rsid w:val="006136FB"/>
    <w:rsid w:val="006144BF"/>
    <w:rsid w:val="006153A0"/>
    <w:rsid w:val="00615C5D"/>
    <w:rsid w:val="00617B8E"/>
    <w:rsid w:val="00623092"/>
    <w:rsid w:val="00625CDC"/>
    <w:rsid w:val="00625ED4"/>
    <w:rsid w:val="0062777F"/>
    <w:rsid w:val="006312FF"/>
    <w:rsid w:val="006340EF"/>
    <w:rsid w:val="00640A32"/>
    <w:rsid w:val="00642A78"/>
    <w:rsid w:val="0064370B"/>
    <w:rsid w:val="0064446D"/>
    <w:rsid w:val="006464D5"/>
    <w:rsid w:val="00651237"/>
    <w:rsid w:val="006578AC"/>
    <w:rsid w:val="00657D94"/>
    <w:rsid w:val="00660C68"/>
    <w:rsid w:val="00664A9A"/>
    <w:rsid w:val="006666D9"/>
    <w:rsid w:val="00666748"/>
    <w:rsid w:val="0066731D"/>
    <w:rsid w:val="00670D44"/>
    <w:rsid w:val="00672BF1"/>
    <w:rsid w:val="00674EB8"/>
    <w:rsid w:val="00676FE5"/>
    <w:rsid w:val="00680E63"/>
    <w:rsid w:val="00683FB2"/>
    <w:rsid w:val="006904A8"/>
    <w:rsid w:val="0069089A"/>
    <w:rsid w:val="00696BFF"/>
    <w:rsid w:val="006A03BC"/>
    <w:rsid w:val="006A1191"/>
    <w:rsid w:val="006B487C"/>
    <w:rsid w:val="006C061C"/>
    <w:rsid w:val="006C2ABE"/>
    <w:rsid w:val="006C3966"/>
    <w:rsid w:val="006C5131"/>
    <w:rsid w:val="006C539C"/>
    <w:rsid w:val="006D36D4"/>
    <w:rsid w:val="006D5E67"/>
    <w:rsid w:val="006D7E90"/>
    <w:rsid w:val="006E1B60"/>
    <w:rsid w:val="006E1D3D"/>
    <w:rsid w:val="006E3282"/>
    <w:rsid w:val="006E6AAF"/>
    <w:rsid w:val="006F38B8"/>
    <w:rsid w:val="006F3B53"/>
    <w:rsid w:val="006F6C9F"/>
    <w:rsid w:val="00700FF2"/>
    <w:rsid w:val="007030A8"/>
    <w:rsid w:val="0070354B"/>
    <w:rsid w:val="007036F2"/>
    <w:rsid w:val="00703A8C"/>
    <w:rsid w:val="007050D5"/>
    <w:rsid w:val="00707036"/>
    <w:rsid w:val="00707174"/>
    <w:rsid w:val="00713FBF"/>
    <w:rsid w:val="007147C6"/>
    <w:rsid w:val="007165D9"/>
    <w:rsid w:val="00722B66"/>
    <w:rsid w:val="00722C56"/>
    <w:rsid w:val="0072340A"/>
    <w:rsid w:val="00731282"/>
    <w:rsid w:val="00732500"/>
    <w:rsid w:val="00735126"/>
    <w:rsid w:val="00735F76"/>
    <w:rsid w:val="007518B2"/>
    <w:rsid w:val="007538B0"/>
    <w:rsid w:val="0075396B"/>
    <w:rsid w:val="0076680E"/>
    <w:rsid w:val="00774AE7"/>
    <w:rsid w:val="00775C6D"/>
    <w:rsid w:val="00776FE3"/>
    <w:rsid w:val="007829E4"/>
    <w:rsid w:val="00785752"/>
    <w:rsid w:val="00786B0C"/>
    <w:rsid w:val="00792F96"/>
    <w:rsid w:val="00794219"/>
    <w:rsid w:val="00796607"/>
    <w:rsid w:val="007A20FE"/>
    <w:rsid w:val="007B130C"/>
    <w:rsid w:val="007B391E"/>
    <w:rsid w:val="007B3955"/>
    <w:rsid w:val="007B3F93"/>
    <w:rsid w:val="007B3FFD"/>
    <w:rsid w:val="007B5E7C"/>
    <w:rsid w:val="007B67E8"/>
    <w:rsid w:val="007B7039"/>
    <w:rsid w:val="007C1581"/>
    <w:rsid w:val="007C21EE"/>
    <w:rsid w:val="007C3044"/>
    <w:rsid w:val="007C39F9"/>
    <w:rsid w:val="007C6402"/>
    <w:rsid w:val="007C77DA"/>
    <w:rsid w:val="007D1F19"/>
    <w:rsid w:val="007D363E"/>
    <w:rsid w:val="007D71F3"/>
    <w:rsid w:val="007D7DEC"/>
    <w:rsid w:val="007E1CC4"/>
    <w:rsid w:val="007E451C"/>
    <w:rsid w:val="007E4E6F"/>
    <w:rsid w:val="007E5485"/>
    <w:rsid w:val="007E5855"/>
    <w:rsid w:val="007F0C64"/>
    <w:rsid w:val="007F21C9"/>
    <w:rsid w:val="008030E6"/>
    <w:rsid w:val="0080507E"/>
    <w:rsid w:val="00806752"/>
    <w:rsid w:val="0081227D"/>
    <w:rsid w:val="00813D0E"/>
    <w:rsid w:val="00820534"/>
    <w:rsid w:val="0083588C"/>
    <w:rsid w:val="00841F9E"/>
    <w:rsid w:val="00844582"/>
    <w:rsid w:val="00847F19"/>
    <w:rsid w:val="00847F34"/>
    <w:rsid w:val="008519F2"/>
    <w:rsid w:val="00855220"/>
    <w:rsid w:val="00855411"/>
    <w:rsid w:val="00855AF9"/>
    <w:rsid w:val="00857F58"/>
    <w:rsid w:val="00864B56"/>
    <w:rsid w:val="008661B1"/>
    <w:rsid w:val="008673D0"/>
    <w:rsid w:val="0087082F"/>
    <w:rsid w:val="008742B0"/>
    <w:rsid w:val="00876416"/>
    <w:rsid w:val="00876E1A"/>
    <w:rsid w:val="008771D0"/>
    <w:rsid w:val="008816B1"/>
    <w:rsid w:val="00884435"/>
    <w:rsid w:val="00892739"/>
    <w:rsid w:val="00893A5D"/>
    <w:rsid w:val="00894629"/>
    <w:rsid w:val="008953D9"/>
    <w:rsid w:val="008A198A"/>
    <w:rsid w:val="008A1E57"/>
    <w:rsid w:val="008A4554"/>
    <w:rsid w:val="008A70B3"/>
    <w:rsid w:val="008B374E"/>
    <w:rsid w:val="008B5E7F"/>
    <w:rsid w:val="008C2860"/>
    <w:rsid w:val="008C3AA6"/>
    <w:rsid w:val="008C53C2"/>
    <w:rsid w:val="008D0965"/>
    <w:rsid w:val="008D1A9C"/>
    <w:rsid w:val="008D7A05"/>
    <w:rsid w:val="008E0BDE"/>
    <w:rsid w:val="008E1A0F"/>
    <w:rsid w:val="008E4C83"/>
    <w:rsid w:val="008E5729"/>
    <w:rsid w:val="008E7088"/>
    <w:rsid w:val="008E7EC3"/>
    <w:rsid w:val="008F1414"/>
    <w:rsid w:val="008F2A50"/>
    <w:rsid w:val="008F3A88"/>
    <w:rsid w:val="008F475A"/>
    <w:rsid w:val="008F6F9A"/>
    <w:rsid w:val="00900BE2"/>
    <w:rsid w:val="009019A4"/>
    <w:rsid w:val="009033A7"/>
    <w:rsid w:val="00903E3A"/>
    <w:rsid w:val="00906678"/>
    <w:rsid w:val="00911730"/>
    <w:rsid w:val="009149D9"/>
    <w:rsid w:val="009177E5"/>
    <w:rsid w:val="0092333E"/>
    <w:rsid w:val="00923717"/>
    <w:rsid w:val="00924BE6"/>
    <w:rsid w:val="00925FEB"/>
    <w:rsid w:val="00927BE8"/>
    <w:rsid w:val="00930597"/>
    <w:rsid w:val="0093368C"/>
    <w:rsid w:val="009351D8"/>
    <w:rsid w:val="0093715D"/>
    <w:rsid w:val="00937D10"/>
    <w:rsid w:val="00942826"/>
    <w:rsid w:val="00942B17"/>
    <w:rsid w:val="00943ED5"/>
    <w:rsid w:val="00946709"/>
    <w:rsid w:val="00951126"/>
    <w:rsid w:val="009517C7"/>
    <w:rsid w:val="009532D3"/>
    <w:rsid w:val="00960FB2"/>
    <w:rsid w:val="00961FCC"/>
    <w:rsid w:val="009641DB"/>
    <w:rsid w:val="00964F80"/>
    <w:rsid w:val="0097735A"/>
    <w:rsid w:val="009852E0"/>
    <w:rsid w:val="009860EF"/>
    <w:rsid w:val="0098634C"/>
    <w:rsid w:val="009879E9"/>
    <w:rsid w:val="00987F29"/>
    <w:rsid w:val="00992E8D"/>
    <w:rsid w:val="009936A1"/>
    <w:rsid w:val="00993A17"/>
    <w:rsid w:val="0099553F"/>
    <w:rsid w:val="00995E4F"/>
    <w:rsid w:val="00997B2C"/>
    <w:rsid w:val="009A57F8"/>
    <w:rsid w:val="009B2280"/>
    <w:rsid w:val="009B4B30"/>
    <w:rsid w:val="009B602C"/>
    <w:rsid w:val="009B6D6D"/>
    <w:rsid w:val="009C0248"/>
    <w:rsid w:val="009C0A20"/>
    <w:rsid w:val="009C38BB"/>
    <w:rsid w:val="009C5059"/>
    <w:rsid w:val="009D2C12"/>
    <w:rsid w:val="009D47F4"/>
    <w:rsid w:val="009D718A"/>
    <w:rsid w:val="009E018C"/>
    <w:rsid w:val="009E379E"/>
    <w:rsid w:val="009F01A5"/>
    <w:rsid w:val="009F60D0"/>
    <w:rsid w:val="00A000AF"/>
    <w:rsid w:val="00A03465"/>
    <w:rsid w:val="00A07275"/>
    <w:rsid w:val="00A12279"/>
    <w:rsid w:val="00A12295"/>
    <w:rsid w:val="00A1624F"/>
    <w:rsid w:val="00A1649E"/>
    <w:rsid w:val="00A16F4F"/>
    <w:rsid w:val="00A209F6"/>
    <w:rsid w:val="00A22C61"/>
    <w:rsid w:val="00A23648"/>
    <w:rsid w:val="00A27D77"/>
    <w:rsid w:val="00A308F5"/>
    <w:rsid w:val="00A31921"/>
    <w:rsid w:val="00A3396A"/>
    <w:rsid w:val="00A35910"/>
    <w:rsid w:val="00A37DF9"/>
    <w:rsid w:val="00A46221"/>
    <w:rsid w:val="00A46EDB"/>
    <w:rsid w:val="00A544A2"/>
    <w:rsid w:val="00A56117"/>
    <w:rsid w:val="00A564A3"/>
    <w:rsid w:val="00A571D4"/>
    <w:rsid w:val="00A60681"/>
    <w:rsid w:val="00A6478E"/>
    <w:rsid w:val="00A650E6"/>
    <w:rsid w:val="00A66EC4"/>
    <w:rsid w:val="00A714EB"/>
    <w:rsid w:val="00A740F1"/>
    <w:rsid w:val="00A74E32"/>
    <w:rsid w:val="00A756DB"/>
    <w:rsid w:val="00A778F3"/>
    <w:rsid w:val="00A77C65"/>
    <w:rsid w:val="00A82023"/>
    <w:rsid w:val="00A83C88"/>
    <w:rsid w:val="00A84800"/>
    <w:rsid w:val="00A8520B"/>
    <w:rsid w:val="00A852CA"/>
    <w:rsid w:val="00A85A5C"/>
    <w:rsid w:val="00A905AA"/>
    <w:rsid w:val="00A916B0"/>
    <w:rsid w:val="00A93D68"/>
    <w:rsid w:val="00A94D96"/>
    <w:rsid w:val="00AA059A"/>
    <w:rsid w:val="00AA3C1B"/>
    <w:rsid w:val="00AA5247"/>
    <w:rsid w:val="00AB0DB3"/>
    <w:rsid w:val="00AB4BCC"/>
    <w:rsid w:val="00AC0112"/>
    <w:rsid w:val="00AC0A38"/>
    <w:rsid w:val="00AC4EBB"/>
    <w:rsid w:val="00AD03E6"/>
    <w:rsid w:val="00AD459C"/>
    <w:rsid w:val="00AD64F9"/>
    <w:rsid w:val="00AD6511"/>
    <w:rsid w:val="00AD78CD"/>
    <w:rsid w:val="00AD7DB5"/>
    <w:rsid w:val="00AE0752"/>
    <w:rsid w:val="00AE6743"/>
    <w:rsid w:val="00AE7A2D"/>
    <w:rsid w:val="00AF0E6B"/>
    <w:rsid w:val="00AF2538"/>
    <w:rsid w:val="00AF2F86"/>
    <w:rsid w:val="00AF56E5"/>
    <w:rsid w:val="00AF58AE"/>
    <w:rsid w:val="00B03518"/>
    <w:rsid w:val="00B100ED"/>
    <w:rsid w:val="00B13B3D"/>
    <w:rsid w:val="00B13E64"/>
    <w:rsid w:val="00B159CC"/>
    <w:rsid w:val="00B16ECF"/>
    <w:rsid w:val="00B24057"/>
    <w:rsid w:val="00B248A8"/>
    <w:rsid w:val="00B25386"/>
    <w:rsid w:val="00B27CB3"/>
    <w:rsid w:val="00B30733"/>
    <w:rsid w:val="00B316F4"/>
    <w:rsid w:val="00B3404C"/>
    <w:rsid w:val="00B34946"/>
    <w:rsid w:val="00B34D02"/>
    <w:rsid w:val="00B36758"/>
    <w:rsid w:val="00B45126"/>
    <w:rsid w:val="00B472D1"/>
    <w:rsid w:val="00B54BB6"/>
    <w:rsid w:val="00B6082E"/>
    <w:rsid w:val="00B60962"/>
    <w:rsid w:val="00B628A2"/>
    <w:rsid w:val="00B638F5"/>
    <w:rsid w:val="00B63C4F"/>
    <w:rsid w:val="00B71DD7"/>
    <w:rsid w:val="00B8027A"/>
    <w:rsid w:val="00B831C7"/>
    <w:rsid w:val="00B84180"/>
    <w:rsid w:val="00B8700E"/>
    <w:rsid w:val="00B90A39"/>
    <w:rsid w:val="00B90EF1"/>
    <w:rsid w:val="00B917F3"/>
    <w:rsid w:val="00B91853"/>
    <w:rsid w:val="00B91A3D"/>
    <w:rsid w:val="00B9211E"/>
    <w:rsid w:val="00B9460E"/>
    <w:rsid w:val="00B95E22"/>
    <w:rsid w:val="00B967EA"/>
    <w:rsid w:val="00BA4D15"/>
    <w:rsid w:val="00BA5CF2"/>
    <w:rsid w:val="00BA73AB"/>
    <w:rsid w:val="00BB2472"/>
    <w:rsid w:val="00BC44B7"/>
    <w:rsid w:val="00BC52AE"/>
    <w:rsid w:val="00BC5F1A"/>
    <w:rsid w:val="00BC773C"/>
    <w:rsid w:val="00BD001E"/>
    <w:rsid w:val="00BD3B8A"/>
    <w:rsid w:val="00BD4948"/>
    <w:rsid w:val="00BD4C42"/>
    <w:rsid w:val="00BD4E28"/>
    <w:rsid w:val="00BD6DDA"/>
    <w:rsid w:val="00BE1F6C"/>
    <w:rsid w:val="00BE3647"/>
    <w:rsid w:val="00BE4F81"/>
    <w:rsid w:val="00BE53D1"/>
    <w:rsid w:val="00C008C1"/>
    <w:rsid w:val="00C00B70"/>
    <w:rsid w:val="00C00E29"/>
    <w:rsid w:val="00C07CE4"/>
    <w:rsid w:val="00C10483"/>
    <w:rsid w:val="00C10CDB"/>
    <w:rsid w:val="00C2306A"/>
    <w:rsid w:val="00C236FF"/>
    <w:rsid w:val="00C2385E"/>
    <w:rsid w:val="00C25818"/>
    <w:rsid w:val="00C3467D"/>
    <w:rsid w:val="00C3493A"/>
    <w:rsid w:val="00C3650B"/>
    <w:rsid w:val="00C36590"/>
    <w:rsid w:val="00C41627"/>
    <w:rsid w:val="00C443A7"/>
    <w:rsid w:val="00C4445D"/>
    <w:rsid w:val="00C456CC"/>
    <w:rsid w:val="00C5162A"/>
    <w:rsid w:val="00C51D7F"/>
    <w:rsid w:val="00C53FF3"/>
    <w:rsid w:val="00C6528B"/>
    <w:rsid w:val="00C7160E"/>
    <w:rsid w:val="00C80597"/>
    <w:rsid w:val="00C80D57"/>
    <w:rsid w:val="00C80EBF"/>
    <w:rsid w:val="00C847F5"/>
    <w:rsid w:val="00C849EC"/>
    <w:rsid w:val="00C93CBF"/>
    <w:rsid w:val="00C94556"/>
    <w:rsid w:val="00C957A0"/>
    <w:rsid w:val="00C9673B"/>
    <w:rsid w:val="00CA793E"/>
    <w:rsid w:val="00CB0967"/>
    <w:rsid w:val="00CB2D8E"/>
    <w:rsid w:val="00CB688B"/>
    <w:rsid w:val="00CC04E2"/>
    <w:rsid w:val="00CC0A16"/>
    <w:rsid w:val="00CC1D50"/>
    <w:rsid w:val="00CC2699"/>
    <w:rsid w:val="00CC29A6"/>
    <w:rsid w:val="00CC3AF4"/>
    <w:rsid w:val="00CC5A12"/>
    <w:rsid w:val="00CC785D"/>
    <w:rsid w:val="00CD0375"/>
    <w:rsid w:val="00CD101D"/>
    <w:rsid w:val="00CD1876"/>
    <w:rsid w:val="00CD2EFE"/>
    <w:rsid w:val="00CD4FAA"/>
    <w:rsid w:val="00CD5CED"/>
    <w:rsid w:val="00CD6319"/>
    <w:rsid w:val="00CD6DE6"/>
    <w:rsid w:val="00CE43B8"/>
    <w:rsid w:val="00CE7B18"/>
    <w:rsid w:val="00CF1F37"/>
    <w:rsid w:val="00CF2698"/>
    <w:rsid w:val="00CF3678"/>
    <w:rsid w:val="00CF69F5"/>
    <w:rsid w:val="00D0071E"/>
    <w:rsid w:val="00D03DD0"/>
    <w:rsid w:val="00D11D15"/>
    <w:rsid w:val="00D14FA5"/>
    <w:rsid w:val="00D171CB"/>
    <w:rsid w:val="00D20D12"/>
    <w:rsid w:val="00D21497"/>
    <w:rsid w:val="00D2167B"/>
    <w:rsid w:val="00D2383B"/>
    <w:rsid w:val="00D2528F"/>
    <w:rsid w:val="00D30A72"/>
    <w:rsid w:val="00D317C4"/>
    <w:rsid w:val="00D31E64"/>
    <w:rsid w:val="00D3401B"/>
    <w:rsid w:val="00D3443E"/>
    <w:rsid w:val="00D34B7F"/>
    <w:rsid w:val="00D356C5"/>
    <w:rsid w:val="00D419C1"/>
    <w:rsid w:val="00D41A7E"/>
    <w:rsid w:val="00D44F33"/>
    <w:rsid w:val="00D453C2"/>
    <w:rsid w:val="00D4590E"/>
    <w:rsid w:val="00D4780C"/>
    <w:rsid w:val="00D539CF"/>
    <w:rsid w:val="00D54EEC"/>
    <w:rsid w:val="00D64979"/>
    <w:rsid w:val="00D6511B"/>
    <w:rsid w:val="00D66E7D"/>
    <w:rsid w:val="00D70F33"/>
    <w:rsid w:val="00D73129"/>
    <w:rsid w:val="00D739D3"/>
    <w:rsid w:val="00D73BF2"/>
    <w:rsid w:val="00D75766"/>
    <w:rsid w:val="00D75ADF"/>
    <w:rsid w:val="00D75AF0"/>
    <w:rsid w:val="00D84415"/>
    <w:rsid w:val="00D84498"/>
    <w:rsid w:val="00D93646"/>
    <w:rsid w:val="00D93D92"/>
    <w:rsid w:val="00DA0CA0"/>
    <w:rsid w:val="00DA152F"/>
    <w:rsid w:val="00DA3A1B"/>
    <w:rsid w:val="00DA4199"/>
    <w:rsid w:val="00DA49A0"/>
    <w:rsid w:val="00DA50A3"/>
    <w:rsid w:val="00DA5BE4"/>
    <w:rsid w:val="00DB3CC1"/>
    <w:rsid w:val="00DB6279"/>
    <w:rsid w:val="00DB6C1B"/>
    <w:rsid w:val="00DB7BA4"/>
    <w:rsid w:val="00DC0FB4"/>
    <w:rsid w:val="00DC3872"/>
    <w:rsid w:val="00DC6940"/>
    <w:rsid w:val="00DD2C57"/>
    <w:rsid w:val="00DD496B"/>
    <w:rsid w:val="00DE4D82"/>
    <w:rsid w:val="00DF25BC"/>
    <w:rsid w:val="00DF2A3D"/>
    <w:rsid w:val="00DF5CD8"/>
    <w:rsid w:val="00DF648B"/>
    <w:rsid w:val="00DF7636"/>
    <w:rsid w:val="00DF786D"/>
    <w:rsid w:val="00E0114B"/>
    <w:rsid w:val="00E02384"/>
    <w:rsid w:val="00E028BE"/>
    <w:rsid w:val="00E02F1D"/>
    <w:rsid w:val="00E03BCF"/>
    <w:rsid w:val="00E04FA3"/>
    <w:rsid w:val="00E05AEC"/>
    <w:rsid w:val="00E124E2"/>
    <w:rsid w:val="00E1314C"/>
    <w:rsid w:val="00E1658E"/>
    <w:rsid w:val="00E1702F"/>
    <w:rsid w:val="00E2405D"/>
    <w:rsid w:val="00E24298"/>
    <w:rsid w:val="00E2552C"/>
    <w:rsid w:val="00E25669"/>
    <w:rsid w:val="00E27A71"/>
    <w:rsid w:val="00E30FDF"/>
    <w:rsid w:val="00E3318C"/>
    <w:rsid w:val="00E3349D"/>
    <w:rsid w:val="00E33CC9"/>
    <w:rsid w:val="00E36A95"/>
    <w:rsid w:val="00E418CC"/>
    <w:rsid w:val="00E42700"/>
    <w:rsid w:val="00E42D55"/>
    <w:rsid w:val="00E45F27"/>
    <w:rsid w:val="00E50335"/>
    <w:rsid w:val="00E504EC"/>
    <w:rsid w:val="00E50912"/>
    <w:rsid w:val="00E5111F"/>
    <w:rsid w:val="00E516D1"/>
    <w:rsid w:val="00E553A1"/>
    <w:rsid w:val="00E574F3"/>
    <w:rsid w:val="00E57556"/>
    <w:rsid w:val="00E6009A"/>
    <w:rsid w:val="00E6673B"/>
    <w:rsid w:val="00E670AC"/>
    <w:rsid w:val="00E7136D"/>
    <w:rsid w:val="00E7740E"/>
    <w:rsid w:val="00E8074B"/>
    <w:rsid w:val="00E8623F"/>
    <w:rsid w:val="00E91F14"/>
    <w:rsid w:val="00E92290"/>
    <w:rsid w:val="00E93937"/>
    <w:rsid w:val="00E94D6F"/>
    <w:rsid w:val="00EA1192"/>
    <w:rsid w:val="00EA3B74"/>
    <w:rsid w:val="00EA461E"/>
    <w:rsid w:val="00EA504E"/>
    <w:rsid w:val="00EA7082"/>
    <w:rsid w:val="00EA7E87"/>
    <w:rsid w:val="00EA7F20"/>
    <w:rsid w:val="00EC4E9B"/>
    <w:rsid w:val="00EC5084"/>
    <w:rsid w:val="00EC761A"/>
    <w:rsid w:val="00ED1F6C"/>
    <w:rsid w:val="00ED3780"/>
    <w:rsid w:val="00ED524E"/>
    <w:rsid w:val="00ED68E6"/>
    <w:rsid w:val="00EE1283"/>
    <w:rsid w:val="00EE243C"/>
    <w:rsid w:val="00EE4211"/>
    <w:rsid w:val="00EE5C22"/>
    <w:rsid w:val="00EE7F53"/>
    <w:rsid w:val="00EF27A0"/>
    <w:rsid w:val="00EF3FC9"/>
    <w:rsid w:val="00EF5C2D"/>
    <w:rsid w:val="00EF5F41"/>
    <w:rsid w:val="00EF7179"/>
    <w:rsid w:val="00F001EB"/>
    <w:rsid w:val="00F0200A"/>
    <w:rsid w:val="00F036DE"/>
    <w:rsid w:val="00F06316"/>
    <w:rsid w:val="00F0684F"/>
    <w:rsid w:val="00F20809"/>
    <w:rsid w:val="00F218ED"/>
    <w:rsid w:val="00F25CDF"/>
    <w:rsid w:val="00F307EB"/>
    <w:rsid w:val="00F329D0"/>
    <w:rsid w:val="00F331AD"/>
    <w:rsid w:val="00F35DEC"/>
    <w:rsid w:val="00F36436"/>
    <w:rsid w:val="00F37C73"/>
    <w:rsid w:val="00F4138B"/>
    <w:rsid w:val="00F42540"/>
    <w:rsid w:val="00F43138"/>
    <w:rsid w:val="00F50664"/>
    <w:rsid w:val="00F51032"/>
    <w:rsid w:val="00F54BEA"/>
    <w:rsid w:val="00F54FC2"/>
    <w:rsid w:val="00F55413"/>
    <w:rsid w:val="00F565A8"/>
    <w:rsid w:val="00F6741F"/>
    <w:rsid w:val="00F67975"/>
    <w:rsid w:val="00F74A0E"/>
    <w:rsid w:val="00F77B2C"/>
    <w:rsid w:val="00F80541"/>
    <w:rsid w:val="00F80DBD"/>
    <w:rsid w:val="00F8317B"/>
    <w:rsid w:val="00F866D0"/>
    <w:rsid w:val="00F86706"/>
    <w:rsid w:val="00F95F20"/>
    <w:rsid w:val="00F96F7A"/>
    <w:rsid w:val="00F97942"/>
    <w:rsid w:val="00FA1A53"/>
    <w:rsid w:val="00FA26FA"/>
    <w:rsid w:val="00FA2E5B"/>
    <w:rsid w:val="00FA3AEA"/>
    <w:rsid w:val="00FB04CE"/>
    <w:rsid w:val="00FB0653"/>
    <w:rsid w:val="00FB0FC6"/>
    <w:rsid w:val="00FB2280"/>
    <w:rsid w:val="00FC1C32"/>
    <w:rsid w:val="00FC256C"/>
    <w:rsid w:val="00FD6FB9"/>
    <w:rsid w:val="00FE3BDC"/>
    <w:rsid w:val="00FE6187"/>
    <w:rsid w:val="00FF0072"/>
    <w:rsid w:val="00FF1529"/>
    <w:rsid w:val="00FF21D9"/>
    <w:rsid w:val="00FF2C97"/>
    <w:rsid w:val="00FF37AA"/>
    <w:rsid w:val="00FF4A71"/>
    <w:rsid w:val="00FF5E4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3F0E"/>
  <w15:docId w15:val="{108A0DB4-0636-4DB0-B90A-CC94962C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019A4"/>
    <w:pPr>
      <w:spacing w:after="200" w:line="276" w:lineRule="auto"/>
    </w:pPr>
  </w:style>
  <w:style w:type="paragraph" w:styleId="Nagwek1">
    <w:name w:val="heading 1"/>
    <w:basedOn w:val="Normalny"/>
    <w:next w:val="Normalny"/>
    <w:link w:val="Nagwek1Znak"/>
    <w:rsid w:val="00B6082E"/>
    <w:pPr>
      <w:keepNext/>
      <w:keepLines/>
      <w:spacing w:before="240" w:after="0"/>
      <w:outlineLvl w:val="0"/>
    </w:pPr>
    <w:rPr>
      <w:rFonts w:ascii="Calibri" w:eastAsia="Calibri" w:hAnsi="Calibri" w:cs="Calibri"/>
      <w:color w:val="2E75B5"/>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lp1,Preambuła,Numerowanie,Akapit z listą BS,Kolorowa lista — akcent 11,Dot pt,F5 List Paragraph,Recommendation,List Paragraph11"/>
    <w:basedOn w:val="Normalny"/>
    <w:link w:val="AkapitzlistZnak"/>
    <w:uiPriority w:val="34"/>
    <w:qFormat/>
    <w:rsid w:val="00D84415"/>
    <w:pPr>
      <w:ind w:left="720"/>
      <w:contextualSpacing/>
    </w:pPr>
    <w:rPr>
      <w:rFonts w:ascii="Calibri" w:eastAsia="Calibri" w:hAnsi="Calibri" w:cs="Times New Roman"/>
    </w:rPr>
  </w:style>
  <w:style w:type="paragraph" w:styleId="Zwykytekst">
    <w:name w:val="Plain Text"/>
    <w:basedOn w:val="Normalny"/>
    <w:link w:val="ZwykytekstZnak"/>
    <w:uiPriority w:val="99"/>
    <w:unhideWhenUsed/>
    <w:rsid w:val="00D84415"/>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D84415"/>
    <w:rPr>
      <w:rFonts w:ascii="Consolas" w:eastAsia="Calibri" w:hAnsi="Consolas" w:cs="Times New Roman"/>
      <w:sz w:val="21"/>
      <w:szCs w:val="21"/>
    </w:rPr>
  </w:style>
  <w:style w:type="character" w:customStyle="1" w:styleId="Teksttreci2">
    <w:name w:val="Tekst treści (2)"/>
    <w:rsid w:val="00D84415"/>
    <w:rPr>
      <w:rFonts w:ascii="Arial" w:eastAsia="Arial" w:hAnsi="Arial" w:cs="Arial"/>
      <w:b w:val="0"/>
      <w:bCs w:val="0"/>
      <w:i w:val="0"/>
      <w:iCs w:val="0"/>
      <w:smallCaps w:val="0"/>
      <w:strike w:val="0"/>
      <w:sz w:val="20"/>
      <w:szCs w:val="20"/>
      <w:u w:val="none"/>
    </w:rPr>
  </w:style>
  <w:style w:type="character" w:customStyle="1" w:styleId="AkapitzlistZnak">
    <w:name w:val="Akapit z listą Znak"/>
    <w:aliases w:val="CW_Lista Znak,lp1 Znak,Preambuła Znak,Numerowanie Znak,Akapit z listą BS Znak,Kolorowa lista — akcent 11 Znak,Dot pt Znak,F5 List Paragraph Znak,Recommendation Znak,List Paragraph11 Znak"/>
    <w:link w:val="Akapitzlist"/>
    <w:uiPriority w:val="34"/>
    <w:rsid w:val="00D84415"/>
    <w:rPr>
      <w:rFonts w:ascii="Calibri" w:eastAsia="Calibri" w:hAnsi="Calibri" w:cs="Times New Roman"/>
    </w:rPr>
  </w:style>
  <w:style w:type="character" w:styleId="Hipercze">
    <w:name w:val="Hyperlink"/>
    <w:basedOn w:val="Domylnaczcionkaakapitu"/>
    <w:uiPriority w:val="99"/>
    <w:semiHidden/>
    <w:unhideWhenUsed/>
    <w:rsid w:val="00F97942"/>
    <w:rPr>
      <w:color w:val="0000FF"/>
      <w:u w:val="single"/>
    </w:rPr>
  </w:style>
  <w:style w:type="paragraph" w:styleId="Nagwek">
    <w:name w:val="header"/>
    <w:basedOn w:val="Normalny"/>
    <w:link w:val="NagwekZnak"/>
    <w:uiPriority w:val="99"/>
    <w:unhideWhenUsed/>
    <w:rsid w:val="001B40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4090"/>
  </w:style>
  <w:style w:type="paragraph" w:styleId="Stopka">
    <w:name w:val="footer"/>
    <w:basedOn w:val="Normalny"/>
    <w:link w:val="StopkaZnak"/>
    <w:uiPriority w:val="99"/>
    <w:unhideWhenUsed/>
    <w:rsid w:val="001B40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4090"/>
  </w:style>
  <w:style w:type="paragraph" w:styleId="Tekstdymka">
    <w:name w:val="Balloon Text"/>
    <w:basedOn w:val="Normalny"/>
    <w:link w:val="TekstdymkaZnak"/>
    <w:uiPriority w:val="99"/>
    <w:semiHidden/>
    <w:unhideWhenUsed/>
    <w:rsid w:val="002A06E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A06E7"/>
    <w:rPr>
      <w:rFonts w:ascii="Segoe UI" w:hAnsi="Segoe UI" w:cs="Segoe UI"/>
      <w:sz w:val="18"/>
      <w:szCs w:val="18"/>
    </w:rPr>
  </w:style>
  <w:style w:type="paragraph" w:customStyle="1" w:styleId="ARTartustawynprozporzdzenia">
    <w:name w:val="ART(§) – art. ustawy (§ np. rozporządzenia)"/>
    <w:uiPriority w:val="11"/>
    <w:qFormat/>
    <w:rsid w:val="00A1649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komentarza">
    <w:name w:val="annotation text"/>
    <w:basedOn w:val="Normalny"/>
    <w:link w:val="TekstkomentarzaZnak"/>
    <w:uiPriority w:val="99"/>
    <w:unhideWhenUsed/>
    <w:rsid w:val="00B84180"/>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B84180"/>
    <w:rPr>
      <w:rFonts w:ascii="Times" w:eastAsia="Times New Roman" w:hAnsi="Times" w:cs="Times New Roman"/>
      <w:sz w:val="24"/>
      <w:szCs w:val="24"/>
      <w:lang w:eastAsia="pl-PL"/>
    </w:rPr>
  </w:style>
  <w:style w:type="paragraph" w:customStyle="1" w:styleId="ZPKTzmpktartykuempunktem">
    <w:name w:val="Z/PKT – zm. pkt artykułem (punktem)"/>
    <w:basedOn w:val="Normalny"/>
    <w:uiPriority w:val="31"/>
    <w:qFormat/>
    <w:rsid w:val="00B84180"/>
    <w:pPr>
      <w:spacing w:after="0" w:line="360" w:lineRule="auto"/>
      <w:ind w:left="1020" w:hanging="510"/>
      <w:jc w:val="both"/>
    </w:pPr>
    <w:rPr>
      <w:rFonts w:ascii="Times" w:eastAsiaTheme="minorEastAsia" w:hAnsi="Times" w:cs="Arial"/>
      <w:bCs/>
      <w:sz w:val="24"/>
      <w:szCs w:val="20"/>
      <w:lang w:eastAsia="pl-PL"/>
    </w:rPr>
  </w:style>
  <w:style w:type="paragraph" w:customStyle="1" w:styleId="CM1">
    <w:name w:val="CM1"/>
    <w:basedOn w:val="Normalny"/>
    <w:next w:val="Normalny"/>
    <w:uiPriority w:val="99"/>
    <w:rsid w:val="00B84180"/>
    <w:pPr>
      <w:autoSpaceDE w:val="0"/>
      <w:autoSpaceDN w:val="0"/>
      <w:adjustRightInd w:val="0"/>
      <w:spacing w:after="0" w:line="240" w:lineRule="auto"/>
    </w:pPr>
    <w:rPr>
      <w:rFonts w:ascii="Times New Roman" w:hAnsi="Times New Roman" w:cs="Times New Roman"/>
      <w:sz w:val="24"/>
      <w:szCs w:val="24"/>
    </w:rPr>
  </w:style>
  <w:style w:type="character" w:styleId="Pogrubienie">
    <w:name w:val="Strong"/>
    <w:basedOn w:val="Domylnaczcionkaakapitu"/>
    <w:uiPriority w:val="22"/>
    <w:qFormat/>
    <w:rsid w:val="00B84180"/>
    <w:rPr>
      <w:b/>
      <w:bCs/>
    </w:rPr>
  </w:style>
  <w:style w:type="paragraph" w:styleId="Tekstprzypisudolnego">
    <w:name w:val="footnote text"/>
    <w:basedOn w:val="Normalny"/>
    <w:link w:val="TekstprzypisudolnegoZnak"/>
    <w:uiPriority w:val="99"/>
    <w:semiHidden/>
    <w:unhideWhenUsed/>
    <w:rsid w:val="00B8418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84180"/>
    <w:rPr>
      <w:sz w:val="20"/>
      <w:szCs w:val="20"/>
    </w:rPr>
  </w:style>
  <w:style w:type="character" w:styleId="Odwoanieprzypisudolnego">
    <w:name w:val="footnote reference"/>
    <w:basedOn w:val="Domylnaczcionkaakapitu"/>
    <w:uiPriority w:val="99"/>
    <w:semiHidden/>
    <w:unhideWhenUsed/>
    <w:rsid w:val="00B84180"/>
    <w:rPr>
      <w:vertAlign w:val="superscript"/>
    </w:rPr>
  </w:style>
  <w:style w:type="paragraph" w:styleId="NormalnyWeb">
    <w:name w:val="Normal (Web)"/>
    <w:basedOn w:val="Normalny"/>
    <w:uiPriority w:val="99"/>
    <w:semiHidden/>
    <w:unhideWhenUsed/>
    <w:rsid w:val="00EA7E87"/>
    <w:pPr>
      <w:spacing w:after="0" w:line="240" w:lineRule="auto"/>
    </w:pPr>
    <w:rPr>
      <w:rFonts w:ascii="Times New Roman" w:eastAsia="Times New Roman" w:hAnsi="Times New Roman" w:cs="Times New Roman"/>
      <w:sz w:val="24"/>
      <w:szCs w:val="24"/>
      <w:lang w:eastAsia="pl-PL"/>
    </w:rPr>
  </w:style>
  <w:style w:type="character" w:customStyle="1" w:styleId="Teksttreci">
    <w:name w:val="Tekst treści_"/>
    <w:basedOn w:val="Domylnaczcionkaakapitu"/>
    <w:link w:val="Teksttreci1"/>
    <w:uiPriority w:val="99"/>
    <w:locked/>
    <w:rsid w:val="00B6082E"/>
    <w:rPr>
      <w:rFonts w:ascii="Times New Roman" w:hAnsi="Times New Roman" w:cs="Times New Roman"/>
      <w:shd w:val="clear" w:color="auto" w:fill="FFFFFF"/>
    </w:rPr>
  </w:style>
  <w:style w:type="paragraph" w:customStyle="1" w:styleId="Teksttreci1">
    <w:name w:val="Tekst treści1"/>
    <w:basedOn w:val="Normalny"/>
    <w:link w:val="Teksttreci"/>
    <w:uiPriority w:val="99"/>
    <w:rsid w:val="00B6082E"/>
    <w:pPr>
      <w:widowControl w:val="0"/>
      <w:shd w:val="clear" w:color="auto" w:fill="FFFFFF"/>
      <w:spacing w:after="600" w:line="240" w:lineRule="atLeast"/>
      <w:ind w:hanging="520"/>
      <w:jc w:val="right"/>
    </w:pPr>
    <w:rPr>
      <w:rFonts w:ascii="Times New Roman" w:hAnsi="Times New Roman" w:cs="Times New Roman"/>
    </w:rPr>
  </w:style>
  <w:style w:type="character" w:customStyle="1" w:styleId="Nagwek1Znak">
    <w:name w:val="Nagłówek 1 Znak"/>
    <w:basedOn w:val="Domylnaczcionkaakapitu"/>
    <w:link w:val="Nagwek1"/>
    <w:rsid w:val="00B6082E"/>
    <w:rPr>
      <w:rFonts w:ascii="Calibri" w:eastAsia="Calibri" w:hAnsi="Calibri" w:cs="Calibri"/>
      <w:color w:val="2E75B5"/>
      <w:sz w:val="32"/>
      <w:szCs w:val="32"/>
      <w:lang w:eastAsia="pl-PL"/>
    </w:rPr>
  </w:style>
  <w:style w:type="character" w:styleId="Odwoaniedokomentarza">
    <w:name w:val="annotation reference"/>
    <w:basedOn w:val="Domylnaczcionkaakapitu"/>
    <w:uiPriority w:val="99"/>
    <w:semiHidden/>
    <w:unhideWhenUsed/>
    <w:rsid w:val="005756F4"/>
    <w:rPr>
      <w:sz w:val="16"/>
      <w:szCs w:val="16"/>
    </w:rPr>
  </w:style>
  <w:style w:type="paragraph" w:styleId="Tematkomentarza">
    <w:name w:val="annotation subject"/>
    <w:basedOn w:val="Tekstkomentarza"/>
    <w:next w:val="Tekstkomentarza"/>
    <w:link w:val="TematkomentarzaZnak"/>
    <w:uiPriority w:val="99"/>
    <w:semiHidden/>
    <w:unhideWhenUsed/>
    <w:rsid w:val="005756F4"/>
    <w:pPr>
      <w:widowControl/>
      <w:autoSpaceDE/>
      <w:autoSpaceDN/>
      <w:adjustRightInd/>
      <w:spacing w:after="20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5756F4"/>
    <w:rPr>
      <w:rFonts w:ascii="Times" w:eastAsia="Times New Roman" w:hAnsi="Times" w:cs="Times New Roman"/>
      <w:b/>
      <w:bCs/>
      <w:sz w:val="20"/>
      <w:szCs w:val="20"/>
      <w:lang w:eastAsia="pl-PL"/>
    </w:rPr>
  </w:style>
  <w:style w:type="paragraph" w:customStyle="1" w:styleId="LITlitera">
    <w:name w:val="LIT – litera"/>
    <w:basedOn w:val="Normalny"/>
    <w:uiPriority w:val="14"/>
    <w:qFormat/>
    <w:rsid w:val="00C07CE4"/>
    <w:pPr>
      <w:spacing w:after="0" w:line="360" w:lineRule="auto"/>
      <w:ind w:left="986" w:hanging="476"/>
      <w:jc w:val="both"/>
    </w:pPr>
    <w:rPr>
      <w:rFonts w:ascii="Times" w:eastAsiaTheme="minorEastAsia" w:hAnsi="Times" w:cs="Arial"/>
      <w:bCs/>
      <w:sz w:val="24"/>
      <w:szCs w:val="20"/>
      <w:lang w:eastAsia="pl-PL"/>
    </w:rPr>
  </w:style>
  <w:style w:type="paragraph" w:customStyle="1" w:styleId="ZLITUSTzmustliter">
    <w:name w:val="Z_LIT/UST(§) – zm. ust. (§) literą"/>
    <w:basedOn w:val="Normalny"/>
    <w:uiPriority w:val="46"/>
    <w:qFormat/>
    <w:rsid w:val="00C07CE4"/>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B91853"/>
    <w:pPr>
      <w:spacing w:before="0"/>
      <w:ind w:left="510"/>
    </w:pPr>
  </w:style>
  <w:style w:type="paragraph" w:styleId="Bezodstpw">
    <w:name w:val="No Spacing"/>
    <w:uiPriority w:val="1"/>
    <w:qFormat/>
    <w:rsid w:val="00E8623F"/>
    <w:pPr>
      <w:spacing w:after="0" w:line="240" w:lineRule="auto"/>
    </w:pPr>
    <w:rPr>
      <w:rFonts w:ascii="Calibri" w:eastAsia="Times New Roman" w:hAnsi="Calibri" w:cs="Times New Roman"/>
    </w:rPr>
  </w:style>
  <w:style w:type="paragraph" w:styleId="Tekstprzypisukocowego">
    <w:name w:val="endnote text"/>
    <w:basedOn w:val="Normalny"/>
    <w:link w:val="TekstprzypisukocowegoZnak"/>
    <w:uiPriority w:val="99"/>
    <w:semiHidden/>
    <w:unhideWhenUsed/>
    <w:rsid w:val="0095112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51126"/>
    <w:rPr>
      <w:sz w:val="20"/>
      <w:szCs w:val="20"/>
    </w:rPr>
  </w:style>
  <w:style w:type="character" w:styleId="Odwoanieprzypisukocowego">
    <w:name w:val="endnote reference"/>
    <w:basedOn w:val="Domylnaczcionkaakapitu"/>
    <w:uiPriority w:val="99"/>
    <w:semiHidden/>
    <w:unhideWhenUsed/>
    <w:rsid w:val="00951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07567">
      <w:bodyDiv w:val="1"/>
      <w:marLeft w:val="0"/>
      <w:marRight w:val="0"/>
      <w:marTop w:val="0"/>
      <w:marBottom w:val="0"/>
      <w:divBdr>
        <w:top w:val="none" w:sz="0" w:space="0" w:color="auto"/>
        <w:left w:val="none" w:sz="0" w:space="0" w:color="auto"/>
        <w:bottom w:val="none" w:sz="0" w:space="0" w:color="auto"/>
        <w:right w:val="none" w:sz="0" w:space="0" w:color="auto"/>
      </w:divBdr>
    </w:div>
    <w:div w:id="199930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88A34-AD14-48FF-8659-2DB21BD64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9714</Words>
  <Characters>58284</Characters>
  <Application>Microsoft Office Word</Application>
  <DocSecurity>4</DocSecurity>
  <Lines>485</Lines>
  <Paragraphs>135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67863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Dunajewska-Bańka</dc:creator>
  <cp:lastModifiedBy>Binkowska Joanna</cp:lastModifiedBy>
  <cp:revision>2</cp:revision>
  <cp:lastPrinted>2018-06-27T10:22:00Z</cp:lastPrinted>
  <dcterms:created xsi:type="dcterms:W3CDTF">2020-11-18T18:12:00Z</dcterms:created>
  <dcterms:modified xsi:type="dcterms:W3CDTF">2020-11-18T18:12:00Z</dcterms:modified>
</cp:coreProperties>
</file>