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53B68" w14:textId="77777777" w:rsidR="00CD1D86" w:rsidRPr="00CB6D3C" w:rsidRDefault="00CD1D86" w:rsidP="00CB6D3C">
      <w:pPr>
        <w:keepNext/>
        <w:suppressAutoHyphens/>
        <w:spacing w:before="120" w:after="0" w:line="360" w:lineRule="auto"/>
        <w:jc w:val="center"/>
        <w:rPr>
          <w:rFonts w:ascii="Times New Roman" w:eastAsia="Times New Roman" w:hAnsi="Times New Roman" w:cs="Times New Roman"/>
          <w:bCs/>
          <w:sz w:val="24"/>
          <w:szCs w:val="24"/>
          <w:lang w:eastAsia="pl-PL"/>
        </w:rPr>
      </w:pPr>
      <w:bookmarkStart w:id="0" w:name="_GoBack"/>
      <w:bookmarkEnd w:id="0"/>
      <w:r w:rsidRPr="00CB6D3C">
        <w:rPr>
          <w:rFonts w:ascii="Times New Roman" w:eastAsia="Times New Roman" w:hAnsi="Times New Roman" w:cs="Times New Roman"/>
          <w:bCs/>
          <w:sz w:val="24"/>
          <w:szCs w:val="24"/>
          <w:lang w:eastAsia="pl-PL"/>
        </w:rPr>
        <w:t>UZASADNIENIE</w:t>
      </w:r>
    </w:p>
    <w:p w14:paraId="3EC4C226" w14:textId="299BDB00" w:rsidR="00CD1D86" w:rsidRPr="00CB6D3C" w:rsidRDefault="00CD1D86" w:rsidP="00CB6D3C">
      <w:pPr>
        <w:tabs>
          <w:tab w:val="left" w:pos="426"/>
        </w:tabs>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
          <w:bCs/>
          <w:sz w:val="24"/>
          <w:szCs w:val="24"/>
          <w:lang w:eastAsia="pl-PL"/>
        </w:rPr>
        <w:t>1.</w:t>
      </w:r>
      <w:r w:rsidR="00656E76">
        <w:rPr>
          <w:rFonts w:ascii="Times New Roman" w:eastAsia="Times New Roman" w:hAnsi="Times New Roman" w:cs="Times New Roman"/>
          <w:b/>
          <w:bCs/>
          <w:sz w:val="24"/>
          <w:szCs w:val="24"/>
          <w:lang w:eastAsia="pl-PL"/>
        </w:rPr>
        <w:tab/>
      </w:r>
      <w:r w:rsidRPr="00CB6D3C">
        <w:rPr>
          <w:rFonts w:ascii="Times New Roman" w:eastAsia="Times New Roman" w:hAnsi="Times New Roman" w:cs="Times New Roman"/>
          <w:b/>
          <w:bCs/>
          <w:sz w:val="24"/>
          <w:szCs w:val="24"/>
          <w:lang w:eastAsia="pl-PL"/>
        </w:rPr>
        <w:t>Potrzeba i cel uchwalenia ustawy</w:t>
      </w:r>
    </w:p>
    <w:p w14:paraId="1D58FC94" w14:textId="72C2F4F8"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Zasadniczym celem projektu jest zmiana przepisów ustawy z</w:t>
      </w:r>
      <w:r w:rsidR="00A675EA">
        <w:rPr>
          <w:rFonts w:ascii="Times New Roman" w:eastAsia="Times New Roman" w:hAnsi="Times New Roman" w:cs="Times New Roman"/>
          <w:bCs/>
          <w:sz w:val="24"/>
          <w:szCs w:val="24"/>
          <w:lang w:eastAsia="pl-PL"/>
        </w:rPr>
        <w:t xml:space="preserve"> </w:t>
      </w:r>
      <w:r w:rsidR="00AB399F">
        <w:rPr>
          <w:rFonts w:ascii="Times New Roman" w:eastAsia="Times New Roman" w:hAnsi="Times New Roman" w:cs="Times New Roman"/>
          <w:bCs/>
          <w:sz w:val="24"/>
          <w:szCs w:val="24"/>
          <w:lang w:eastAsia="pl-PL"/>
        </w:rPr>
        <w:t>dnia 30 sierpnia 2013 </w:t>
      </w:r>
      <w:r w:rsidRPr="00CB6D3C">
        <w:rPr>
          <w:rFonts w:ascii="Times New Roman" w:eastAsia="Times New Roman" w:hAnsi="Times New Roman" w:cs="Times New Roman"/>
          <w:bCs/>
          <w:sz w:val="24"/>
          <w:szCs w:val="24"/>
          <w:lang w:eastAsia="pl-PL"/>
        </w:rPr>
        <w:t>r. o</w:t>
      </w:r>
      <w:r w:rsidR="003F514B">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dotacji przeznaczonej dla niektórych p</w:t>
      </w:r>
      <w:r w:rsidR="003F514B">
        <w:rPr>
          <w:rFonts w:ascii="Times New Roman" w:eastAsia="Times New Roman" w:hAnsi="Times New Roman" w:cs="Times New Roman"/>
          <w:bCs/>
          <w:sz w:val="24"/>
          <w:szCs w:val="24"/>
          <w:lang w:eastAsia="pl-PL"/>
        </w:rPr>
        <w:t>odmiotów (Dz. U. z 2019 r. poz. </w:t>
      </w:r>
      <w:r w:rsidRPr="00CB6D3C">
        <w:rPr>
          <w:rFonts w:ascii="Times New Roman" w:eastAsia="Times New Roman" w:hAnsi="Times New Roman" w:cs="Times New Roman"/>
          <w:bCs/>
          <w:sz w:val="24"/>
          <w:szCs w:val="24"/>
          <w:lang w:eastAsia="pl-PL"/>
        </w:rPr>
        <w:t>1771) polegająca na wydłużeniu do dnia 31 grudnia 2027 r. udzielania dotacji z budżetu państwa dla następujących podmiotów:</w:t>
      </w:r>
    </w:p>
    <w:p w14:paraId="79DE8C42" w14:textId="7593DFA2" w:rsidR="00CD1D86" w:rsidRPr="00CB6D3C" w:rsidRDefault="00CD1D86" w:rsidP="00CB6D3C">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1)</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Kopalni Soli „Bochnia” sp. z o.o.;</w:t>
      </w:r>
    </w:p>
    <w:p w14:paraId="69B7BFA7" w14:textId="39292464" w:rsidR="00CD1D86" w:rsidRPr="00CB6D3C" w:rsidRDefault="00CD1D86" w:rsidP="00CB6D3C">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2)</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Kopalni Soli „Wieliczka” S.A.;</w:t>
      </w:r>
    </w:p>
    <w:p w14:paraId="4940574A" w14:textId="6BEA03E8" w:rsidR="00CD1D86" w:rsidRPr="00CB6D3C" w:rsidRDefault="00CD1D86" w:rsidP="00CB6D3C">
      <w:pPr>
        <w:tabs>
          <w:tab w:val="left" w:pos="426"/>
        </w:tabs>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3)</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Muzeum Górnictwa Węglowego w Zabrzu;</w:t>
      </w:r>
    </w:p>
    <w:p w14:paraId="446181C2" w14:textId="5F95BEA3" w:rsidR="00CD1D86" w:rsidRPr="00CB6D3C" w:rsidRDefault="00CD1D86" w:rsidP="00CB6D3C">
      <w:pPr>
        <w:tabs>
          <w:tab w:val="left" w:pos="426"/>
        </w:tabs>
        <w:suppressAutoHyphens/>
        <w:autoSpaceDE w:val="0"/>
        <w:autoSpaceDN w:val="0"/>
        <w:adjustRightInd w:val="0"/>
        <w:spacing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Cs/>
          <w:sz w:val="24"/>
          <w:szCs w:val="24"/>
          <w:lang w:eastAsia="pl-PL"/>
        </w:rPr>
        <w:t>4)</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Kopalni Siarki „Machów” S.A. w likwidacji.</w:t>
      </w:r>
    </w:p>
    <w:p w14:paraId="6BBBBB14" w14:textId="77777777" w:rsidR="00CD1D86" w:rsidRPr="00CB6D3C" w:rsidRDefault="00CD1D86" w:rsidP="00CB6D3C">
      <w:pPr>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
          <w:bCs/>
          <w:sz w:val="24"/>
          <w:szCs w:val="24"/>
          <w:lang w:eastAsia="pl-PL"/>
        </w:rPr>
        <w:t xml:space="preserve">Kopalnia Soli </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Bochnia</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 xml:space="preserve"> sp. z o.o. i Kopalnia Soli </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Wieliczka</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 xml:space="preserve"> S.A.</w:t>
      </w:r>
    </w:p>
    <w:p w14:paraId="1C04D2AC" w14:textId="5B2D4D30"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Wielowiekowa, intensywna eksploatacja soli w Kopalni Soli „Bochnia” i Kopalni Soli „Wieliczka” doprowadziła do znacznego rozwoju przestrzennego kopalń i powstania olbrzymiego kompleksu podziemnych wyrobisk o rozmaitym kształcie, objętości, usytuowaniu i różnym stopniu uszkodzenia, które są zlokalizowane na kilku poziomach. Spośród tych wyrobisk część wytypowano do zachowania. Udostępniona obecnie do zwiedzania część kopalń stanowi zaledwie kilka procent całkowitej objętości podziemnych pustek, które ze względu na konieczność zachowania wymagają wykonania dużego zakresu specjalistycznych robót górniczych. Wiąże się to z potrzebą wykonania szeroko zakrojonych prac zabezpieczających, obejmujących również likwidację części wyrobisk przez ich wypełnienie piaskiem lub innym materiałem. Wykonanie tych prac, a także wykonanie ich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odpowiednim terminie</w:t>
      </w:r>
      <w:r w:rsidR="00AB399F">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jest nie tylko warunkiem zapewnienia odpowiedniego bezpieczeństwa, lecz warunkuje także przetrwanie tego bezcennego zabytku. </w:t>
      </w:r>
    </w:p>
    <w:p w14:paraId="0012D340" w14:textId="189392C8"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Obie kopalnie soli są niewątpliwie niepowtarzalnym obiektem historycznym, kulturowym i geologiczno</w:t>
      </w:r>
      <w:r w:rsidR="00656E76">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górniczym, a to wymaga prowadzenia wszelkich starań, żeby te zabytki i ich wartość nie zaginęła. Służyć ma </w:t>
      </w:r>
      <w:r w:rsidR="003F514B">
        <w:rPr>
          <w:rFonts w:ascii="Times New Roman" w:eastAsia="Times New Roman" w:hAnsi="Times New Roman" w:cs="Times New Roman"/>
          <w:bCs/>
          <w:sz w:val="24"/>
          <w:szCs w:val="24"/>
          <w:lang w:eastAsia="pl-PL"/>
        </w:rPr>
        <w:t>temu prowadzony i finansowany z </w:t>
      </w:r>
      <w:r w:rsidRPr="00CB6D3C">
        <w:rPr>
          <w:rFonts w:ascii="Times New Roman" w:eastAsia="Times New Roman" w:hAnsi="Times New Roman" w:cs="Times New Roman"/>
          <w:bCs/>
          <w:sz w:val="24"/>
          <w:szCs w:val="24"/>
          <w:lang w:eastAsia="pl-PL"/>
        </w:rPr>
        <w:t>dotacji budżetowej proces zabezpieczania, renowacji najcenniejszych wyrobisk historycznych oraz likwidacji obszarów im zagrażających. Zaniechanie tego obowiązku może doprowadzić do destrukcji, czego następstwem będzie zagrożenie dla obiektów powierzchniowych miast Wieliczka i Bochnia, a</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także do wystąpienia niekontrolowanych zagrożeń naturalnych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górniczych, a nawet katastrofy górniczej.</w:t>
      </w:r>
    </w:p>
    <w:p w14:paraId="6D3EEBA7" w14:textId="2A868870"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lastRenderedPageBreak/>
        <w:t xml:space="preserve">W przypadku Kopalni Soli „Bochnia” w ramach przyznanych środków budżetowych możliwe będzie kontynuowanie finansowania całkowitej likwidacji zakładu górniczego „Siedlec-Moszczenica” oraz niezabytkowej części </w:t>
      </w:r>
      <w:r w:rsidR="003F514B">
        <w:rPr>
          <w:rFonts w:ascii="Times New Roman" w:eastAsia="Times New Roman" w:hAnsi="Times New Roman" w:cs="Times New Roman"/>
          <w:bCs/>
          <w:sz w:val="24"/>
          <w:szCs w:val="24"/>
          <w:lang w:eastAsia="pl-PL"/>
        </w:rPr>
        <w:t>zakładu górniczego „Bochnia”, a </w:t>
      </w:r>
      <w:r w:rsidRPr="00CB6D3C">
        <w:rPr>
          <w:rFonts w:ascii="Times New Roman" w:eastAsia="Times New Roman" w:hAnsi="Times New Roman" w:cs="Times New Roman"/>
          <w:bCs/>
          <w:sz w:val="24"/>
          <w:szCs w:val="24"/>
          <w:lang w:eastAsia="pl-PL"/>
        </w:rPr>
        <w:t>także utrzymania, zabezpieczenia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ratowania zabytkowych części zakładu górniczego „Bochnia”, zgodnie z zaakceptowanym przez Ministra Energii „Programem całkowitej likwidacji zakładu górniczego „Siedlec-Moszczenica”, niezabytkowej części zakładu górniczego „Bochnia” oraz utrzymania, zabezpieczenia i ratowania zabytkowych części zakładu górniczego „Bochnia”, wchodzących w skład Kopalni Soli Bochnia sp. z o.o. na lata 2014–2020 i przedłużenie na lata 2021</w:t>
      </w:r>
      <w:r w:rsidR="00DD5BD0"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2027”.</w:t>
      </w:r>
    </w:p>
    <w:p w14:paraId="21E368B9" w14:textId="3D54E19B"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W przypadku Kopalni Soli „Wieliczka” środki przewidywane są na kontynuację finansowania całkowitej likwidacji niezabytkowej części zakładu górniczego „Wieliczka”, a</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także utrzymania, zabezpieczenia i ratowania zabytkowych części zakładu górniczego „Wieliczka”, zgodnie z zaakceptowanym przez Ministra Energii „Programem całkowitej likwidacji niezabytkowej części zakładu górniczego „Wieliczka”, w ramach likwidacji części Kopalni Soli „Wieliczka” oraz utrzymania, zabezpieczenia i ratowania zabytkowej części Kopalni Soli „Wieliczka”, wchodzących w skład Kopalni Soli „Wieliczka” S.A. na lata 2014</w:t>
      </w:r>
      <w:r w:rsidR="00DD5BD0">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2027”. Niniejszy projekt pozostawia obu kopalniom możliwość finansowania z dotacji budżetowej również kosztów ogólnego zarządu związanych wyłącznie z</w:t>
      </w:r>
      <w:r w:rsidR="003F514B">
        <w:rPr>
          <w:rFonts w:ascii="Times New Roman" w:eastAsia="Times New Roman" w:hAnsi="Times New Roman" w:cs="Times New Roman"/>
          <w:sz w:val="24"/>
          <w:szCs w:val="24"/>
          <w:lang w:eastAsia="pl-PL"/>
        </w:rPr>
        <w:t xml:space="preserve"> realizacją zadań określonych w </w:t>
      </w:r>
      <w:r w:rsidRPr="00CB6D3C">
        <w:rPr>
          <w:rFonts w:ascii="Times New Roman" w:eastAsia="Times New Roman" w:hAnsi="Times New Roman" w:cs="Times New Roman"/>
          <w:sz w:val="24"/>
          <w:szCs w:val="24"/>
          <w:lang w:eastAsia="pl-PL"/>
        </w:rPr>
        <w:t>ustawie</w:t>
      </w:r>
      <w:r w:rsidR="00434F55">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 xml:space="preserve"> tj. utrzymaniem, zabezpieczeniem i ratowaniem zabytkowych części kopalń oraz likwidacją części niezabytkowych.</w:t>
      </w:r>
    </w:p>
    <w:p w14:paraId="2C35367C" w14:textId="00FB37FB"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Dotychczasowych planów obu kopalń soli nie udało się zrealizować przede wszystkim ze względu na to, że corocznie określane w ustaw</w:t>
      </w:r>
      <w:r w:rsidR="003F514B">
        <w:rPr>
          <w:rFonts w:ascii="Times New Roman" w:eastAsia="Times New Roman" w:hAnsi="Times New Roman" w:cs="Times New Roman"/>
          <w:sz w:val="24"/>
          <w:szCs w:val="24"/>
          <w:lang w:eastAsia="pl-PL"/>
        </w:rPr>
        <w:t>ach budżetowych kwoty dotacji z </w:t>
      </w:r>
      <w:r w:rsidRPr="00CB6D3C">
        <w:rPr>
          <w:rFonts w:ascii="Times New Roman" w:eastAsia="Times New Roman" w:hAnsi="Times New Roman" w:cs="Times New Roman"/>
          <w:sz w:val="24"/>
          <w:szCs w:val="24"/>
          <w:lang w:eastAsia="pl-PL"/>
        </w:rPr>
        <w:t>budżetu państwa znajdowały się na niższym poziomie niż założono w</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przedkładanych przez kopalnie wieloletnich programach likwidacji części niezabytkowych oraz zabezpieczenia i ratowania części zabytkowych. W przypadku Kopalni Soli „Wieliczka” koszty do sfinansowania dotacją w latach 2014</w:t>
      </w:r>
      <w:r w:rsidR="00DD5BD0">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202</w:t>
      </w:r>
      <w:r w:rsidR="001C4B99">
        <w:rPr>
          <w:rFonts w:ascii="Times New Roman" w:eastAsia="Times New Roman" w:hAnsi="Times New Roman" w:cs="Times New Roman"/>
          <w:sz w:val="24"/>
          <w:szCs w:val="24"/>
          <w:lang w:eastAsia="pl-PL"/>
        </w:rPr>
        <w:t>0 zaplanowano na poziomie 723,7 </w:t>
      </w:r>
      <w:r w:rsidRPr="00CB6D3C">
        <w:rPr>
          <w:rFonts w:ascii="Times New Roman" w:eastAsia="Times New Roman" w:hAnsi="Times New Roman" w:cs="Times New Roman"/>
          <w:sz w:val="24"/>
          <w:szCs w:val="24"/>
          <w:lang w:eastAsia="pl-PL"/>
        </w:rPr>
        <w:t>mln zł, podczas gdy wydatkowane środki w tym okresie wyniosły 4</w:t>
      </w:r>
      <w:r w:rsidR="001C4B99">
        <w:rPr>
          <w:rFonts w:ascii="Times New Roman" w:eastAsia="Times New Roman" w:hAnsi="Times New Roman" w:cs="Times New Roman"/>
          <w:sz w:val="24"/>
          <w:szCs w:val="24"/>
          <w:lang w:eastAsia="pl-PL"/>
        </w:rPr>
        <w:t>37,7 mln </w:t>
      </w:r>
      <w:r w:rsidRPr="00CB6D3C">
        <w:rPr>
          <w:rFonts w:ascii="Times New Roman" w:eastAsia="Times New Roman" w:hAnsi="Times New Roman" w:cs="Times New Roman"/>
          <w:sz w:val="24"/>
          <w:szCs w:val="24"/>
          <w:lang w:eastAsia="pl-PL"/>
        </w:rPr>
        <w:t>zł. Niedobór środków powoduje, że część prac jest przesuwanych w czasie. Inną przyczyną niezakończenia prowadzonych prac są warunki geologiczno-górnicze np. w</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Kopalni Soli „Bochnia” konieczne jest wprowadzenie dodatkowego zakresu robót podsadzkowych. Kilkusetletnia eksploatacja, prowadzona w</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 xml:space="preserve">Kopalni Soli Bochnia, spowodowała znaczną </w:t>
      </w:r>
      <w:r w:rsidRPr="00CB6D3C">
        <w:rPr>
          <w:rFonts w:ascii="Times New Roman" w:eastAsia="Times New Roman" w:hAnsi="Times New Roman" w:cs="Times New Roman"/>
          <w:sz w:val="24"/>
          <w:szCs w:val="24"/>
          <w:lang w:eastAsia="pl-PL"/>
        </w:rPr>
        <w:lastRenderedPageBreak/>
        <w:t>perforację górotworu. Dotychczasowe prace podsadzkowe skupione były przede wszystkim na likwidacji wyrobisk najgłębiej zlokalizowanych, które należało zlikwidować w pierwszej kolejności z uwagi na przyjętą metodę podsadzania – metoda grawitacyjna (podsadzka hydrauliczna). W ostatnich latach zaobserwowano niekorzystne ruchy obudowy szybów Sutoris i Campi oraz rejonów wokół nich, przejawiające się w postaci zwiększonych przemieszczeń obudowy szybów i zbrojenia. Procesy geomechaniczne przejawiające się w formie „płynięcia” górotworu zmierzają do całkowitego zaciskania wszystkich pustek. Niezbędne jest więc ciągłe prowadzenie prac zabezpieczających i</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podsadzkowych. Postępujący, niekontrolowany zawał komór zagraża stateczności zabytkowych wyrobisk. W wyniku analizy archiwalnych map i dokumentów stwierdzono istnienie niedostępnych, niezlikwidowanych wyrobisk, które mogą być przyczyną tych niekorzystnych zjawisk. W celu ograniczenia uszkodzeń zbrojenia i obudowy szybów oraz zabytkowych wyrobisk w rejonach szybów należy dążyć do tego</w:t>
      </w:r>
      <w:r w:rsidR="001C4B99">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 xml:space="preserve"> aby wyeliminować wszystkie możliwe czynniki, które mogą przyczynić się do wspomnianych niebezpieczeństw. Biorąc powyższe pod uwagę</w:t>
      </w:r>
      <w:r w:rsidR="001C4B99">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 xml:space="preserve"> </w:t>
      </w:r>
      <w:r w:rsidR="001C4B99">
        <w:rPr>
          <w:rFonts w:ascii="Times New Roman" w:eastAsia="Times New Roman" w:hAnsi="Times New Roman" w:cs="Times New Roman"/>
          <w:sz w:val="24"/>
          <w:szCs w:val="24"/>
          <w:lang w:eastAsia="pl-PL"/>
        </w:rPr>
        <w:t>k</w:t>
      </w:r>
      <w:r w:rsidRPr="00CB6D3C">
        <w:rPr>
          <w:rFonts w:ascii="Times New Roman" w:eastAsia="Times New Roman" w:hAnsi="Times New Roman" w:cs="Times New Roman"/>
          <w:sz w:val="24"/>
          <w:szCs w:val="24"/>
          <w:lang w:eastAsia="pl-PL"/>
        </w:rPr>
        <w:t>opalnia planuje podsadzić w latach 2020</w:t>
      </w:r>
      <w:r w:rsidR="00DD5BD0">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2027 dodatkową kubaturę 43</w:t>
      </w:r>
      <w:r w:rsidR="001C4B99">
        <w:rPr>
          <w:rFonts w:ascii="Times New Roman" w:eastAsia="Times New Roman" w:hAnsi="Times New Roman" w:cs="Times New Roman"/>
          <w:sz w:val="24"/>
          <w:szCs w:val="24"/>
          <w:lang w:eastAsia="pl-PL"/>
        </w:rPr>
        <w:t> 970 </w:t>
      </w:r>
      <w:r w:rsidRPr="00CB6D3C">
        <w:rPr>
          <w:rFonts w:ascii="Times New Roman" w:eastAsia="Times New Roman" w:hAnsi="Times New Roman" w:cs="Times New Roman"/>
          <w:sz w:val="24"/>
          <w:szCs w:val="24"/>
          <w:lang w:eastAsia="pl-PL"/>
        </w:rPr>
        <w:t>m</w:t>
      </w:r>
      <w:r w:rsidRPr="00CB6D3C">
        <w:rPr>
          <w:rFonts w:ascii="Times New Roman" w:eastAsia="Times New Roman" w:hAnsi="Times New Roman" w:cs="Times New Roman"/>
          <w:sz w:val="24"/>
          <w:szCs w:val="24"/>
          <w:vertAlign w:val="superscript"/>
          <w:lang w:eastAsia="pl-PL"/>
        </w:rPr>
        <w:t>3</w:t>
      </w:r>
      <w:r w:rsidRPr="00CB6D3C">
        <w:rPr>
          <w:rFonts w:ascii="Times New Roman" w:eastAsia="Times New Roman" w:hAnsi="Times New Roman" w:cs="Times New Roman"/>
          <w:sz w:val="24"/>
          <w:szCs w:val="24"/>
          <w:lang w:eastAsia="pl-PL"/>
        </w:rPr>
        <w:t xml:space="preserve"> pustek poeksploatacyjnych. Istotnym aspektem finansowania działalności zabytkowych kopalń soli jest to, że wyrobiska wpisane do rejestru zabytków podlegają przepisom nie tylko ustawy z dnia 9 czer</w:t>
      </w:r>
      <w:r w:rsidR="003F514B">
        <w:rPr>
          <w:rFonts w:ascii="Times New Roman" w:eastAsia="Times New Roman" w:hAnsi="Times New Roman" w:cs="Times New Roman"/>
          <w:sz w:val="24"/>
          <w:szCs w:val="24"/>
          <w:lang w:eastAsia="pl-PL"/>
        </w:rPr>
        <w:t>wca 2011 </w:t>
      </w:r>
      <w:r w:rsidRPr="00CB6D3C">
        <w:rPr>
          <w:rFonts w:ascii="Times New Roman" w:eastAsia="Times New Roman" w:hAnsi="Times New Roman" w:cs="Times New Roman"/>
          <w:sz w:val="24"/>
          <w:szCs w:val="24"/>
          <w:lang w:eastAsia="pl-PL"/>
        </w:rPr>
        <w:t>r. – Prawo geologiczne i górnicze (Dz. U. z 2020 r</w:t>
      </w:r>
      <w:r w:rsidR="001C4B99">
        <w:rPr>
          <w:rFonts w:ascii="Times New Roman" w:eastAsia="Times New Roman" w:hAnsi="Times New Roman" w:cs="Times New Roman"/>
          <w:sz w:val="24"/>
          <w:szCs w:val="24"/>
          <w:lang w:eastAsia="pl-PL"/>
        </w:rPr>
        <w:t>. poz. </w:t>
      </w:r>
      <w:r w:rsidRPr="00CB6D3C">
        <w:rPr>
          <w:rFonts w:ascii="Times New Roman" w:eastAsia="Times New Roman" w:hAnsi="Times New Roman" w:cs="Times New Roman"/>
          <w:sz w:val="24"/>
          <w:szCs w:val="24"/>
          <w:lang w:eastAsia="pl-PL"/>
        </w:rPr>
        <w:t>1064, z późn.zm.), lecz również ustawy z dnia 23 lipca 2003 r. o ochronie zabytków i</w:t>
      </w:r>
      <w:r w:rsidR="003F514B">
        <w:rPr>
          <w:rFonts w:ascii="Times New Roman" w:eastAsia="Times New Roman" w:hAnsi="Times New Roman" w:cs="Times New Roman"/>
          <w:sz w:val="24"/>
          <w:szCs w:val="24"/>
          <w:lang w:eastAsia="pl-PL"/>
        </w:rPr>
        <w:t xml:space="preserve"> opiece nad zabytkami (Dz. U. z </w:t>
      </w:r>
      <w:r w:rsidRPr="00CB6D3C">
        <w:rPr>
          <w:rFonts w:ascii="Times New Roman" w:eastAsia="Times New Roman" w:hAnsi="Times New Roman" w:cs="Times New Roman"/>
          <w:sz w:val="24"/>
          <w:szCs w:val="24"/>
          <w:lang w:eastAsia="pl-PL"/>
        </w:rPr>
        <w:t>2020 r. poz. 282, z późn.zm.). Przepisy dotyczące prowadzenia prac zabezpieczających, a w szczególności prac likwidacyjnych, są w obu ustawach niespójne, co wymusza na kopalniach, jako podmiotach zarządzających zabytkiem, konieczność uzgodnienia planowanych prac z w</w:t>
      </w:r>
      <w:r w:rsidR="003F514B">
        <w:rPr>
          <w:rFonts w:ascii="Times New Roman" w:eastAsia="Times New Roman" w:hAnsi="Times New Roman" w:cs="Times New Roman"/>
          <w:sz w:val="24"/>
          <w:szCs w:val="24"/>
          <w:lang w:eastAsia="pl-PL"/>
        </w:rPr>
        <w:t>łaściwymi służbami górniczymi i </w:t>
      </w:r>
      <w:r w:rsidRPr="00CB6D3C">
        <w:rPr>
          <w:rFonts w:ascii="Times New Roman" w:eastAsia="Times New Roman" w:hAnsi="Times New Roman" w:cs="Times New Roman"/>
          <w:sz w:val="24"/>
          <w:szCs w:val="24"/>
          <w:lang w:eastAsia="pl-PL"/>
        </w:rPr>
        <w:t>konserwatorskimi. Dodatkowo prowadzenie prac zabezpieczających i likwidacyjnych wymusza korzystanie z</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wyspecjalizowanej wied</w:t>
      </w:r>
      <w:r w:rsidR="003F514B">
        <w:rPr>
          <w:rFonts w:ascii="Times New Roman" w:eastAsia="Times New Roman" w:hAnsi="Times New Roman" w:cs="Times New Roman"/>
          <w:sz w:val="24"/>
          <w:szCs w:val="24"/>
          <w:lang w:eastAsia="pl-PL"/>
        </w:rPr>
        <w:t>zy ośrodków naukowych. Wiedza w </w:t>
      </w:r>
      <w:r w:rsidRPr="00CB6D3C">
        <w:rPr>
          <w:rFonts w:ascii="Times New Roman" w:eastAsia="Times New Roman" w:hAnsi="Times New Roman" w:cs="Times New Roman"/>
          <w:sz w:val="24"/>
          <w:szCs w:val="24"/>
          <w:lang w:eastAsia="pl-PL"/>
        </w:rPr>
        <w:t>zakresie zabytkowego górnictwa solnego jest wysoce specjalistyczna oraz interdyscyplinarna, co powoduje trudności w znalezieniu odpowiednich ośrodków naukowych, które dysponują wykwalifikow</w:t>
      </w:r>
      <w:r w:rsidR="001C4B99">
        <w:rPr>
          <w:rFonts w:ascii="Times New Roman" w:eastAsia="Times New Roman" w:hAnsi="Times New Roman" w:cs="Times New Roman"/>
          <w:sz w:val="24"/>
          <w:szCs w:val="24"/>
          <w:lang w:eastAsia="pl-PL"/>
        </w:rPr>
        <w:t>aną kadrą naukowo</w:t>
      </w:r>
      <w:r w:rsidR="001C4B99">
        <w:rPr>
          <w:rFonts w:ascii="Times New Roman" w:eastAsia="Times New Roman" w:hAnsi="Times New Roman" w:cs="Times New Roman"/>
          <w:sz w:val="24"/>
          <w:szCs w:val="24"/>
          <w:lang w:eastAsia="pl-PL"/>
        </w:rPr>
        <w:noBreakHyphen/>
      </w:r>
      <w:r w:rsidRPr="00CB6D3C">
        <w:rPr>
          <w:rFonts w:ascii="Times New Roman" w:eastAsia="Times New Roman" w:hAnsi="Times New Roman" w:cs="Times New Roman"/>
          <w:sz w:val="24"/>
          <w:szCs w:val="24"/>
          <w:lang w:eastAsia="pl-PL"/>
        </w:rPr>
        <w:t>badawczą</w:t>
      </w:r>
      <w:r w:rsidR="001C4B99">
        <w:rPr>
          <w:rFonts w:ascii="Times New Roman" w:eastAsia="Times New Roman" w:hAnsi="Times New Roman" w:cs="Times New Roman"/>
          <w:sz w:val="24"/>
          <w:szCs w:val="24"/>
          <w:lang w:eastAsia="pl-PL"/>
        </w:rPr>
        <w:t>,</w:t>
      </w:r>
      <w:r w:rsidRPr="00CB6D3C">
        <w:rPr>
          <w:rFonts w:ascii="Times New Roman" w:eastAsia="Times New Roman" w:hAnsi="Times New Roman" w:cs="Times New Roman"/>
          <w:sz w:val="24"/>
          <w:szCs w:val="24"/>
          <w:lang w:eastAsia="pl-PL"/>
        </w:rPr>
        <w:t xml:space="preserve"> i znacząco ogranicza liczbę podmiotów, które mogą prowadzić takie prace w zabytkowych wyrobiskach, w szczególności jeśli chodzi o prow</w:t>
      </w:r>
      <w:r w:rsidR="003F514B">
        <w:rPr>
          <w:rFonts w:ascii="Times New Roman" w:eastAsia="Times New Roman" w:hAnsi="Times New Roman" w:cs="Times New Roman"/>
          <w:sz w:val="24"/>
          <w:szCs w:val="24"/>
          <w:lang w:eastAsia="pl-PL"/>
        </w:rPr>
        <w:t>adzenie prac konserwatorskich i </w:t>
      </w:r>
      <w:r w:rsidRPr="00CB6D3C">
        <w:rPr>
          <w:rFonts w:ascii="Times New Roman" w:eastAsia="Times New Roman" w:hAnsi="Times New Roman" w:cs="Times New Roman"/>
          <w:sz w:val="24"/>
          <w:szCs w:val="24"/>
          <w:lang w:eastAsia="pl-PL"/>
        </w:rPr>
        <w:t xml:space="preserve">górniczych przeciwdziałających degradacji wyrobisk z zachowanym wystrojem komór </w:t>
      </w:r>
      <w:r w:rsidRPr="00CB6D3C">
        <w:rPr>
          <w:rFonts w:ascii="Times New Roman" w:eastAsia="Times New Roman" w:hAnsi="Times New Roman" w:cs="Times New Roman"/>
          <w:sz w:val="24"/>
          <w:szCs w:val="24"/>
          <w:lang w:eastAsia="pl-PL"/>
        </w:rPr>
        <w:lastRenderedPageBreak/>
        <w:t>i chodników. Np. prace prowadzone w zabytkowych obiektach na powierzchni skupione są na usuwaniu soli z zabytkowych murów, w przypadku zabytkowych wyrobisk solnych jest to sytuacja diametralnie odwrotna. W związku z tym przyjęte rozwiązania i techniki muszą być indywidualnie opracowane dla kopalni soli, a tym samym nie są one dostępne na szerokim rynku usług budowlanych czy górniczych. Wszystkie wymienione powyżej elementy mają zasadniczy wpływ na realizację zaplanowanych zadań. W 2020 r. dodatkowo niezaplanowany wpływ ma również epidemia koronawirusa SARS-CoV-2.</w:t>
      </w:r>
    </w:p>
    <w:p w14:paraId="1077EC25" w14:textId="77777777" w:rsidR="00CD1D86" w:rsidRPr="00CB6D3C" w:rsidRDefault="00CD1D86" w:rsidP="00CB6D3C">
      <w:pPr>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
          <w:bCs/>
          <w:sz w:val="24"/>
          <w:szCs w:val="24"/>
          <w:lang w:eastAsia="pl-PL"/>
        </w:rPr>
        <w:t>Muzeum Górnictwa Węglowego w Zabrzu</w:t>
      </w:r>
    </w:p>
    <w:p w14:paraId="63AB0AA6" w14:textId="20E4C838"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Muzeum zarządza obiektami naziemnymi, tworzącymi kompleks poprzemysłowych obiektów</w:t>
      </w:r>
      <w:r w:rsidR="00B23452">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oraz wyrobiskami podziemnymi kopalni „Królowa Luiza” i kopalni „Guido”. Kopalnie ilustrują rozwój branży górniczej oraz szeroko pojętej kultury górniczej. Ze względu na konieczność zachowania cennego zabytku kultury niezbędne jest wykonanie dużej ilości prac zabezpieczających w celu zachowania ich w jak najlepszym stanie.</w:t>
      </w:r>
    </w:p>
    <w:p w14:paraId="33C47FE3" w14:textId="777777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Dzięki dotacji możliwe będzie utrzymanie, zabezpieczenie i ratowanie zabytkowych części zakładu górniczego Kopalnia Węgla Kamiennego „Guido” i zakładu górniczego Kopalnia Węgla Kamiennego „Królowa Luiza”. </w:t>
      </w:r>
    </w:p>
    <w:p w14:paraId="146AEB6E" w14:textId="77777777" w:rsidR="00CD1D86" w:rsidRPr="00CB6D3C" w:rsidRDefault="00CD1D86" w:rsidP="00CB6D3C">
      <w:pPr>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
          <w:bCs/>
          <w:sz w:val="24"/>
          <w:szCs w:val="24"/>
          <w:lang w:eastAsia="pl-PL"/>
        </w:rPr>
        <w:t xml:space="preserve">Kopalnia Siarki </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Machów</w:t>
      </w:r>
      <w:r w:rsidRPr="00CB6D3C">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
          <w:bCs/>
          <w:sz w:val="24"/>
          <w:szCs w:val="24"/>
          <w:lang w:eastAsia="pl-PL"/>
        </w:rPr>
        <w:t xml:space="preserve"> S.A. w likwidacji</w:t>
      </w:r>
    </w:p>
    <w:p w14:paraId="64D684C5" w14:textId="2D061956"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wyrobisku byłej Kopalni Siarki „Piaseczno” powstał zbiornik wodny. Wyrobisko górnicze byłej Kopalni Siarki „Piaseczno” zlokali</w:t>
      </w:r>
      <w:r w:rsidR="005930CD">
        <w:rPr>
          <w:rFonts w:ascii="Times New Roman" w:eastAsia="Times New Roman" w:hAnsi="Times New Roman" w:cs="Times New Roman"/>
          <w:bCs/>
          <w:sz w:val="24"/>
          <w:szCs w:val="24"/>
          <w:lang w:eastAsia="pl-PL"/>
        </w:rPr>
        <w:t>zowane jest na obszarze ok. 210 </w:t>
      </w:r>
      <w:r w:rsidRPr="00CB6D3C">
        <w:rPr>
          <w:rFonts w:ascii="Times New Roman" w:eastAsia="Times New Roman" w:hAnsi="Times New Roman" w:cs="Times New Roman"/>
          <w:bCs/>
          <w:sz w:val="24"/>
          <w:szCs w:val="24"/>
          <w:lang w:eastAsia="pl-PL"/>
        </w:rPr>
        <w:t>ha na terenach gmin Łoniów i Koprzywnica w powiecie sandomierskim i w województwie świętokrzyskim.</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 celu zabezpieczenia terenów przyległych przed podtopieniami niezbędne jest odwadnianie wyrobiska z nadmiarowej ilości wody, przy czym za „tereny przyległe” rozumie się nie tereny bezpośrednio przyległe do wyrobiska, ale tereny objęte oddziaływaniem leja depresji wyrobiska „Piaseczno”. Są to tereny bezpośrednio przyległe do terenów zrekultywowanych przez K</w:t>
      </w:r>
      <w:r w:rsidR="005930CD">
        <w:rPr>
          <w:rFonts w:ascii="Times New Roman" w:eastAsia="Times New Roman" w:hAnsi="Times New Roman" w:cs="Times New Roman"/>
          <w:bCs/>
          <w:sz w:val="24"/>
          <w:szCs w:val="24"/>
          <w:lang w:eastAsia="pl-PL"/>
        </w:rPr>
        <w:t xml:space="preserve">opalnię </w:t>
      </w:r>
      <w:r w:rsidRPr="00CB6D3C">
        <w:rPr>
          <w:rFonts w:ascii="Times New Roman" w:eastAsia="Times New Roman" w:hAnsi="Times New Roman" w:cs="Times New Roman"/>
          <w:bCs/>
          <w:sz w:val="24"/>
          <w:szCs w:val="24"/>
          <w:lang w:eastAsia="pl-PL"/>
        </w:rPr>
        <w:t>S</w:t>
      </w:r>
      <w:r w:rsidR="005930CD">
        <w:rPr>
          <w:rFonts w:ascii="Times New Roman" w:eastAsia="Times New Roman" w:hAnsi="Times New Roman" w:cs="Times New Roman"/>
          <w:bCs/>
          <w:sz w:val="24"/>
          <w:szCs w:val="24"/>
          <w:lang w:eastAsia="pl-PL"/>
        </w:rPr>
        <w:t>iarki</w:t>
      </w:r>
      <w:r w:rsidRPr="00CB6D3C">
        <w:rPr>
          <w:rFonts w:ascii="Times New Roman" w:eastAsia="Times New Roman" w:hAnsi="Times New Roman" w:cs="Times New Roman"/>
          <w:bCs/>
          <w:sz w:val="24"/>
          <w:szCs w:val="24"/>
          <w:lang w:eastAsia="pl-PL"/>
        </w:rPr>
        <w:t xml:space="preserve"> „Machów” S.A. w likwidacji w latach 2005</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2018 na obszarze nieruchomości przekazanych jej do rekultywacji (ok. 210 ha). Zgodnie z wykonanymi ekspertyzami hydrogeologicznymi sztucznie utrzymywane zwierciadło wody w tym </w:t>
      </w:r>
      <w:r w:rsidR="005930CD">
        <w:rPr>
          <w:rFonts w:ascii="Times New Roman" w:eastAsia="Times New Roman" w:hAnsi="Times New Roman" w:cs="Times New Roman"/>
          <w:bCs/>
          <w:sz w:val="24"/>
          <w:szCs w:val="24"/>
          <w:lang w:eastAsia="pl-PL"/>
        </w:rPr>
        <w:t>wyrobisku na poziomie od +138,0 </w:t>
      </w:r>
      <w:r w:rsidRPr="00CB6D3C">
        <w:rPr>
          <w:rFonts w:ascii="Times New Roman" w:eastAsia="Times New Roman" w:hAnsi="Times New Roman" w:cs="Times New Roman"/>
          <w:bCs/>
          <w:sz w:val="24"/>
          <w:szCs w:val="24"/>
          <w:lang w:eastAsia="pl-PL"/>
        </w:rPr>
        <w:t xml:space="preserve">m n.p.m. do +139,00 m n.p.m. nie stwarza zagrożenia dla terenów </w:t>
      </w:r>
      <w:r w:rsidRPr="00CB6D3C">
        <w:rPr>
          <w:rFonts w:ascii="Times New Roman" w:eastAsia="Times New Roman" w:hAnsi="Times New Roman" w:cs="Times New Roman"/>
          <w:bCs/>
          <w:sz w:val="24"/>
          <w:szCs w:val="24"/>
          <w:lang w:eastAsia="pl-PL"/>
        </w:rPr>
        <w:lastRenderedPageBreak/>
        <w:t>przyległych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zapewnia skuteczność ukształtowanych zboczy po napełnieniu zbiornika. Pompowanie wód z wyrobiska „Piaseczno” prowadzone jest w systemie ciągłym za pomocą pomp powierzchniowych z wydajnością 20 tys. m</w:t>
      </w:r>
      <w:r w:rsidRPr="00CB6D3C">
        <w:rPr>
          <w:rFonts w:ascii="Times New Roman" w:eastAsia="Times New Roman" w:hAnsi="Times New Roman" w:cs="Times New Roman"/>
          <w:bCs/>
          <w:sz w:val="24"/>
          <w:szCs w:val="24"/>
          <w:vertAlign w:val="superscript"/>
          <w:lang w:eastAsia="pl-PL"/>
        </w:rPr>
        <w:t>3</w:t>
      </w:r>
      <w:r w:rsidRPr="00CB6D3C">
        <w:rPr>
          <w:rFonts w:ascii="Times New Roman" w:eastAsia="Times New Roman" w:hAnsi="Times New Roman" w:cs="Times New Roman"/>
          <w:bCs/>
          <w:sz w:val="24"/>
          <w:szCs w:val="24"/>
          <w:lang w:eastAsia="pl-PL"/>
        </w:rPr>
        <w:t>/dobę. Utrzymywany obniżony poziom wody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zbiorniku pozwala KS „Machów” S.A. w likwidacji na dodatkowe zabezpieczenia skarp wyrobiska „Piaseczno” w</w:t>
      </w:r>
      <w:r w:rsidR="00A675EA">
        <w:rPr>
          <w:rFonts w:ascii="Times New Roman" w:eastAsia="Times New Roman" w:hAnsi="Times New Roman" w:cs="Times New Roman"/>
          <w:bCs/>
          <w:sz w:val="24"/>
          <w:szCs w:val="24"/>
          <w:lang w:eastAsia="pl-PL"/>
        </w:rPr>
        <w:t xml:space="preserve"> </w:t>
      </w:r>
      <w:r w:rsidR="003F514B">
        <w:rPr>
          <w:rFonts w:ascii="Times New Roman" w:eastAsia="Times New Roman" w:hAnsi="Times New Roman" w:cs="Times New Roman"/>
          <w:bCs/>
          <w:sz w:val="24"/>
          <w:szCs w:val="24"/>
          <w:lang w:eastAsia="pl-PL"/>
        </w:rPr>
        <w:t>celu wykonania prac z </w:t>
      </w:r>
      <w:r w:rsidRPr="00CB6D3C">
        <w:rPr>
          <w:rFonts w:ascii="Times New Roman" w:eastAsia="Times New Roman" w:hAnsi="Times New Roman" w:cs="Times New Roman"/>
          <w:bCs/>
          <w:sz w:val="24"/>
          <w:szCs w:val="24"/>
          <w:lang w:eastAsia="pl-PL"/>
        </w:rPr>
        <w:t>zakresu odwodnienia poziomego – drenażu skarp metodą wiertniczą oraz dokończenie prac z zakresu rekultywacji technicznej i biologicznej. Środki przeznaczone będą na finansowanie działań wykonywanych po zakończeniu prac likwidacyjnych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wyrobisku górniczym </w:t>
      </w:r>
      <w:r w:rsidR="00D615DA">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Piaseczno</w:t>
      </w:r>
      <w:r w:rsidR="00D615DA">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w:t>
      </w:r>
    </w:p>
    <w:p w14:paraId="14B0610C" w14:textId="386578F3"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Drugą istotną zmianą wprowadzoną do projektu ustawy jest zaprzestanie udzielania dotacji Centralnej Pompowni „Bolko” sp. z o.o. na finansowanie działań wykonywanych po zakończeniu likwidacji zakładu górniczego wchodzącego w skład byłych Zakładów Górniczo-Hutniczych „Orzeł Biały” w Bytomiu. Działania te skupiały się głównie na zabezpieczeniu kopalń sąsiednich przed zagrożeniem wodnym. Pozostałe działania wymienione w art. 3 ust. 4 ustawy, tj. likwidacja zb</w:t>
      </w:r>
      <w:r w:rsidRPr="00CB6D3C">
        <w:rPr>
          <w:rFonts w:ascii="Times New Roman" w:eastAsia="Times New Roman" w:hAnsi="Times New Roman" w:cs="Times New Roman" w:hint="eastAsia"/>
          <w:bCs/>
          <w:sz w:val="24"/>
          <w:szCs w:val="24"/>
          <w:lang w:eastAsia="pl-PL"/>
        </w:rPr>
        <w:t>ę</w:t>
      </w:r>
      <w:r w:rsidRPr="00CB6D3C">
        <w:rPr>
          <w:rFonts w:ascii="Times New Roman" w:eastAsia="Times New Roman" w:hAnsi="Times New Roman" w:cs="Times New Roman"/>
          <w:bCs/>
          <w:sz w:val="24"/>
          <w:szCs w:val="24"/>
          <w:lang w:eastAsia="pl-PL"/>
        </w:rPr>
        <w:t>dnej infrastruktury, naprawianie szkód, opracowanie, wymaganych na podstawie odr</w:t>
      </w:r>
      <w:r w:rsidRPr="00CB6D3C">
        <w:rPr>
          <w:rFonts w:ascii="Times New Roman" w:eastAsia="Times New Roman" w:hAnsi="Times New Roman" w:cs="Times New Roman" w:hint="eastAsia"/>
          <w:bCs/>
          <w:sz w:val="24"/>
          <w:szCs w:val="24"/>
          <w:lang w:eastAsia="pl-PL"/>
        </w:rPr>
        <w:t>ę</w:t>
      </w:r>
      <w:r w:rsidRPr="00CB6D3C">
        <w:rPr>
          <w:rFonts w:ascii="Times New Roman" w:eastAsia="Times New Roman" w:hAnsi="Times New Roman" w:cs="Times New Roman"/>
          <w:bCs/>
          <w:sz w:val="24"/>
          <w:szCs w:val="24"/>
          <w:lang w:eastAsia="pl-PL"/>
        </w:rPr>
        <w:t>bnych przepisów, projektów, dokumentacji, opinii, ekspertyz i analiz, a także sprawowanie ogólnego zarz</w:t>
      </w:r>
      <w:r w:rsidRPr="00CB6D3C">
        <w:rPr>
          <w:rFonts w:ascii="Times New Roman" w:eastAsia="Times New Roman" w:hAnsi="Times New Roman" w:cs="Times New Roman" w:hint="eastAsia"/>
          <w:bCs/>
          <w:sz w:val="24"/>
          <w:szCs w:val="24"/>
          <w:lang w:eastAsia="pl-PL"/>
        </w:rPr>
        <w:t>ą</w:t>
      </w:r>
      <w:r w:rsidRPr="00CB6D3C">
        <w:rPr>
          <w:rFonts w:ascii="Times New Roman" w:eastAsia="Times New Roman" w:hAnsi="Times New Roman" w:cs="Times New Roman"/>
          <w:bCs/>
          <w:sz w:val="24"/>
          <w:szCs w:val="24"/>
          <w:lang w:eastAsia="pl-PL"/>
        </w:rPr>
        <w:t>du, były ściśle zwi</w:t>
      </w:r>
      <w:r w:rsidRPr="00CB6D3C">
        <w:rPr>
          <w:rFonts w:ascii="Times New Roman" w:eastAsia="Times New Roman" w:hAnsi="Times New Roman" w:cs="Times New Roman" w:hint="eastAsia"/>
          <w:bCs/>
          <w:sz w:val="24"/>
          <w:szCs w:val="24"/>
          <w:lang w:eastAsia="pl-PL"/>
        </w:rPr>
        <w:t>ą</w:t>
      </w:r>
      <w:r w:rsidRPr="00CB6D3C">
        <w:rPr>
          <w:rFonts w:ascii="Times New Roman" w:eastAsia="Times New Roman" w:hAnsi="Times New Roman" w:cs="Times New Roman"/>
          <w:bCs/>
          <w:sz w:val="24"/>
          <w:szCs w:val="24"/>
          <w:lang w:eastAsia="pl-PL"/>
        </w:rPr>
        <w:t>zane z wykonywaniem głównego dzia</w:t>
      </w:r>
      <w:r w:rsidRPr="00CB6D3C">
        <w:rPr>
          <w:rFonts w:ascii="Times New Roman" w:eastAsia="Times New Roman" w:hAnsi="Times New Roman" w:cs="Times New Roman" w:hint="eastAsia"/>
          <w:bCs/>
          <w:sz w:val="24"/>
          <w:szCs w:val="24"/>
          <w:lang w:eastAsia="pl-PL"/>
        </w:rPr>
        <w:t>ł</w:t>
      </w:r>
      <w:r w:rsidRPr="00CB6D3C">
        <w:rPr>
          <w:rFonts w:ascii="Times New Roman" w:eastAsia="Times New Roman" w:hAnsi="Times New Roman" w:cs="Times New Roman"/>
          <w:bCs/>
          <w:sz w:val="24"/>
          <w:szCs w:val="24"/>
          <w:lang w:eastAsia="pl-PL"/>
        </w:rPr>
        <w:t>ania. Biorąc pod uwagę fakt, że na terenie miasta Bytomia funkcjonuje Spółka Restrukturyzacji Kopalń S.A., zwana dalej „SRK S.A.”, której jednym z podstawowych zadań jest również zabezpieczanie kopalń sąsiednich prze</w:t>
      </w:r>
      <w:r w:rsidR="003F514B">
        <w:rPr>
          <w:rFonts w:ascii="Times New Roman" w:eastAsia="Times New Roman" w:hAnsi="Times New Roman" w:cs="Times New Roman"/>
          <w:bCs/>
          <w:sz w:val="24"/>
          <w:szCs w:val="24"/>
          <w:lang w:eastAsia="pl-PL"/>
        </w:rPr>
        <w:t>d zagrożeniem wodnym, gazowym i </w:t>
      </w:r>
      <w:r w:rsidRPr="00CB6D3C">
        <w:rPr>
          <w:rFonts w:ascii="Times New Roman" w:eastAsia="Times New Roman" w:hAnsi="Times New Roman" w:cs="Times New Roman"/>
          <w:bCs/>
          <w:sz w:val="24"/>
          <w:szCs w:val="24"/>
          <w:lang w:eastAsia="pl-PL"/>
        </w:rPr>
        <w:t>pożarowym, podjęta została decyzja o</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przejęciu przez SRK S.A. realizacji działań wykonywanych dotychczas przez Centralną Pompownię „Bolko” sp. z o.o., zwaną dalej „CP „Bolko”. Decyzja ta wpisuje się także w Program dla sektora górnictwa węgla kamiennego, przyjęt</w:t>
      </w:r>
      <w:r w:rsidR="00D615DA">
        <w:rPr>
          <w:rFonts w:ascii="Times New Roman" w:eastAsia="Times New Roman" w:hAnsi="Times New Roman" w:cs="Times New Roman"/>
          <w:bCs/>
          <w:sz w:val="24"/>
          <w:szCs w:val="24"/>
          <w:lang w:eastAsia="pl-PL"/>
        </w:rPr>
        <w:t>y</w:t>
      </w:r>
      <w:r w:rsidRPr="00CB6D3C">
        <w:rPr>
          <w:rFonts w:ascii="Times New Roman" w:eastAsia="Times New Roman" w:hAnsi="Times New Roman" w:cs="Times New Roman"/>
          <w:bCs/>
          <w:sz w:val="24"/>
          <w:szCs w:val="24"/>
          <w:lang w:eastAsia="pl-PL"/>
        </w:rPr>
        <w:t xml:space="preserve"> przez Radę Ministrów w 2018 r., bowiem jednym z zadań określonych w Programie jest upraszczanie systemu odwadniania, w tym przejęcie zadań realizowanych przez CP „Bolko” (art. 3 ustawy zmieniaj</w:t>
      </w:r>
      <w:r w:rsidR="003F514B">
        <w:rPr>
          <w:rFonts w:ascii="Times New Roman" w:eastAsia="Times New Roman" w:hAnsi="Times New Roman" w:cs="Times New Roman"/>
          <w:bCs/>
          <w:sz w:val="24"/>
          <w:szCs w:val="24"/>
          <w:lang w:eastAsia="pl-PL"/>
        </w:rPr>
        <w:t>ącej). Realizacja i </w:t>
      </w:r>
      <w:r w:rsidRPr="00CB6D3C">
        <w:rPr>
          <w:rFonts w:ascii="Times New Roman" w:eastAsia="Times New Roman" w:hAnsi="Times New Roman" w:cs="Times New Roman"/>
          <w:bCs/>
          <w:sz w:val="24"/>
          <w:szCs w:val="24"/>
          <w:lang w:eastAsia="pl-PL"/>
        </w:rPr>
        <w:t xml:space="preserve">finansowanie zadania będzie się odbywało na podstawie ustawy z dnia 30 sierpnia 2013 r. </w:t>
      </w:r>
      <w:r w:rsidRPr="00966481">
        <w:rPr>
          <w:rFonts w:ascii="Times New Roman" w:eastAsia="Times New Roman" w:hAnsi="Times New Roman" w:cs="Times New Roman"/>
          <w:bCs/>
          <w:sz w:val="24"/>
          <w:szCs w:val="24"/>
          <w:lang w:eastAsia="pl-PL"/>
        </w:rPr>
        <w:t>o dotacji przeznaczonej dla niektórych podmiotów,</w:t>
      </w:r>
      <w:r w:rsidR="003F514B">
        <w:rPr>
          <w:rFonts w:ascii="Times New Roman" w:eastAsia="Times New Roman" w:hAnsi="Times New Roman" w:cs="Times New Roman"/>
          <w:bCs/>
          <w:sz w:val="24"/>
          <w:szCs w:val="24"/>
          <w:lang w:eastAsia="pl-PL"/>
        </w:rPr>
        <w:t xml:space="preserve"> co zostało uregulowane w </w:t>
      </w:r>
      <w:r w:rsidRPr="00CB6D3C">
        <w:rPr>
          <w:rFonts w:ascii="Times New Roman" w:eastAsia="Times New Roman" w:hAnsi="Times New Roman" w:cs="Times New Roman"/>
          <w:bCs/>
          <w:sz w:val="24"/>
          <w:szCs w:val="24"/>
          <w:lang w:eastAsia="pl-PL"/>
        </w:rPr>
        <w:t>ten sposób, że w art. 1 pkt 1 ustawy zmieniającej w miejsce CP „Bolko” została wpisana SRK S.A. W ten sposób nie wystąpiła potrzeba wprowadzenia zmian w dalszej części ustawy, gdyż zakres zadań, zasady przyznawania dotacji i jej rozliczania wraz ze składaniem sprawozdań nie uległy zmianie.</w:t>
      </w:r>
    </w:p>
    <w:p w14:paraId="4D87B6EA" w14:textId="603D7F1E"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lastRenderedPageBreak/>
        <w:t>Przeniesienie zadań w zakresie odwadniania planowane było już w Strategii działalności górnictwa węgla kamiennego w Polsce w latach 2007–2015, która stanowiła programowy dokument rządowy przyjęty przez Radę Ministrów w dniu 31 lipca 2007 r. Dokument ten był zmieniany przez Radę Ministrów w kolejnych latach. Ostatnia zmiana dotyczyła także nadania dokumentowi nowego tytułu: „Program działalności górnictwa węgla kamiennego w Polsce</w:t>
      </w:r>
      <w:r w:rsidR="003F514B">
        <w:rPr>
          <w:rFonts w:ascii="Times New Roman" w:eastAsia="Times New Roman" w:hAnsi="Times New Roman" w:cs="Times New Roman"/>
          <w:bCs/>
          <w:sz w:val="24"/>
          <w:szCs w:val="24"/>
          <w:lang w:eastAsia="pl-PL"/>
        </w:rPr>
        <w:t xml:space="preserve"> w latach 2007–2015”. Zgodnie z </w:t>
      </w:r>
      <w:r w:rsidRPr="00CB6D3C">
        <w:rPr>
          <w:rFonts w:ascii="Times New Roman" w:eastAsia="Times New Roman" w:hAnsi="Times New Roman" w:cs="Times New Roman"/>
          <w:bCs/>
          <w:sz w:val="24"/>
          <w:szCs w:val="24"/>
          <w:lang w:eastAsia="pl-PL"/>
        </w:rPr>
        <w:t>zapisami zawartymi w tym dokumencie, jak również w ustawie z dnia 7 września 2007 r. o funkcjonowaniu górnictwa węgla kamiennego w Polsce w latach 2008</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2015 (Dz. U. z 2019 r. poz. 1821), planowano ze struktur SRK S.A. wydzielić Centralny Zakład Odwadniania Kopalń, zwany dalej „CZOK”, jako samodzielną spółkę, wykonującą zadania związane z zabezpieczeniem kopalń sąsiednich przed zagrożeniem wodnym, gazowym oraz pożarowym w trakcie i po zakoń</w:t>
      </w:r>
      <w:r w:rsidR="003F514B">
        <w:rPr>
          <w:rFonts w:ascii="Times New Roman" w:eastAsia="Times New Roman" w:hAnsi="Times New Roman" w:cs="Times New Roman"/>
          <w:bCs/>
          <w:sz w:val="24"/>
          <w:szCs w:val="24"/>
          <w:lang w:eastAsia="pl-PL"/>
        </w:rPr>
        <w:t>czeniu likwidacji kopalni (art. </w:t>
      </w:r>
      <w:r w:rsidRPr="00CB6D3C">
        <w:rPr>
          <w:rFonts w:ascii="Times New Roman" w:eastAsia="Times New Roman" w:hAnsi="Times New Roman" w:cs="Times New Roman"/>
          <w:bCs/>
          <w:sz w:val="24"/>
          <w:szCs w:val="24"/>
          <w:lang w:eastAsia="pl-PL"/>
        </w:rPr>
        <w:t>9 ww. ustawy, który w 2015 r. został najpierw zmieniony, a następnie uchylony). CZOP miał również przejąć zadania zakładów Bytomskiej Spółki Restrukturyzacji Kopalń Sp. z o.o., zwanej dalej „BSRK”</w:t>
      </w:r>
      <w:r w:rsidR="007B68CB">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oraz CP „</w:t>
      </w:r>
      <w:r w:rsidR="003F514B">
        <w:rPr>
          <w:rFonts w:ascii="Times New Roman" w:eastAsia="Times New Roman" w:hAnsi="Times New Roman" w:cs="Times New Roman"/>
          <w:bCs/>
          <w:sz w:val="24"/>
          <w:szCs w:val="24"/>
          <w:lang w:eastAsia="pl-PL"/>
        </w:rPr>
        <w:t>Bolko” (lub włączyć te spółki w </w:t>
      </w:r>
      <w:r w:rsidRPr="00CB6D3C">
        <w:rPr>
          <w:rFonts w:ascii="Times New Roman" w:eastAsia="Times New Roman" w:hAnsi="Times New Roman" w:cs="Times New Roman"/>
          <w:bCs/>
          <w:sz w:val="24"/>
          <w:szCs w:val="24"/>
          <w:lang w:eastAsia="pl-PL"/>
        </w:rPr>
        <w:t>swoją strukturę). Do połączenia SRK S.A. z BSRK doszło w 2009 r., natomiast nie zostało zrealizowane przejęcie przez SRK S.A. zadań realizowanych przez CP „Bolko”. W 2014 r. Najwyższa Izba Kontroli przeprowadziła kontrolę P/14/079 – Odwadnianie nieczynnych zakładów górniczych prowadzone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związku z likwidacją kopalń. Kontrola obejmowała swoim zakresem zarów</w:t>
      </w:r>
      <w:r w:rsidR="003F514B">
        <w:rPr>
          <w:rFonts w:ascii="Times New Roman" w:eastAsia="Times New Roman" w:hAnsi="Times New Roman" w:cs="Times New Roman"/>
          <w:bCs/>
          <w:sz w:val="24"/>
          <w:szCs w:val="24"/>
          <w:lang w:eastAsia="pl-PL"/>
        </w:rPr>
        <w:t>no SRK S.A, jak i CP „Bolko”. W </w:t>
      </w:r>
      <w:r w:rsidRPr="00CB6D3C">
        <w:rPr>
          <w:rFonts w:ascii="Times New Roman" w:eastAsia="Times New Roman" w:hAnsi="Times New Roman" w:cs="Times New Roman"/>
          <w:bCs/>
          <w:sz w:val="24"/>
          <w:szCs w:val="24"/>
          <w:lang w:eastAsia="pl-PL"/>
        </w:rPr>
        <w:t>wystąpieniu pokontrolnym NIK z dnia 15 maja 2015 r</w:t>
      </w:r>
      <w:r w:rsidR="007B68CB">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znak: LKA-4101-040-04/2014 P/14/079, stwierdzono że przejęcie przez SRK S.A. zadań wykonywanych aktualnie przez CP „Bolko”,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zakresie zabezpieczenia kopalń sąsiednich przed zagrożeniem wodnym, umożliwi zmniejszenie kosztów ich realizacji, finansowanych dotacjami budżetowymi, i stworzy warunki do skuteczniejszej kontroli prawidłowości wydatkowania dotacji budżetowych. Ponadto udzielenie zamówień publicznych przez spółkę, będącą w nadzorze właścicielskim Skarbu Państwa, stworzy warunki do skuteczniejszej kontroli przestrzegania przepisów prawa zamówień publicznych. Należy nadmienić, że w latach 2011</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2014 były podejmowane działania mające na celu przejęcie odwadniania kopalń porudnych od CP</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„Bolko”, jednak nie doszło do ich skutecznej realizacji. Przedmiotowy projekt, którego głównym celem jest przedłużenie finansowania zadań realizowanych przez podmioty wymienione w ustawie, stał się impulsem do ponowienia przejęcia działań prowadzonych przez CP „Bolko” z uwagi na </w:t>
      </w:r>
      <w:r w:rsidRPr="00CB6D3C">
        <w:rPr>
          <w:rFonts w:ascii="Times New Roman" w:eastAsia="Times New Roman" w:hAnsi="Times New Roman" w:cs="Times New Roman"/>
          <w:bCs/>
          <w:sz w:val="24"/>
          <w:szCs w:val="24"/>
          <w:lang w:eastAsia="pl-PL"/>
        </w:rPr>
        <w:lastRenderedPageBreak/>
        <w:t>fakt, że zgodnie z obowiązującą obecnie ustawą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2020 r. kończy się finansowanie dla tej spółki.</w:t>
      </w:r>
    </w:p>
    <w:p w14:paraId="6A8119A1" w14:textId="664E7EC6"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Przejęcie jest uzasadnione ekonomicznie</w:t>
      </w:r>
      <w:r w:rsidR="000E23EE">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zwłaszcza w dłuższej perspektywie czasowej. Jednakże wg przeprowadzonej analizy – niezbędne w tym celu jest dokonanie zmiany modelu odwadniania ze stacjonarnego na głębinowy, co potrwa ok. 4 lat. Podstawą przystąpienia do zmiany tego modelu jest opracowanie i zatwierdzenie dokumentacji hydrogeologicznej określającej aktualne warunki hydrogeologiczne w związku ze zmianą poziomu odwadniania zrobów zlikwidowanych kopalń. Obecnie w obszarze zlikwidowanych kopalń rudnych poziom lustra wody okr</w:t>
      </w:r>
      <w:r w:rsidR="003F514B">
        <w:rPr>
          <w:rFonts w:ascii="Times New Roman" w:eastAsia="Times New Roman" w:hAnsi="Times New Roman" w:cs="Times New Roman"/>
          <w:bCs/>
          <w:sz w:val="24"/>
          <w:szCs w:val="24"/>
          <w:lang w:eastAsia="pl-PL"/>
        </w:rPr>
        <w:t>eślany jest tylko i wyłącznie o </w:t>
      </w:r>
      <w:r w:rsidRPr="00CB6D3C">
        <w:rPr>
          <w:rFonts w:ascii="Times New Roman" w:eastAsia="Times New Roman" w:hAnsi="Times New Roman" w:cs="Times New Roman"/>
          <w:bCs/>
          <w:sz w:val="24"/>
          <w:szCs w:val="24"/>
          <w:lang w:eastAsia="pl-PL"/>
        </w:rPr>
        <w:t>dane z szybu „Bolko”. Dla prawidłowego i bezpiecznego zaprojektowania pompowni głębinowej, niezbędne są bardziej szczegółowe informacje o występowaniu lustra wody w zrobach. Wyniki wierceń oraz ww. dokumentacja hydrogeologiczna będą podstawą do zaprojektowania pompowni głębinowej. Należy również zaznaczyć, iż w okresie projektowania i budowy pompowni głębinowej, równolegle będzie musiało być prowadzone pompowanie stacjonarne, a co za tym idzi</w:t>
      </w:r>
      <w:r w:rsidR="003F514B">
        <w:rPr>
          <w:rFonts w:ascii="Times New Roman" w:eastAsia="Times New Roman" w:hAnsi="Times New Roman" w:cs="Times New Roman"/>
          <w:bCs/>
          <w:sz w:val="24"/>
          <w:szCs w:val="24"/>
          <w:lang w:eastAsia="pl-PL"/>
        </w:rPr>
        <w:t>e – ponoszone koszty związane z </w:t>
      </w:r>
      <w:r w:rsidRPr="00CB6D3C">
        <w:rPr>
          <w:rFonts w:ascii="Times New Roman" w:eastAsia="Times New Roman" w:hAnsi="Times New Roman" w:cs="Times New Roman"/>
          <w:bCs/>
          <w:sz w:val="24"/>
          <w:szCs w:val="24"/>
          <w:lang w:eastAsia="pl-PL"/>
        </w:rPr>
        <w:t>odwadnianiem wyrobisk górniczych, ich przewiet</w:t>
      </w:r>
      <w:r w:rsidR="003F514B">
        <w:rPr>
          <w:rFonts w:ascii="Times New Roman" w:eastAsia="Times New Roman" w:hAnsi="Times New Roman" w:cs="Times New Roman"/>
          <w:bCs/>
          <w:sz w:val="24"/>
          <w:szCs w:val="24"/>
          <w:lang w:eastAsia="pl-PL"/>
        </w:rPr>
        <w:t>rzaniem, utrzymaniem budynków i </w:t>
      </w:r>
      <w:r w:rsidRPr="00CB6D3C">
        <w:rPr>
          <w:rFonts w:ascii="Times New Roman" w:eastAsia="Times New Roman" w:hAnsi="Times New Roman" w:cs="Times New Roman"/>
          <w:bCs/>
          <w:sz w:val="24"/>
          <w:szCs w:val="24"/>
          <w:lang w:eastAsia="pl-PL"/>
        </w:rPr>
        <w:t>budowli niezbędnych dla prawidłowego funkcjonowania ruchu zakładu górniczego. Warto przy tym nadmienić, że w przypadku odwadniania zakładów górniczych węgla kamiennego zlikwidowanych bądź będących w trakcie likwidacji, SRK S.A. Oddział CZOK także upraszcza i obniża koszty pompowania wód przez zmianę pompowni stacjonarnych na głębinowe,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uwagi na niższe koszty ich eksploatacji. Działania te zdecydowanie doprowadzą do ograniczenia kosztów dl</w:t>
      </w:r>
      <w:r w:rsidR="003F514B">
        <w:rPr>
          <w:rFonts w:ascii="Times New Roman" w:eastAsia="Times New Roman" w:hAnsi="Times New Roman" w:cs="Times New Roman"/>
          <w:bCs/>
          <w:sz w:val="24"/>
          <w:szCs w:val="24"/>
          <w:lang w:eastAsia="pl-PL"/>
        </w:rPr>
        <w:t>a budżetu państwa, związanych z </w:t>
      </w:r>
      <w:r w:rsidRPr="00CB6D3C">
        <w:rPr>
          <w:rFonts w:ascii="Times New Roman" w:eastAsia="Times New Roman" w:hAnsi="Times New Roman" w:cs="Times New Roman"/>
          <w:bCs/>
          <w:sz w:val="24"/>
          <w:szCs w:val="24"/>
          <w:lang w:eastAsia="pl-PL"/>
        </w:rPr>
        <w:t>pracami odwadniającymi w szybach zlikwidowanych kopalni na terenie Niecki Bytomskiej, z uwzględnieniem również kosztó</w:t>
      </w:r>
      <w:r w:rsidR="003F514B">
        <w:rPr>
          <w:rFonts w:ascii="Times New Roman" w:eastAsia="Times New Roman" w:hAnsi="Times New Roman" w:cs="Times New Roman"/>
          <w:bCs/>
          <w:sz w:val="24"/>
          <w:szCs w:val="24"/>
          <w:lang w:eastAsia="pl-PL"/>
        </w:rPr>
        <w:t>w nabycia majątku CP „Bolko”, w </w:t>
      </w:r>
      <w:r w:rsidRPr="00CB6D3C">
        <w:rPr>
          <w:rFonts w:ascii="Times New Roman" w:eastAsia="Times New Roman" w:hAnsi="Times New Roman" w:cs="Times New Roman"/>
          <w:bCs/>
          <w:sz w:val="24"/>
          <w:szCs w:val="24"/>
          <w:lang w:eastAsia="pl-PL"/>
        </w:rPr>
        <w:t>stosunku do sytuacji gdyby do takiego przejęcia nie doszło. Ponadto, jak już wcześniej wspomniano, również Najwyższa Izba Kontroli w swoim wystąpieniu pokontrolnym stwierdziła, że przejęcie zadań realizowanych przez CP „Bolko” przez spółkę, będącą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nadzorze Skarbu Państwa, daje gwarancję optymalizacji kosztów i</w:t>
      </w:r>
      <w:r w:rsidR="003F514B">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 xml:space="preserve">skuteczniejszej kontroli. </w:t>
      </w:r>
    </w:p>
    <w:p w14:paraId="75C12188" w14:textId="173339E6"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Centralna Pompownia Bolko została założona pod koniec lat 80. XX w. jako centralna stacja do odwadniania zrobów rud ołowiowych w regionie Niecki Bytomskiej w celu ochrony lokalnych obszarów (miast Bytom i Piekary Śląskie) przed podtopieniem lub </w:t>
      </w:r>
      <w:r w:rsidRPr="00CB6D3C">
        <w:rPr>
          <w:rFonts w:ascii="Times New Roman" w:eastAsia="Times New Roman" w:hAnsi="Times New Roman" w:cs="Times New Roman"/>
          <w:bCs/>
          <w:sz w:val="24"/>
          <w:szCs w:val="24"/>
          <w:lang w:eastAsia="pl-PL"/>
        </w:rPr>
        <w:lastRenderedPageBreak/>
        <w:t>zabagnieniem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celu ochrony wyrobisk innych kopalni węgla przed powstawaniem zalewisk lub podziemnych zbiorników wodnych. Niżej położone obszary zostałyby zalane, ponieważ regionalna stacja odprowadzania wód deszczowych nie zapewniłaby odprowadzenia całości napływającej wody. Kopalnie rud cynku i ołowiu prowadzone były głównie w formie przedsiębiorstw państwowych. Od końca lat 7</w:t>
      </w:r>
      <w:r w:rsidR="003F514B">
        <w:rPr>
          <w:rFonts w:ascii="Times New Roman" w:eastAsia="Times New Roman" w:hAnsi="Times New Roman" w:cs="Times New Roman"/>
          <w:bCs/>
          <w:sz w:val="24"/>
          <w:szCs w:val="24"/>
          <w:lang w:eastAsia="pl-PL"/>
        </w:rPr>
        <w:t>0. XX w., w </w:t>
      </w:r>
      <w:r w:rsidRPr="00CB6D3C">
        <w:rPr>
          <w:rFonts w:ascii="Times New Roman" w:eastAsia="Times New Roman" w:hAnsi="Times New Roman" w:cs="Times New Roman"/>
          <w:bCs/>
          <w:sz w:val="24"/>
          <w:szCs w:val="24"/>
          <w:lang w:eastAsia="pl-PL"/>
        </w:rPr>
        <w:t>związku z wyczerpywaniem się zasobów rud, następo</w:t>
      </w:r>
      <w:r w:rsidR="003F514B">
        <w:rPr>
          <w:rFonts w:ascii="Times New Roman" w:eastAsia="Times New Roman" w:hAnsi="Times New Roman" w:cs="Times New Roman"/>
          <w:bCs/>
          <w:sz w:val="24"/>
          <w:szCs w:val="24"/>
          <w:lang w:eastAsia="pl-PL"/>
        </w:rPr>
        <w:t>wał proces likwidacji kopalni w </w:t>
      </w:r>
      <w:r w:rsidRPr="00CB6D3C">
        <w:rPr>
          <w:rFonts w:ascii="Times New Roman" w:eastAsia="Times New Roman" w:hAnsi="Times New Roman" w:cs="Times New Roman"/>
          <w:bCs/>
          <w:sz w:val="24"/>
          <w:szCs w:val="24"/>
          <w:lang w:eastAsia="pl-PL"/>
        </w:rPr>
        <w:t>Niecce Bytomskiej. Likwidację ostatniej kopalni rozpoczęto w 1987 r. Równocześnie następowało wyłączanie zbędnych stacji odwadniania,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szczególności pompowni lokalnych. Pompownia powstała i została uruchomiona</w:t>
      </w:r>
      <w:r w:rsidR="003F514B">
        <w:rPr>
          <w:rFonts w:ascii="Times New Roman" w:eastAsia="Times New Roman" w:hAnsi="Times New Roman" w:cs="Times New Roman"/>
          <w:bCs/>
          <w:sz w:val="24"/>
          <w:szCs w:val="24"/>
          <w:lang w:eastAsia="pl-PL"/>
        </w:rPr>
        <w:t xml:space="preserve"> już po zakończeniu wydobycia i </w:t>
      </w:r>
      <w:r w:rsidRPr="00CB6D3C">
        <w:rPr>
          <w:rFonts w:ascii="Times New Roman" w:eastAsia="Times New Roman" w:hAnsi="Times New Roman" w:cs="Times New Roman"/>
          <w:bCs/>
          <w:sz w:val="24"/>
          <w:szCs w:val="24"/>
          <w:lang w:eastAsia="pl-PL"/>
        </w:rPr>
        <w:t>postawieniu w stan likwidacji ostatnich czynnych kopalni rud cynku i ołowiu jako niezależna stacja wspólnego odwadniania niezwiązana z funkcjonowaniem pojedynczej kopalni. Działalność rozpoczęła w roku 1989.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uwagi na fakt, że pompownia została wybudowana przy szybie </w:t>
      </w:r>
      <w:r w:rsidR="007D0935">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Bolko</w:t>
      </w:r>
      <w:r w:rsidR="007D0935">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należącym do Zakładów Górniczo-Hutniczych „Orzeł Biały” w Piekarach Śląskich, pompownia pozostała własnością tych Zakładów. Zakłady Górniczo-Hutnicze „Orzeł Biały” S.A. u</w:t>
      </w:r>
      <w:r w:rsidR="001535F6">
        <w:rPr>
          <w:rFonts w:ascii="Times New Roman" w:eastAsia="Times New Roman" w:hAnsi="Times New Roman" w:cs="Times New Roman"/>
          <w:bCs/>
          <w:sz w:val="24"/>
          <w:szCs w:val="24"/>
          <w:lang w:eastAsia="pl-PL"/>
        </w:rPr>
        <w:t>tworzyły spółkę zależną „Pumech</w:t>
      </w:r>
      <w:r w:rsidR="001535F6">
        <w:rPr>
          <w:rFonts w:ascii="Times New Roman" w:eastAsia="Times New Roman" w:hAnsi="Times New Roman" w:cs="Times New Roman"/>
          <w:bCs/>
          <w:sz w:val="24"/>
          <w:szCs w:val="24"/>
          <w:lang w:eastAsia="pl-PL"/>
        </w:rPr>
        <w:noBreakHyphen/>
      </w:r>
      <w:r w:rsidRPr="00CB6D3C">
        <w:rPr>
          <w:rFonts w:ascii="Times New Roman" w:eastAsia="Times New Roman" w:hAnsi="Times New Roman" w:cs="Times New Roman"/>
          <w:bCs/>
          <w:sz w:val="24"/>
          <w:szCs w:val="24"/>
          <w:lang w:eastAsia="pl-PL"/>
        </w:rPr>
        <w:t xml:space="preserve">Orzeł” Sp. z o.o. W jej skład wchodziła CP „Bolko”. </w:t>
      </w:r>
    </w:p>
    <w:p w14:paraId="0D305BC4" w14:textId="08CEA75F"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 ocenie projektodawcy, dokonanie zmiany podmiotu wykonującego działania, o</w:t>
      </w:r>
      <w:r w:rsidR="003F514B">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których mowa w art. 3 ust. 1 pkt 2, z uwzględnieniem art. 3 ust. 4 ustawy zmienianej, nie powoduje żadnej selektywnej korzyści na rzecz SRK S.A. z uwagi na to, że:</w:t>
      </w:r>
    </w:p>
    <w:p w14:paraId="133D1D56" w14:textId="68EEEBDD" w:rsidR="00CD1D86" w:rsidRPr="00CB6D3C"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1)</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prace odwadniające w zlikwidowanych kopalniach rud cynku i ołowiu w Niecce Bytomskiej nie byłyby w ogóle zapewnione w normalnych warunkach rynkowych, jako że nie ma podmiotów, które do takich prac byłyby zobowiązane. Zarówno CP „Bolko”, jak i SRK S.A. nie są takimi podmiotami, gdyż nigdy nie prowadziły działalności gospodarczej, polegającej na wydobywaniu rud cynku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ołowiu. Odwadnianie kopalń porudnych jest usługą świadczoną w ogólnym interesie gospodarczym dla celów art. 106 TFUE, którą powierzono najpierw CP „Bolko” (podmiotowi prywatnemu), a od 1 stycznia 2021</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r. SRK S.A. (jednoosobowej spółce Skarbu Państwa). Dzięki koncentracj</w:t>
      </w:r>
      <w:r w:rsidR="003F514B">
        <w:rPr>
          <w:rFonts w:ascii="Times New Roman" w:eastAsia="Times New Roman" w:hAnsi="Times New Roman" w:cs="Times New Roman"/>
          <w:bCs/>
          <w:sz w:val="24"/>
          <w:szCs w:val="24"/>
          <w:lang w:eastAsia="pl-PL"/>
        </w:rPr>
        <w:t>i zadań w jednym podmiocie, tj. </w:t>
      </w:r>
      <w:r w:rsidRPr="00CB6D3C">
        <w:rPr>
          <w:rFonts w:ascii="Times New Roman" w:eastAsia="Times New Roman" w:hAnsi="Times New Roman" w:cs="Times New Roman"/>
          <w:bCs/>
          <w:sz w:val="24"/>
          <w:szCs w:val="24"/>
          <w:lang w:eastAsia="pl-PL"/>
        </w:rPr>
        <w:t>SRK S.A., możliwe będzie obniżenie kosztów funkcjonowania oraz zwiększenie stopnia zarządzania i koordynacji systemem;</w:t>
      </w:r>
    </w:p>
    <w:p w14:paraId="2A9B2963" w14:textId="006C7808" w:rsidR="00CD1D86" w:rsidRPr="00CB6D3C"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2)</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 xml:space="preserve">w 2003 r. „Pumech-Orzeł” Sp. z o.o. ustanowiła, dla celów przejrzystości finansowej, CP „Bolko” i wniosła do niej aportem centralną pompownię wraz ze wszystkimi urządzeniami i terenami służącymi odwadnianiu, zostając jednocześnie </w:t>
      </w:r>
      <w:r w:rsidRPr="00CB6D3C">
        <w:rPr>
          <w:rFonts w:ascii="Times New Roman" w:eastAsia="Times New Roman" w:hAnsi="Times New Roman" w:cs="Times New Roman"/>
          <w:bCs/>
          <w:sz w:val="24"/>
          <w:szCs w:val="24"/>
          <w:lang w:eastAsia="pl-PL"/>
        </w:rPr>
        <w:lastRenderedPageBreak/>
        <w:t>jej jedynym udziałowcem. Stworzenie CP „Bolko” jako osobnej spółki zapewniło całkowite oddzielenie działań odwadniających (uznawanych za działalność pozagospodarczą) od działalności gospodarczej wykonywanej przez właściciela CP „Bolko”, czyli Zakłady Górniczo-Hutnicze „Orzeł Biały” S.A. Oddzielenie to gwarantowało przejrzystość ewidencji księgowej i rachunków CP „Bolko”, które były tylko związane z działaniami odwadniającymi, a</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związku z tym zapewniały otwarte i przejrzyste finansowanie działań.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przypadku przejęcia powyższych zadań przez SRK S.A., spółka na mocy ustawy or</w:t>
      </w:r>
      <w:r w:rsidR="003F514B">
        <w:rPr>
          <w:rFonts w:ascii="Times New Roman" w:eastAsia="Times New Roman" w:hAnsi="Times New Roman" w:cs="Times New Roman"/>
          <w:bCs/>
          <w:sz w:val="24"/>
          <w:szCs w:val="24"/>
          <w:lang w:eastAsia="pl-PL"/>
        </w:rPr>
        <w:t>az umowy o przyznanie dotacji z </w:t>
      </w:r>
      <w:r w:rsidRPr="00CB6D3C">
        <w:rPr>
          <w:rFonts w:ascii="Times New Roman" w:eastAsia="Times New Roman" w:hAnsi="Times New Roman" w:cs="Times New Roman"/>
          <w:bCs/>
          <w:sz w:val="24"/>
          <w:szCs w:val="24"/>
          <w:lang w:eastAsia="pl-PL"/>
        </w:rPr>
        <w:t>budżetu państwa na finansowanie przedmiotowych zadań, będzie zobowiązana, zgodnie z przepisami ustawy z dnia 27 sierpnia 2009 r. o finansach publicznych (Dz. U. z 2019 r. poz. 869, z późn.</w:t>
      </w:r>
      <w:r w:rsidR="005A11C4">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zm.), do prowadzenia odrębnej ewidencji, sprawozdawczości, jak również wydzielonego rachunku bankowego;</w:t>
      </w:r>
    </w:p>
    <w:p w14:paraId="1D8F76D6" w14:textId="1E09D59E" w:rsidR="00CD1D86" w:rsidRPr="00CB6D3C"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3)</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do kontynuacji procesu odwadniania kopalń porudnych będzie wykorzystywana ta sama pompownia wraz z infrastrukturą, która zostanie nabyta przez SRK S.A. od CP „Bolko” na podstawie wyceny sporządzonej przez niezależnego rzeczoznawcę wg panujących warunków rynkowych, w celu uniknięcia podejrzenia o udzielanie pomocy publicznej CP</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„Bolko”. Nabycie majątku CP „Bolko” zostanie sfinansowane środkami własnymi SRK S.A.;</w:t>
      </w:r>
    </w:p>
    <w:p w14:paraId="23CEA83D" w14:textId="467C65FC" w:rsidR="00CD1D86" w:rsidRPr="00CB6D3C"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4)</w:t>
      </w:r>
      <w:r w:rsidR="00656E76">
        <w:rPr>
          <w:rFonts w:ascii="Times New Roman" w:eastAsia="Times New Roman" w:hAnsi="Times New Roman" w:cs="Times New Roman"/>
          <w:bCs/>
          <w:sz w:val="24"/>
          <w:szCs w:val="24"/>
          <w:lang w:eastAsia="pl-PL"/>
        </w:rPr>
        <w:tab/>
      </w:r>
      <w:r w:rsidRPr="00CB6D3C">
        <w:rPr>
          <w:rFonts w:ascii="Times New Roman" w:eastAsia="Times New Roman" w:hAnsi="Times New Roman" w:cs="Times New Roman"/>
          <w:bCs/>
          <w:sz w:val="24"/>
          <w:szCs w:val="24"/>
          <w:lang w:eastAsia="pl-PL"/>
        </w:rPr>
        <w:t>wysokość dotacji na prowadzenie prac odwadniających będzie przyznawana na tych samych zasadach, na jakich była przyznawana CP „Bolko”, i będzie obejmowała wyłącznie poniesione koszty z uwzględnieniem ewentualnych dochodów, które SRK S.A. uzyska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związku z realizowanym zadaniem. Prace powierzone SRK S.A., podobnie jak CP „Bolko”, będą wykonywane bezpośrednio przez to przedsiębiorstwo lub, jeżeli wystąpi taka potrzeba,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drodze procedury przetargowej. Jednocześnie wprowadzone mechanizmy kontroli </w:t>
      </w:r>
      <w:r w:rsidRPr="00CB6D3C">
        <w:rPr>
          <w:rFonts w:ascii="Times New Roman" w:eastAsia="Times New Roman" w:hAnsi="Times New Roman" w:cs="Times New Roman"/>
          <w:bCs/>
          <w:i/>
          <w:sz w:val="24"/>
          <w:szCs w:val="24"/>
          <w:lang w:eastAsia="pl-PL"/>
        </w:rPr>
        <w:t>ex post</w:t>
      </w:r>
      <w:r w:rsidRPr="00CB6D3C">
        <w:rPr>
          <w:rFonts w:ascii="Times New Roman" w:eastAsia="Times New Roman" w:hAnsi="Times New Roman" w:cs="Times New Roman"/>
          <w:bCs/>
          <w:sz w:val="24"/>
          <w:szCs w:val="24"/>
          <w:lang w:eastAsia="pl-PL"/>
        </w:rPr>
        <w:t xml:space="preserve">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i/>
          <w:sz w:val="24"/>
          <w:szCs w:val="24"/>
          <w:lang w:eastAsia="pl-PL"/>
        </w:rPr>
        <w:t>ex ante</w:t>
      </w:r>
      <w:r w:rsidRPr="00CB6D3C">
        <w:rPr>
          <w:rFonts w:ascii="Times New Roman" w:eastAsia="Times New Roman" w:hAnsi="Times New Roman" w:cs="Times New Roman"/>
          <w:bCs/>
          <w:sz w:val="24"/>
          <w:szCs w:val="24"/>
          <w:lang w:eastAsia="pl-PL"/>
        </w:rPr>
        <w:t xml:space="preserve"> zapewnią, że SRK S.A. będzie działać w sposób ekonomicznie uzasadniony, ponosząc uzasadnione koszty, typowe dla właściwie zarządzanego przedsiębiorstwa, przy zapewnieniu właściwego standardu prowadzonych prac odwadniających.</w:t>
      </w:r>
    </w:p>
    <w:p w14:paraId="3CC8C284" w14:textId="777777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Biorąc powyższe pod uwagę, wszystkie warunki określone w decyzji Komisji Europejskiej w sprawie CP „Bolko”, w ocenie projektodawcy, pozostaną wciąż spełnione po przejęciu CP „Bolko” przez SRK S.A.</w:t>
      </w:r>
    </w:p>
    <w:p w14:paraId="7ECB7523" w14:textId="777777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lastRenderedPageBreak/>
        <w:t xml:space="preserve">Pozostałe zmiany w ustawie mają charakter porządkowy, dostosowujący do rzeczywistych warunków. </w:t>
      </w:r>
    </w:p>
    <w:p w14:paraId="5E59B2BA" w14:textId="4C54412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 art. 1 projektowanej ustawy dokonano zmiany jego brzmienia, przy czym wprowadzono aktualnie obowiązujące nazwy 2 podmiotów, z uwagi na dokonane zmiany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zakresie formy prawnej beneficjentów, oraz wyrażenie „lub następców prawnych tych podmiotów</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dodano jako część wspólną dla wszystkich podmiotów wymienionych w ustawie. Przedsiębiorstwo Pańs</w:t>
      </w:r>
      <w:r w:rsidR="003F514B">
        <w:rPr>
          <w:rFonts w:ascii="Times New Roman" w:eastAsia="Times New Roman" w:hAnsi="Times New Roman" w:cs="Times New Roman"/>
          <w:bCs/>
          <w:sz w:val="24"/>
          <w:szCs w:val="24"/>
          <w:lang w:eastAsia="pl-PL"/>
        </w:rPr>
        <w:t>twowe Kopalnia Soli „Bochnia” z </w:t>
      </w:r>
      <w:r w:rsidRPr="00CB6D3C">
        <w:rPr>
          <w:rFonts w:ascii="Times New Roman" w:eastAsia="Times New Roman" w:hAnsi="Times New Roman" w:cs="Times New Roman"/>
          <w:bCs/>
          <w:sz w:val="24"/>
          <w:szCs w:val="24"/>
          <w:lang w:eastAsia="pl-PL"/>
        </w:rPr>
        <w:t>siedzibą w Bochni w likwidacji obecnie jest spółką prawa handlowego o nazwie Kopalni</w:t>
      </w:r>
      <w:r w:rsidR="005A11C4">
        <w:rPr>
          <w:rFonts w:ascii="Times New Roman" w:eastAsia="Times New Roman" w:hAnsi="Times New Roman" w:cs="Times New Roman"/>
          <w:bCs/>
          <w:sz w:val="24"/>
          <w:szCs w:val="24"/>
          <w:lang w:eastAsia="pl-PL"/>
        </w:rPr>
        <w:t>a</w:t>
      </w:r>
      <w:r w:rsidRPr="00CB6D3C">
        <w:rPr>
          <w:rFonts w:ascii="Times New Roman" w:eastAsia="Times New Roman" w:hAnsi="Times New Roman" w:cs="Times New Roman"/>
          <w:bCs/>
          <w:sz w:val="24"/>
          <w:szCs w:val="24"/>
          <w:lang w:eastAsia="pl-PL"/>
        </w:rPr>
        <w:t xml:space="preserve"> Soli Bochnia Spółka z ograniczoną odpowiedzialnością. Natomiast następcą prawnym Zabytkowej Kopalni Węgla Kamiennego „Guido” w Zabrzu jest instytucja kultury </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Muzeum Górnictwa Węglowego w Zabrzu. Ponadto w miejsce CP „Bolko” została wpisana SRK S.A. Ponieważ nie można z całą pewnością wykluczyć,</w:t>
      </w:r>
      <w:r w:rsidR="003F514B">
        <w:rPr>
          <w:rFonts w:ascii="Times New Roman" w:eastAsia="Times New Roman" w:hAnsi="Times New Roman" w:cs="Times New Roman"/>
          <w:bCs/>
          <w:sz w:val="24"/>
          <w:szCs w:val="24"/>
          <w:lang w:eastAsia="pl-PL"/>
        </w:rPr>
        <w:t xml:space="preserve"> że w </w:t>
      </w:r>
      <w:r w:rsidRPr="00CB6D3C">
        <w:rPr>
          <w:rFonts w:ascii="Times New Roman" w:eastAsia="Times New Roman" w:hAnsi="Times New Roman" w:cs="Times New Roman"/>
          <w:bCs/>
          <w:sz w:val="24"/>
          <w:szCs w:val="24"/>
          <w:lang w:eastAsia="pl-PL"/>
        </w:rPr>
        <w:t xml:space="preserve">przyszłości nie nastąpią żadne zmiany w organizacji tych podmiotów, wprowadzono możliwość udzielania dotacji na zadania określone ustawą przez ewentualnych następców prawnych. Ma to na celu zabezpieczenie płynności zarówno realizacji zadań, jak i ich finansowania. </w:t>
      </w:r>
    </w:p>
    <w:p w14:paraId="322A82E1" w14:textId="1643E0CD"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Założone w art. 1 pkt 2 projektu uchylenie punktu 4 </w:t>
      </w:r>
      <w:r w:rsidR="003F514B">
        <w:rPr>
          <w:rFonts w:ascii="Times New Roman" w:eastAsia="Times New Roman" w:hAnsi="Times New Roman" w:cs="Times New Roman"/>
          <w:bCs/>
          <w:sz w:val="24"/>
          <w:szCs w:val="24"/>
          <w:lang w:eastAsia="pl-PL"/>
        </w:rPr>
        <w:t>w art. 3 ust. 3 ustawy wynika z </w:t>
      </w:r>
      <w:r w:rsidRPr="00CB6D3C">
        <w:rPr>
          <w:rFonts w:ascii="Times New Roman" w:eastAsia="Times New Roman" w:hAnsi="Times New Roman" w:cs="Times New Roman"/>
          <w:bCs/>
          <w:sz w:val="24"/>
          <w:szCs w:val="24"/>
          <w:lang w:eastAsia="pl-PL"/>
        </w:rPr>
        <w:t>faktu, że Muzeum Górnictwa Węglowego w Zabrzu jest samorządową instytucją kultury, która otrzymuje dotacje podmiotowe od Miasta Zabrze oraz z Urzędu Marszałkowskiego (organu założycielskiego). Usta</w:t>
      </w:r>
      <w:r w:rsidR="003F514B">
        <w:rPr>
          <w:rFonts w:ascii="Times New Roman" w:eastAsia="Times New Roman" w:hAnsi="Times New Roman" w:cs="Times New Roman"/>
          <w:bCs/>
          <w:sz w:val="24"/>
          <w:szCs w:val="24"/>
          <w:lang w:eastAsia="pl-PL"/>
        </w:rPr>
        <w:t>wa z dnia 27 sierpnia 2009 r. o </w:t>
      </w:r>
      <w:r w:rsidRPr="00CB6D3C">
        <w:rPr>
          <w:rFonts w:ascii="Times New Roman" w:eastAsia="Times New Roman" w:hAnsi="Times New Roman" w:cs="Times New Roman"/>
          <w:bCs/>
          <w:sz w:val="24"/>
          <w:szCs w:val="24"/>
          <w:lang w:eastAsia="pl-PL"/>
        </w:rPr>
        <w:t>finansach publicznych definiuje dotacje podmiotowe jako środki przeznaczone dla podmiotu na dofinansowanie działalności bieżącej. Jednym z elementów prowadzenia działalności każdego podmiotu są koszty ogólnego zarządu. Biorąc powyższe pod uwagę, projektodawca uznał, że dotacja jaką otrzymu</w:t>
      </w:r>
      <w:r w:rsidR="003F514B">
        <w:rPr>
          <w:rFonts w:ascii="Times New Roman" w:eastAsia="Times New Roman" w:hAnsi="Times New Roman" w:cs="Times New Roman"/>
          <w:bCs/>
          <w:sz w:val="24"/>
          <w:szCs w:val="24"/>
          <w:lang w:eastAsia="pl-PL"/>
        </w:rPr>
        <w:t>je Muzeum na podstawie ustawy z </w:t>
      </w:r>
      <w:r w:rsidRPr="00CB6D3C">
        <w:rPr>
          <w:rFonts w:ascii="Times New Roman" w:eastAsia="Times New Roman" w:hAnsi="Times New Roman" w:cs="Times New Roman"/>
          <w:bCs/>
          <w:sz w:val="24"/>
          <w:szCs w:val="24"/>
          <w:lang w:eastAsia="pl-PL"/>
        </w:rPr>
        <w:t>dnia 30 sierpnia 2013 r. o dotacji przeznaczonej dla niektórych podmiotów ma bardziej charakter celowy niż podmiotowy, a</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związku z tym właściwszym wydaje się przeznaczanie dotacji przyznawanej przez ministra właściwego do spraw gospodarki złożami kopalin na finansowanie zadań merytorycznych, wskazanych w ustawie, aniżeli na koszty związane z ogólnym funkcjonowaniem podmiotu, ponoszone przez Muzeum. </w:t>
      </w:r>
    </w:p>
    <w:p w14:paraId="23EBCE80" w14:textId="26916194"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W art. 1 pkt 3 projektu zmodyfikowano brzmienie art. 6 ust. 2 ustawy zmienianej, odnoszący się </w:t>
      </w:r>
      <w:r w:rsidR="00876529">
        <w:rPr>
          <w:rFonts w:ascii="Times New Roman" w:eastAsia="Times New Roman" w:hAnsi="Times New Roman" w:cs="Times New Roman"/>
          <w:bCs/>
          <w:sz w:val="24"/>
          <w:szCs w:val="24"/>
          <w:lang w:eastAsia="pl-PL"/>
        </w:rPr>
        <w:t>d</w:t>
      </w:r>
      <w:r w:rsidRPr="00CB6D3C">
        <w:rPr>
          <w:rFonts w:ascii="Times New Roman" w:eastAsia="Times New Roman" w:hAnsi="Times New Roman" w:cs="Times New Roman"/>
          <w:bCs/>
          <w:sz w:val="24"/>
          <w:szCs w:val="24"/>
          <w:lang w:eastAsia="pl-PL"/>
        </w:rPr>
        <w:t xml:space="preserve">o zawartości umowy zawieranej między podmiotem a ministrem </w:t>
      </w:r>
      <w:r w:rsidRPr="00CB6D3C">
        <w:rPr>
          <w:rFonts w:ascii="Times New Roman" w:eastAsia="Times New Roman" w:hAnsi="Times New Roman" w:cs="Times New Roman"/>
          <w:bCs/>
          <w:sz w:val="24"/>
          <w:szCs w:val="24"/>
          <w:lang w:eastAsia="pl-PL"/>
        </w:rPr>
        <w:lastRenderedPageBreak/>
        <w:t xml:space="preserve">właściwym do spraw gospodarki złożami kopalin, wprowadzając do </w:t>
      </w:r>
      <w:r w:rsidR="00876529">
        <w:rPr>
          <w:rFonts w:ascii="Times New Roman" w:eastAsia="Times New Roman" w:hAnsi="Times New Roman" w:cs="Times New Roman"/>
          <w:bCs/>
          <w:sz w:val="24"/>
          <w:szCs w:val="24"/>
          <w:lang w:eastAsia="pl-PL"/>
        </w:rPr>
        <w:t>niego treść art. </w:t>
      </w:r>
      <w:r w:rsidRPr="00CB6D3C">
        <w:rPr>
          <w:rFonts w:ascii="Times New Roman" w:eastAsia="Times New Roman" w:hAnsi="Times New Roman" w:cs="Times New Roman"/>
          <w:bCs/>
          <w:sz w:val="24"/>
          <w:szCs w:val="24"/>
          <w:lang w:eastAsia="pl-PL"/>
        </w:rPr>
        <w:t>150 ustawy z dnia 27</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sierpnia 2009 r. o finansach publicznych. </w:t>
      </w:r>
    </w:p>
    <w:p w14:paraId="285DD965" w14:textId="28EDD415"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Ponadto</w:t>
      </w:r>
      <w:r w:rsidR="00625075">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w projekcie dokonano również zmiany </w:t>
      </w:r>
      <w:r w:rsidR="003F514B">
        <w:rPr>
          <w:rFonts w:ascii="Times New Roman" w:eastAsia="Times New Roman" w:hAnsi="Times New Roman" w:cs="Times New Roman"/>
          <w:bCs/>
          <w:sz w:val="24"/>
          <w:szCs w:val="24"/>
          <w:lang w:eastAsia="pl-PL"/>
        </w:rPr>
        <w:t>w art. 9 ustawy zmienianej, tj. </w:t>
      </w:r>
      <w:r w:rsidRPr="00CB6D3C">
        <w:rPr>
          <w:rFonts w:ascii="Times New Roman" w:eastAsia="Times New Roman" w:hAnsi="Times New Roman" w:cs="Times New Roman"/>
          <w:bCs/>
          <w:sz w:val="24"/>
          <w:szCs w:val="24"/>
          <w:lang w:eastAsia="pl-PL"/>
        </w:rPr>
        <w:t>wyrażenie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ratach miesięcznych” zastąpiono sform</w:t>
      </w:r>
      <w:r w:rsidR="003F514B">
        <w:rPr>
          <w:rFonts w:ascii="Times New Roman" w:eastAsia="Times New Roman" w:hAnsi="Times New Roman" w:cs="Times New Roman"/>
          <w:bCs/>
          <w:sz w:val="24"/>
          <w:szCs w:val="24"/>
          <w:lang w:eastAsia="pl-PL"/>
        </w:rPr>
        <w:t>ułowaniem „transza” (art. 1 pkt </w:t>
      </w:r>
      <w:r w:rsidRPr="00CB6D3C">
        <w:rPr>
          <w:rFonts w:ascii="Times New Roman" w:eastAsia="Times New Roman" w:hAnsi="Times New Roman" w:cs="Times New Roman"/>
          <w:bCs/>
          <w:sz w:val="24"/>
          <w:szCs w:val="24"/>
          <w:lang w:eastAsia="pl-PL"/>
        </w:rPr>
        <w:t>4 ustawy zmieniającej).</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Użyte wcześniej wyrażenie „rata miesięczna” sugeruje, że jest to część należności płatna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oznaczonym terminie, w tym przypadku dodatkowo każdego miesiąca. Faktycznie, poszczególnym</w:t>
      </w:r>
      <w:r w:rsidR="003F514B">
        <w:rPr>
          <w:rFonts w:ascii="Times New Roman" w:eastAsia="Times New Roman" w:hAnsi="Times New Roman" w:cs="Times New Roman"/>
          <w:bCs/>
          <w:sz w:val="24"/>
          <w:szCs w:val="24"/>
          <w:lang w:eastAsia="pl-PL"/>
        </w:rPr>
        <w:t xml:space="preserve"> podmiotom w trakcie roku nie w </w:t>
      </w:r>
      <w:r w:rsidRPr="00CB6D3C">
        <w:rPr>
          <w:rFonts w:ascii="Times New Roman" w:eastAsia="Times New Roman" w:hAnsi="Times New Roman" w:cs="Times New Roman"/>
          <w:bCs/>
          <w:sz w:val="24"/>
          <w:szCs w:val="24"/>
          <w:lang w:eastAsia="pl-PL"/>
        </w:rPr>
        <w:t>każdym miesiącu rata jest wypłacana, a</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ponadto nie ma ustalonego konkretnego terminu. Przekazywane beneficjentom dotacji środki mają bardziej charakter transzy, aniżeli raty. Umowa o</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przyznanie dotacji obejmuje realizację zadań w roku budżetowym, a w związku z tym środki dotyczą finansowania zadań w całym roku. Kierując się jednak zasadami racjonalnego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oszczędnego gospodarowania środkami publicznymi, beneficjenci nie otrzymują na początku roku pełnej kwoty dotacji, tylko wnioskują w trakcie roku o kolejne transze środków dotacyjnych, które mają zabezpieczyć płynność w finansowaniu zadań, natomiast środki nie mogą być nadmiernie gromadzone na rachunku bankowym. W celu otrzymania transzy podmiot składa, po podpisaniu umowy, wniosek o jej wypłacenie,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zależności od występujących potrzeb. </w:t>
      </w:r>
    </w:p>
    <w:p w14:paraId="3369C9D0" w14:textId="69849364"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Ponadto art. 1 pkt 5 niniejszego projektu zmienia nie tyle termin przekazania sprawozdania miesięcznego, ile jego punkt odnies</w:t>
      </w:r>
      <w:r w:rsidR="00625075">
        <w:rPr>
          <w:rFonts w:ascii="Times New Roman" w:eastAsia="Times New Roman" w:hAnsi="Times New Roman" w:cs="Times New Roman"/>
          <w:bCs/>
          <w:sz w:val="24"/>
          <w:szCs w:val="24"/>
          <w:lang w:eastAsia="pl-PL"/>
        </w:rPr>
        <w:t>ienia. Dotychczasowy zapis art. 10 ust. </w:t>
      </w:r>
      <w:r w:rsidRPr="00CB6D3C">
        <w:rPr>
          <w:rFonts w:ascii="Times New Roman" w:eastAsia="Times New Roman" w:hAnsi="Times New Roman" w:cs="Times New Roman"/>
          <w:bCs/>
          <w:sz w:val="24"/>
          <w:szCs w:val="24"/>
          <w:lang w:eastAsia="pl-PL"/>
        </w:rPr>
        <w:t>1 zmienianej ustawy uzależniał złożenie sprawozdania od przekazania kolejnej raty dotacji. I tak, zgodnie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obecnym zapisem, podmiot p</w:t>
      </w:r>
      <w:r w:rsidR="003F514B">
        <w:rPr>
          <w:rFonts w:ascii="Times New Roman" w:eastAsia="Times New Roman" w:hAnsi="Times New Roman" w:cs="Times New Roman"/>
          <w:bCs/>
          <w:sz w:val="24"/>
          <w:szCs w:val="24"/>
          <w:lang w:eastAsia="pl-PL"/>
        </w:rPr>
        <w:t>owinien złożyć sprawozdanie np. </w:t>
      </w:r>
      <w:r w:rsidRPr="00CB6D3C">
        <w:rPr>
          <w:rFonts w:ascii="Times New Roman" w:eastAsia="Times New Roman" w:hAnsi="Times New Roman" w:cs="Times New Roman"/>
          <w:bCs/>
          <w:sz w:val="24"/>
          <w:szCs w:val="24"/>
          <w:lang w:eastAsia="pl-PL"/>
        </w:rPr>
        <w:t>za listopad czy grudzień do 25. dnia miesiąca poprzedzającego przekazanie kolejnej raty dotacji, podczas gdy kolejne raty dotacji nie były już wypłacane. Ostatnia rata dotacji w roku budżetowym wypłacana była do 10 grudnia, co przy dotychczasowym zapisie byłoby równoznaczne z brakiem obowiązku złożenia sprawozdania za listopad (do 25 grudnia) oraz za grudzień (do 25 stycznia roku następnego). To z kolei oznaczałoby brak informacji o realizacji zadań, określonych w rocznym planie rzeczowo-finansowym. Jednocześnie, pomimo że z ustawy obowiązek nie wynikał, beneficjenci dotacji składali sprawozdania za listopad i za grudzień. W</w:t>
      </w:r>
      <w:r w:rsidR="00A675EA">
        <w:rPr>
          <w:rFonts w:ascii="Times New Roman" w:eastAsia="Times New Roman" w:hAnsi="Times New Roman" w:cs="Times New Roman"/>
          <w:bCs/>
          <w:sz w:val="24"/>
          <w:szCs w:val="24"/>
          <w:lang w:eastAsia="pl-PL"/>
        </w:rPr>
        <w:t xml:space="preserve"> </w:t>
      </w:r>
      <w:r w:rsidR="003F514B">
        <w:rPr>
          <w:rFonts w:ascii="Times New Roman" w:eastAsia="Times New Roman" w:hAnsi="Times New Roman" w:cs="Times New Roman"/>
          <w:bCs/>
          <w:sz w:val="24"/>
          <w:szCs w:val="24"/>
          <w:lang w:eastAsia="pl-PL"/>
        </w:rPr>
        <w:t>związku z </w:t>
      </w:r>
      <w:r w:rsidRPr="00CB6D3C">
        <w:rPr>
          <w:rFonts w:ascii="Times New Roman" w:eastAsia="Times New Roman" w:hAnsi="Times New Roman" w:cs="Times New Roman"/>
          <w:bCs/>
          <w:sz w:val="24"/>
          <w:szCs w:val="24"/>
          <w:lang w:eastAsia="pl-PL"/>
        </w:rPr>
        <w:t xml:space="preserve">powyższym dokonano zmiany zapisu w art. 10 ust. 1 zmienianej ustawy i zamiast terminu złożenia sprawozdania miesięcznego do 25. dnia miesiąca poprzedzającego </w:t>
      </w:r>
      <w:r w:rsidRPr="00CB6D3C">
        <w:rPr>
          <w:rFonts w:ascii="Times New Roman" w:eastAsia="Times New Roman" w:hAnsi="Times New Roman" w:cs="Times New Roman"/>
          <w:bCs/>
          <w:sz w:val="24"/>
          <w:szCs w:val="24"/>
          <w:lang w:eastAsia="pl-PL"/>
        </w:rPr>
        <w:lastRenderedPageBreak/>
        <w:t>miesiąc przekazania zaliczki, wyznaczono termin na składanie sprawozdań do 25. dnia miesiąca następującego po miesiącu, którego dotyczy sprawozdanie. Jednocześnie na</w:t>
      </w:r>
      <w:r w:rsidR="0036254E">
        <w:rPr>
          <w:rFonts w:ascii="Times New Roman" w:eastAsia="Times New Roman" w:hAnsi="Times New Roman" w:cs="Times New Roman"/>
          <w:bCs/>
          <w:sz w:val="24"/>
          <w:szCs w:val="24"/>
          <w:lang w:eastAsia="pl-PL"/>
        </w:rPr>
        <w:t>dal pozostawiono przepis w art. </w:t>
      </w:r>
      <w:r w:rsidRPr="00CB6D3C">
        <w:rPr>
          <w:rFonts w:ascii="Times New Roman" w:eastAsia="Times New Roman" w:hAnsi="Times New Roman" w:cs="Times New Roman"/>
          <w:bCs/>
          <w:sz w:val="24"/>
          <w:szCs w:val="24"/>
          <w:lang w:eastAsia="pl-PL"/>
        </w:rPr>
        <w:t>9 ust. 2, z którego wynika, że warunkiem wypłacenia transzy środków z przyznanej kwoty dotacji jest, oprócz złożenia wniosku o</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jej wypłatę, złożenie sprawozdania miesięcznego.</w:t>
      </w:r>
    </w:p>
    <w:p w14:paraId="7C700D65" w14:textId="45E8D16F" w:rsidR="00CD1D86" w:rsidRPr="006E2D75"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ja-JP"/>
        </w:rPr>
      </w:pPr>
      <w:r w:rsidRPr="00CB6D3C">
        <w:rPr>
          <w:rFonts w:ascii="Times New Roman" w:eastAsia="Times New Roman" w:hAnsi="Times New Roman" w:cs="Times New Roman"/>
          <w:bCs/>
          <w:sz w:val="24"/>
          <w:szCs w:val="24"/>
          <w:lang w:eastAsia="ja-JP"/>
        </w:rPr>
        <w:t>W związku z faktem, że Agencja Rozwoju Przemysłu S.A.</w:t>
      </w:r>
      <w:r w:rsidRPr="00CB6D3C">
        <w:rPr>
          <w:rFonts w:ascii="Times New Roman" w:eastAsia="Times New Roman" w:hAnsi="Times New Roman" w:cs="Times New Roman"/>
          <w:bCs/>
          <w:sz w:val="24"/>
          <w:szCs w:val="24"/>
          <w:lang w:eastAsia="pl-PL"/>
        </w:rPr>
        <w:t xml:space="preserve">, zwana dalej „ARP S.A.”, </w:t>
      </w:r>
      <w:r w:rsidRPr="00CB6D3C">
        <w:rPr>
          <w:rFonts w:ascii="Times New Roman" w:eastAsia="Times New Roman" w:hAnsi="Times New Roman" w:cs="Times New Roman"/>
          <w:bCs/>
          <w:sz w:val="24"/>
          <w:szCs w:val="24"/>
          <w:lang w:eastAsia="ja-JP"/>
        </w:rPr>
        <w:t>prawidłowo wykon</w:t>
      </w:r>
      <w:r w:rsidRPr="00CB6D3C">
        <w:rPr>
          <w:rFonts w:ascii="Times New Roman" w:eastAsia="Times New Roman" w:hAnsi="Times New Roman" w:cs="Times New Roman"/>
          <w:bCs/>
          <w:sz w:val="24"/>
          <w:szCs w:val="24"/>
          <w:lang w:eastAsia="pl-PL"/>
        </w:rPr>
        <w:t>uje</w:t>
      </w:r>
      <w:r w:rsidRPr="00CB6D3C">
        <w:rPr>
          <w:rFonts w:ascii="Times New Roman" w:eastAsia="Times New Roman" w:hAnsi="Times New Roman" w:cs="Times New Roman"/>
          <w:bCs/>
          <w:sz w:val="24"/>
          <w:szCs w:val="24"/>
          <w:lang w:eastAsia="ja-JP"/>
        </w:rPr>
        <w:t xml:space="preserve"> zadania związane z </w:t>
      </w:r>
      <w:r w:rsidRPr="00CB6D3C">
        <w:rPr>
          <w:rFonts w:ascii="Times New Roman" w:eastAsia="Times New Roman" w:hAnsi="Times New Roman" w:cs="Times New Roman"/>
          <w:bCs/>
          <w:sz w:val="24"/>
          <w:szCs w:val="24"/>
          <w:lang w:eastAsia="pl-PL"/>
        </w:rPr>
        <w:t>monitoringiem,</w:t>
      </w:r>
      <w:r w:rsidRPr="00CB6D3C">
        <w:rPr>
          <w:rFonts w:ascii="Times New Roman" w:eastAsia="Times New Roman" w:hAnsi="Times New Roman" w:cs="Times New Roman"/>
          <w:bCs/>
          <w:sz w:val="24"/>
          <w:szCs w:val="24"/>
          <w:lang w:eastAsia="ja-JP"/>
        </w:rPr>
        <w:t xml:space="preserve"> w art. </w:t>
      </w:r>
      <w:r w:rsidRPr="00CB6D3C">
        <w:rPr>
          <w:rFonts w:ascii="Times New Roman" w:eastAsia="Times New Roman" w:hAnsi="Times New Roman" w:cs="Times New Roman"/>
          <w:bCs/>
          <w:sz w:val="24"/>
          <w:szCs w:val="24"/>
          <w:lang w:eastAsia="pl-PL"/>
        </w:rPr>
        <w:t>1 pkt 6</w:t>
      </w:r>
      <w:r w:rsidRPr="00CB6D3C">
        <w:rPr>
          <w:rFonts w:ascii="Times New Roman" w:eastAsia="Times New Roman" w:hAnsi="Times New Roman" w:cs="Times New Roman"/>
          <w:bCs/>
          <w:sz w:val="24"/>
          <w:szCs w:val="24"/>
          <w:lang w:eastAsia="ja-JP"/>
        </w:rPr>
        <w:t xml:space="preserve"> </w:t>
      </w:r>
      <w:r w:rsidRPr="00CB6D3C">
        <w:rPr>
          <w:rFonts w:ascii="Times New Roman" w:eastAsia="Times New Roman" w:hAnsi="Times New Roman" w:cs="Times New Roman"/>
          <w:bCs/>
          <w:sz w:val="24"/>
          <w:szCs w:val="24"/>
          <w:lang w:eastAsia="pl-PL"/>
        </w:rPr>
        <w:t xml:space="preserve">projektu ustawy dokonano zmiany brzmienia art. 12 obecnej ustawy i wyrażenie „może zlecić Agencji Rozwoju Przemysłu S.A. monitorowanie” </w:t>
      </w:r>
      <w:r w:rsidRPr="00CB6D3C">
        <w:rPr>
          <w:rFonts w:ascii="Times New Roman" w:eastAsia="Times New Roman" w:hAnsi="Times New Roman" w:cs="Times New Roman"/>
          <w:bCs/>
          <w:sz w:val="24"/>
          <w:szCs w:val="24"/>
          <w:lang w:eastAsia="ja-JP"/>
        </w:rPr>
        <w:t>za</w:t>
      </w:r>
      <w:r w:rsidRPr="00CB6D3C">
        <w:rPr>
          <w:rFonts w:ascii="Times New Roman" w:eastAsia="Times New Roman" w:hAnsi="Times New Roman" w:cs="Times New Roman"/>
          <w:bCs/>
          <w:sz w:val="24"/>
          <w:szCs w:val="24"/>
          <w:lang w:eastAsia="pl-PL"/>
        </w:rPr>
        <w:t>stąpiono sformułowaniem, że</w:t>
      </w:r>
      <w:r w:rsidRPr="00CB6D3C">
        <w:rPr>
          <w:rFonts w:ascii="Times New Roman" w:eastAsia="Times New Roman" w:hAnsi="Times New Roman" w:cs="Times New Roman"/>
          <w:bCs/>
          <w:sz w:val="24"/>
          <w:szCs w:val="24"/>
          <w:lang w:eastAsia="ja-JP"/>
        </w:rPr>
        <w:t xml:space="preserve"> </w:t>
      </w:r>
      <w:r w:rsidRPr="00CB6D3C">
        <w:rPr>
          <w:rFonts w:ascii="Times New Roman" w:eastAsia="Times New Roman" w:hAnsi="Times New Roman" w:cs="Times New Roman"/>
          <w:bCs/>
          <w:sz w:val="24"/>
          <w:szCs w:val="24"/>
          <w:lang w:eastAsia="pl-PL"/>
        </w:rPr>
        <w:t>podmiot ten będzie „</w:t>
      </w:r>
      <w:r w:rsidRPr="00CB6D3C">
        <w:rPr>
          <w:rFonts w:ascii="Times New Roman" w:eastAsia="Times New Roman" w:hAnsi="Times New Roman" w:cs="Times New Roman"/>
          <w:bCs/>
          <w:sz w:val="24"/>
          <w:szCs w:val="24"/>
          <w:lang w:eastAsia="ja-JP"/>
        </w:rPr>
        <w:t xml:space="preserve">na zlecenie ministra właściwego do spraw gospodarki złożami kopalin, </w:t>
      </w:r>
      <w:r w:rsidRPr="00CB6D3C">
        <w:rPr>
          <w:rFonts w:ascii="Times New Roman" w:eastAsia="Times New Roman" w:hAnsi="Times New Roman" w:cs="Times New Roman"/>
          <w:bCs/>
          <w:sz w:val="24"/>
          <w:szCs w:val="24"/>
          <w:lang w:eastAsia="pl-PL"/>
        </w:rPr>
        <w:t xml:space="preserve">realizował </w:t>
      </w:r>
      <w:r w:rsidRPr="00CB6D3C">
        <w:rPr>
          <w:rFonts w:ascii="Times New Roman" w:eastAsia="Times New Roman" w:hAnsi="Times New Roman" w:cs="Times New Roman"/>
          <w:bCs/>
          <w:sz w:val="24"/>
          <w:szCs w:val="24"/>
          <w:lang w:eastAsia="ja-JP"/>
        </w:rPr>
        <w:t>zadania związane z</w:t>
      </w:r>
      <w:r w:rsidR="00A675EA">
        <w:rPr>
          <w:rFonts w:ascii="Times New Roman" w:eastAsia="Times New Roman" w:hAnsi="Times New Roman" w:cs="Times New Roman"/>
          <w:bCs/>
          <w:sz w:val="24"/>
          <w:szCs w:val="24"/>
          <w:lang w:eastAsia="ja-JP"/>
        </w:rPr>
        <w:t xml:space="preserve"> </w:t>
      </w:r>
      <w:r w:rsidRPr="00CB6D3C">
        <w:rPr>
          <w:rFonts w:ascii="Times New Roman" w:eastAsia="Times New Roman" w:hAnsi="Times New Roman" w:cs="Times New Roman"/>
          <w:bCs/>
          <w:sz w:val="24"/>
          <w:szCs w:val="24"/>
          <w:lang w:eastAsia="ja-JP"/>
        </w:rPr>
        <w:t>monitorowaniem prawidłowości wykorzystania dotacji przeznaczonej na cele określone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ja-JP"/>
        </w:rPr>
        <w:t>ustawie</w:t>
      </w:r>
      <w:r w:rsidRPr="00CB6D3C">
        <w:rPr>
          <w:rFonts w:ascii="Times New Roman" w:eastAsia="Times New Roman" w:hAnsi="Times New Roman" w:cs="Times New Roman"/>
          <w:bCs/>
          <w:sz w:val="24"/>
          <w:szCs w:val="24"/>
          <w:lang w:eastAsia="pl-PL"/>
        </w:rPr>
        <w:t xml:space="preserve">”. Ponadto dodano </w:t>
      </w:r>
      <w:r w:rsidR="003F514B">
        <w:rPr>
          <w:rFonts w:ascii="Times New Roman" w:eastAsia="Times New Roman" w:hAnsi="Times New Roman" w:cs="Times New Roman"/>
          <w:bCs/>
          <w:sz w:val="24"/>
          <w:szCs w:val="24"/>
          <w:lang w:eastAsia="pl-PL"/>
        </w:rPr>
        <w:t>w art. 12 ust. </w:t>
      </w:r>
      <w:r w:rsidRPr="00CB6D3C">
        <w:rPr>
          <w:rFonts w:ascii="Times New Roman" w:eastAsia="Times New Roman" w:hAnsi="Times New Roman" w:cs="Times New Roman"/>
          <w:bCs/>
          <w:sz w:val="24"/>
          <w:szCs w:val="24"/>
          <w:lang w:eastAsia="pl-PL"/>
        </w:rPr>
        <w:t>2 mówiący o tym, że zadania realizowane przez ARP S.A. są finansowane z dotacji budżetowej oraz ust. 3, w którym wskazano, że podstawą przyznania dotacji na realizację zadań określonych w art. 12 ust. 1 jest umowa zawarta między ministrem właściwym do spraw gospodarki złożami kopalin a ARP S.A.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każdym roku budżetowym Rada Ministrów, na wniosek ministra właściwego do spraw gospodarki złożami kopalin,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ustawie budżetowej określa dla ARP S.A. wysokość dotacji budżetowej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przeznaczeniem na realizację zadań wynikających z przedmiotowej ustawy. Czynności wykonywane przez </w:t>
      </w:r>
      <w:r w:rsidRPr="006E2D75">
        <w:rPr>
          <w:rFonts w:ascii="Times New Roman" w:eastAsia="Times New Roman" w:hAnsi="Times New Roman" w:cs="Times New Roman"/>
          <w:bCs/>
          <w:sz w:val="24"/>
          <w:szCs w:val="24"/>
          <w:lang w:eastAsia="pl-PL"/>
        </w:rPr>
        <w:t>ARP S.A. są niezbędne dla zapewnienia pełnej kontroli i</w:t>
      </w:r>
      <w:r w:rsidR="00A675EA" w:rsidRPr="006E2D75">
        <w:rPr>
          <w:rFonts w:ascii="Times New Roman" w:eastAsia="Times New Roman" w:hAnsi="Times New Roman" w:cs="Times New Roman"/>
          <w:bCs/>
          <w:sz w:val="24"/>
          <w:szCs w:val="24"/>
          <w:lang w:eastAsia="pl-PL"/>
        </w:rPr>
        <w:t xml:space="preserve"> </w:t>
      </w:r>
      <w:r w:rsidRPr="006E2D75">
        <w:rPr>
          <w:rFonts w:ascii="Times New Roman" w:eastAsia="Times New Roman" w:hAnsi="Times New Roman" w:cs="Times New Roman"/>
          <w:bCs/>
          <w:sz w:val="24"/>
          <w:szCs w:val="24"/>
          <w:lang w:eastAsia="pl-PL"/>
        </w:rPr>
        <w:t>weryfikacji zaplanowanych przez podmioty zadań i działań oraz szczegółowej kontroli wydatkowania dotacji, co pozwala na oszczędne i</w:t>
      </w:r>
      <w:r w:rsidR="00A675EA" w:rsidRPr="006E2D75">
        <w:rPr>
          <w:rFonts w:ascii="Times New Roman" w:eastAsia="Times New Roman" w:hAnsi="Times New Roman" w:cs="Times New Roman"/>
          <w:bCs/>
          <w:sz w:val="24"/>
          <w:szCs w:val="24"/>
          <w:lang w:eastAsia="pl-PL"/>
        </w:rPr>
        <w:t xml:space="preserve"> </w:t>
      </w:r>
      <w:r w:rsidRPr="006E2D75">
        <w:rPr>
          <w:rFonts w:ascii="Times New Roman" w:eastAsia="Times New Roman" w:hAnsi="Times New Roman" w:cs="Times New Roman"/>
          <w:bCs/>
          <w:sz w:val="24"/>
          <w:szCs w:val="24"/>
          <w:lang w:eastAsia="pl-PL"/>
        </w:rPr>
        <w:t>racjonalne wydatkowanie środków budżetowych. ARP S.A. nie otrzymuje</w:t>
      </w:r>
      <w:r w:rsidR="003F514B">
        <w:rPr>
          <w:rFonts w:ascii="Times New Roman" w:eastAsia="Times New Roman" w:hAnsi="Times New Roman" w:cs="Times New Roman"/>
          <w:bCs/>
          <w:sz w:val="24"/>
          <w:szCs w:val="24"/>
          <w:lang w:eastAsia="pl-PL"/>
        </w:rPr>
        <w:t xml:space="preserve"> żadnych nadmiernych korzyści w </w:t>
      </w:r>
      <w:r w:rsidRPr="006E2D75">
        <w:rPr>
          <w:rFonts w:ascii="Times New Roman" w:eastAsia="Times New Roman" w:hAnsi="Times New Roman" w:cs="Times New Roman"/>
          <w:bCs/>
          <w:sz w:val="24"/>
          <w:szCs w:val="24"/>
          <w:lang w:eastAsia="pl-PL"/>
        </w:rPr>
        <w:t>związku z</w:t>
      </w:r>
      <w:r w:rsidR="00A675EA" w:rsidRPr="006E2D75">
        <w:rPr>
          <w:rFonts w:ascii="Times New Roman" w:eastAsia="Times New Roman" w:hAnsi="Times New Roman" w:cs="Times New Roman"/>
          <w:bCs/>
          <w:sz w:val="24"/>
          <w:szCs w:val="24"/>
          <w:lang w:eastAsia="pl-PL"/>
        </w:rPr>
        <w:t xml:space="preserve"> </w:t>
      </w:r>
      <w:r w:rsidRPr="006E2D75">
        <w:rPr>
          <w:rFonts w:ascii="Times New Roman" w:eastAsia="Times New Roman" w:hAnsi="Times New Roman" w:cs="Times New Roman"/>
          <w:bCs/>
          <w:sz w:val="24"/>
          <w:szCs w:val="24"/>
          <w:lang w:eastAsia="pl-PL"/>
        </w:rPr>
        <w:t>przekazywaną dotacją.</w:t>
      </w:r>
    </w:p>
    <w:p w14:paraId="71BEDDEA" w14:textId="5A2F603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 art. 1 pkt 7 projektu ustawy dokonano zmiany daty, do której będzie przekazywana dotacja dla wymienionych w ustawie pomiotów. Zakłada się, iż dotowanie zadań związanych z finansowaniem zadań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działań będzie real</w:t>
      </w:r>
      <w:r w:rsidR="000C1A44">
        <w:rPr>
          <w:rFonts w:ascii="Times New Roman" w:eastAsia="Times New Roman" w:hAnsi="Times New Roman" w:cs="Times New Roman"/>
          <w:bCs/>
          <w:sz w:val="24"/>
          <w:szCs w:val="24"/>
          <w:lang w:eastAsia="pl-PL"/>
        </w:rPr>
        <w:t>izowane do dnia 31 grudnia 2027 </w:t>
      </w:r>
      <w:r w:rsidRPr="00CB6D3C">
        <w:rPr>
          <w:rFonts w:ascii="Times New Roman" w:eastAsia="Times New Roman" w:hAnsi="Times New Roman" w:cs="Times New Roman"/>
          <w:bCs/>
          <w:sz w:val="24"/>
          <w:szCs w:val="24"/>
          <w:lang w:eastAsia="pl-PL"/>
        </w:rPr>
        <w:t>r. Przyjęta data końcowa wynika z nowej perspektywy finansowej UE na lata 2021</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2027.</w:t>
      </w:r>
    </w:p>
    <w:p w14:paraId="42544E86" w14:textId="5D09622C"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 art. 2 niniejszego projektu wprowadzono przepis przejściowy, mówiący o tym że do umów zawartych w 2020 r. będą stosowane dotychczasowe przepisy. Biorąc pod uwagę, że ostatnie transze środków dotacyjnych będą przekazywane w grudniu 2020</w:t>
      </w:r>
      <w:r w:rsidR="003F514B">
        <w:rPr>
          <w:rFonts w:ascii="Times New Roman" w:eastAsia="Times New Roman" w:hAnsi="Times New Roman" w:cs="Times New Roman"/>
          <w:bCs/>
          <w:sz w:val="24"/>
          <w:szCs w:val="24"/>
          <w:lang w:eastAsia="pl-PL"/>
        </w:rPr>
        <w:t> </w:t>
      </w:r>
      <w:r w:rsidR="000C1A44">
        <w:rPr>
          <w:rFonts w:ascii="Times New Roman" w:eastAsia="Times New Roman" w:hAnsi="Times New Roman" w:cs="Times New Roman"/>
          <w:bCs/>
          <w:sz w:val="24"/>
          <w:szCs w:val="24"/>
          <w:lang w:eastAsia="pl-PL"/>
        </w:rPr>
        <w:t xml:space="preserve">r., </w:t>
      </w:r>
      <w:r w:rsidR="000C1A44">
        <w:rPr>
          <w:rFonts w:ascii="Times New Roman" w:eastAsia="Times New Roman" w:hAnsi="Times New Roman" w:cs="Times New Roman"/>
          <w:bCs/>
          <w:sz w:val="24"/>
          <w:szCs w:val="24"/>
          <w:lang w:eastAsia="pl-PL"/>
        </w:rPr>
        <w:lastRenderedPageBreak/>
        <w:t>w 2021 </w:t>
      </w:r>
      <w:r w:rsidRPr="00CB6D3C">
        <w:rPr>
          <w:rFonts w:ascii="Times New Roman" w:eastAsia="Times New Roman" w:hAnsi="Times New Roman" w:cs="Times New Roman"/>
          <w:bCs/>
          <w:sz w:val="24"/>
          <w:szCs w:val="24"/>
          <w:lang w:eastAsia="pl-PL"/>
        </w:rPr>
        <w:t>r. pozostaje podmiotom przedłożenie sprawozda</w:t>
      </w:r>
      <w:r w:rsidR="003F514B">
        <w:rPr>
          <w:rFonts w:ascii="Times New Roman" w:eastAsia="Times New Roman" w:hAnsi="Times New Roman" w:cs="Times New Roman"/>
          <w:bCs/>
          <w:sz w:val="24"/>
          <w:szCs w:val="24"/>
          <w:lang w:eastAsia="pl-PL"/>
        </w:rPr>
        <w:t>ń za grudzień i za cały 2020 </w:t>
      </w:r>
      <w:r w:rsidRPr="00CB6D3C">
        <w:rPr>
          <w:rFonts w:ascii="Times New Roman" w:eastAsia="Times New Roman" w:hAnsi="Times New Roman" w:cs="Times New Roman"/>
          <w:bCs/>
          <w:sz w:val="24"/>
          <w:szCs w:val="24"/>
          <w:lang w:eastAsia="pl-PL"/>
        </w:rPr>
        <w:t>r. wraz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rozliczeniem rzeczowo-finansowym, ewentualnie zwrot niewykorzystanych środków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przekazanej w 2020 r. dotacji. Zmiana sposobu wypłaty dofinansowania z rat na transze nie wymaga przepisów przejściowych, gdyż wypłaty środków z dotacji kończą się wraz z upływem roku budżetowego, który zgodnie z przepisami</w:t>
      </w:r>
      <w:r w:rsidR="003F514B">
        <w:rPr>
          <w:rFonts w:ascii="Times New Roman" w:eastAsia="Times New Roman" w:hAnsi="Times New Roman" w:cs="Times New Roman"/>
          <w:bCs/>
          <w:sz w:val="24"/>
          <w:szCs w:val="24"/>
          <w:lang w:eastAsia="pl-PL"/>
        </w:rPr>
        <w:t xml:space="preserve"> ustawy z </w:t>
      </w:r>
      <w:r w:rsidR="000C1A44">
        <w:rPr>
          <w:rFonts w:ascii="Times New Roman" w:eastAsia="Times New Roman" w:hAnsi="Times New Roman" w:cs="Times New Roman"/>
          <w:bCs/>
          <w:sz w:val="24"/>
          <w:szCs w:val="24"/>
          <w:lang w:eastAsia="pl-PL"/>
        </w:rPr>
        <w:t>dnia 27 sierpnia 2009 </w:t>
      </w:r>
      <w:r w:rsidRPr="00CB6D3C">
        <w:rPr>
          <w:rFonts w:ascii="Times New Roman" w:eastAsia="Times New Roman" w:hAnsi="Times New Roman" w:cs="Times New Roman"/>
          <w:bCs/>
          <w:sz w:val="24"/>
          <w:szCs w:val="24"/>
          <w:lang w:eastAsia="pl-PL"/>
        </w:rPr>
        <w:t>r. o finansach publicznych jest</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tożsamy z rokiem kalendarzowym. </w:t>
      </w:r>
    </w:p>
    <w:p w14:paraId="37552F8A" w14:textId="45E2D072"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W art. 4, zgodnie z art. 50 ust. 1a ustawy z dnia 27 sierpnia 2009 r. o finansach publicznych, określono kwoty wydatków z budżetu państwa, z podziałem na poszczególne lata budżetowe, przeznaczonych na realizację zadań i wykonywanie działań wynikających z projektu ustawy z dnia 30 sierpnia 2013 r. o</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dotacji przeznaczonej dla niektórych podmiotów</w:t>
      </w:r>
      <w:r w:rsidR="000C1A44">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oraz mechanizmy korygujące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 xml:space="preserve">przypadku przekroczenia lub zagrożenia przekroczenia przyjętego na dany rok budżetowy maksymalnego limitu wydatków. </w:t>
      </w:r>
    </w:p>
    <w:p w14:paraId="5A0D9833" w14:textId="06B83D6C" w:rsidR="00CD1D86" w:rsidRPr="00CB6D3C" w:rsidRDefault="00CD1D86" w:rsidP="00CB6D3C">
      <w:pPr>
        <w:tabs>
          <w:tab w:val="left" w:pos="426"/>
        </w:tabs>
        <w:suppressAutoHyphens/>
        <w:autoSpaceDE w:val="0"/>
        <w:autoSpaceDN w:val="0"/>
        <w:adjustRightInd w:val="0"/>
        <w:spacing w:before="120" w:after="0" w:line="360" w:lineRule="auto"/>
        <w:jc w:val="both"/>
        <w:rPr>
          <w:rFonts w:ascii="Times New Roman" w:eastAsia="Times New Roman" w:hAnsi="Times New Roman" w:cs="Times New Roman"/>
          <w:b/>
          <w:bCs/>
          <w:sz w:val="24"/>
          <w:szCs w:val="24"/>
          <w:lang w:eastAsia="pl-PL"/>
        </w:rPr>
      </w:pPr>
      <w:r w:rsidRPr="00CB6D3C">
        <w:rPr>
          <w:rFonts w:ascii="Times New Roman" w:eastAsia="Times New Roman" w:hAnsi="Times New Roman" w:cs="Times New Roman"/>
          <w:b/>
          <w:bCs/>
          <w:sz w:val="24"/>
          <w:szCs w:val="24"/>
          <w:lang w:eastAsia="pl-PL"/>
        </w:rPr>
        <w:t>2.</w:t>
      </w:r>
      <w:r w:rsidR="00656E76">
        <w:rPr>
          <w:rFonts w:ascii="Times New Roman" w:eastAsia="Times New Roman" w:hAnsi="Times New Roman" w:cs="Times New Roman"/>
          <w:b/>
          <w:bCs/>
          <w:sz w:val="24"/>
          <w:szCs w:val="24"/>
          <w:lang w:eastAsia="pl-PL"/>
        </w:rPr>
        <w:tab/>
      </w:r>
      <w:r w:rsidRPr="00CB6D3C">
        <w:rPr>
          <w:rFonts w:ascii="Times New Roman" w:eastAsia="Times New Roman" w:hAnsi="Times New Roman" w:cs="Times New Roman"/>
          <w:b/>
          <w:bCs/>
          <w:sz w:val="24"/>
          <w:szCs w:val="24"/>
          <w:lang w:eastAsia="pl-PL"/>
        </w:rPr>
        <w:t>Źródła finansowania, jeżeli projekt ustawy pociąga za sobą obciążenie budżetu państwa lub budżetów jednostek samorządu terytorialnego</w:t>
      </w:r>
    </w:p>
    <w:p w14:paraId="5694B8EA" w14:textId="6513002D"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Proponowane zmiany w ustawie z dnia 30 sierpnia 2013 r. o dotacji przeznaczonej dla niektórych podmiotów pociągną za sobą skutki </w:t>
      </w:r>
      <w:r w:rsidR="003F514B">
        <w:rPr>
          <w:rFonts w:ascii="Times New Roman" w:eastAsia="Times New Roman" w:hAnsi="Times New Roman" w:cs="Times New Roman"/>
          <w:bCs/>
          <w:sz w:val="24"/>
          <w:szCs w:val="24"/>
          <w:lang w:eastAsia="pl-PL"/>
        </w:rPr>
        <w:t>finansowe dla budżetu państwa w </w:t>
      </w:r>
      <w:r w:rsidRPr="00CB6D3C">
        <w:rPr>
          <w:rFonts w:ascii="Times New Roman" w:eastAsia="Times New Roman" w:hAnsi="Times New Roman" w:cs="Times New Roman"/>
          <w:bCs/>
          <w:sz w:val="24"/>
          <w:szCs w:val="24"/>
          <w:lang w:eastAsia="pl-PL"/>
        </w:rPr>
        <w:t>kwocie 999</w:t>
      </w:r>
      <w:r w:rsidR="00F36456">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215,2 tys. zł na coroczne finansowanie zadań określonych w ustawie w</w:t>
      </w:r>
      <w:r w:rsidR="003F514B">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 xml:space="preserve">latach 2021–2027. Dotacji będzie udzielał minister właściwy do spraw gospodarki złożami kopalin w trybie i na warunkach określonych w ww. ustawie. </w:t>
      </w:r>
    </w:p>
    <w:p w14:paraId="2286C16D" w14:textId="777777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Przewidywany harmonogram zapotrzebowania na środki dotacji budżetowej przedstawia poniższe zestawienie:</w:t>
      </w:r>
    </w:p>
    <w:p w14:paraId="5D2AE254" w14:textId="06903BA3" w:rsidR="00CD1D86" w:rsidRPr="00CB6D3C" w:rsidRDefault="00CD1D86" w:rsidP="00CB6D3C">
      <w:pPr>
        <w:suppressAutoHyphens/>
        <w:autoSpaceDE w:val="0"/>
        <w:autoSpaceDN w:val="0"/>
        <w:adjustRightInd w:val="0"/>
        <w:spacing w:before="120" w:after="0" w:line="360" w:lineRule="auto"/>
        <w:ind w:firstLine="7513"/>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tys. zł</w:t>
      </w:r>
    </w:p>
    <w:bookmarkStart w:id="1" w:name="_MON_1643780473"/>
    <w:bookmarkEnd w:id="1"/>
    <w:p w14:paraId="51399DFC" w14:textId="77777777" w:rsidR="00CD1D86" w:rsidRPr="00656E76" w:rsidRDefault="00A629E5" w:rsidP="00F36456">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56E76">
        <w:rPr>
          <w:rFonts w:ascii="Times New Roman" w:eastAsia="Times New Roman" w:hAnsi="Times New Roman" w:cs="Times New Roman"/>
          <w:sz w:val="24"/>
          <w:szCs w:val="24"/>
          <w:lang w:eastAsia="pl-PL"/>
        </w:rPr>
        <w:object w:dxaOrig="10774" w:dyaOrig="6577" w14:anchorId="02BA9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3.85pt;height:257.3pt" o:ole="">
            <v:imagedata r:id="rId8" o:title=""/>
            <o:lock v:ext="edit" aspectratio="f"/>
          </v:shape>
          <o:OLEObject Type="Embed" ProgID="Excel.Sheet.12" ShapeID="_x0000_i1025" DrawAspect="Content" ObjectID="_1667634669" r:id="rId9"/>
        </w:object>
      </w:r>
    </w:p>
    <w:p w14:paraId="2A6EB4D9" w14:textId="028CDC26"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Zarówno Kopalnia Soli </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Wieliczka</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jak i </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Bochnia</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nie prowadzą żadnej działalności produkcyjnej. Podstawową działalnością s</w:t>
      </w:r>
      <w:r w:rsidR="003F514B">
        <w:rPr>
          <w:rFonts w:ascii="Times New Roman" w:eastAsia="Times New Roman" w:hAnsi="Times New Roman" w:cs="Times New Roman"/>
          <w:bCs/>
          <w:sz w:val="24"/>
          <w:szCs w:val="24"/>
          <w:lang w:eastAsia="pl-PL"/>
        </w:rPr>
        <w:t>ą prace związane z likwidacją i </w:t>
      </w:r>
      <w:r w:rsidRPr="00CB6D3C">
        <w:rPr>
          <w:rFonts w:ascii="Times New Roman" w:eastAsia="Times New Roman" w:hAnsi="Times New Roman" w:cs="Times New Roman"/>
          <w:bCs/>
          <w:sz w:val="24"/>
          <w:szCs w:val="24"/>
          <w:lang w:eastAsia="pl-PL"/>
        </w:rPr>
        <w:t>zabezpieczeniem zakładów górniczych oraz</w:t>
      </w:r>
      <w:r w:rsidR="003F514B">
        <w:rPr>
          <w:rFonts w:ascii="Times New Roman" w:eastAsia="Times New Roman" w:hAnsi="Times New Roman" w:cs="Times New Roman"/>
          <w:bCs/>
          <w:sz w:val="24"/>
          <w:szCs w:val="24"/>
          <w:lang w:eastAsia="pl-PL"/>
        </w:rPr>
        <w:t xml:space="preserve"> utrzymaniem, zabezpieczeniem i </w:t>
      </w:r>
      <w:r w:rsidRPr="00CB6D3C">
        <w:rPr>
          <w:rFonts w:ascii="Times New Roman" w:eastAsia="Times New Roman" w:hAnsi="Times New Roman" w:cs="Times New Roman"/>
          <w:bCs/>
          <w:sz w:val="24"/>
          <w:szCs w:val="24"/>
          <w:lang w:eastAsia="pl-PL"/>
        </w:rPr>
        <w:t>ratowaniem zabytkowych części kopalń, zgodnie</w:t>
      </w:r>
      <w:r w:rsidR="003F514B">
        <w:rPr>
          <w:rFonts w:ascii="Times New Roman" w:eastAsia="Times New Roman" w:hAnsi="Times New Roman" w:cs="Times New Roman"/>
          <w:bCs/>
          <w:sz w:val="24"/>
          <w:szCs w:val="24"/>
          <w:lang w:eastAsia="pl-PL"/>
        </w:rPr>
        <w:t xml:space="preserve"> z wydanymi decyzjami, ustawą z </w:t>
      </w:r>
      <w:r w:rsidRPr="00CB6D3C">
        <w:rPr>
          <w:rFonts w:ascii="Times New Roman" w:eastAsia="Times New Roman" w:hAnsi="Times New Roman" w:cs="Times New Roman"/>
          <w:bCs/>
          <w:sz w:val="24"/>
          <w:szCs w:val="24"/>
          <w:lang w:eastAsia="pl-PL"/>
        </w:rPr>
        <w:t xml:space="preserve">dnia 9 czerwca 2011 r. </w:t>
      </w:r>
      <w:r w:rsidR="00DD5BD0">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Prawo geologiczne i górnicze oraz innymi obowiązującymi aktami prawnymi. Nie jest to działalność dochodowa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prawie w całości jest finansowana z budżetu państwa.</w:t>
      </w:r>
    </w:p>
    <w:p w14:paraId="741CBCAD" w14:textId="6F5A80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Ze względu na lokalizację zabytkowych wyrobisk w obrębie szerszej struktury podziemnych wyrobisk kopalń, prace mające na celu należyte zapewnienie ochrony zabytkowych wyrobisk nie mogą zostać ograniczone tylko do robót w obrębie wyrobisk podlegających bezpośredniej ochronie. Należyta ochrona zabytkowych wyrobisk wymaga wykonania dużej ilości prac mających na celu odbudowę stabilności górotworu</w:t>
      </w:r>
      <w:r w:rsidR="00F36456">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w którym są one zlokalizowane, właściwego zabezpieczenia przed zagrożeniem wodnym, jak również utrzymania podziemnej infrastruktury zapewniającej dostęp do tych wyrobisk.</w:t>
      </w:r>
    </w:p>
    <w:p w14:paraId="0D7F1C81" w14:textId="7777777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 xml:space="preserve">W przypadku kopalń soli przychody generowane przez Spółki w zakresie działalności turystycznej i komercyjnej nie mogą być alternatywą dla finansowania procesu zabezpieczenia ze środków publicznych. Koszty prowadzonych robót, z uwagi na konieczność zastosowania specjalnych materiałów, zatrudnienia wyspecjalizowanych </w:t>
      </w:r>
      <w:r w:rsidRPr="00CB6D3C">
        <w:rPr>
          <w:rFonts w:ascii="Times New Roman" w:eastAsia="Times New Roman" w:hAnsi="Times New Roman" w:cs="Times New Roman"/>
          <w:bCs/>
          <w:sz w:val="24"/>
          <w:szCs w:val="24"/>
          <w:lang w:eastAsia="pl-PL"/>
        </w:rPr>
        <w:lastRenderedPageBreak/>
        <w:t>pracowników, jak również specjalistycznych technologii, zapewniających zachowanie oryginalnego charakteru zabytkowego obiektu, są dużo wyższe aniżeli w przypadku wykonywania analogicznych robót w niezabytkowych obiektach podziemnych. Nawet znaczne zwiększenie ilości odwiedzających kopalnie oraz aktywne prowadzenie różnych rodzajów działalności nie pozwoli na samofinansowanie prowadzenia robót likwidacyjnych oraz związanych z utrzymaniem, zabezpieczeniem i ratowaniem zabytkowych części kopalń.</w:t>
      </w:r>
    </w:p>
    <w:p w14:paraId="60754AD1" w14:textId="3F716F42"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Środki w formie dotacji budżetowej dla SRK S.A. będą przeznaczane na finansowanie utrzymania szybu „Bolko”, modernizację i obsługę urządzeń wykorzystywanych do odwadniania zrobów zlikwidowanych kopalń rud cynku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ołowiu w celu ochrony przed zagrożeniem wodnym niżej położonych czynnych kopalń węgla kamiennego oraz ochrony przed katastrofą wodną znacznych obszarów w rejonie miast Bytom i Piekary Śląskie. Obecnie CP „Bolko” za pomocą podziemnych i naziemnych urządzeń górniczych nieustannie, przez 24 godziny na dobę i przez 365 dni w roku, tłoczy na powierzchnię, oczyszcza i odprowadza do wód śródlądowych wody kopalniane w ilości ok. 20–25 m</w:t>
      </w:r>
      <w:r w:rsidRPr="00CB6D3C">
        <w:rPr>
          <w:rFonts w:ascii="Times New Roman" w:eastAsia="Times New Roman" w:hAnsi="Times New Roman" w:cs="Times New Roman"/>
          <w:bCs/>
          <w:sz w:val="24"/>
          <w:szCs w:val="24"/>
          <w:vertAlign w:val="superscript"/>
          <w:lang w:eastAsia="pl-PL"/>
        </w:rPr>
        <w:t>3</w:t>
      </w:r>
      <w:r w:rsidRPr="00CB6D3C">
        <w:rPr>
          <w:rFonts w:ascii="Times New Roman" w:eastAsia="Times New Roman" w:hAnsi="Times New Roman" w:cs="Times New Roman"/>
          <w:bCs/>
          <w:sz w:val="24"/>
          <w:szCs w:val="24"/>
          <w:lang w:eastAsia="pl-PL"/>
        </w:rPr>
        <w:t xml:space="preserve"> na minutę, a w okresie nawalnych deszczy nawet do 60 m</w:t>
      </w:r>
      <w:r w:rsidRPr="00CB6D3C">
        <w:rPr>
          <w:rFonts w:ascii="Times New Roman" w:eastAsia="Times New Roman" w:hAnsi="Times New Roman" w:cs="Times New Roman"/>
          <w:bCs/>
          <w:sz w:val="24"/>
          <w:szCs w:val="24"/>
          <w:vertAlign w:val="superscript"/>
          <w:lang w:eastAsia="pl-PL"/>
        </w:rPr>
        <w:t>3</w:t>
      </w:r>
      <w:r w:rsidRPr="00CB6D3C">
        <w:rPr>
          <w:rFonts w:ascii="Times New Roman" w:eastAsia="Times New Roman" w:hAnsi="Times New Roman" w:cs="Times New Roman"/>
          <w:bCs/>
          <w:sz w:val="24"/>
          <w:szCs w:val="24"/>
          <w:lang w:eastAsia="pl-PL"/>
        </w:rPr>
        <w:t>/min. Ilość odprowadzanej na powierzchnię wody w ciągu</w:t>
      </w:r>
      <w:r w:rsidR="00F36456">
        <w:rPr>
          <w:rFonts w:ascii="Times New Roman" w:eastAsia="Times New Roman" w:hAnsi="Times New Roman" w:cs="Times New Roman"/>
          <w:bCs/>
          <w:sz w:val="24"/>
          <w:szCs w:val="24"/>
          <w:lang w:eastAsia="pl-PL"/>
        </w:rPr>
        <w:t xml:space="preserve"> roku wynosi średnio ok. 13 000 000 </w:t>
      </w:r>
      <w:r w:rsidRPr="00CB6D3C">
        <w:rPr>
          <w:rFonts w:ascii="Times New Roman" w:eastAsia="Times New Roman" w:hAnsi="Times New Roman" w:cs="Times New Roman"/>
          <w:bCs/>
          <w:sz w:val="24"/>
          <w:szCs w:val="24"/>
          <w:lang w:eastAsia="pl-PL"/>
        </w:rPr>
        <w:t>m</w:t>
      </w:r>
      <w:r w:rsidRPr="00CB6D3C">
        <w:rPr>
          <w:rFonts w:ascii="Times New Roman" w:eastAsia="Times New Roman" w:hAnsi="Times New Roman" w:cs="Times New Roman"/>
          <w:bCs/>
          <w:sz w:val="24"/>
          <w:szCs w:val="24"/>
          <w:vertAlign w:val="superscript"/>
          <w:lang w:eastAsia="pl-PL"/>
        </w:rPr>
        <w:t>3</w:t>
      </w:r>
      <w:r w:rsidRPr="00CB6D3C">
        <w:rPr>
          <w:rFonts w:ascii="Times New Roman" w:eastAsia="Times New Roman" w:hAnsi="Times New Roman" w:cs="Times New Roman"/>
          <w:bCs/>
          <w:sz w:val="24"/>
          <w:szCs w:val="24"/>
          <w:lang w:eastAsia="pl-PL"/>
        </w:rPr>
        <w:t>. Ilość wody może drastycznie wzrosnąć w przypa</w:t>
      </w:r>
      <w:r w:rsidR="003F514B">
        <w:rPr>
          <w:rFonts w:ascii="Times New Roman" w:eastAsia="Times New Roman" w:hAnsi="Times New Roman" w:cs="Times New Roman"/>
          <w:bCs/>
          <w:sz w:val="24"/>
          <w:szCs w:val="24"/>
          <w:lang w:eastAsia="pl-PL"/>
        </w:rPr>
        <w:t>dku zdarzeń nadzwyczajnych, np. </w:t>
      </w:r>
      <w:r w:rsidRPr="00CB6D3C">
        <w:rPr>
          <w:rFonts w:ascii="Times New Roman" w:eastAsia="Times New Roman" w:hAnsi="Times New Roman" w:cs="Times New Roman"/>
          <w:bCs/>
          <w:sz w:val="24"/>
          <w:szCs w:val="24"/>
          <w:lang w:eastAsia="pl-PL"/>
        </w:rPr>
        <w:t>powodzi. Biorąc pod uwagę fakt, że w CP „Bolko” funkcjonuje pompownia stacjonarna, której urządzenia są przestarzałe, wymagają ciągłych remontów i są kosztowne w użytkowaniu, SRK S.A. również zmodernizuje obecną pompownię. Będzie to polegało na zbudowaniu pompowni głębinowej,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celu zwiększenia wydajności urządzeń i</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obniżenia kosztów eksploatacji pompowni w latach następnych. W 2021 r. oprócz prac związanych z zabezpieczeniem przed zagrożeniem wodnym, Spółka planuje przygotować dokumentację, która będzie stanowiła podstawę do rozpoczęcia prac modernizacyjnych. Do 2024 r. planowana jest budowa pompowni głębinowej, po czym od 2025 r. Spółka będzie ponosić wyłącznie koszty jej utrzymania.</w:t>
      </w:r>
    </w:p>
    <w:p w14:paraId="0EC4187C" w14:textId="12F5FC8B"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21027">
        <w:rPr>
          <w:rFonts w:ascii="Times New Roman" w:eastAsia="Times New Roman" w:hAnsi="Times New Roman" w:cs="Times New Roman"/>
          <w:sz w:val="24"/>
          <w:szCs w:val="24"/>
          <w:lang w:eastAsia="pl-PL"/>
        </w:rPr>
        <w:t>W latach 2014</w:t>
      </w:r>
      <w:r w:rsidR="00DD5BD0" w:rsidRPr="00D21027">
        <w:rPr>
          <w:rFonts w:ascii="Times New Roman" w:eastAsia="Times New Roman" w:hAnsi="Times New Roman" w:cs="Times New Roman"/>
          <w:sz w:val="24"/>
          <w:szCs w:val="24"/>
          <w:lang w:eastAsia="pl-PL"/>
        </w:rPr>
        <w:t>–</w:t>
      </w:r>
      <w:r w:rsidRPr="00D21027">
        <w:rPr>
          <w:rFonts w:ascii="Times New Roman" w:eastAsia="Times New Roman" w:hAnsi="Times New Roman" w:cs="Times New Roman"/>
          <w:sz w:val="24"/>
          <w:szCs w:val="24"/>
          <w:lang w:eastAsia="pl-PL"/>
        </w:rPr>
        <w:t xml:space="preserve">2020 dotacja dla Muzeum określana była w ustawach budżetowych </w:t>
      </w:r>
      <w:r w:rsidR="003F514B">
        <w:rPr>
          <w:rFonts w:ascii="Times New Roman" w:eastAsia="Times New Roman" w:hAnsi="Times New Roman" w:cs="Times New Roman"/>
          <w:sz w:val="24"/>
          <w:szCs w:val="24"/>
          <w:lang w:eastAsia="pl-PL"/>
        </w:rPr>
        <w:t>w </w:t>
      </w:r>
      <w:r w:rsidRPr="00D21027">
        <w:rPr>
          <w:rFonts w:ascii="Times New Roman" w:eastAsia="Times New Roman" w:hAnsi="Times New Roman" w:cs="Times New Roman"/>
          <w:sz w:val="24"/>
          <w:szCs w:val="24"/>
          <w:lang w:eastAsia="pl-PL"/>
        </w:rPr>
        <w:t xml:space="preserve">wysokości </w:t>
      </w:r>
      <w:r w:rsidRPr="00CB6D3C">
        <w:rPr>
          <w:rFonts w:ascii="Times New Roman" w:eastAsia="Times New Roman" w:hAnsi="Times New Roman" w:cs="Times New Roman"/>
          <w:sz w:val="24"/>
          <w:szCs w:val="24"/>
          <w:lang w:eastAsia="pl-PL"/>
        </w:rPr>
        <w:t>3 mln zł, pomimo iż podmiot zgłaszał zapotrzebowanie na wyższym poziomie. W</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ramach oszczędności dysponentów środków budżetowych, kwota ta była zwiększana, nigdy jednak nie zaspokajała w pełni</w:t>
      </w:r>
      <w:r w:rsidR="003F514B">
        <w:rPr>
          <w:rFonts w:ascii="Times New Roman" w:eastAsia="Times New Roman" w:hAnsi="Times New Roman" w:cs="Times New Roman"/>
          <w:sz w:val="24"/>
          <w:szCs w:val="24"/>
          <w:lang w:eastAsia="pl-PL"/>
        </w:rPr>
        <w:t xml:space="preserve"> potrzeb Muzeum. Podobnie jak w </w:t>
      </w:r>
      <w:r w:rsidRPr="00CB6D3C">
        <w:rPr>
          <w:rFonts w:ascii="Times New Roman" w:eastAsia="Times New Roman" w:hAnsi="Times New Roman" w:cs="Times New Roman"/>
          <w:sz w:val="24"/>
          <w:szCs w:val="24"/>
          <w:lang w:eastAsia="pl-PL"/>
        </w:rPr>
        <w:t xml:space="preserve">przypadku kopalń soli, niedobór środków powodował ograniczanie realizacji </w:t>
      </w:r>
      <w:r w:rsidRPr="00CB6D3C">
        <w:rPr>
          <w:rFonts w:ascii="Times New Roman" w:eastAsia="Times New Roman" w:hAnsi="Times New Roman" w:cs="Times New Roman"/>
          <w:sz w:val="24"/>
          <w:szCs w:val="24"/>
          <w:lang w:eastAsia="pl-PL"/>
        </w:rPr>
        <w:lastRenderedPageBreak/>
        <w:t>zaplanowanych zadań. Limit środków wynikający z Programu prac górniczych MGW, który zaakceptowała również Komisja Europejska</w:t>
      </w:r>
      <w:r w:rsidR="00B250AB">
        <w:rPr>
          <w:rFonts w:ascii="Times New Roman" w:eastAsia="Times New Roman" w:hAnsi="Times New Roman" w:cs="Times New Roman"/>
          <w:sz w:val="24"/>
          <w:szCs w:val="24"/>
          <w:lang w:eastAsia="pl-PL"/>
        </w:rPr>
        <w:t>,</w:t>
      </w:r>
      <w:r w:rsidR="003F514B">
        <w:rPr>
          <w:rFonts w:ascii="Times New Roman" w:eastAsia="Times New Roman" w:hAnsi="Times New Roman" w:cs="Times New Roman"/>
          <w:sz w:val="24"/>
          <w:szCs w:val="24"/>
          <w:lang w:eastAsia="pl-PL"/>
        </w:rPr>
        <w:t xml:space="preserve"> zaplanowano w wysokości 99 mln </w:t>
      </w:r>
      <w:r w:rsidRPr="00CB6D3C">
        <w:rPr>
          <w:rFonts w:ascii="Times New Roman" w:eastAsia="Times New Roman" w:hAnsi="Times New Roman" w:cs="Times New Roman"/>
          <w:sz w:val="24"/>
          <w:szCs w:val="24"/>
          <w:lang w:eastAsia="pl-PL"/>
        </w:rPr>
        <w:t>zł, podczas gdy wysokość środków z budżetu państwa, wydatkowanych w tym okresie przez Muzeum, wynosiła 34,5 mln zł. Ponadto należy zwrócić uwagę na fakt, że Muzeum rozpoczynało wieloletni program inwestycyjny od uruchomienia 1,5 kilometrowej trasy na Kopalni „Guido” w 2007 r. Od tego czasu wiele się zmieniło, zwłaszcza jeśli chodzi o skalę działalności Muzeum. Dzisiaj zarządza ono łącznie ponad 10 kilometrami podziemnych wyrobisk oraz 30 obiektami budowlanymi. Można przyjąć, że jest to największy tego typu obiekt w Europie związany z górnictwem węgla kamiennego, to również najdłuższe podziemne trasy turystyczne. Prace prowadzone przez Muzeum, podobnie jak w kopalniach soli, podlegają przepisom zarówno prawa geologiczno-górniczego, jak i</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ustawy z dnia 23 lipc</w:t>
      </w:r>
      <w:r w:rsidR="003F514B">
        <w:rPr>
          <w:rFonts w:ascii="Times New Roman" w:eastAsia="Times New Roman" w:hAnsi="Times New Roman" w:cs="Times New Roman"/>
          <w:sz w:val="24"/>
          <w:szCs w:val="24"/>
          <w:lang w:eastAsia="pl-PL"/>
        </w:rPr>
        <w:t>a 2003 r. o ochronie zabytków i </w:t>
      </w:r>
      <w:r w:rsidRPr="00CB6D3C">
        <w:rPr>
          <w:rFonts w:ascii="Times New Roman" w:eastAsia="Times New Roman" w:hAnsi="Times New Roman" w:cs="Times New Roman"/>
          <w:sz w:val="24"/>
          <w:szCs w:val="24"/>
          <w:lang w:eastAsia="pl-PL"/>
        </w:rPr>
        <w:t xml:space="preserve">opiece nad zabytkami, co niewątpliwie podwyższa koszty realizowanych zadań. </w:t>
      </w:r>
    </w:p>
    <w:p w14:paraId="13EBF762" w14:textId="3C91934C"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 xml:space="preserve">Muzeum nie może korzystać ze środków budżetowych </w:t>
      </w:r>
      <w:r w:rsidR="00B250AB">
        <w:rPr>
          <w:rFonts w:ascii="Times New Roman" w:eastAsia="Times New Roman" w:hAnsi="Times New Roman" w:cs="Times New Roman"/>
          <w:sz w:val="24"/>
          <w:szCs w:val="24"/>
          <w:lang w:eastAsia="pl-PL"/>
        </w:rPr>
        <w:t>na podstawie</w:t>
      </w:r>
      <w:r w:rsidRPr="00CB6D3C">
        <w:rPr>
          <w:rFonts w:ascii="Times New Roman" w:eastAsia="Times New Roman" w:hAnsi="Times New Roman" w:cs="Times New Roman"/>
          <w:sz w:val="24"/>
          <w:szCs w:val="24"/>
          <w:lang w:eastAsia="pl-PL"/>
        </w:rPr>
        <w:t xml:space="preserve"> ustaw</w:t>
      </w:r>
      <w:r w:rsidR="00B250AB">
        <w:rPr>
          <w:rFonts w:ascii="Times New Roman" w:eastAsia="Times New Roman" w:hAnsi="Times New Roman" w:cs="Times New Roman"/>
          <w:sz w:val="24"/>
          <w:szCs w:val="24"/>
          <w:lang w:eastAsia="pl-PL"/>
        </w:rPr>
        <w:t>y</w:t>
      </w:r>
      <w:r w:rsidRPr="00CB6D3C">
        <w:rPr>
          <w:rFonts w:ascii="Times New Roman" w:eastAsia="Times New Roman" w:hAnsi="Times New Roman" w:cs="Times New Roman"/>
          <w:sz w:val="24"/>
          <w:szCs w:val="24"/>
          <w:lang w:eastAsia="pl-PL"/>
        </w:rPr>
        <w:t xml:space="preserve"> z dnia 7</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 xml:space="preserve">września 2007 r. </w:t>
      </w:r>
      <w:r w:rsidRPr="00371285">
        <w:rPr>
          <w:rFonts w:ascii="Times New Roman" w:eastAsia="Times New Roman" w:hAnsi="Times New Roman" w:cs="Times New Roman"/>
          <w:sz w:val="24"/>
          <w:szCs w:val="24"/>
          <w:lang w:eastAsia="pl-PL"/>
        </w:rPr>
        <w:t>o</w:t>
      </w:r>
      <w:r w:rsidR="00A675EA" w:rsidRPr="00371285">
        <w:rPr>
          <w:rFonts w:ascii="Times New Roman" w:eastAsia="Times New Roman" w:hAnsi="Times New Roman" w:cs="Times New Roman"/>
          <w:sz w:val="24"/>
          <w:szCs w:val="24"/>
          <w:lang w:eastAsia="pl-PL"/>
        </w:rPr>
        <w:t xml:space="preserve"> </w:t>
      </w:r>
      <w:r w:rsidRPr="00371285">
        <w:rPr>
          <w:rFonts w:ascii="Times New Roman" w:eastAsia="Times New Roman" w:hAnsi="Times New Roman" w:cs="Times New Roman"/>
          <w:sz w:val="24"/>
          <w:szCs w:val="24"/>
          <w:lang w:eastAsia="pl-PL"/>
        </w:rPr>
        <w:t>funkcjonowaniu górnictwa węgla kamiennego</w:t>
      </w:r>
      <w:r w:rsidRPr="00CB6D3C">
        <w:rPr>
          <w:rFonts w:ascii="Times New Roman" w:eastAsia="Times New Roman" w:hAnsi="Times New Roman" w:cs="Times New Roman"/>
          <w:sz w:val="24"/>
          <w:szCs w:val="24"/>
          <w:lang w:eastAsia="pl-PL"/>
        </w:rPr>
        <w:t xml:space="preserve"> z uwagi na fakt, że ustawa ta jest notyfikowanym Komisji Europejskiej programem pomocy publicznej, dla którego podstawą jest decyzja Rady z dnia 10 grudnia 2010 r. w</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sprawie pomocy państwa ułatwiającej zamykanie niekonkurencyjnych kopalń węgla (2010/787/UE). Decyzja wskazuje określony katalog kosztów możliwych do sfinansowania środkami publicznymi. Koszty te są ściśle związane z zamykanymi jednostkami produkcyjnymi węgla, a Muzeum nie jest taką jednostką.</w:t>
      </w:r>
    </w:p>
    <w:p w14:paraId="5E7E3621" w14:textId="74AF3C36"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Muzeum Górnictwa Węglowego pozyskuje, oprócz dotacji z budżetu państwa, środki z</w:t>
      </w:r>
      <w:r w:rsidR="003F514B">
        <w:rPr>
          <w:rFonts w:ascii="Times New Roman" w:eastAsia="Times New Roman" w:hAnsi="Times New Roman" w:cs="Times New Roman"/>
          <w:sz w:val="24"/>
          <w:szCs w:val="24"/>
          <w:lang w:eastAsia="pl-PL"/>
        </w:rPr>
        <w:t> </w:t>
      </w:r>
      <w:r w:rsidRPr="00CB6D3C">
        <w:rPr>
          <w:rFonts w:ascii="Times New Roman" w:eastAsia="Times New Roman" w:hAnsi="Times New Roman" w:cs="Times New Roman"/>
          <w:sz w:val="24"/>
          <w:szCs w:val="24"/>
          <w:lang w:eastAsia="pl-PL"/>
        </w:rPr>
        <w:t xml:space="preserve">innych źródeł m.in. od Miasta Zabrze, z Urzędu Marszałkowskiego, z programów operacyjnych UE i z Narodowego Funduszu Ochrony Środowiska i Gospodarki Wodnej. </w:t>
      </w:r>
    </w:p>
    <w:p w14:paraId="2AEF6D6D" w14:textId="4021BA73"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Dotacja budżetowa dla Kopalni Siarki „Machów” S.A. w likwidacji na zabezpieczenie terenów zlokalizowanych w sąsiedztwie wyrobiska „Piaseczno” przed zmianą stosunków wodnych, ze względu na złożon</w:t>
      </w:r>
      <w:r w:rsidR="003F514B">
        <w:rPr>
          <w:rFonts w:ascii="Times New Roman" w:eastAsia="Times New Roman" w:hAnsi="Times New Roman" w:cs="Times New Roman"/>
          <w:bCs/>
          <w:sz w:val="24"/>
          <w:szCs w:val="24"/>
          <w:lang w:eastAsia="pl-PL"/>
        </w:rPr>
        <w:t>ość zagadnienia, wynikającego z </w:t>
      </w:r>
      <w:r w:rsidRPr="00CB6D3C">
        <w:rPr>
          <w:rFonts w:ascii="Times New Roman" w:eastAsia="Times New Roman" w:hAnsi="Times New Roman" w:cs="Times New Roman"/>
          <w:bCs/>
          <w:sz w:val="24"/>
          <w:szCs w:val="24"/>
          <w:lang w:eastAsia="pl-PL"/>
        </w:rPr>
        <w:t>uwarunkowań geologicznych, górniczych, środowiskowych, prawnych i</w:t>
      </w:r>
      <w:r w:rsidR="003F514B">
        <w:rPr>
          <w:rFonts w:ascii="Times New Roman" w:eastAsia="Times New Roman" w:hAnsi="Times New Roman" w:cs="Times New Roman"/>
          <w:bCs/>
          <w:sz w:val="24"/>
          <w:szCs w:val="24"/>
          <w:lang w:eastAsia="pl-PL"/>
        </w:rPr>
        <w:t> </w:t>
      </w:r>
      <w:r w:rsidRPr="00CB6D3C">
        <w:rPr>
          <w:rFonts w:ascii="Times New Roman" w:eastAsia="Times New Roman" w:hAnsi="Times New Roman" w:cs="Times New Roman"/>
          <w:bCs/>
          <w:sz w:val="24"/>
          <w:szCs w:val="24"/>
          <w:lang w:eastAsia="pl-PL"/>
        </w:rPr>
        <w:t>własnościowych jest obecnie jedynym sposobem zabezpieczenia tych terenów przed powstaniem szkód. Jak już wcześniej wspomnian</w:t>
      </w:r>
      <w:r w:rsidR="003F514B">
        <w:rPr>
          <w:rFonts w:ascii="Times New Roman" w:eastAsia="Times New Roman" w:hAnsi="Times New Roman" w:cs="Times New Roman"/>
          <w:bCs/>
          <w:sz w:val="24"/>
          <w:szCs w:val="24"/>
          <w:lang w:eastAsia="pl-PL"/>
        </w:rPr>
        <w:t>o, przez tereny zlokalizowane w </w:t>
      </w:r>
      <w:r w:rsidRPr="00CB6D3C">
        <w:rPr>
          <w:rFonts w:ascii="Times New Roman" w:eastAsia="Times New Roman" w:hAnsi="Times New Roman" w:cs="Times New Roman"/>
          <w:bCs/>
          <w:sz w:val="24"/>
          <w:szCs w:val="24"/>
          <w:lang w:eastAsia="pl-PL"/>
        </w:rPr>
        <w:t xml:space="preserve">sąsiedztwie wyrobiska „Piaseczno” (tereny przyległe do wyrobiska „Piaseczno”) </w:t>
      </w:r>
      <w:r w:rsidRPr="00CB6D3C">
        <w:rPr>
          <w:rFonts w:ascii="Times New Roman" w:eastAsia="Times New Roman" w:hAnsi="Times New Roman" w:cs="Times New Roman"/>
          <w:bCs/>
          <w:sz w:val="24"/>
          <w:szCs w:val="24"/>
          <w:lang w:eastAsia="pl-PL"/>
        </w:rPr>
        <w:lastRenderedPageBreak/>
        <w:t>rozumie się tereny objęte oddziaływaniem leja depresji wyrobiska „Piaseczno”. Są to tereny bezpośrednio przyległe do terenów zrekultywowanych przez KS „Machów” S.A.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likwidacji. Przy czym należy zauważyć, że jest to rozwiązanie przejściowe, a nie docelowe.</w:t>
      </w:r>
    </w:p>
    <w:p w14:paraId="3E45B57B" w14:textId="092AB637"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Zabezpieczenie odpowiedniego finansowania prac jest istotnym czynnikiem całego przedsięwzięcia, gdyż w przypadku braku środków finansowych dojdzie do konieczności wyłączenia odwadniania, odbudują się</w:t>
      </w:r>
      <w:r w:rsidR="003F514B">
        <w:rPr>
          <w:rFonts w:ascii="Times New Roman" w:eastAsia="Times New Roman" w:hAnsi="Times New Roman" w:cs="Times New Roman"/>
          <w:bCs/>
          <w:sz w:val="24"/>
          <w:szCs w:val="24"/>
          <w:lang w:eastAsia="pl-PL"/>
        </w:rPr>
        <w:t xml:space="preserve"> pierwotne stosunki wodne, co w </w:t>
      </w:r>
      <w:r w:rsidRPr="00CB6D3C">
        <w:rPr>
          <w:rFonts w:ascii="Times New Roman" w:eastAsia="Times New Roman" w:hAnsi="Times New Roman" w:cs="Times New Roman"/>
          <w:bCs/>
          <w:sz w:val="24"/>
          <w:szCs w:val="24"/>
          <w:lang w:eastAsia="pl-PL"/>
        </w:rPr>
        <w:t>konsekwencji doprowadzi do wystąpienia podtopień na ob</w:t>
      </w:r>
      <w:r w:rsidR="003F514B">
        <w:rPr>
          <w:rFonts w:ascii="Times New Roman" w:eastAsia="Times New Roman" w:hAnsi="Times New Roman" w:cs="Times New Roman"/>
          <w:bCs/>
          <w:sz w:val="24"/>
          <w:szCs w:val="24"/>
          <w:lang w:eastAsia="pl-PL"/>
        </w:rPr>
        <w:t>szarze ok. 11,3 </w:t>
      </w:r>
      <w:r w:rsidRPr="00CB6D3C">
        <w:rPr>
          <w:rFonts w:ascii="Times New Roman" w:eastAsia="Times New Roman" w:hAnsi="Times New Roman" w:cs="Times New Roman"/>
          <w:bCs/>
          <w:sz w:val="24"/>
          <w:szCs w:val="24"/>
          <w:lang w:eastAsia="pl-PL"/>
        </w:rPr>
        <w:t>km</w:t>
      </w:r>
      <w:r w:rsidRPr="00CB6D3C">
        <w:rPr>
          <w:rFonts w:ascii="Times New Roman" w:eastAsia="Times New Roman" w:hAnsi="Times New Roman" w:cs="Times New Roman"/>
          <w:bCs/>
          <w:sz w:val="24"/>
          <w:szCs w:val="24"/>
          <w:vertAlign w:val="superscript"/>
          <w:lang w:eastAsia="pl-PL"/>
        </w:rPr>
        <w:t>2</w:t>
      </w:r>
      <w:r w:rsidRPr="00CB6D3C">
        <w:rPr>
          <w:rFonts w:ascii="Times New Roman" w:eastAsia="Times New Roman" w:hAnsi="Times New Roman" w:cs="Times New Roman"/>
          <w:bCs/>
          <w:sz w:val="24"/>
          <w:szCs w:val="24"/>
          <w:lang w:eastAsia="pl-PL"/>
        </w:rPr>
        <w:t>. Istnieje ryzyko, że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przypadku braku środków budżetowych na dalsze pompowanie nadmiarowych wód lub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przypadku zlikwidowania podmiotu, problem zostanie nierozwiązany (spółka nie prowadzi działalności gospodarczej i nie posiada przychodów pozwalających finansować przedmiotowe przedsięwzięcie), co doprowadzi do zalania terenów przyległych, a</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właściciele gospodarstw znajdujących się na zagrożonym terenie mogą wystąpić do Skarbu Państwa z roszczeniami odszkodowawczymi.</w:t>
      </w:r>
    </w:p>
    <w:p w14:paraId="13500315" w14:textId="1BF19DE5"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Problem był również przedmiotem dyskusji Komisji Ochrony Środowiska, Zasobów Naturalnych i Leśnictwa, która to na posiedzeniu w dniu 24 kwietnia 2019 r. uchwaliła dezyderat nr 4 w</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sprawie byłego wyrobiska „Pia</w:t>
      </w:r>
      <w:r w:rsidR="003F514B">
        <w:rPr>
          <w:rFonts w:ascii="Times New Roman" w:eastAsia="Times New Roman" w:hAnsi="Times New Roman" w:cs="Times New Roman"/>
          <w:bCs/>
          <w:sz w:val="24"/>
          <w:szCs w:val="24"/>
          <w:lang w:eastAsia="pl-PL"/>
        </w:rPr>
        <w:t>seczno” Kopalni „Machów” S.A. w </w:t>
      </w:r>
      <w:r w:rsidRPr="00CB6D3C">
        <w:rPr>
          <w:rFonts w:ascii="Times New Roman" w:eastAsia="Times New Roman" w:hAnsi="Times New Roman" w:cs="Times New Roman"/>
          <w:bCs/>
          <w:sz w:val="24"/>
          <w:szCs w:val="24"/>
          <w:lang w:eastAsia="pl-PL"/>
        </w:rPr>
        <w:t xml:space="preserve">likwidacji. </w:t>
      </w:r>
    </w:p>
    <w:p w14:paraId="7F92F678" w14:textId="3377514F"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B6D3C">
        <w:rPr>
          <w:rFonts w:ascii="Times New Roman" w:eastAsia="Times New Roman" w:hAnsi="Times New Roman" w:cs="Times New Roman"/>
          <w:bCs/>
          <w:sz w:val="24"/>
          <w:szCs w:val="24"/>
          <w:lang w:eastAsia="pl-PL"/>
        </w:rPr>
        <w:t>Niemniej jednak doprowadzenie do skutecznego zakończenia, trwającego od wielu lat procesu likwidacji górnictwa siarki, wymaga zaangażowania wszystkich zainteresowanych tematem instytucji. Wciąż trwają poszukiwania docelowego rozwiązania, zapewniającego realizację niezbędnych pr</w:t>
      </w:r>
      <w:r w:rsidR="003F514B">
        <w:rPr>
          <w:rFonts w:ascii="Times New Roman" w:eastAsia="Times New Roman" w:hAnsi="Times New Roman" w:cs="Times New Roman"/>
          <w:bCs/>
          <w:sz w:val="24"/>
          <w:szCs w:val="24"/>
          <w:lang w:eastAsia="pl-PL"/>
        </w:rPr>
        <w:t>ac, przy współpracy z </w:t>
      </w:r>
      <w:r w:rsidRPr="00CB6D3C">
        <w:rPr>
          <w:rFonts w:ascii="Times New Roman" w:eastAsia="Times New Roman" w:hAnsi="Times New Roman" w:cs="Times New Roman"/>
          <w:bCs/>
          <w:sz w:val="24"/>
          <w:szCs w:val="24"/>
          <w:lang w:eastAsia="pl-PL"/>
        </w:rPr>
        <w:t>samorządami lokalnymi, Państwowym Gospodarstwem Wodnym Wody Polskie oraz Narodowym Funduszem Ochrony Środowiska i Gospodarki Wodnej. Jednak z</w:t>
      </w:r>
      <w:r w:rsidR="00A675EA">
        <w:rPr>
          <w:rFonts w:ascii="Times New Roman" w:eastAsia="Times New Roman" w:hAnsi="Times New Roman" w:cs="Times New Roman"/>
          <w:bCs/>
          <w:sz w:val="24"/>
          <w:szCs w:val="24"/>
          <w:lang w:eastAsia="pl-PL"/>
        </w:rPr>
        <w:t xml:space="preserve"> </w:t>
      </w:r>
      <w:r w:rsidRPr="00CB6D3C">
        <w:rPr>
          <w:rFonts w:ascii="Times New Roman" w:eastAsia="Times New Roman" w:hAnsi="Times New Roman" w:cs="Times New Roman"/>
          <w:bCs/>
          <w:sz w:val="24"/>
          <w:szCs w:val="24"/>
          <w:lang w:eastAsia="pl-PL"/>
        </w:rPr>
        <w:t>uwagi na skomplikowany charakter sprawy, tj. problemy własnościowe oraz brak środków na sfinansowanie systemu melioracyjno-drenażowego, wypracowanie skutecznego rozwiązania, dającego podstawy formalno-prawne do skoordynowania działań</w:t>
      </w:r>
      <w:r w:rsidR="009A44DF">
        <w:rPr>
          <w:rFonts w:ascii="Times New Roman" w:eastAsia="Times New Roman" w:hAnsi="Times New Roman" w:cs="Times New Roman"/>
          <w:bCs/>
          <w:sz w:val="24"/>
          <w:szCs w:val="24"/>
          <w:lang w:eastAsia="pl-PL"/>
        </w:rPr>
        <w:t>,</w:t>
      </w:r>
      <w:r w:rsidRPr="00CB6D3C">
        <w:rPr>
          <w:rFonts w:ascii="Times New Roman" w:eastAsia="Times New Roman" w:hAnsi="Times New Roman" w:cs="Times New Roman"/>
          <w:bCs/>
          <w:sz w:val="24"/>
          <w:szCs w:val="24"/>
          <w:lang w:eastAsia="pl-PL"/>
        </w:rPr>
        <w:t xml:space="preserve"> jest bardzo trudne.</w:t>
      </w:r>
    </w:p>
    <w:p w14:paraId="4406627D" w14:textId="6326E9FD" w:rsidR="00CD1D86" w:rsidRPr="00CB6D3C" w:rsidRDefault="00CD1D86" w:rsidP="00CB6D3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 xml:space="preserve">W 2019 r. Kopalnia Siarki „Machów” S.A. w likwidacji przedłożyła Ministrowi Energii </w:t>
      </w:r>
      <w:r w:rsidRPr="00371285">
        <w:rPr>
          <w:rFonts w:ascii="Times New Roman" w:eastAsia="Times New Roman" w:hAnsi="Times New Roman" w:cs="Times New Roman"/>
          <w:sz w:val="24"/>
          <w:szCs w:val="24"/>
          <w:lang w:eastAsia="pl-PL"/>
        </w:rPr>
        <w:t>„Program zabezpieczenia terenów przyległych do wyrobiska byłej Kopalni Siarki Piaseczno na lata 2021</w:t>
      </w:r>
      <w:r w:rsidR="00DD5BD0" w:rsidRPr="00371285">
        <w:rPr>
          <w:rFonts w:ascii="Times New Roman" w:eastAsia="Times New Roman" w:hAnsi="Times New Roman" w:cs="Times New Roman"/>
          <w:sz w:val="24"/>
          <w:szCs w:val="24"/>
          <w:lang w:eastAsia="pl-PL"/>
        </w:rPr>
        <w:t>–</w:t>
      </w:r>
      <w:r w:rsidRPr="00371285">
        <w:rPr>
          <w:rFonts w:ascii="Times New Roman" w:eastAsia="Times New Roman" w:hAnsi="Times New Roman" w:cs="Times New Roman"/>
          <w:sz w:val="24"/>
          <w:szCs w:val="24"/>
          <w:lang w:eastAsia="pl-PL"/>
        </w:rPr>
        <w:t>2035</w:t>
      </w:r>
      <w:r w:rsidRPr="00CB6D3C">
        <w:rPr>
          <w:rFonts w:ascii="Times New Roman" w:eastAsia="Times New Roman" w:hAnsi="Times New Roman" w:cs="Times New Roman"/>
          <w:sz w:val="24"/>
          <w:szCs w:val="24"/>
          <w:lang w:eastAsia="pl-PL"/>
        </w:rPr>
        <w:t xml:space="preserve">”, ujmujący kompleksowe rozwiązanie problemu </w:t>
      </w:r>
      <w:r w:rsidRPr="00CB6D3C">
        <w:rPr>
          <w:rFonts w:ascii="Times New Roman" w:eastAsia="Times New Roman" w:hAnsi="Times New Roman" w:cs="Times New Roman"/>
          <w:sz w:val="24"/>
          <w:szCs w:val="24"/>
          <w:lang w:eastAsia="pl-PL"/>
        </w:rPr>
        <w:lastRenderedPageBreak/>
        <w:t xml:space="preserve">dotyczącego wypełnienia wodą wyrobiska i zabezpieczenia terenów przyległych do wyrobiska przed zmianą stosunków wodnych. Przedmiotowy </w:t>
      </w:r>
      <w:r w:rsidRPr="00CB6D3C">
        <w:rPr>
          <w:rFonts w:ascii="Times New Roman" w:eastAsia="Times New Roman" w:hAnsi="Times New Roman" w:cs="Times New Roman"/>
          <w:i/>
          <w:sz w:val="24"/>
          <w:szCs w:val="24"/>
          <w:lang w:eastAsia="pl-PL"/>
        </w:rPr>
        <w:t>Program</w:t>
      </w:r>
      <w:r w:rsidRPr="00CB6D3C">
        <w:rPr>
          <w:rFonts w:ascii="Times New Roman" w:eastAsia="Times New Roman" w:hAnsi="Times New Roman" w:cs="Times New Roman"/>
          <w:sz w:val="24"/>
          <w:szCs w:val="24"/>
          <w:lang w:eastAsia="pl-PL"/>
        </w:rPr>
        <w:t xml:space="preserve"> nie został jednak zaakceptowany z kilku względów, a</w:t>
      </w:r>
      <w:r w:rsidR="00A675EA">
        <w:rPr>
          <w:rFonts w:ascii="Times New Roman" w:eastAsia="Times New Roman" w:hAnsi="Times New Roman" w:cs="Times New Roman"/>
          <w:sz w:val="24"/>
          <w:szCs w:val="24"/>
          <w:lang w:eastAsia="pl-PL"/>
        </w:rPr>
        <w:t xml:space="preserve"> </w:t>
      </w:r>
      <w:r w:rsidRPr="00CB6D3C">
        <w:rPr>
          <w:rFonts w:ascii="Times New Roman" w:eastAsia="Times New Roman" w:hAnsi="Times New Roman" w:cs="Times New Roman"/>
          <w:sz w:val="24"/>
          <w:szCs w:val="24"/>
          <w:lang w:eastAsia="pl-PL"/>
        </w:rPr>
        <w:t xml:space="preserve">mianowicie: </w:t>
      </w:r>
    </w:p>
    <w:p w14:paraId="43FD29DB" w14:textId="5FFD25EC" w:rsidR="00CD1D86" w:rsidRPr="00E34E37"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CB6D3C">
        <w:rPr>
          <w:rFonts w:ascii="Times New Roman" w:eastAsia="Times New Roman" w:hAnsi="Times New Roman" w:cs="Times New Roman"/>
          <w:sz w:val="24"/>
          <w:szCs w:val="24"/>
          <w:lang w:eastAsia="pl-PL"/>
        </w:rPr>
        <w:t>1)</w:t>
      </w:r>
      <w:r w:rsidR="00A629E5">
        <w:rPr>
          <w:rFonts w:ascii="Times New Roman" w:eastAsia="Times New Roman" w:hAnsi="Times New Roman" w:cs="Times New Roman"/>
          <w:sz w:val="24"/>
          <w:szCs w:val="24"/>
          <w:lang w:eastAsia="pl-PL"/>
        </w:rPr>
        <w:tab/>
      </w:r>
      <w:r w:rsidRPr="00E34E37">
        <w:rPr>
          <w:rFonts w:ascii="Times New Roman" w:eastAsia="Times New Roman" w:hAnsi="Times New Roman" w:cs="Times New Roman"/>
          <w:sz w:val="24"/>
          <w:szCs w:val="24"/>
          <w:lang w:eastAsia="pl-PL"/>
        </w:rPr>
        <w:t>przedłożona przez KS „Machów” S.A. w lik</w:t>
      </w:r>
      <w:r w:rsidR="003F514B">
        <w:rPr>
          <w:rFonts w:ascii="Times New Roman" w:eastAsia="Times New Roman" w:hAnsi="Times New Roman" w:cs="Times New Roman"/>
          <w:sz w:val="24"/>
          <w:szCs w:val="24"/>
          <w:lang w:eastAsia="pl-PL"/>
        </w:rPr>
        <w:t>widacji opinia prawna poddaje w </w:t>
      </w:r>
      <w:r w:rsidRPr="00E34E37">
        <w:rPr>
          <w:rFonts w:ascii="Times New Roman" w:eastAsia="Times New Roman" w:hAnsi="Times New Roman" w:cs="Times New Roman"/>
          <w:sz w:val="24"/>
          <w:szCs w:val="24"/>
          <w:lang w:eastAsia="pl-PL"/>
        </w:rPr>
        <w:t>wątpliwość obowiązek budowy systemu odwodnienia terenów przyległych do wspomnianego zbiornika wodnego. Do 2034 r. KS „Machów” S.A. w likwidacji ma obowiązek utrzymywania poziomu zbiornika wodnego „Piaseczno</w:t>
      </w:r>
      <w:r w:rsidR="00DD5BD0">
        <w:rPr>
          <w:rFonts w:ascii="Times New Roman" w:eastAsia="Times New Roman" w:hAnsi="Times New Roman" w:cs="Times New Roman"/>
          <w:sz w:val="24"/>
          <w:szCs w:val="24"/>
          <w:lang w:eastAsia="pl-PL"/>
        </w:rPr>
        <w:t>”</w:t>
      </w:r>
      <w:r w:rsidR="003F514B">
        <w:rPr>
          <w:rFonts w:ascii="Times New Roman" w:eastAsia="Times New Roman" w:hAnsi="Times New Roman" w:cs="Times New Roman"/>
          <w:sz w:val="24"/>
          <w:szCs w:val="24"/>
          <w:lang w:eastAsia="pl-PL"/>
        </w:rPr>
        <w:t xml:space="preserve"> w oparciu o </w:t>
      </w:r>
      <w:r w:rsidRPr="00E34E37">
        <w:rPr>
          <w:rFonts w:ascii="Times New Roman" w:eastAsia="Times New Roman" w:hAnsi="Times New Roman" w:cs="Times New Roman"/>
          <w:sz w:val="24"/>
          <w:szCs w:val="24"/>
          <w:lang w:eastAsia="pl-PL"/>
        </w:rPr>
        <w:t>rzędną 138,0</w:t>
      </w:r>
      <w:r w:rsidR="00DD5BD0">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139,0 m n.p.m. Co prawda obowiązek budowy systemu odwodnienia przewidywało dawne pozwolenie wodnoprawne (z</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dnia 29 lutego 2006 r.), tyle że z powodu wydania go przez organ niewłaściwy w sprawie, Prezes Krajowego Zarządu Gospodarki Wodnej stwier</w:t>
      </w:r>
      <w:r w:rsidR="003F514B">
        <w:rPr>
          <w:rFonts w:ascii="Times New Roman" w:eastAsia="Times New Roman" w:hAnsi="Times New Roman" w:cs="Times New Roman"/>
          <w:sz w:val="24"/>
          <w:szCs w:val="24"/>
          <w:lang w:eastAsia="pl-PL"/>
        </w:rPr>
        <w:t>dził jego nieważność (decyzja z </w:t>
      </w:r>
      <w:r w:rsidRPr="00E34E37">
        <w:rPr>
          <w:rFonts w:ascii="Times New Roman" w:eastAsia="Times New Roman" w:hAnsi="Times New Roman" w:cs="Times New Roman"/>
          <w:sz w:val="24"/>
          <w:szCs w:val="24"/>
          <w:lang w:eastAsia="pl-PL"/>
        </w:rPr>
        <w:t>dnia 29</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października 2013 r., KZGW/BAPpo-384/4880/2013/ms). Narodowy Fundusz Ochrony Środowiska i Gospodarki Wodnej odmówił fi</w:t>
      </w:r>
      <w:r w:rsidR="009A44DF">
        <w:rPr>
          <w:rFonts w:ascii="Times New Roman" w:eastAsia="Times New Roman" w:hAnsi="Times New Roman" w:cs="Times New Roman"/>
          <w:sz w:val="24"/>
          <w:szCs w:val="24"/>
          <w:lang w:eastAsia="pl-PL"/>
        </w:rPr>
        <w:t>nansowania systemu melioracyjno</w:t>
      </w:r>
      <w:r w:rsidR="009A44DF">
        <w:rPr>
          <w:rFonts w:ascii="Times New Roman" w:eastAsia="Times New Roman" w:hAnsi="Times New Roman" w:cs="Times New Roman"/>
          <w:sz w:val="24"/>
          <w:szCs w:val="24"/>
          <w:lang w:eastAsia="pl-PL"/>
        </w:rPr>
        <w:noBreakHyphen/>
      </w:r>
      <w:r w:rsidRPr="00E34E37">
        <w:rPr>
          <w:rFonts w:ascii="Times New Roman" w:eastAsia="Times New Roman" w:hAnsi="Times New Roman" w:cs="Times New Roman"/>
          <w:sz w:val="24"/>
          <w:szCs w:val="24"/>
          <w:lang w:eastAsia="pl-PL"/>
        </w:rPr>
        <w:t xml:space="preserve">drenażowego, uzasadniając to tym, że system ten nie uzyskał kwalifikacji do zadań rekultywacyjnych </w:t>
      </w:r>
      <w:r w:rsidR="003F514B">
        <w:rPr>
          <w:rFonts w:ascii="Times New Roman" w:eastAsia="Times New Roman" w:hAnsi="Times New Roman" w:cs="Times New Roman"/>
          <w:sz w:val="24"/>
          <w:szCs w:val="24"/>
          <w:lang w:eastAsia="pl-PL"/>
        </w:rPr>
        <w:t>powierzonych KS „Machów” S.A. w </w:t>
      </w:r>
      <w:r w:rsidRPr="00E34E37">
        <w:rPr>
          <w:rFonts w:ascii="Times New Roman" w:eastAsia="Times New Roman" w:hAnsi="Times New Roman" w:cs="Times New Roman"/>
          <w:sz w:val="24"/>
          <w:szCs w:val="24"/>
          <w:lang w:eastAsia="pl-PL"/>
        </w:rPr>
        <w:t>likwidacji. Należy bowiem zaznaczyć, że zgodni</w:t>
      </w:r>
      <w:r w:rsidR="009A44DF">
        <w:rPr>
          <w:rFonts w:ascii="Times New Roman" w:eastAsia="Times New Roman" w:hAnsi="Times New Roman" w:cs="Times New Roman"/>
          <w:sz w:val="24"/>
          <w:szCs w:val="24"/>
          <w:lang w:eastAsia="pl-PL"/>
        </w:rPr>
        <w:t>e z ustawą z dnia 14 lipca 2000 </w:t>
      </w:r>
      <w:r w:rsidRPr="00E34E37">
        <w:rPr>
          <w:rFonts w:ascii="Times New Roman" w:eastAsia="Times New Roman" w:hAnsi="Times New Roman" w:cs="Times New Roman"/>
          <w:sz w:val="24"/>
          <w:szCs w:val="24"/>
          <w:lang w:eastAsia="pl-PL"/>
        </w:rPr>
        <w:t xml:space="preserve">r. </w:t>
      </w:r>
      <w:r w:rsidRPr="00371285">
        <w:rPr>
          <w:rFonts w:ascii="Times New Roman" w:eastAsia="Times New Roman" w:hAnsi="Times New Roman" w:cs="Times New Roman"/>
          <w:sz w:val="24"/>
          <w:szCs w:val="24"/>
          <w:lang w:eastAsia="pl-PL"/>
        </w:rPr>
        <w:t>o restrukturyzacji finansowej górnictw</w:t>
      </w:r>
      <w:r w:rsidR="003F514B">
        <w:rPr>
          <w:rFonts w:ascii="Times New Roman" w:eastAsia="Times New Roman" w:hAnsi="Times New Roman" w:cs="Times New Roman"/>
          <w:sz w:val="24"/>
          <w:szCs w:val="24"/>
          <w:lang w:eastAsia="pl-PL"/>
        </w:rPr>
        <w:t>a siarki (Dz. U. z 2016 r. poz. </w:t>
      </w:r>
      <w:r w:rsidRPr="00371285">
        <w:rPr>
          <w:rFonts w:ascii="Times New Roman" w:eastAsia="Times New Roman" w:hAnsi="Times New Roman" w:cs="Times New Roman"/>
          <w:sz w:val="24"/>
          <w:szCs w:val="24"/>
          <w:lang w:eastAsia="pl-PL"/>
        </w:rPr>
        <w:t>1752)</w:t>
      </w:r>
      <w:r w:rsidRPr="00E34E37">
        <w:rPr>
          <w:rFonts w:ascii="Times New Roman" w:eastAsia="Times New Roman" w:hAnsi="Times New Roman" w:cs="Times New Roman"/>
          <w:sz w:val="24"/>
          <w:szCs w:val="24"/>
          <w:lang w:eastAsia="pl-PL"/>
        </w:rPr>
        <w:t>, wydatki na</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rekultywację terenów pogórniczych w rozumieniu przepisów o ochronie gruntów rolnych i leśnych były finansowane ze środków Narodowego Funduszu Ochrony Środowiska i Gospodarki Wodnej w wysokości nieprzekraczającej dotacji określonej na ten cel w rocznym planie finansowym tego Funduszu, stanowiącym załącznik do ustawy budżetowej na dany rok. Minister właściwy do spraw gospodarki złożami kopalin (wcześniej minister właściwy do spraw gospodarki) sprawował nadzór nad przebiegiem likwidacji zakładów górniczych, w</w:t>
      </w:r>
      <w:r w:rsidR="003F514B">
        <w:rPr>
          <w:rFonts w:ascii="Times New Roman" w:eastAsia="Times New Roman" w:hAnsi="Times New Roman" w:cs="Times New Roman"/>
          <w:sz w:val="24"/>
          <w:szCs w:val="24"/>
          <w:lang w:eastAsia="pl-PL"/>
        </w:rPr>
        <w:t> </w:t>
      </w:r>
      <w:r w:rsidRPr="00E34E37">
        <w:rPr>
          <w:rFonts w:ascii="Times New Roman" w:eastAsia="Times New Roman" w:hAnsi="Times New Roman" w:cs="Times New Roman"/>
          <w:sz w:val="24"/>
          <w:szCs w:val="24"/>
          <w:lang w:eastAsia="pl-PL"/>
        </w:rPr>
        <w:t>szczególności wyrażał akceptację dla programów likwidacji jednostek oraz rocznych planów likwidacji zakładu górniczego, analizował przedkładane mu roczne sprawozdania z</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dotychczasowej realizacji likwidacji zakładu górniczego oraz miesięczne rozliczenia otrzymanych rat dotacji.</w:t>
      </w:r>
    </w:p>
    <w:p w14:paraId="623B853B" w14:textId="1EA1382D" w:rsidR="00CD1D86" w:rsidRPr="00E34E37"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2)</w:t>
      </w:r>
      <w:r w:rsidR="00A629E5">
        <w:rPr>
          <w:rFonts w:ascii="Times New Roman" w:eastAsia="Times New Roman" w:hAnsi="Times New Roman" w:cs="Times New Roman"/>
          <w:sz w:val="24"/>
          <w:szCs w:val="24"/>
          <w:lang w:eastAsia="pl-PL"/>
        </w:rPr>
        <w:tab/>
      </w:r>
      <w:r w:rsidRPr="00E34E37">
        <w:rPr>
          <w:rFonts w:ascii="Times New Roman" w:eastAsia="Times New Roman" w:hAnsi="Times New Roman" w:cs="Times New Roman"/>
          <w:sz w:val="24"/>
          <w:szCs w:val="24"/>
          <w:lang w:eastAsia="pl-PL"/>
        </w:rPr>
        <w:t>funkcjonowanie systemu melioracyjnego wiąże się z kosztami (remonty, koszt eksploatacji itd.), które muszą być ponoszone przez czas nieoznaczony. Nie mogą być one ponoszone z</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 xml:space="preserve">własnych środków KS „Machów” S.A. w likwidacji, zwłaszcza że została ona postawiona w stan likwidacji (a w konsekwencji nie ma </w:t>
      </w:r>
      <w:r w:rsidRPr="00E34E37">
        <w:rPr>
          <w:rFonts w:ascii="Times New Roman" w:eastAsia="Times New Roman" w:hAnsi="Times New Roman" w:cs="Times New Roman"/>
          <w:sz w:val="24"/>
          <w:szCs w:val="24"/>
          <w:lang w:eastAsia="pl-PL"/>
        </w:rPr>
        <w:lastRenderedPageBreak/>
        <w:t xml:space="preserve">przeszkód do tego, </w:t>
      </w:r>
      <w:r w:rsidR="009A44DF">
        <w:rPr>
          <w:rFonts w:ascii="Times New Roman" w:eastAsia="Times New Roman" w:hAnsi="Times New Roman" w:cs="Times New Roman"/>
          <w:sz w:val="24"/>
          <w:szCs w:val="24"/>
          <w:lang w:eastAsia="pl-PL"/>
        </w:rPr>
        <w:t>a</w:t>
      </w:r>
      <w:r w:rsidRPr="00E34E37">
        <w:rPr>
          <w:rFonts w:ascii="Times New Roman" w:eastAsia="Times New Roman" w:hAnsi="Times New Roman" w:cs="Times New Roman"/>
          <w:sz w:val="24"/>
          <w:szCs w:val="24"/>
          <w:lang w:eastAsia="pl-PL"/>
        </w:rPr>
        <w:t>by przestała ona istnieć jako podmiot prawa), a</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 dodatku nie ponosi osobistej odpowiedzialności za zmiany stosunków wodnych;</w:t>
      </w:r>
    </w:p>
    <w:p w14:paraId="20731E00" w14:textId="6EEBC04D" w:rsidR="00CD1D86" w:rsidRPr="00E34E37" w:rsidRDefault="00CD1D86" w:rsidP="00CB6D3C">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3)</w:t>
      </w:r>
      <w:r w:rsidR="00A629E5">
        <w:rPr>
          <w:rFonts w:ascii="Times New Roman" w:eastAsia="Times New Roman" w:hAnsi="Times New Roman" w:cs="Times New Roman"/>
          <w:sz w:val="24"/>
          <w:szCs w:val="24"/>
          <w:lang w:eastAsia="pl-PL"/>
        </w:rPr>
        <w:tab/>
      </w:r>
      <w:r w:rsidRPr="00E34E37">
        <w:rPr>
          <w:rFonts w:ascii="Times New Roman" w:eastAsia="Times New Roman" w:hAnsi="Times New Roman" w:cs="Times New Roman"/>
          <w:sz w:val="24"/>
          <w:szCs w:val="24"/>
          <w:lang w:eastAsia="pl-PL"/>
        </w:rPr>
        <w:t xml:space="preserve">minister właściwy do spraw gospodarki złożami kopalin (wcześniej minister właściwy do spraw gospodarki) nie dysponował i nadal nie dysponuje w swoim budżecie środkami, które mogłyby zostać przeznaczone na finansowanie systemu melioracyjno-drenażowego. </w:t>
      </w:r>
    </w:p>
    <w:p w14:paraId="7B52993F" w14:textId="3A5B1A22"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 xml:space="preserve">Narodowy Fundusz Ochrony Środowiska i Gospodarki Wodnej, odpowiadając na pismo Ministerstwa Energii z 2019 r. w sprawie rozważenia możliwości finansowania ze środków NFOŚiGW zadań wynikających z </w:t>
      </w:r>
      <w:r w:rsidR="00DD5BD0" w:rsidRPr="009A44DF">
        <w:rPr>
          <w:rFonts w:ascii="Times New Roman" w:eastAsia="Times New Roman" w:hAnsi="Times New Roman" w:cs="Times New Roman"/>
          <w:sz w:val="24"/>
          <w:szCs w:val="24"/>
          <w:lang w:eastAsia="pl-PL"/>
        </w:rPr>
        <w:t>„</w:t>
      </w:r>
      <w:r w:rsidRPr="009A44DF">
        <w:rPr>
          <w:rFonts w:ascii="Times New Roman" w:eastAsia="Times New Roman" w:hAnsi="Times New Roman" w:cs="Times New Roman"/>
          <w:sz w:val="24"/>
          <w:szCs w:val="24"/>
          <w:lang w:eastAsia="pl-PL"/>
        </w:rPr>
        <w:t xml:space="preserve">Programu zabezpieczenia terenów przyległych do wyrobiska byłej Kopalni Siarki </w:t>
      </w:r>
      <w:r w:rsidR="00DD5BD0" w:rsidRPr="009A44DF">
        <w:rPr>
          <w:rFonts w:ascii="Times New Roman" w:eastAsia="Times New Roman" w:hAnsi="Times New Roman" w:cs="Times New Roman"/>
          <w:sz w:val="24"/>
          <w:szCs w:val="24"/>
          <w:lang w:eastAsia="pl-PL"/>
        </w:rPr>
        <w:t>„</w:t>
      </w:r>
      <w:r w:rsidRPr="009A44DF">
        <w:rPr>
          <w:rFonts w:ascii="Times New Roman" w:eastAsia="Times New Roman" w:hAnsi="Times New Roman" w:cs="Times New Roman"/>
          <w:sz w:val="24"/>
          <w:szCs w:val="24"/>
          <w:lang w:eastAsia="pl-PL"/>
        </w:rPr>
        <w:t>Piaseczno” na lata 2021</w:t>
      </w:r>
      <w:r w:rsidR="00DD5BD0" w:rsidRPr="009A44DF">
        <w:rPr>
          <w:rFonts w:ascii="Times New Roman" w:eastAsia="Times New Roman" w:hAnsi="Times New Roman" w:cs="Times New Roman"/>
          <w:sz w:val="24"/>
          <w:szCs w:val="24"/>
          <w:lang w:eastAsia="pl-PL"/>
        </w:rPr>
        <w:t>–</w:t>
      </w:r>
      <w:r w:rsidRPr="009A44DF">
        <w:rPr>
          <w:rFonts w:ascii="Times New Roman" w:eastAsia="Times New Roman" w:hAnsi="Times New Roman" w:cs="Times New Roman"/>
          <w:sz w:val="24"/>
          <w:szCs w:val="24"/>
          <w:lang w:eastAsia="pl-PL"/>
        </w:rPr>
        <w:t>2035”</w:t>
      </w:r>
      <w:r w:rsidRPr="00E34E37">
        <w:rPr>
          <w:rFonts w:ascii="Times New Roman" w:eastAsia="Times New Roman" w:hAnsi="Times New Roman" w:cs="Times New Roman"/>
          <w:sz w:val="24"/>
          <w:szCs w:val="24"/>
          <w:lang w:eastAsia="pl-PL"/>
        </w:rPr>
        <w:t xml:space="preserve"> poinformował, że finansowanie przez Narodo</w:t>
      </w:r>
      <w:r w:rsidR="003F514B">
        <w:rPr>
          <w:rFonts w:ascii="Times New Roman" w:eastAsia="Times New Roman" w:hAnsi="Times New Roman" w:cs="Times New Roman"/>
          <w:sz w:val="24"/>
          <w:szCs w:val="24"/>
          <w:lang w:eastAsia="pl-PL"/>
        </w:rPr>
        <w:t>wy Fundusz Ochrony Środowiska i </w:t>
      </w:r>
      <w:r w:rsidRPr="00E34E37">
        <w:rPr>
          <w:rFonts w:ascii="Times New Roman" w:eastAsia="Times New Roman" w:hAnsi="Times New Roman" w:cs="Times New Roman"/>
          <w:sz w:val="24"/>
          <w:szCs w:val="24"/>
          <w:lang w:eastAsia="pl-PL"/>
        </w:rPr>
        <w:t>Gospodarki Wodnej prac likwidacyjno-rekultywacyjnych na terenach zdegradowanych przez górnictwo siarki zakończyło się dnia 31 grudnia 2016 r. Minister Energii, sprawujący ustawowy nadzór nad przebiegiem likwidacji zakładów górniczych, potwierdził wykonanie całego przedsięwzięcia, uznając je za zakończone, a zatem obowiązek finansowania prac likwidacyjno-rekultywacyjnych nałożony na Narodowy Fundusz Ochrony Środowiska i Gospodarki Wodnej u</w:t>
      </w:r>
      <w:r w:rsidR="003F514B">
        <w:rPr>
          <w:rFonts w:ascii="Times New Roman" w:eastAsia="Times New Roman" w:hAnsi="Times New Roman" w:cs="Times New Roman"/>
          <w:sz w:val="24"/>
          <w:szCs w:val="24"/>
          <w:lang w:eastAsia="pl-PL"/>
        </w:rPr>
        <w:t>stawą z dnia 14 lipca 2000 r. o </w:t>
      </w:r>
      <w:r w:rsidRPr="00E34E37">
        <w:rPr>
          <w:rFonts w:ascii="Times New Roman" w:eastAsia="Times New Roman" w:hAnsi="Times New Roman" w:cs="Times New Roman"/>
          <w:sz w:val="24"/>
          <w:szCs w:val="24"/>
          <w:lang w:eastAsia="pl-PL"/>
        </w:rPr>
        <w:t>restrukturyzacji finansowej górnictwa siarki został zrealizowany. Na realizację ww. prac przez KS „Machów” S.A. w likwidacji Narodo</w:t>
      </w:r>
      <w:r w:rsidR="003F514B">
        <w:rPr>
          <w:rFonts w:ascii="Times New Roman" w:eastAsia="Times New Roman" w:hAnsi="Times New Roman" w:cs="Times New Roman"/>
          <w:sz w:val="24"/>
          <w:szCs w:val="24"/>
          <w:lang w:eastAsia="pl-PL"/>
        </w:rPr>
        <w:t>wy Fundusz Ochrony Środowiska i </w:t>
      </w:r>
      <w:r w:rsidRPr="00E34E37">
        <w:rPr>
          <w:rFonts w:ascii="Times New Roman" w:eastAsia="Times New Roman" w:hAnsi="Times New Roman" w:cs="Times New Roman"/>
          <w:sz w:val="24"/>
          <w:szCs w:val="24"/>
          <w:lang w:eastAsia="pl-PL"/>
        </w:rPr>
        <w:t>Gospodarki Wodnej</w:t>
      </w:r>
      <w:r w:rsidRPr="00E34E37" w:rsidDel="008902E3">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wydatkował kwotę 774,68 mln zł, z czego na finansowanie prac likwidacyjno-rekultywacyjnych prowadzonych na obszarze Machów – Piaseczno kwotę 604,73 ml zł. Pierwotnie przed rozpoczęciem eksploatacji tereny, na których powstało wyrobisko „Piaseczno”</w:t>
      </w:r>
      <w:r w:rsidR="009A44DF">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charakteryzowały się płytkim zaleganiem wód gruntowych, co było uwidocznione przez liczne rozlewiska i nawodnienie terenu. Nie prowadzono tam działalności gospodarczej. Poziom wód gruntowych na obszarach wokół wyrobiska „Piaseczno” kształtował się wówczas na rzędnej +146 m. n.p.m. Po rozpoczęciu eksploatacji w wyniku pompowania wód doszło do powstania leja depresji, w wyniku którego nastąpiło osuszenie gruntów</w:t>
      </w:r>
      <w:r w:rsidR="009A44DF">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i lokalne władze dokonały zmiany zagospodarowania wspomnianych terenów, które nie uwzględniały tymczasowości korzystnych stosunków wodnych. Wykonanie systemu melioracyjno-drenażowego na terenach przyległych do wyrobiska „Piaseczno” nie było zatem możliwe do sfinansowania ze środków zobowiązania wieloletniego górnictwo, ponieważ prace te nie miały znamion prac likwidacyjnych i rekultywacyjnych. Narodowy Fundusz </w:t>
      </w:r>
      <w:r w:rsidRPr="00E34E37">
        <w:rPr>
          <w:rFonts w:ascii="Times New Roman" w:eastAsia="Times New Roman" w:hAnsi="Times New Roman" w:cs="Times New Roman"/>
          <w:sz w:val="24"/>
          <w:szCs w:val="24"/>
          <w:lang w:eastAsia="pl-PL"/>
        </w:rPr>
        <w:lastRenderedPageBreak/>
        <w:t>Ochronny Środowiska i Gospodarki Wodnej dokonał przeglądu swojej oferty pod kątem możliwości dofinansowania systemów melioracyjno-drenażowych. Z przeglądu programów wynika, że aktualnie finansowanie tego rodzaju przedsięwzięć nie jest możliwe. Niemniej jednak, biorąc pod uwagę istotność problemu, Narodowy Fundusz Ochronny Środowiska i Gospodarki Wodnej może rozważyć ewentualną zmianę oferty programowej. Sama zmiana oferty Funduszu nie rozwiąże jednakże powstałego problemu, i w ocenie Narodowy Fundusz Ochronny Środowiska i Gospodarki Wodnej zasadne wydaje się podjęcie ewentualnych</w:t>
      </w:r>
      <w:r w:rsidR="003F514B">
        <w:rPr>
          <w:rFonts w:ascii="Times New Roman" w:eastAsia="Times New Roman" w:hAnsi="Times New Roman" w:cs="Times New Roman"/>
          <w:sz w:val="24"/>
          <w:szCs w:val="24"/>
          <w:lang w:eastAsia="pl-PL"/>
        </w:rPr>
        <w:t xml:space="preserve"> działań w przedmiocie sprawy i </w:t>
      </w:r>
      <w:r w:rsidRPr="00E34E37">
        <w:rPr>
          <w:rFonts w:ascii="Times New Roman" w:eastAsia="Times New Roman" w:hAnsi="Times New Roman" w:cs="Times New Roman"/>
          <w:sz w:val="24"/>
          <w:szCs w:val="24"/>
          <w:lang w:eastAsia="pl-PL"/>
        </w:rPr>
        <w:t>zaangażowanie finansowe podmiotów zainteresowanych rozwiązaniem zaistniałej sytuacji, wykorzystując rozwiązania prawne. Wydaje się, że oprócz źródeł finansowania należałoby wskazać podmiot, który docelowo przejmi</w:t>
      </w:r>
      <w:r w:rsidR="003F514B">
        <w:rPr>
          <w:rFonts w:ascii="Times New Roman" w:eastAsia="Times New Roman" w:hAnsi="Times New Roman" w:cs="Times New Roman"/>
          <w:sz w:val="24"/>
          <w:szCs w:val="24"/>
          <w:lang w:eastAsia="pl-PL"/>
        </w:rPr>
        <w:t>e wytworzony majątek w zarząd i </w:t>
      </w:r>
      <w:r w:rsidRPr="00E34E37">
        <w:rPr>
          <w:rFonts w:ascii="Times New Roman" w:eastAsia="Times New Roman" w:hAnsi="Times New Roman" w:cs="Times New Roman"/>
          <w:sz w:val="24"/>
          <w:szCs w:val="24"/>
          <w:lang w:eastAsia="pl-PL"/>
        </w:rPr>
        <w:t xml:space="preserve">utrzymanie. Wydaje się, że powinny to być właściwe terytorialnie gminy </w:t>
      </w:r>
      <w:r w:rsidR="00DD5BD0">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jako, że to lokalne władze, wydając decyzje na zabudowę i</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zagospodarowanie tych terenów w</w:t>
      </w:r>
      <w:r w:rsidR="003F514B">
        <w:rPr>
          <w:rFonts w:ascii="Times New Roman" w:eastAsia="Times New Roman" w:hAnsi="Times New Roman" w:cs="Times New Roman"/>
          <w:sz w:val="24"/>
          <w:szCs w:val="24"/>
          <w:lang w:eastAsia="pl-PL"/>
        </w:rPr>
        <w:t> </w:t>
      </w:r>
      <w:r w:rsidRPr="00E34E37">
        <w:rPr>
          <w:rFonts w:ascii="Times New Roman" w:eastAsia="Times New Roman" w:hAnsi="Times New Roman" w:cs="Times New Roman"/>
          <w:sz w:val="24"/>
          <w:szCs w:val="24"/>
          <w:lang w:eastAsia="pl-PL"/>
        </w:rPr>
        <w:t xml:space="preserve">kierunku </w:t>
      </w:r>
      <w:r w:rsidR="009A44DF">
        <w:rPr>
          <w:rFonts w:ascii="Times New Roman" w:eastAsia="Times New Roman" w:hAnsi="Times New Roman" w:cs="Times New Roman"/>
          <w:sz w:val="24"/>
          <w:szCs w:val="24"/>
          <w:lang w:eastAsia="pl-PL"/>
        </w:rPr>
        <w:t>rolniczo</w:t>
      </w:r>
      <w:r w:rsidR="009A44DF">
        <w:rPr>
          <w:rFonts w:ascii="Times New Roman" w:eastAsia="Times New Roman" w:hAnsi="Times New Roman" w:cs="Times New Roman"/>
          <w:sz w:val="24"/>
          <w:szCs w:val="24"/>
          <w:lang w:eastAsia="pl-PL"/>
        </w:rPr>
        <w:noBreakHyphen/>
      </w:r>
      <w:r w:rsidRPr="00E34E37">
        <w:rPr>
          <w:rFonts w:ascii="Times New Roman" w:eastAsia="Times New Roman" w:hAnsi="Times New Roman" w:cs="Times New Roman"/>
          <w:sz w:val="24"/>
          <w:szCs w:val="24"/>
          <w:lang w:eastAsia="pl-PL"/>
        </w:rPr>
        <w:t>sadowniczym, nie uwzględniły tymczasowości stosunków wodnych, a tym samym uniemożliwiły zakończenie prac likwidacyjnych w tym rejonie. Zaznaczyć należy, że na terenach przyległych do wyrobiska</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 xml:space="preserve">możliwe są alternatywne kierunki zakończenia likwidacji, a więc alternatywny kierunek ekologiczny przywrócenia pierwotnych stosunków wodnych oraz kierunek melioracyjno-drenażowy. Jednak w przypadku wyboru kierunku melioracyjno-drenażowego nie będzie to proces rekultywacji tylko zgodnie z ustawą z dnia 20 lipca </w:t>
      </w:r>
      <w:r w:rsidR="003F514B">
        <w:rPr>
          <w:rFonts w:ascii="Times New Roman" w:eastAsia="Times New Roman" w:hAnsi="Times New Roman" w:cs="Times New Roman"/>
          <w:sz w:val="24"/>
          <w:szCs w:val="24"/>
          <w:lang w:eastAsia="pl-PL"/>
        </w:rPr>
        <w:t>2017 r. – Prawo wodne (Dz. U. z </w:t>
      </w:r>
      <w:r w:rsidRPr="00E34E37">
        <w:rPr>
          <w:rFonts w:ascii="Times New Roman" w:eastAsia="Times New Roman" w:hAnsi="Times New Roman" w:cs="Times New Roman"/>
          <w:sz w:val="24"/>
          <w:szCs w:val="24"/>
          <w:lang w:eastAsia="pl-PL"/>
        </w:rPr>
        <w:t xml:space="preserve">2020 r. poz. 310, z późn.zm.) – nowa regulacja stosunków wodnych dla utrzymania gospodarczego przeznaczenia terenów przez projekt melioracyjny. Podkreślić należy, że KS „Machów” S.A. w likwidacji nie była zobowiązana i nie realizowała rekultywacji na terenach, które nie zostały jej do tego celu przekazane, a więc nie realizowała rekultywacji na terenach przyległych do obszaru, który objęty był jej pracami rekultywacyjnymi zgodnie z decyzją </w:t>
      </w:r>
      <w:r w:rsidR="00380AB8">
        <w:rPr>
          <w:rFonts w:ascii="Times New Roman" w:eastAsia="Times New Roman" w:hAnsi="Times New Roman" w:cs="Times New Roman"/>
          <w:sz w:val="24"/>
          <w:szCs w:val="24"/>
          <w:lang w:eastAsia="pl-PL"/>
        </w:rPr>
        <w:t>s</w:t>
      </w:r>
      <w:r w:rsidRPr="00E34E37">
        <w:rPr>
          <w:rFonts w:ascii="Times New Roman" w:eastAsia="Times New Roman" w:hAnsi="Times New Roman" w:cs="Times New Roman"/>
          <w:sz w:val="24"/>
          <w:szCs w:val="24"/>
          <w:lang w:eastAsia="pl-PL"/>
        </w:rPr>
        <w:t xml:space="preserve">tarosty </w:t>
      </w:r>
      <w:r w:rsidR="00380AB8">
        <w:rPr>
          <w:rFonts w:ascii="Times New Roman" w:eastAsia="Times New Roman" w:hAnsi="Times New Roman" w:cs="Times New Roman"/>
          <w:sz w:val="24"/>
          <w:szCs w:val="24"/>
          <w:lang w:eastAsia="pl-PL"/>
        </w:rPr>
        <w:t>s</w:t>
      </w:r>
      <w:r w:rsidRPr="00E34E37">
        <w:rPr>
          <w:rFonts w:ascii="Times New Roman" w:eastAsia="Times New Roman" w:hAnsi="Times New Roman" w:cs="Times New Roman"/>
          <w:sz w:val="24"/>
          <w:szCs w:val="24"/>
          <w:lang w:eastAsia="pl-PL"/>
        </w:rPr>
        <w:t>andomierskiego z 2005</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r. o ustaleniu kierunku rekultywacji dla należącego do niej obszaru.</w:t>
      </w:r>
    </w:p>
    <w:p w14:paraId="2ACE0F62" w14:textId="78EC2396" w:rsidR="00CD1D86" w:rsidRPr="00E34E37" w:rsidRDefault="00380AB8"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w:t>
      </w:r>
      <w:r w:rsidR="00CD1D86" w:rsidRPr="00E34E37">
        <w:rPr>
          <w:rFonts w:ascii="Times New Roman" w:eastAsia="Times New Roman" w:hAnsi="Times New Roman" w:cs="Times New Roman"/>
          <w:sz w:val="24"/>
          <w:szCs w:val="24"/>
          <w:lang w:eastAsia="pl-PL"/>
        </w:rPr>
        <w:t>becn</w:t>
      </w:r>
      <w:r>
        <w:rPr>
          <w:rFonts w:ascii="Times New Roman" w:eastAsia="Times New Roman" w:hAnsi="Times New Roman" w:cs="Times New Roman"/>
          <w:sz w:val="24"/>
          <w:szCs w:val="24"/>
          <w:lang w:eastAsia="pl-PL"/>
        </w:rPr>
        <w:t>ie</w:t>
      </w:r>
      <w:r w:rsidR="00CD1D86" w:rsidRPr="00E34E37">
        <w:rPr>
          <w:rFonts w:ascii="Times New Roman" w:eastAsia="Times New Roman" w:hAnsi="Times New Roman" w:cs="Times New Roman"/>
          <w:sz w:val="24"/>
          <w:szCs w:val="24"/>
          <w:lang w:eastAsia="pl-PL"/>
        </w:rPr>
        <w:t xml:space="preserve"> KS „Machów” S.A. w likwidacji może:</w:t>
      </w:r>
    </w:p>
    <w:p w14:paraId="3E30E211" w14:textId="1B85981B" w:rsidR="00CD1D86" w:rsidRPr="00E34E37" w:rsidRDefault="00CD1D86" w:rsidP="00E34E37">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1)</w:t>
      </w:r>
      <w:r w:rsidR="00A675EA">
        <w:rPr>
          <w:rFonts w:ascii="Times New Roman" w:eastAsia="Times New Roman" w:hAnsi="Times New Roman" w:cs="Times New Roman"/>
          <w:sz w:val="24"/>
          <w:szCs w:val="24"/>
          <w:lang w:eastAsia="pl-PL"/>
        </w:rPr>
        <w:tab/>
      </w:r>
      <w:r w:rsidRPr="00E34E37">
        <w:rPr>
          <w:rFonts w:ascii="Times New Roman" w:eastAsia="Times New Roman" w:hAnsi="Times New Roman" w:cs="Times New Roman"/>
          <w:sz w:val="24"/>
          <w:szCs w:val="24"/>
          <w:lang w:eastAsia="pl-PL"/>
        </w:rPr>
        <w:t>sztucznie utrzymywać rzędną lustra wody na poziomie +138</w:t>
      </w:r>
      <w:r w:rsidR="00DD5BD0">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139 m n.p.m., co będzie zabezpieczać tereny przyległe do wyrobiska, ale jest rozwiązaniem docelowo nieefektywnym oraz koliduje z koncepcją i zadaniami, dla których spółka została utworzona</w:t>
      </w:r>
      <w:r w:rsidR="00AB105B">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tj. realizacj</w:t>
      </w:r>
      <w:r w:rsidR="00461FFD">
        <w:rPr>
          <w:rFonts w:ascii="Times New Roman" w:eastAsia="Times New Roman" w:hAnsi="Times New Roman" w:cs="Times New Roman"/>
          <w:sz w:val="24"/>
          <w:szCs w:val="24"/>
          <w:lang w:eastAsia="pl-PL"/>
        </w:rPr>
        <w:t>ą</w:t>
      </w:r>
      <w:r w:rsidRPr="00E34E37">
        <w:rPr>
          <w:rFonts w:ascii="Times New Roman" w:eastAsia="Times New Roman" w:hAnsi="Times New Roman" w:cs="Times New Roman"/>
          <w:sz w:val="24"/>
          <w:szCs w:val="24"/>
          <w:lang w:eastAsia="pl-PL"/>
        </w:rPr>
        <w:t xml:space="preserve"> zadań publicznych wynikających z ustawy z dnia 14 lipca 2000 r. </w:t>
      </w:r>
      <w:r w:rsidRPr="00AB105B">
        <w:rPr>
          <w:rFonts w:ascii="Times New Roman" w:eastAsia="Times New Roman" w:hAnsi="Times New Roman" w:cs="Times New Roman"/>
          <w:sz w:val="24"/>
          <w:szCs w:val="24"/>
          <w:lang w:eastAsia="pl-PL"/>
        </w:rPr>
        <w:t>o restrukturyzacji finansowej górnictwa siarki.</w:t>
      </w:r>
      <w:r w:rsidRPr="00E34E37">
        <w:rPr>
          <w:rFonts w:ascii="Times New Roman" w:eastAsia="Times New Roman" w:hAnsi="Times New Roman" w:cs="Times New Roman"/>
          <w:sz w:val="24"/>
          <w:szCs w:val="24"/>
          <w:lang w:eastAsia="pl-PL"/>
        </w:rPr>
        <w:t xml:space="preserve"> Finansowanie zadań </w:t>
      </w:r>
      <w:r w:rsidRPr="00E34E37">
        <w:rPr>
          <w:rFonts w:ascii="Times New Roman" w:eastAsia="Times New Roman" w:hAnsi="Times New Roman" w:cs="Times New Roman"/>
          <w:sz w:val="24"/>
          <w:szCs w:val="24"/>
          <w:lang w:eastAsia="pl-PL"/>
        </w:rPr>
        <w:lastRenderedPageBreak/>
        <w:t>realizowanych przez KS „Machów” S.A. w likwidacji odbywałoby się na dotychczasowych zasadach;</w:t>
      </w:r>
    </w:p>
    <w:p w14:paraId="745D7A3E" w14:textId="6F290717" w:rsidR="00CD1D86" w:rsidRPr="00E34E37" w:rsidRDefault="00CD1D86" w:rsidP="00E34E37">
      <w:pPr>
        <w:tabs>
          <w:tab w:val="left" w:pos="426"/>
        </w:tabs>
        <w:suppressAutoHyphens/>
        <w:autoSpaceDE w:val="0"/>
        <w:autoSpaceDN w:val="0"/>
        <w:adjustRightInd w:val="0"/>
        <w:spacing w:after="0" w:line="360" w:lineRule="auto"/>
        <w:ind w:left="426" w:hanging="426"/>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2)</w:t>
      </w:r>
      <w:r w:rsidRPr="00E34E37">
        <w:rPr>
          <w:rFonts w:ascii="Times New Roman" w:eastAsia="Times New Roman" w:hAnsi="Times New Roman" w:cs="Times New Roman"/>
          <w:sz w:val="24"/>
          <w:szCs w:val="24"/>
          <w:lang w:eastAsia="pl-PL"/>
        </w:rPr>
        <w:tab/>
        <w:t>zaprzestać pompowania wody i sztucznego utrzymywania rzędnej lustra wody, co doprowadzi do podtopień na terenach przyległych, gdyż w sposób naturalny dojdzie do podniesienia poziomu lustra wody w</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wyrobisku. Do realizacji tego działania przyczyni się bezpośrednio zaprzestanie finansowania zadań realizowanych przez KS „Machów” S.A. w</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 xml:space="preserve">likwidacji środkami z budżetu państwa. Podmiot nie posiada wystarczającej ilości środków własnych do zapewnienia ciągłości swojego działania. Brak źródła finansowania spowoduje konieczność postawienia spółki w stan upadłości, a w konsekwencji do zaprzestania prowadzenia działalności, która obecnie sprowadza się w głównej mierze do zabezpieczenia terenów przyległych do zrekultywowanego wyrobiska „Piaseczno” przed zmianą stosunków wodnych. </w:t>
      </w:r>
    </w:p>
    <w:p w14:paraId="41279515" w14:textId="12D2E2E0" w:rsidR="00CD1D86" w:rsidRPr="00E34E37" w:rsidRDefault="00CD1D86" w:rsidP="00A675E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Od momentu objęcia KS „Machów” S.A. w likwidacji</w:t>
      </w:r>
      <w:r w:rsidR="003F514B">
        <w:rPr>
          <w:rFonts w:ascii="Times New Roman" w:eastAsia="Times New Roman" w:hAnsi="Times New Roman" w:cs="Times New Roman"/>
          <w:sz w:val="24"/>
          <w:szCs w:val="24"/>
          <w:lang w:eastAsia="pl-PL"/>
        </w:rPr>
        <w:t xml:space="preserve"> ustawą z dnia 30 sierpnia 2013 </w:t>
      </w:r>
      <w:r w:rsidRPr="00E34E37">
        <w:rPr>
          <w:rFonts w:ascii="Times New Roman" w:eastAsia="Times New Roman" w:hAnsi="Times New Roman" w:cs="Times New Roman"/>
          <w:sz w:val="24"/>
          <w:szCs w:val="24"/>
          <w:lang w:eastAsia="pl-PL"/>
        </w:rPr>
        <w:t xml:space="preserve">r. </w:t>
      </w:r>
      <w:r w:rsidRPr="00AB105B">
        <w:rPr>
          <w:rFonts w:ascii="Times New Roman" w:eastAsia="Times New Roman" w:hAnsi="Times New Roman" w:cs="Times New Roman"/>
          <w:sz w:val="24"/>
          <w:szCs w:val="24"/>
          <w:lang w:eastAsia="pl-PL"/>
        </w:rPr>
        <w:t>o</w:t>
      </w:r>
      <w:r w:rsidR="00A675EA" w:rsidRPr="00AB105B">
        <w:rPr>
          <w:rFonts w:ascii="Times New Roman" w:eastAsia="Times New Roman" w:hAnsi="Times New Roman" w:cs="Times New Roman"/>
          <w:sz w:val="24"/>
          <w:szCs w:val="24"/>
          <w:lang w:eastAsia="pl-PL"/>
        </w:rPr>
        <w:t xml:space="preserve"> </w:t>
      </w:r>
      <w:r w:rsidRPr="00AB105B">
        <w:rPr>
          <w:rFonts w:ascii="Times New Roman" w:eastAsia="Times New Roman" w:hAnsi="Times New Roman" w:cs="Times New Roman"/>
          <w:sz w:val="24"/>
          <w:szCs w:val="24"/>
          <w:lang w:eastAsia="pl-PL"/>
        </w:rPr>
        <w:t>dotacji przeznaczonej dla niektórych podmiotów</w:t>
      </w:r>
      <w:r w:rsidR="00AB105B">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tj. od 2017 r.</w:t>
      </w:r>
      <w:r w:rsidR="00AB105B">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odbywały się spotkania, w</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których brali udział przedstawiciele lokalnych samorządów, strony rządowej oraz KS „Machów”. Na spotkaniach tych wielokrotnie poruszany był temat rozwiązania problemu wyrobiska „Piaseczno”</w:t>
      </w:r>
      <w:r w:rsidR="00AB105B">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jednak bez konkretnego rezultatu. Sprawa, jak już wcześniej wspomniano, poruszana była również na sejmowej Komisji Ochrony Środowiska, Zasobów Naturalnych i Leśnictwa, również bez rozstrzygnięcia. </w:t>
      </w:r>
    </w:p>
    <w:p w14:paraId="268F2A83" w14:textId="244906A0"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Rozwiązaniem, które pozwoliłoby zakończyć sprawę zabezpieczenia terenów przyległych do wyrobiska „Piaseczno” przed zmianą stosunków wodnych</w:t>
      </w:r>
      <w:r w:rsidR="00AB105B">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byłaby budowa nowoczesnej pompowni wraz kolektorem odprowadzającym wody nadmiarowe oraz z</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odtwarzaniem rowów odwadniających związanych z odbudową systemu melioracji, co umożliwi podnoszenie poziomu rzędnej lustra wody w wyrobisku „Piaseczno” co 1 m do poziomu docelowego +146,0 m n.p.m. w wyrobisku „Piaseczno”, a</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efekcie doprowadzi do zakończenia prac likwidacyjnych w tym rejonie. W konsekwencji tereny przyległe do wyrobiska byłej Kopalni Siarki „Piaseczno” zostałyby zabezpieczone, dzięki czemu zaprzestano by angażowania środków publicznych, z wyłączeniem środków gmin na utrzymanie systemu.</w:t>
      </w:r>
    </w:p>
    <w:p w14:paraId="5D5E9BEF" w14:textId="5F948AB7"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 xml:space="preserve">Jak już wcześniej wspomniano, Minister Energii, sprawujący ustawowy nadzór nad przebiegiem likwidacji zakładów górniczych, potwierdził wykonanie całego </w:t>
      </w:r>
      <w:r w:rsidRPr="00E34E37">
        <w:rPr>
          <w:rFonts w:ascii="Times New Roman" w:eastAsia="Times New Roman" w:hAnsi="Times New Roman" w:cs="Times New Roman"/>
          <w:sz w:val="24"/>
          <w:szCs w:val="24"/>
          <w:lang w:eastAsia="pl-PL"/>
        </w:rPr>
        <w:lastRenderedPageBreak/>
        <w:t>przedsięwzięcia, uznając je za zakończone. Biorąc powyższe pod uwagę, projektodawca proponuje pozostawienie możliwości dalszego finansowania zadań realizowanych przez KS „Machów” S.A. w likwidacji, do czasu opracowania dokumentu, który stanowiłby podstawę do realizacji działań zmierzających do ostatecznego rozwiązania problemu zabezpieczenia terenów przyległych do wyrobiska „Piaseczno” przed zmianą stosunków wodnych. W ocenie projektodawcy przedmiotowy dokument, z uwagi na dotychczasowe zaangażowanie w sprawę, mogłaby</w:t>
      </w:r>
      <w:r w:rsidR="003F514B">
        <w:rPr>
          <w:rFonts w:ascii="Times New Roman" w:eastAsia="Times New Roman" w:hAnsi="Times New Roman" w:cs="Times New Roman"/>
          <w:sz w:val="24"/>
          <w:szCs w:val="24"/>
          <w:lang w:eastAsia="pl-PL"/>
        </w:rPr>
        <w:t xml:space="preserve"> przygotować KS „Machów” S.A. w </w:t>
      </w:r>
      <w:r w:rsidRPr="00E34E37">
        <w:rPr>
          <w:rFonts w:ascii="Times New Roman" w:eastAsia="Times New Roman" w:hAnsi="Times New Roman" w:cs="Times New Roman"/>
          <w:sz w:val="24"/>
          <w:szCs w:val="24"/>
          <w:lang w:eastAsia="pl-PL"/>
        </w:rPr>
        <w:t>likwidacji w porozumieniu ze stroną samorządową i Państwowym Gospodarstwem Wodnym Wody Polskie. Należy jednak mieć na względzie, że jako spółka komunalna</w:t>
      </w:r>
      <w:r w:rsidR="00E34E37">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gminy Tarnobrzeg zlokalizowana w województwie podkarpackim nie posiada ani środków, ani możliwości (władztwa publicznego bądź ze stosunków cywilnoprawnych) d</w:t>
      </w:r>
      <w:r w:rsidR="00717A2F">
        <w:rPr>
          <w:rFonts w:ascii="Times New Roman" w:eastAsia="Times New Roman" w:hAnsi="Times New Roman" w:cs="Times New Roman"/>
          <w:sz w:val="24"/>
          <w:szCs w:val="24"/>
          <w:lang w:eastAsia="pl-PL"/>
        </w:rPr>
        <w:t>o</w:t>
      </w:r>
      <w:r w:rsidRPr="00E34E37">
        <w:rPr>
          <w:rFonts w:ascii="Times New Roman" w:eastAsia="Times New Roman" w:hAnsi="Times New Roman" w:cs="Times New Roman"/>
          <w:sz w:val="24"/>
          <w:szCs w:val="24"/>
          <w:lang w:eastAsia="pl-PL"/>
        </w:rPr>
        <w:t xml:space="preserve"> uzgodnień projektowania na terenie innego województwa w</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powiecie sandomierskim (województwo świętokrzyskie). Bez zaangażowania odpowiednio władz, administracji rządowej i samorządowej oraz Państwowego Gospodarstwa Wodnego Wody Polskie, będzie miała bardzo ograniczone możliwości realizacji tego zadania. Będzie mogła, tak jak dotychczas, występować z prośbą o podjęcie działań, co przez ostatnie lata czyniła, i nie przyniosło to efektu. Trzeba zauważyć, że nie mając środków na aktualizację rozpoznania stanu faktycznego (stanu wodnego, środowiskowego) oraz alternatywne projekty, spółka nie ma kompetencji do samodzielnego wyboru ostatecznego kierunku likwidacji, trybu i formy jej przeprowadzania lub sugerowania, jakie podmioty publiczne</w:t>
      </w:r>
      <w:r w:rsidR="00717A2F">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w jakim zakresie powinny być w to zaangażowane. W tym zakresie, z uwagi na szczególną złożoność problemu oraz obszar leja depresji, konieczne jest zaangażowanie w szczególności właściwych terytorialnie gmin, których organy wydając decyzje na zabudowę i zagospodarowanie tych terenów nie uwzględniały tymczasowości stosunków wodnych. Konieczne jest także zaangażowanie terenowych i centralnych organów administracji rządowej zespolonej</w:t>
      </w:r>
      <w:r w:rsidR="00717A2F">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jak i</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niezespolonej i</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właściwych państwowych osób prawnych. Spółka komunalna nie ma środków i instrumentów prawnych do projektowania i przekonania ww. podmiotów do skutecznego zaangażowania się w działania mające na celu budowę, utrzymanie i ek</w:t>
      </w:r>
      <w:r w:rsidR="00717A2F">
        <w:rPr>
          <w:rFonts w:ascii="Times New Roman" w:eastAsia="Times New Roman" w:hAnsi="Times New Roman" w:cs="Times New Roman"/>
          <w:sz w:val="24"/>
          <w:szCs w:val="24"/>
          <w:lang w:eastAsia="pl-PL"/>
        </w:rPr>
        <w:t>sploatację systemu melioracyjno</w:t>
      </w:r>
      <w:r w:rsidR="00717A2F">
        <w:rPr>
          <w:rFonts w:ascii="Times New Roman" w:eastAsia="Times New Roman" w:hAnsi="Times New Roman" w:cs="Times New Roman"/>
          <w:sz w:val="24"/>
          <w:szCs w:val="24"/>
          <w:lang w:eastAsia="pl-PL"/>
        </w:rPr>
        <w:noBreakHyphen/>
      </w:r>
      <w:r w:rsidRPr="00E34E37">
        <w:rPr>
          <w:rFonts w:ascii="Times New Roman" w:eastAsia="Times New Roman" w:hAnsi="Times New Roman" w:cs="Times New Roman"/>
          <w:sz w:val="24"/>
          <w:szCs w:val="24"/>
          <w:lang w:eastAsia="pl-PL"/>
        </w:rPr>
        <w:t xml:space="preserve">drenażowego na terenach przyległych do zbiornika „Piaseczno”, który pozwoli podnieść lustro wody w tym zbiorniku do naturalnej rzędnej +146 m n.p.m. i na trwale ustabilizuje stosunki wodne na tych terenach. W ocenie projektodawcy, bezspornym jest udział Państwowego Gospodarstwa </w:t>
      </w:r>
      <w:r w:rsidRPr="00E34E37">
        <w:rPr>
          <w:rFonts w:ascii="Times New Roman" w:eastAsia="Times New Roman" w:hAnsi="Times New Roman" w:cs="Times New Roman"/>
          <w:sz w:val="24"/>
          <w:szCs w:val="24"/>
          <w:lang w:eastAsia="pl-PL"/>
        </w:rPr>
        <w:lastRenderedPageBreak/>
        <w:t>Wodnego Wody Polskie</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w tworzeniu rozwiązań</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 xml:space="preserve">przedmiotowych i podmiotowych zabezpieczających poprawne i optymalne dla środowiska regulacje stosunków wodnych w obszarach niedostatecznie uregulowanych, gdzie obowiązują wyłącznie przepisy ustawy z dnia 20 lipca 2017 r. – Prawo wodne. Państwowe Gospodarstwo Wodne Wody Polskie nadzorują i regulują prawnie oraz w imieniu Skarbu Państwa pełnią funkcję właścicielską obszarów w pięciu zlewniach powiatu sandomierskiego. </w:t>
      </w:r>
    </w:p>
    <w:p w14:paraId="11911072" w14:textId="5B1AEA23"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Przy budowaniu rozwiązań docelowych należy jednak podjąć decyzję co do podstawowego problemu. Jaki ostateczny kierunek będzie realizowany, czy oczekiwane przez zainteresowane prawnie podmioty sztuczne obniżenie wód powierzchniowych przez odprowadzanie wód nadmiarowych z wyrobiska po byłej Kopalni Siarki „Piaseczno” czy też kierunek powrotu do pierwo</w:t>
      </w:r>
      <w:r w:rsidR="003F514B">
        <w:rPr>
          <w:rFonts w:ascii="Times New Roman" w:eastAsia="Times New Roman" w:hAnsi="Times New Roman" w:cs="Times New Roman"/>
          <w:sz w:val="24"/>
          <w:szCs w:val="24"/>
          <w:lang w:eastAsia="pl-PL"/>
        </w:rPr>
        <w:t>tnych warunków środowiskowych i </w:t>
      </w:r>
      <w:r w:rsidRPr="00E34E37">
        <w:rPr>
          <w:rFonts w:ascii="Times New Roman" w:eastAsia="Times New Roman" w:hAnsi="Times New Roman" w:cs="Times New Roman"/>
          <w:sz w:val="24"/>
          <w:szCs w:val="24"/>
          <w:lang w:eastAsia="pl-PL"/>
        </w:rPr>
        <w:t>wodnych, będących warunkami naturalnymi. Po tej decyzji można będzie budować założenia dla odpowiednich programów i je realizować.</w:t>
      </w:r>
    </w:p>
    <w:p w14:paraId="0530991E" w14:textId="1567BCAB" w:rsidR="00CD1D86" w:rsidRPr="00E34E37" w:rsidRDefault="00CD1D86" w:rsidP="00A675E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 xml:space="preserve">W przypadku braku opracowania docelowego rozwiązania, finansowanie przez ministra właściwego do spraw gospodarki złożami kopalin </w:t>
      </w:r>
      <w:r w:rsidR="003F514B">
        <w:rPr>
          <w:rFonts w:ascii="Times New Roman" w:eastAsia="Times New Roman" w:hAnsi="Times New Roman" w:cs="Times New Roman"/>
          <w:sz w:val="24"/>
          <w:szCs w:val="24"/>
          <w:lang w:eastAsia="pl-PL"/>
        </w:rPr>
        <w:t>działalności KS „Machów” S.A. w </w:t>
      </w:r>
      <w:r w:rsidRPr="00E34E37">
        <w:rPr>
          <w:rFonts w:ascii="Times New Roman" w:eastAsia="Times New Roman" w:hAnsi="Times New Roman" w:cs="Times New Roman"/>
          <w:sz w:val="24"/>
          <w:szCs w:val="24"/>
          <w:lang w:eastAsia="pl-PL"/>
        </w:rPr>
        <w:t>likwidacji zakończy się z upływem roku 2</w:t>
      </w:r>
      <w:r w:rsidR="003F514B">
        <w:rPr>
          <w:rFonts w:ascii="Times New Roman" w:eastAsia="Times New Roman" w:hAnsi="Times New Roman" w:cs="Times New Roman"/>
          <w:sz w:val="24"/>
          <w:szCs w:val="24"/>
          <w:lang w:eastAsia="pl-PL"/>
        </w:rPr>
        <w:t>027. Z kolei KS „Machów” S.A. w </w:t>
      </w:r>
      <w:r w:rsidRPr="00E34E37">
        <w:rPr>
          <w:rFonts w:ascii="Times New Roman" w:eastAsia="Times New Roman" w:hAnsi="Times New Roman" w:cs="Times New Roman"/>
          <w:sz w:val="24"/>
          <w:szCs w:val="24"/>
          <w:lang w:eastAsia="pl-PL"/>
        </w:rPr>
        <w:t>likwidacji zawiadomi z</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odpowiednim wyprzedzeniem wszystkie zainteresowane strony o konsekwencjach zaprzestania pompowania po 2027 r. i ewentualnych tego skutkach dla stron.</w:t>
      </w:r>
    </w:p>
    <w:p w14:paraId="346ED41D" w14:textId="5C039CD9"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Środki zaplanowane w projekcie ustawy zmieniającej na finansowanie zadań, wynikających z tej ustawy i realizowanych przez ARP S.A.</w:t>
      </w:r>
      <w:r w:rsidR="002A5C06">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zostały oszacowane na bazie dotychczas ponoszonych kosztów z uwzględnieniem ewentualnego ich wzrostu</w:t>
      </w:r>
      <w:r w:rsidR="002A5C06">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spowodowanego inflacją.</w:t>
      </w:r>
    </w:p>
    <w:p w14:paraId="1ACC2990" w14:textId="16F6C001" w:rsidR="00CD1D86" w:rsidRPr="00E34E37" w:rsidRDefault="00CD1D86" w:rsidP="00E34E37">
      <w:pPr>
        <w:keepNext/>
        <w:tabs>
          <w:tab w:val="left" w:pos="426"/>
        </w:tabs>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E34E37">
        <w:rPr>
          <w:rFonts w:ascii="Times New Roman" w:eastAsia="Times New Roman" w:hAnsi="Times New Roman" w:cs="Times New Roman"/>
          <w:b/>
          <w:bCs/>
          <w:sz w:val="24"/>
          <w:szCs w:val="24"/>
          <w:lang w:eastAsia="pl-PL"/>
        </w:rPr>
        <w:t>3.</w:t>
      </w:r>
      <w:r w:rsidR="00A675EA">
        <w:rPr>
          <w:rFonts w:ascii="Times New Roman" w:eastAsia="Times New Roman" w:hAnsi="Times New Roman" w:cs="Times New Roman"/>
          <w:b/>
          <w:bCs/>
          <w:sz w:val="24"/>
          <w:szCs w:val="24"/>
          <w:lang w:eastAsia="pl-PL"/>
        </w:rPr>
        <w:tab/>
      </w:r>
      <w:r w:rsidRPr="00E34E37">
        <w:rPr>
          <w:rFonts w:ascii="Times New Roman" w:eastAsia="Times New Roman" w:hAnsi="Times New Roman" w:cs="Times New Roman"/>
          <w:b/>
          <w:bCs/>
          <w:sz w:val="24"/>
          <w:szCs w:val="24"/>
          <w:lang w:eastAsia="pl-PL"/>
        </w:rPr>
        <w:t>Wejście w życie ustawy</w:t>
      </w:r>
    </w:p>
    <w:p w14:paraId="256348AA" w14:textId="1EE96830" w:rsidR="00CD1D86" w:rsidRPr="00E34E37" w:rsidRDefault="00CD1D86" w:rsidP="00E34E37">
      <w:pPr>
        <w:keepNext/>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Określenie terminu wejścia w życie przedmiotowego projektu ustawy z</w:t>
      </w:r>
      <w:r w:rsidR="00A675EA">
        <w:rPr>
          <w:rFonts w:ascii="Times New Roman" w:eastAsia="Times New Roman" w:hAnsi="Times New Roman" w:cs="Times New Roman"/>
          <w:bCs/>
          <w:sz w:val="24"/>
          <w:szCs w:val="24"/>
          <w:lang w:eastAsia="pl-PL"/>
        </w:rPr>
        <w:t xml:space="preserve"> </w:t>
      </w:r>
      <w:r w:rsidR="003F514B">
        <w:rPr>
          <w:rFonts w:ascii="Times New Roman" w:eastAsia="Times New Roman" w:hAnsi="Times New Roman" w:cs="Times New Roman"/>
          <w:bCs/>
          <w:sz w:val="24"/>
          <w:szCs w:val="24"/>
          <w:lang w:eastAsia="pl-PL"/>
        </w:rPr>
        <w:t>dniem 1 </w:t>
      </w:r>
      <w:r w:rsidRPr="00E34E37">
        <w:rPr>
          <w:rFonts w:ascii="Times New Roman" w:eastAsia="Times New Roman" w:hAnsi="Times New Roman" w:cs="Times New Roman"/>
          <w:bCs/>
          <w:sz w:val="24"/>
          <w:szCs w:val="24"/>
          <w:lang w:eastAsia="pl-PL"/>
        </w:rPr>
        <w:t>stycznia 2021 r. ma na celu umożliwienie kontynuacji</w:t>
      </w:r>
      <w:r w:rsidR="002A5C06">
        <w:rPr>
          <w:rFonts w:ascii="Times New Roman" w:eastAsia="Times New Roman" w:hAnsi="Times New Roman" w:cs="Times New Roman"/>
          <w:bCs/>
          <w:sz w:val="24"/>
          <w:szCs w:val="24"/>
          <w:lang w:eastAsia="pl-PL"/>
        </w:rPr>
        <w:t>,</w:t>
      </w:r>
      <w:r w:rsidRPr="00E34E37">
        <w:rPr>
          <w:rFonts w:ascii="Times New Roman" w:eastAsia="Times New Roman" w:hAnsi="Times New Roman" w:cs="Times New Roman"/>
          <w:bCs/>
          <w:sz w:val="24"/>
          <w:szCs w:val="24"/>
          <w:lang w:eastAsia="pl-PL"/>
        </w:rPr>
        <w:t xml:space="preserve"> bez zakłóceń, finansowania z</w:t>
      </w:r>
      <w:r w:rsidR="003F514B">
        <w:rPr>
          <w:rFonts w:ascii="Times New Roman" w:eastAsia="Times New Roman" w:hAnsi="Times New Roman" w:cs="Times New Roman"/>
          <w:bCs/>
          <w:sz w:val="24"/>
          <w:szCs w:val="24"/>
          <w:lang w:eastAsia="pl-PL"/>
        </w:rPr>
        <w:t> </w:t>
      </w:r>
      <w:r w:rsidRPr="00E34E37">
        <w:rPr>
          <w:rFonts w:ascii="Times New Roman" w:eastAsia="Times New Roman" w:hAnsi="Times New Roman" w:cs="Times New Roman"/>
          <w:bCs/>
          <w:sz w:val="24"/>
          <w:szCs w:val="24"/>
          <w:lang w:eastAsia="pl-PL"/>
        </w:rPr>
        <w:t xml:space="preserve">dotacji budżetowej zadań realizowanych przez podmioty wymienione w ustawie, gdyż zgodnie z obecnie obowiązującymi przepisami dotacje na podstawie nowelizowanej ustawy są przyznawane tylko do dnia 31 grudnia 2020 r. </w:t>
      </w:r>
    </w:p>
    <w:p w14:paraId="6CE762F1" w14:textId="51D9FF35"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Jednocześnie określony w projekcie ustawy termin jej wejścia w</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życie jest zgodny z §</w:t>
      </w:r>
      <w:r w:rsidR="002A5C06">
        <w:rPr>
          <w:rFonts w:ascii="Times New Roman" w:eastAsia="Times New Roman" w:hAnsi="Times New Roman" w:cs="Times New Roman"/>
          <w:bCs/>
          <w:sz w:val="24"/>
          <w:szCs w:val="24"/>
          <w:lang w:eastAsia="pl-PL"/>
        </w:rPr>
        <w:t> </w:t>
      </w:r>
      <w:r w:rsidRPr="00E34E37">
        <w:rPr>
          <w:rFonts w:ascii="Times New Roman" w:eastAsia="Times New Roman" w:hAnsi="Times New Roman" w:cs="Times New Roman"/>
          <w:bCs/>
          <w:sz w:val="24"/>
          <w:szCs w:val="24"/>
          <w:lang w:eastAsia="pl-PL"/>
        </w:rPr>
        <w:t>1 ust. 1 uchwały nr</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20</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Rady Ministrów z</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dnia 18 lutego 2014</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r. w</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 xml:space="preserve">sprawie zaleceń </w:t>
      </w:r>
      <w:r w:rsidRPr="00E34E37">
        <w:rPr>
          <w:rFonts w:ascii="Times New Roman" w:eastAsia="Times New Roman" w:hAnsi="Times New Roman" w:cs="Times New Roman"/>
          <w:bCs/>
          <w:sz w:val="24"/>
          <w:szCs w:val="24"/>
          <w:lang w:eastAsia="pl-PL"/>
        </w:rPr>
        <w:lastRenderedPageBreak/>
        <w:t>ujednolicania terminów wejścia w</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życie niektórych aktów normatywnych (M.P. poz.</w:t>
      </w:r>
      <w:r w:rsidR="002A5C06">
        <w:rPr>
          <w:rFonts w:ascii="Times New Roman" w:eastAsia="Times New Roman" w:hAnsi="Times New Roman" w:cs="Times New Roman"/>
          <w:bCs/>
          <w:sz w:val="24"/>
          <w:szCs w:val="24"/>
          <w:lang w:eastAsia="pl-PL"/>
        </w:rPr>
        <w:t> </w:t>
      </w:r>
      <w:r w:rsidRPr="00E34E37">
        <w:rPr>
          <w:rFonts w:ascii="Times New Roman" w:eastAsia="Times New Roman" w:hAnsi="Times New Roman" w:cs="Times New Roman"/>
          <w:bCs/>
          <w:sz w:val="24"/>
          <w:szCs w:val="24"/>
          <w:lang w:eastAsia="pl-PL"/>
        </w:rPr>
        <w:t>205).</w:t>
      </w:r>
    </w:p>
    <w:p w14:paraId="03CBB8CE" w14:textId="35612477"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Wyjątkiem od tej zasady będzie wejście w życie art. 3 ustawy zmieniającej</w:t>
      </w:r>
      <w:r w:rsidR="002A5C06">
        <w:rPr>
          <w:rFonts w:ascii="Times New Roman" w:eastAsia="Times New Roman" w:hAnsi="Times New Roman" w:cs="Times New Roman"/>
          <w:sz w:val="24"/>
          <w:szCs w:val="24"/>
          <w:lang w:eastAsia="pl-PL"/>
        </w:rPr>
        <w:t>,</w:t>
      </w:r>
      <w:r w:rsidRPr="00E34E37">
        <w:rPr>
          <w:rFonts w:ascii="Times New Roman" w:eastAsia="Times New Roman" w:hAnsi="Times New Roman" w:cs="Times New Roman"/>
          <w:sz w:val="24"/>
          <w:szCs w:val="24"/>
          <w:lang w:eastAsia="pl-PL"/>
        </w:rPr>
        <w:t xml:space="preserve"> tj. z dniem następującym po dniu ogłoszenia. Art. 3 dotyczy przejęcia przez SRK S.A. zadań realizowanych dotychczas przez CP „Bolko” sp. z o.o.</w:t>
      </w:r>
      <w:r w:rsidR="003F514B">
        <w:rPr>
          <w:rFonts w:ascii="Times New Roman" w:eastAsia="Times New Roman" w:hAnsi="Times New Roman" w:cs="Times New Roman"/>
          <w:sz w:val="24"/>
          <w:szCs w:val="24"/>
          <w:lang w:eastAsia="pl-PL"/>
        </w:rPr>
        <w:t xml:space="preserve"> Aby przejąć zadania związane z </w:t>
      </w:r>
      <w:r w:rsidRPr="00E34E37">
        <w:rPr>
          <w:rFonts w:ascii="Times New Roman" w:eastAsia="Times New Roman" w:hAnsi="Times New Roman" w:cs="Times New Roman"/>
          <w:sz w:val="24"/>
          <w:szCs w:val="24"/>
          <w:lang w:eastAsia="pl-PL"/>
        </w:rPr>
        <w:t>zabezpieczeniem kopalń sąsiednich przed zagrożeni</w:t>
      </w:r>
      <w:r w:rsidR="003F514B">
        <w:rPr>
          <w:rFonts w:ascii="Times New Roman" w:eastAsia="Times New Roman" w:hAnsi="Times New Roman" w:cs="Times New Roman"/>
          <w:sz w:val="24"/>
          <w:szCs w:val="24"/>
          <w:lang w:eastAsia="pl-PL"/>
        </w:rPr>
        <w:t>em wodnym, SRK S.A. musi w </w:t>
      </w:r>
      <w:r w:rsidR="002A5C06">
        <w:rPr>
          <w:rFonts w:ascii="Times New Roman" w:eastAsia="Times New Roman" w:hAnsi="Times New Roman" w:cs="Times New Roman"/>
          <w:sz w:val="24"/>
          <w:szCs w:val="24"/>
          <w:lang w:eastAsia="pl-PL"/>
        </w:rPr>
        <w:t>2020 </w:t>
      </w:r>
      <w:r w:rsidRPr="00E34E37">
        <w:rPr>
          <w:rFonts w:ascii="Times New Roman" w:eastAsia="Times New Roman" w:hAnsi="Times New Roman" w:cs="Times New Roman"/>
          <w:sz w:val="24"/>
          <w:szCs w:val="24"/>
          <w:lang w:eastAsia="pl-PL"/>
        </w:rPr>
        <w:t>r. nabyć składniki majątku CP „Bolko”, w celu skutecznej realizacji po 1 stycznia 2021 r. działań wykonywanych po zakończeniu likwidacji zakładu górniczego wchodzącego w skład byłych Zakładów Górn</w:t>
      </w:r>
      <w:r w:rsidR="003F514B">
        <w:rPr>
          <w:rFonts w:ascii="Times New Roman" w:eastAsia="Times New Roman" w:hAnsi="Times New Roman" w:cs="Times New Roman"/>
          <w:sz w:val="24"/>
          <w:szCs w:val="24"/>
          <w:lang w:eastAsia="pl-PL"/>
        </w:rPr>
        <w:t>iczo-Hutniczych „Orzeł Biały” w </w:t>
      </w:r>
      <w:r w:rsidRPr="00E34E37">
        <w:rPr>
          <w:rFonts w:ascii="Times New Roman" w:eastAsia="Times New Roman" w:hAnsi="Times New Roman" w:cs="Times New Roman"/>
          <w:sz w:val="24"/>
          <w:szCs w:val="24"/>
          <w:lang w:eastAsia="pl-PL"/>
        </w:rPr>
        <w:t xml:space="preserve">Bytomiu. </w:t>
      </w:r>
    </w:p>
    <w:p w14:paraId="397D770D" w14:textId="0506E542" w:rsidR="00CD1D86" w:rsidRPr="00E34E37" w:rsidRDefault="00CD1D86" w:rsidP="00E34E37">
      <w:pPr>
        <w:tabs>
          <w:tab w:val="left" w:pos="426"/>
        </w:tabs>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E34E37">
        <w:rPr>
          <w:rFonts w:ascii="Times New Roman" w:eastAsia="Times New Roman" w:hAnsi="Times New Roman" w:cs="Times New Roman"/>
          <w:b/>
          <w:bCs/>
          <w:sz w:val="24"/>
          <w:szCs w:val="24"/>
          <w:lang w:eastAsia="pl-PL"/>
        </w:rPr>
        <w:t>4.</w:t>
      </w:r>
      <w:r w:rsidR="00A675EA">
        <w:rPr>
          <w:rFonts w:ascii="Times New Roman" w:eastAsia="Times New Roman" w:hAnsi="Times New Roman" w:cs="Times New Roman"/>
          <w:b/>
          <w:bCs/>
          <w:sz w:val="24"/>
          <w:szCs w:val="24"/>
          <w:lang w:eastAsia="pl-PL"/>
        </w:rPr>
        <w:tab/>
      </w:r>
      <w:r w:rsidRPr="00E34E37">
        <w:rPr>
          <w:rFonts w:ascii="Times New Roman" w:eastAsia="Times New Roman" w:hAnsi="Times New Roman" w:cs="Times New Roman"/>
          <w:b/>
          <w:bCs/>
          <w:sz w:val="24"/>
          <w:szCs w:val="24"/>
          <w:lang w:eastAsia="pl-PL"/>
        </w:rPr>
        <w:t>Oświadczenie o zgodności projektu us</w:t>
      </w:r>
      <w:r w:rsidR="00A80384">
        <w:rPr>
          <w:rFonts w:ascii="Times New Roman" w:eastAsia="Times New Roman" w:hAnsi="Times New Roman" w:cs="Times New Roman"/>
          <w:b/>
          <w:bCs/>
          <w:sz w:val="24"/>
          <w:szCs w:val="24"/>
          <w:lang w:eastAsia="pl-PL"/>
        </w:rPr>
        <w:t>tawy z prawem Unii Europejskiej</w:t>
      </w:r>
    </w:p>
    <w:p w14:paraId="1D4CFAC0" w14:textId="2E4AA0A1"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Dotacje dla kopalń soli i Muzeum Górnictwa Węglowego stanowią pomoc publiczną, uznaną za zgodną z rynkiem wewnętrznym na podstawie art. 107 ust. 3 lit. d TFUE jako pomoc na zachowanie dziedzictwa kulturowego. Pomoc dla ww. podmiotów na kolejne lata, tj. 2021</w:t>
      </w:r>
      <w:r w:rsidR="00DD5BD0">
        <w:rPr>
          <w:rFonts w:ascii="Times New Roman" w:eastAsia="Times New Roman" w:hAnsi="Times New Roman" w:cs="Times New Roman"/>
          <w:bCs/>
          <w:sz w:val="24"/>
          <w:szCs w:val="24"/>
          <w:lang w:eastAsia="pl-PL"/>
        </w:rPr>
        <w:t>–</w:t>
      </w:r>
      <w:r w:rsidRPr="00E34E37">
        <w:rPr>
          <w:rFonts w:ascii="Times New Roman" w:eastAsia="Times New Roman" w:hAnsi="Times New Roman" w:cs="Times New Roman"/>
          <w:bCs/>
          <w:sz w:val="24"/>
          <w:szCs w:val="24"/>
          <w:lang w:eastAsia="pl-PL"/>
        </w:rPr>
        <w:t>2027, musi być notyfikowana Komisji Europejskiej. W tej sytuacji pomoc może być udzielona po uzyskaniu pozytywnej decyzji KE. Ponadto możliwe jest udzielanie ww. pomocy na podstawie bezpośrednio obowiązujących przepisów prawa UE bez konieczności dokonywania notyfikacj</w:t>
      </w:r>
      <w:r w:rsidR="003F514B">
        <w:rPr>
          <w:rFonts w:ascii="Times New Roman" w:eastAsia="Times New Roman" w:hAnsi="Times New Roman" w:cs="Times New Roman"/>
          <w:bCs/>
          <w:sz w:val="24"/>
          <w:szCs w:val="24"/>
          <w:lang w:eastAsia="pl-PL"/>
        </w:rPr>
        <w:t>i na podstawie rozporządzenia o </w:t>
      </w:r>
      <w:r w:rsidRPr="00E34E37">
        <w:rPr>
          <w:rFonts w:ascii="Times New Roman" w:eastAsia="Times New Roman" w:hAnsi="Times New Roman" w:cs="Times New Roman"/>
          <w:bCs/>
          <w:sz w:val="24"/>
          <w:szCs w:val="24"/>
          <w:lang w:eastAsia="pl-PL"/>
        </w:rPr>
        <w:t>wyłączenia grupowych. W tym przypadku chodzi o</w:t>
      </w:r>
      <w:r w:rsidR="00A675EA">
        <w:rPr>
          <w:rFonts w:ascii="Times New Roman" w:eastAsia="Times New Roman" w:hAnsi="Times New Roman" w:cs="Times New Roman"/>
          <w:bCs/>
          <w:sz w:val="24"/>
          <w:szCs w:val="24"/>
          <w:lang w:eastAsia="pl-PL"/>
        </w:rPr>
        <w:t xml:space="preserve"> </w:t>
      </w:r>
      <w:r w:rsidR="003F514B">
        <w:rPr>
          <w:rFonts w:ascii="Times New Roman" w:eastAsia="Times New Roman" w:hAnsi="Times New Roman" w:cs="Times New Roman"/>
          <w:bCs/>
          <w:sz w:val="24"/>
          <w:szCs w:val="24"/>
          <w:lang w:eastAsia="pl-PL"/>
        </w:rPr>
        <w:t>rozporządzenie Komisji (UE) nr </w:t>
      </w:r>
      <w:r w:rsidRPr="00E34E37">
        <w:rPr>
          <w:rFonts w:ascii="Times New Roman" w:eastAsia="Times New Roman" w:hAnsi="Times New Roman" w:cs="Times New Roman"/>
          <w:bCs/>
          <w:sz w:val="24"/>
          <w:szCs w:val="24"/>
          <w:lang w:eastAsia="pl-PL"/>
        </w:rPr>
        <w:t>651/2014 z dnia 17 czerwca 2014 r. uznające niek</w:t>
      </w:r>
      <w:r w:rsidR="003F514B">
        <w:rPr>
          <w:rFonts w:ascii="Times New Roman" w:eastAsia="Times New Roman" w:hAnsi="Times New Roman" w:cs="Times New Roman"/>
          <w:bCs/>
          <w:sz w:val="24"/>
          <w:szCs w:val="24"/>
          <w:lang w:eastAsia="pl-PL"/>
        </w:rPr>
        <w:t>tóre rodzaje pomocy za zgodne z </w:t>
      </w:r>
      <w:r w:rsidRPr="00E34E37">
        <w:rPr>
          <w:rFonts w:ascii="Times New Roman" w:eastAsia="Times New Roman" w:hAnsi="Times New Roman" w:cs="Times New Roman"/>
          <w:bCs/>
          <w:sz w:val="24"/>
          <w:szCs w:val="24"/>
          <w:lang w:eastAsia="pl-PL"/>
        </w:rPr>
        <w:t>rynkiem wewnętrznym w zastosowaniu art. 107 i 108 TFUE (Dz. Urz</w:t>
      </w:r>
      <w:r w:rsidR="003F514B">
        <w:rPr>
          <w:rFonts w:ascii="Times New Roman" w:eastAsia="Times New Roman" w:hAnsi="Times New Roman" w:cs="Times New Roman"/>
          <w:bCs/>
          <w:sz w:val="24"/>
          <w:szCs w:val="24"/>
          <w:lang w:eastAsia="pl-PL"/>
        </w:rPr>
        <w:t>. UE L </w:t>
      </w:r>
      <w:r w:rsidRPr="00E34E37">
        <w:rPr>
          <w:rFonts w:ascii="Times New Roman" w:eastAsia="Times New Roman" w:hAnsi="Times New Roman" w:cs="Times New Roman"/>
          <w:bCs/>
          <w:sz w:val="24"/>
          <w:szCs w:val="24"/>
          <w:lang w:eastAsia="pl-PL"/>
        </w:rPr>
        <w:t>18</w:t>
      </w:r>
      <w:r w:rsidR="003F514B">
        <w:rPr>
          <w:rFonts w:ascii="Times New Roman" w:eastAsia="Times New Roman" w:hAnsi="Times New Roman" w:cs="Times New Roman"/>
          <w:bCs/>
          <w:sz w:val="24"/>
          <w:szCs w:val="24"/>
          <w:lang w:eastAsia="pl-PL"/>
        </w:rPr>
        <w:t>7 z </w:t>
      </w:r>
      <w:r w:rsidR="002E441B">
        <w:rPr>
          <w:rFonts w:ascii="Times New Roman" w:eastAsia="Times New Roman" w:hAnsi="Times New Roman" w:cs="Times New Roman"/>
          <w:bCs/>
          <w:sz w:val="24"/>
          <w:szCs w:val="24"/>
          <w:lang w:eastAsia="pl-PL"/>
        </w:rPr>
        <w:t>26.06.2014, str. 1, z późn. </w:t>
      </w:r>
      <w:r w:rsidRPr="00E34E37">
        <w:rPr>
          <w:rFonts w:ascii="Times New Roman" w:eastAsia="Times New Roman" w:hAnsi="Times New Roman" w:cs="Times New Roman"/>
          <w:bCs/>
          <w:sz w:val="24"/>
          <w:szCs w:val="24"/>
          <w:lang w:eastAsia="pl-PL"/>
        </w:rPr>
        <w:t>zm.). W tej sytuacji konieczne jest jedynie poinformowanie KE o rozpoczęciu udzielania pomocy zgodnie z tym rozporządzeniem.</w:t>
      </w:r>
    </w:p>
    <w:p w14:paraId="2D3C671A" w14:textId="34EE56E7"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 xml:space="preserve">Natomiast dotacje na rzecz CP „Bolko” i KS „Machów” nie stanowią pomocy publicznej w rozumieniu art. 107 ust. 1 TFUE (decyzja Komisji Europejskiej z dnia 15 października 2014 r. (C(2014) 7283 final) w sprawie pomocy państwa nr SA.37609 (2013/N) </w:t>
      </w:r>
      <w:r w:rsidR="00DD5BD0">
        <w:rPr>
          <w:rFonts w:ascii="Times New Roman" w:eastAsia="Times New Roman" w:hAnsi="Times New Roman" w:cs="Times New Roman"/>
          <w:bCs/>
          <w:sz w:val="24"/>
          <w:szCs w:val="24"/>
          <w:lang w:eastAsia="pl-PL"/>
        </w:rPr>
        <w:t>–</w:t>
      </w:r>
      <w:r w:rsidRPr="00E34E37">
        <w:rPr>
          <w:rFonts w:ascii="Times New Roman" w:eastAsia="Times New Roman" w:hAnsi="Times New Roman" w:cs="Times New Roman"/>
          <w:bCs/>
          <w:sz w:val="24"/>
          <w:szCs w:val="24"/>
          <w:lang w:eastAsia="pl-PL"/>
        </w:rPr>
        <w:t xml:space="preserve"> Polska </w:t>
      </w:r>
      <w:r w:rsidR="00DD5BD0">
        <w:rPr>
          <w:rFonts w:ascii="Times New Roman" w:eastAsia="Times New Roman" w:hAnsi="Times New Roman" w:cs="Times New Roman"/>
          <w:bCs/>
          <w:sz w:val="24"/>
          <w:szCs w:val="24"/>
          <w:lang w:eastAsia="pl-PL"/>
        </w:rPr>
        <w:t>–</w:t>
      </w:r>
      <w:r w:rsidRPr="00E34E37">
        <w:rPr>
          <w:rFonts w:ascii="Times New Roman" w:eastAsia="Times New Roman" w:hAnsi="Times New Roman" w:cs="Times New Roman"/>
          <w:bCs/>
          <w:sz w:val="24"/>
          <w:szCs w:val="24"/>
          <w:lang w:eastAsia="pl-PL"/>
        </w:rPr>
        <w:t xml:space="preserve"> Pomoc dla prac odwadniających w szybach zlikwidowanych kopalni na terenie Niecki Bytomskiej oraz p</w:t>
      </w:r>
      <w:r w:rsidR="003F514B">
        <w:rPr>
          <w:rFonts w:ascii="Times New Roman" w:eastAsia="Times New Roman" w:hAnsi="Times New Roman" w:cs="Times New Roman"/>
          <w:bCs/>
          <w:sz w:val="24"/>
          <w:szCs w:val="24"/>
          <w:lang w:eastAsia="pl-PL"/>
        </w:rPr>
        <w:t>ismo KE z dnia 15 stycznia 2018 </w:t>
      </w:r>
      <w:r w:rsidRPr="00E34E37">
        <w:rPr>
          <w:rFonts w:ascii="Times New Roman" w:eastAsia="Times New Roman" w:hAnsi="Times New Roman" w:cs="Times New Roman"/>
          <w:bCs/>
          <w:sz w:val="24"/>
          <w:szCs w:val="24"/>
          <w:lang w:eastAsia="pl-PL"/>
        </w:rPr>
        <w:t xml:space="preserve">r. dotycząca sprawy SA.48607 (2017/N) </w:t>
      </w:r>
      <w:r w:rsidR="00DD5BD0">
        <w:rPr>
          <w:rFonts w:ascii="Times New Roman" w:eastAsia="Times New Roman" w:hAnsi="Times New Roman" w:cs="Times New Roman"/>
          <w:bCs/>
          <w:sz w:val="24"/>
          <w:szCs w:val="24"/>
          <w:lang w:eastAsia="pl-PL"/>
        </w:rPr>
        <w:t>–</w:t>
      </w:r>
      <w:r w:rsidRPr="00E34E37">
        <w:rPr>
          <w:rFonts w:ascii="Times New Roman" w:eastAsia="Times New Roman" w:hAnsi="Times New Roman" w:cs="Times New Roman"/>
          <w:bCs/>
          <w:sz w:val="24"/>
          <w:szCs w:val="24"/>
          <w:lang w:eastAsia="pl-PL"/>
        </w:rPr>
        <w:t xml:space="preserve"> Dotacja na rzecz Kopalnia Siarki „Machów” S.A. w likwidacji w</w:t>
      </w:r>
      <w:r w:rsidR="00A675EA">
        <w:rPr>
          <w:rFonts w:ascii="Times New Roman" w:eastAsia="Times New Roman" w:hAnsi="Times New Roman" w:cs="Times New Roman"/>
          <w:bCs/>
          <w:sz w:val="24"/>
          <w:szCs w:val="24"/>
          <w:lang w:eastAsia="pl-PL"/>
        </w:rPr>
        <w:t xml:space="preserve"> </w:t>
      </w:r>
      <w:r w:rsidRPr="00E34E37">
        <w:rPr>
          <w:rFonts w:ascii="Times New Roman" w:eastAsia="Times New Roman" w:hAnsi="Times New Roman" w:cs="Times New Roman"/>
          <w:bCs/>
          <w:sz w:val="24"/>
          <w:szCs w:val="24"/>
          <w:lang w:eastAsia="pl-PL"/>
        </w:rPr>
        <w:t xml:space="preserve">Tarnobrzegu). Biorąc pod uwagę fakt, że w przypadku CP „Bolko” nie zmienia się zakres zadań, a jedynie podmiot je realizujący, jak również fakt, że na SRK S.A., podobnie jak na CP „Bolko”, nie ciąży obowiązek, wg przepisów prawa </w:t>
      </w:r>
      <w:r w:rsidRPr="00E34E37">
        <w:rPr>
          <w:rFonts w:ascii="Times New Roman" w:eastAsia="Times New Roman" w:hAnsi="Times New Roman" w:cs="Times New Roman"/>
          <w:bCs/>
          <w:sz w:val="24"/>
          <w:szCs w:val="24"/>
          <w:lang w:eastAsia="pl-PL"/>
        </w:rPr>
        <w:lastRenderedPageBreak/>
        <w:t>geologicznego i górniczego, zabezpieczenia kopalń sąsiednich przed zagrożeniem wodnym, gdyż nie prowadziły one na tym obszarze działalności gospodarczej polegającej na eksploatacji złóż, w ocenie projektodawcy nie jest konieczne notyfikowanie Komisji Europejskiej przedmiotowej zmiany.</w:t>
      </w:r>
    </w:p>
    <w:p w14:paraId="014C11A3" w14:textId="37D7D846"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E34E37">
        <w:rPr>
          <w:rFonts w:ascii="Times New Roman" w:eastAsia="Times New Roman" w:hAnsi="Times New Roman" w:cs="Times New Roman"/>
          <w:sz w:val="24"/>
          <w:szCs w:val="24"/>
          <w:lang w:eastAsia="pl-PL"/>
        </w:rPr>
        <w:t>Projekt nie będzie podlegał notyfikacji zgodnie z r</w:t>
      </w:r>
      <w:r w:rsidR="003F514B">
        <w:rPr>
          <w:rFonts w:ascii="Times New Roman" w:eastAsia="Times New Roman" w:hAnsi="Times New Roman" w:cs="Times New Roman"/>
          <w:sz w:val="24"/>
          <w:szCs w:val="24"/>
          <w:lang w:eastAsia="pl-PL"/>
        </w:rPr>
        <w:t>ozporządzeniem Rady Ministrów z </w:t>
      </w:r>
      <w:r w:rsidRPr="00E34E37">
        <w:rPr>
          <w:rFonts w:ascii="Times New Roman" w:eastAsia="Times New Roman" w:hAnsi="Times New Roman" w:cs="Times New Roman"/>
          <w:sz w:val="24"/>
          <w:szCs w:val="24"/>
          <w:lang w:eastAsia="pl-PL"/>
        </w:rPr>
        <w:t>dnia 23 grudnia 2002 r. w sprawie sposobu funkcjonowania krajowego systemu notyfikacji norm i</w:t>
      </w:r>
      <w:r w:rsidR="00A675EA">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aktów prawnych (Dz. U. poz. 2039, z późn.</w:t>
      </w:r>
      <w:r w:rsidR="002E441B">
        <w:rPr>
          <w:rFonts w:ascii="Times New Roman" w:eastAsia="Times New Roman" w:hAnsi="Times New Roman" w:cs="Times New Roman"/>
          <w:sz w:val="24"/>
          <w:szCs w:val="24"/>
          <w:lang w:eastAsia="pl-PL"/>
        </w:rPr>
        <w:t xml:space="preserve"> </w:t>
      </w:r>
      <w:r w:rsidRPr="00E34E37">
        <w:rPr>
          <w:rFonts w:ascii="Times New Roman" w:eastAsia="Times New Roman" w:hAnsi="Times New Roman" w:cs="Times New Roman"/>
          <w:sz w:val="24"/>
          <w:szCs w:val="24"/>
          <w:lang w:eastAsia="pl-PL"/>
        </w:rPr>
        <w:t>zm.).</w:t>
      </w:r>
    </w:p>
    <w:p w14:paraId="5E4D4EBD" w14:textId="507999A3" w:rsidR="00CD1D86" w:rsidRPr="00E34E37" w:rsidRDefault="00CD1D86" w:rsidP="00E34E37">
      <w:pPr>
        <w:tabs>
          <w:tab w:val="left" w:pos="426"/>
        </w:tabs>
        <w:suppressAutoHyphens/>
        <w:autoSpaceDE w:val="0"/>
        <w:autoSpaceDN w:val="0"/>
        <w:adjustRightInd w:val="0"/>
        <w:spacing w:before="240" w:after="0" w:line="360" w:lineRule="auto"/>
        <w:jc w:val="both"/>
        <w:rPr>
          <w:rFonts w:ascii="Times New Roman" w:eastAsia="Times New Roman" w:hAnsi="Times New Roman" w:cs="Times New Roman"/>
          <w:b/>
          <w:bCs/>
          <w:sz w:val="24"/>
          <w:szCs w:val="24"/>
          <w:lang w:eastAsia="pl-PL"/>
        </w:rPr>
      </w:pPr>
      <w:r w:rsidRPr="00E34E37">
        <w:rPr>
          <w:rFonts w:ascii="Times New Roman" w:eastAsia="Times New Roman" w:hAnsi="Times New Roman" w:cs="Times New Roman"/>
          <w:b/>
          <w:bCs/>
          <w:sz w:val="24"/>
          <w:szCs w:val="24"/>
          <w:lang w:eastAsia="pl-PL"/>
        </w:rPr>
        <w:t>5.</w:t>
      </w:r>
      <w:r w:rsidR="00A675EA">
        <w:rPr>
          <w:rFonts w:ascii="Times New Roman" w:eastAsia="Times New Roman" w:hAnsi="Times New Roman" w:cs="Times New Roman"/>
          <w:b/>
          <w:bCs/>
          <w:sz w:val="24"/>
          <w:szCs w:val="24"/>
          <w:lang w:eastAsia="pl-PL"/>
        </w:rPr>
        <w:tab/>
      </w:r>
      <w:r w:rsidRPr="00E34E37">
        <w:rPr>
          <w:rFonts w:ascii="Times New Roman" w:eastAsia="Times New Roman" w:hAnsi="Times New Roman" w:cs="Times New Roman"/>
          <w:b/>
          <w:bCs/>
          <w:sz w:val="24"/>
          <w:szCs w:val="24"/>
          <w:lang w:eastAsia="pl-PL"/>
        </w:rPr>
        <w:t>Konsultacje publiczne</w:t>
      </w:r>
    </w:p>
    <w:p w14:paraId="56D28F2A" w14:textId="3AD84BE4"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Projekt ustawy nie podlegał konsultacjom publicznym, gdyż dokonywane zmiany w</w:t>
      </w:r>
      <w:r w:rsidR="003F514B">
        <w:rPr>
          <w:rFonts w:ascii="Times New Roman" w:eastAsia="Times New Roman" w:hAnsi="Times New Roman" w:cs="Times New Roman"/>
          <w:bCs/>
          <w:sz w:val="24"/>
          <w:szCs w:val="24"/>
          <w:lang w:eastAsia="pl-PL"/>
        </w:rPr>
        <w:t> </w:t>
      </w:r>
      <w:r w:rsidRPr="00E34E37">
        <w:rPr>
          <w:rFonts w:ascii="Times New Roman" w:eastAsia="Times New Roman" w:hAnsi="Times New Roman" w:cs="Times New Roman"/>
          <w:bCs/>
          <w:sz w:val="24"/>
          <w:szCs w:val="24"/>
          <w:lang w:eastAsia="pl-PL"/>
        </w:rPr>
        <w:t>ustawie umożliwiają kontynuowanie zadań i działań na zasadach wcześniej obowiązujących. Biorąc powyższe pod uwagę, przeprowadzono wyłącznie uzgodnienia międzyresortowe.</w:t>
      </w:r>
    </w:p>
    <w:p w14:paraId="66CB0FC7" w14:textId="77777777"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Projektowana zmiana ustawy została zamieszczona w Biuletynie Informacji Publicznej Rządowego Centrum Legislacji i na stronie internetowej oraz Biuletynie Informacji Publicznej Ministerstwa Aktywów Państwowych.</w:t>
      </w:r>
    </w:p>
    <w:p w14:paraId="1729371D" w14:textId="77777777" w:rsidR="00CD1D86" w:rsidRPr="00E34E37" w:rsidRDefault="00CD1D86" w:rsidP="00E34E37">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E34E37">
        <w:rPr>
          <w:rFonts w:ascii="Times New Roman" w:eastAsia="Times New Roman" w:hAnsi="Times New Roman" w:cs="Times New Roman"/>
          <w:bCs/>
          <w:sz w:val="24"/>
          <w:szCs w:val="24"/>
          <w:lang w:eastAsia="pl-PL"/>
        </w:rPr>
        <w:t>W odniesieniu do ww. ustawy nie było podmiotów, które zgłosiły zainteresowanie pracami nad projektem w trybie przepisów o działalności lobbingowej w procesie stanowienia prawa.</w:t>
      </w:r>
    </w:p>
    <w:p w14:paraId="4AB7A826" w14:textId="5536D21B" w:rsidR="00A6317B" w:rsidRPr="00E34E37" w:rsidRDefault="00CD1D86" w:rsidP="00E34E37">
      <w:pPr>
        <w:spacing w:before="120" w:after="0" w:line="360" w:lineRule="auto"/>
        <w:rPr>
          <w:rFonts w:ascii="Times New Roman" w:hAnsi="Times New Roman" w:cs="Times New Roman"/>
          <w:sz w:val="24"/>
          <w:szCs w:val="24"/>
        </w:rPr>
      </w:pPr>
      <w:r w:rsidRPr="00E34E37">
        <w:rPr>
          <w:rFonts w:ascii="Times New Roman" w:eastAsia="Times New Roman" w:hAnsi="Times New Roman" w:cs="Times New Roman"/>
          <w:sz w:val="24"/>
          <w:szCs w:val="24"/>
          <w:lang w:eastAsia="pl-PL"/>
        </w:rPr>
        <w:t xml:space="preserve">Projektowana regulacja nie </w:t>
      </w:r>
      <w:r w:rsidR="00371285">
        <w:rPr>
          <w:rFonts w:ascii="Times New Roman" w:eastAsia="Times New Roman" w:hAnsi="Times New Roman" w:cs="Times New Roman"/>
          <w:sz w:val="24"/>
          <w:szCs w:val="24"/>
          <w:lang w:eastAsia="pl-PL"/>
        </w:rPr>
        <w:t>będzie wywierać wpływu na mikro</w:t>
      </w:r>
      <w:r w:rsidRPr="00E34E37">
        <w:rPr>
          <w:rFonts w:ascii="Times New Roman" w:eastAsia="Times New Roman" w:hAnsi="Times New Roman" w:cs="Times New Roman"/>
          <w:sz w:val="24"/>
          <w:szCs w:val="24"/>
          <w:lang w:eastAsia="pl-PL"/>
        </w:rPr>
        <w:t>, małych i średnich przedsiębiorców.</w:t>
      </w:r>
      <w:bookmarkStart w:id="2" w:name="ezdPracownikAtrybut2"/>
      <w:bookmarkEnd w:id="2"/>
    </w:p>
    <w:sectPr w:rsidR="00A6317B" w:rsidRPr="00E34E37" w:rsidSect="00BB2B99">
      <w:headerReference w:type="default" r:id="rId10"/>
      <w:footerReference w:type="default" r:id="rId11"/>
      <w:footnotePr>
        <w:numRestart w:val="eachSect"/>
      </w:footnotePr>
      <w:pgSz w:w="11906" w:h="16838"/>
      <w:pgMar w:top="1588" w:right="1418" w:bottom="1134"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ED08A" w14:textId="77777777" w:rsidR="00DE5293" w:rsidRDefault="00DE5293" w:rsidP="00656E76">
      <w:pPr>
        <w:spacing w:after="0" w:line="240" w:lineRule="auto"/>
      </w:pPr>
      <w:r>
        <w:separator/>
      </w:r>
    </w:p>
  </w:endnote>
  <w:endnote w:type="continuationSeparator" w:id="0">
    <w:p w14:paraId="341A9606" w14:textId="77777777" w:rsidR="00DE5293" w:rsidRDefault="00DE5293" w:rsidP="00656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405318"/>
      <w:docPartObj>
        <w:docPartGallery w:val="Page Numbers (Bottom of Page)"/>
        <w:docPartUnique/>
      </w:docPartObj>
    </w:sdtPr>
    <w:sdtEndPr/>
    <w:sdtContent>
      <w:p w14:paraId="6089BA00" w14:textId="08D6E56E" w:rsidR="00656E76" w:rsidRDefault="00656E76">
        <w:pPr>
          <w:pStyle w:val="Stopka"/>
          <w:jc w:val="center"/>
        </w:pPr>
        <w:r>
          <w:fldChar w:fldCharType="begin"/>
        </w:r>
        <w:r>
          <w:instrText>PAGE   \* MERGEFORMAT</w:instrText>
        </w:r>
        <w:r>
          <w:fldChar w:fldCharType="separate"/>
        </w:r>
        <w:r w:rsidR="00AB3C5C">
          <w:rPr>
            <w:noProof/>
          </w:rPr>
          <w:t>2</w:t>
        </w:r>
        <w:r>
          <w:fldChar w:fldCharType="end"/>
        </w:r>
      </w:p>
    </w:sdtContent>
  </w:sdt>
  <w:p w14:paraId="1EB16B04" w14:textId="77777777" w:rsidR="00656E76" w:rsidRDefault="00656E76" w:rsidP="00A675E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8CDD4" w14:textId="77777777" w:rsidR="00DE5293" w:rsidRDefault="00DE5293" w:rsidP="00656E76">
      <w:pPr>
        <w:spacing w:after="0" w:line="240" w:lineRule="auto"/>
      </w:pPr>
      <w:r>
        <w:separator/>
      </w:r>
    </w:p>
  </w:footnote>
  <w:footnote w:type="continuationSeparator" w:id="0">
    <w:p w14:paraId="666664D3" w14:textId="77777777" w:rsidR="00DE5293" w:rsidRDefault="00DE5293" w:rsidP="00656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8C1D8" w14:textId="21652E32" w:rsidR="009A2CCA" w:rsidRPr="00B371CC" w:rsidRDefault="00AB3C5C" w:rsidP="00B371C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B2536"/>
    <w:multiLevelType w:val="hybridMultilevel"/>
    <w:tmpl w:val="7180AFF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86"/>
    <w:rsid w:val="0003730A"/>
    <w:rsid w:val="000C1A44"/>
    <w:rsid w:val="000C4D19"/>
    <w:rsid w:val="000E23EE"/>
    <w:rsid w:val="001535F6"/>
    <w:rsid w:val="001C4B99"/>
    <w:rsid w:val="00201765"/>
    <w:rsid w:val="0020716C"/>
    <w:rsid w:val="002A5C06"/>
    <w:rsid w:val="002E441B"/>
    <w:rsid w:val="00307642"/>
    <w:rsid w:val="00351EB1"/>
    <w:rsid w:val="00357A85"/>
    <w:rsid w:val="0036254E"/>
    <w:rsid w:val="00371285"/>
    <w:rsid w:val="00380AB8"/>
    <w:rsid w:val="003F514B"/>
    <w:rsid w:val="00434F55"/>
    <w:rsid w:val="00461FFD"/>
    <w:rsid w:val="004C53D0"/>
    <w:rsid w:val="0050299A"/>
    <w:rsid w:val="00590241"/>
    <w:rsid w:val="005930CD"/>
    <w:rsid w:val="005A11C4"/>
    <w:rsid w:val="005D40B6"/>
    <w:rsid w:val="00625075"/>
    <w:rsid w:val="00656E76"/>
    <w:rsid w:val="006E2D75"/>
    <w:rsid w:val="00717A2F"/>
    <w:rsid w:val="007821B5"/>
    <w:rsid w:val="007B68CB"/>
    <w:rsid w:val="007D0935"/>
    <w:rsid w:val="00851D7C"/>
    <w:rsid w:val="00876529"/>
    <w:rsid w:val="0092110A"/>
    <w:rsid w:val="00941A80"/>
    <w:rsid w:val="00966481"/>
    <w:rsid w:val="009A44DF"/>
    <w:rsid w:val="009F080F"/>
    <w:rsid w:val="00A629E5"/>
    <w:rsid w:val="00A6317B"/>
    <w:rsid w:val="00A675EA"/>
    <w:rsid w:val="00A80384"/>
    <w:rsid w:val="00AB105B"/>
    <w:rsid w:val="00AB399F"/>
    <w:rsid w:val="00AB3C5C"/>
    <w:rsid w:val="00B23452"/>
    <w:rsid w:val="00B250AB"/>
    <w:rsid w:val="00BB2B99"/>
    <w:rsid w:val="00CA4222"/>
    <w:rsid w:val="00CA7261"/>
    <w:rsid w:val="00CB6D3C"/>
    <w:rsid w:val="00CD1D86"/>
    <w:rsid w:val="00D21027"/>
    <w:rsid w:val="00D615DA"/>
    <w:rsid w:val="00D715E6"/>
    <w:rsid w:val="00DD5BD0"/>
    <w:rsid w:val="00DE5293"/>
    <w:rsid w:val="00E00651"/>
    <w:rsid w:val="00E33D6D"/>
    <w:rsid w:val="00E34E37"/>
    <w:rsid w:val="00F36456"/>
    <w:rsid w:val="00F57A7E"/>
    <w:rsid w:val="00FD42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EFC54A"/>
  <w15:docId w15:val="{458D7A7F-6D00-4E08-9798-1AA6B428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CD1D86"/>
    <w:pPr>
      <w:keepNext/>
      <w:keepLines/>
      <w:spacing w:before="240" w:after="0"/>
      <w:outlineLvl w:val="0"/>
    </w:pPr>
    <w:rPr>
      <w:rFonts w:ascii="Cambria" w:eastAsia="Times New Roman" w:hAnsi="Cambria" w:cs="Times New Roman"/>
      <w:b/>
      <w:bCs/>
      <w:color w:val="365F91"/>
      <w:kern w:val="1"/>
      <w:sz w:val="28"/>
      <w:szCs w:val="28"/>
      <w:lang w:eastAsia="ar-SA"/>
    </w:rPr>
  </w:style>
  <w:style w:type="paragraph" w:styleId="Nagwek3">
    <w:name w:val="heading 3"/>
    <w:basedOn w:val="Normalny"/>
    <w:next w:val="Normalny"/>
    <w:link w:val="Nagwek3Znak"/>
    <w:uiPriority w:val="99"/>
    <w:semiHidden/>
    <w:unhideWhenUsed/>
    <w:qFormat/>
    <w:rsid w:val="00CD1D86"/>
    <w:pPr>
      <w:keepNext/>
      <w:keepLines/>
      <w:spacing w:before="40" w:after="0"/>
      <w:outlineLvl w:val="2"/>
    </w:pPr>
    <w:rPr>
      <w:rFonts w:ascii="Cambria" w:eastAsia="Times New Roman" w:hAnsi="Cambria" w:cs="Times New Roman"/>
      <w:b/>
      <w:bCs/>
      <w:color w:val="4F81BD"/>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9"/>
    <w:semiHidden/>
    <w:rsid w:val="00CD1D86"/>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paragraph" w:customStyle="1" w:styleId="Nagwek31">
    <w:name w:val="Nagłówek 31"/>
    <w:basedOn w:val="Normalny"/>
    <w:next w:val="Normalny"/>
    <w:uiPriority w:val="99"/>
    <w:semiHidden/>
    <w:unhideWhenUsed/>
    <w:qFormat/>
    <w:rsid w:val="00CD1D86"/>
    <w:pPr>
      <w:keepNext/>
      <w:keepLines/>
      <w:widowControl w:val="0"/>
      <w:autoSpaceDE w:val="0"/>
      <w:autoSpaceDN w:val="0"/>
      <w:adjustRightInd w:val="0"/>
      <w:spacing w:before="200" w:after="0" w:line="360" w:lineRule="auto"/>
      <w:outlineLvl w:val="2"/>
    </w:pPr>
    <w:rPr>
      <w:rFonts w:ascii="Cambria" w:eastAsia="Times New Roman" w:hAnsi="Cambria" w:cs="Times New Roman"/>
      <w:b/>
      <w:bCs/>
      <w:color w:val="4F81BD"/>
      <w:sz w:val="24"/>
      <w:szCs w:val="20"/>
      <w:lang w:eastAsia="pl-PL"/>
    </w:rPr>
  </w:style>
  <w:style w:type="numbering" w:customStyle="1" w:styleId="Bezlisty1">
    <w:name w:val="Bez listy1"/>
    <w:next w:val="Bezlisty"/>
    <w:uiPriority w:val="99"/>
    <w:semiHidden/>
    <w:unhideWhenUsed/>
    <w:rsid w:val="00CD1D86"/>
  </w:style>
  <w:style w:type="paragraph" w:customStyle="1" w:styleId="ZLITwPKTzmlitwpktartykuempunktem">
    <w:name w:val="Z/LIT_w_PKT – zm. lit. w pkt artykułem (punktem)"/>
    <w:basedOn w:val="LITlitera"/>
    <w:uiPriority w:val="32"/>
    <w:qFormat/>
    <w:rsid w:val="00CD1D86"/>
    <w:pPr>
      <w:ind w:left="1497"/>
    </w:pPr>
  </w:style>
  <w:style w:type="paragraph" w:customStyle="1" w:styleId="ZTIRwPKTzmtirwpktartykuempunktem">
    <w:name w:val="Z/TIR_w_PKT – zm. tir. w pkt artykułem (punktem)"/>
    <w:basedOn w:val="TIRtiret"/>
    <w:uiPriority w:val="33"/>
    <w:qFormat/>
    <w:rsid w:val="00CD1D8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D1D86"/>
    <w:pPr>
      <w:ind w:left="1021"/>
    </w:pPr>
  </w:style>
  <w:style w:type="paragraph" w:customStyle="1" w:styleId="2TIRpodwjnytiret">
    <w:name w:val="2TIR – podwójny tiret"/>
    <w:basedOn w:val="TIRtiret"/>
    <w:uiPriority w:val="73"/>
    <w:qFormat/>
    <w:rsid w:val="00CD1D86"/>
    <w:pPr>
      <w:ind w:left="1780"/>
    </w:pPr>
  </w:style>
  <w:style w:type="character" w:styleId="Odwoanieprzypisudolnego">
    <w:name w:val="footnote reference"/>
    <w:uiPriority w:val="99"/>
    <w:semiHidden/>
    <w:rsid w:val="00CD1D86"/>
    <w:rPr>
      <w:rFonts w:cs="Times New Roman"/>
      <w:vertAlign w:val="superscript"/>
    </w:rPr>
  </w:style>
  <w:style w:type="paragraph" w:styleId="Nagwek">
    <w:name w:val="header"/>
    <w:basedOn w:val="Normalny"/>
    <w:link w:val="NagwekZnak"/>
    <w:uiPriority w:val="99"/>
    <w:semiHidden/>
    <w:rsid w:val="00CD1D86"/>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CD1D86"/>
    <w:rPr>
      <w:rFonts w:ascii="Times" w:eastAsia="Times New Roman" w:hAnsi="Times" w:cs="Times New Roman"/>
      <w:kern w:val="1"/>
      <w:sz w:val="24"/>
      <w:szCs w:val="24"/>
      <w:lang w:eastAsia="ar-SA"/>
    </w:rPr>
  </w:style>
  <w:style w:type="paragraph" w:styleId="Stopka">
    <w:name w:val="footer"/>
    <w:basedOn w:val="Normalny"/>
    <w:link w:val="StopkaZnak"/>
    <w:uiPriority w:val="99"/>
    <w:rsid w:val="00CD1D86"/>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CD1D86"/>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CD1D86"/>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CD1D86"/>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CD1D86"/>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D1D86"/>
    <w:pPr>
      <w:ind w:left="1497"/>
    </w:pPr>
  </w:style>
  <w:style w:type="paragraph" w:customStyle="1" w:styleId="ZTIRwLITzmtirwlitartykuempunktem">
    <w:name w:val="Z/TIR_w_LIT – zm. tir. w lit. artykułem (punktem)"/>
    <w:basedOn w:val="TIRtiret"/>
    <w:uiPriority w:val="33"/>
    <w:qFormat/>
    <w:rsid w:val="00CD1D8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D1D86"/>
  </w:style>
  <w:style w:type="character" w:customStyle="1" w:styleId="Nagwek1Znak">
    <w:name w:val="Nagłówek 1 Znak"/>
    <w:basedOn w:val="Domylnaczcionkaakapitu"/>
    <w:link w:val="Nagwek1"/>
    <w:uiPriority w:val="99"/>
    <w:semiHidden/>
    <w:rsid w:val="00CD1D86"/>
    <w:rPr>
      <w:rFonts w:ascii="Cambria" w:eastAsia="Times New Roman" w:hAnsi="Cambria" w:cs="Times New Roman"/>
      <w:b/>
      <w:bCs/>
      <w:color w:val="365F91"/>
      <w:kern w:val="1"/>
      <w:sz w:val="28"/>
      <w:szCs w:val="28"/>
      <w:lang w:eastAsia="ar-SA"/>
    </w:rPr>
  </w:style>
  <w:style w:type="paragraph" w:styleId="Bezodstpw">
    <w:name w:val="No Spacing"/>
    <w:uiPriority w:val="99"/>
    <w:rsid w:val="00CD1D86"/>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CD1D86"/>
    <w:pPr>
      <w:ind w:left="1020"/>
    </w:pPr>
  </w:style>
  <w:style w:type="paragraph" w:customStyle="1" w:styleId="ZARTzmartartykuempunktem">
    <w:name w:val="Z/ART(§) – zm. art. (§) artykułem (punktem)"/>
    <w:basedOn w:val="ARTartustawynprozporzdzenia"/>
    <w:uiPriority w:val="30"/>
    <w:qFormat/>
    <w:rsid w:val="00CD1D8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CD1D86"/>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CD1D86"/>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CD1D86"/>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D1D86"/>
    <w:rPr>
      <w:bCs/>
    </w:rPr>
  </w:style>
  <w:style w:type="paragraph" w:customStyle="1" w:styleId="OZNRODZAKTUtznustawalubrozporzdzenieiorganwydajcy">
    <w:name w:val="OZN_RODZ_AKTU – tzn. ustawa lub rozporządzenie i organ wydający"/>
    <w:next w:val="DATAAKTUdatauchwalenialubwydaniaaktu"/>
    <w:uiPriority w:val="5"/>
    <w:qFormat/>
    <w:rsid w:val="00CD1D86"/>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CD1D86"/>
    <w:pPr>
      <w:spacing w:before="0"/>
    </w:pPr>
    <w:rPr>
      <w:bCs/>
    </w:rPr>
  </w:style>
  <w:style w:type="paragraph" w:customStyle="1" w:styleId="PKTpunkt">
    <w:name w:val="PKT – punkt"/>
    <w:uiPriority w:val="13"/>
    <w:qFormat/>
    <w:rsid w:val="00CD1D86"/>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CD1D86"/>
    <w:pPr>
      <w:ind w:left="0" w:firstLine="0"/>
    </w:pPr>
  </w:style>
  <w:style w:type="paragraph" w:customStyle="1" w:styleId="LITlitera">
    <w:name w:val="LIT – litera"/>
    <w:basedOn w:val="PKTpunkt"/>
    <w:uiPriority w:val="14"/>
    <w:qFormat/>
    <w:rsid w:val="00CD1D86"/>
    <w:pPr>
      <w:ind w:left="986" w:hanging="476"/>
    </w:pPr>
  </w:style>
  <w:style w:type="paragraph" w:customStyle="1" w:styleId="CZWSPLITczwsplnaliter">
    <w:name w:val="CZ_WSP_LIT – część wspólna liter"/>
    <w:basedOn w:val="LITlitera"/>
    <w:next w:val="USTustnpkodeksu"/>
    <w:uiPriority w:val="17"/>
    <w:qFormat/>
    <w:rsid w:val="00CD1D86"/>
    <w:pPr>
      <w:ind w:left="510" w:firstLine="0"/>
    </w:pPr>
    <w:rPr>
      <w:szCs w:val="24"/>
    </w:rPr>
  </w:style>
  <w:style w:type="paragraph" w:customStyle="1" w:styleId="TIRtiret">
    <w:name w:val="TIR – tiret"/>
    <w:basedOn w:val="LITlitera"/>
    <w:uiPriority w:val="15"/>
    <w:qFormat/>
    <w:rsid w:val="00CD1D86"/>
    <w:pPr>
      <w:ind w:left="1384" w:hanging="397"/>
    </w:pPr>
  </w:style>
  <w:style w:type="paragraph" w:customStyle="1" w:styleId="CZWSPTIRczwsplnatiret">
    <w:name w:val="CZ_WSP_TIR – część wspólna tiret"/>
    <w:basedOn w:val="TIRtiret"/>
    <w:next w:val="USTustnpkodeksu"/>
    <w:uiPriority w:val="17"/>
    <w:qFormat/>
    <w:rsid w:val="00CD1D86"/>
    <w:pPr>
      <w:ind w:left="987" w:firstLine="0"/>
    </w:pPr>
  </w:style>
  <w:style w:type="paragraph" w:customStyle="1" w:styleId="CYTcytatnpprzysigi">
    <w:name w:val="CYT – cytat np. przysięgi"/>
    <w:basedOn w:val="USTustnpkodeksu"/>
    <w:next w:val="USTustnpkodeksu"/>
    <w:uiPriority w:val="18"/>
    <w:qFormat/>
    <w:rsid w:val="00CD1D8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D1D86"/>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CD1D86"/>
  </w:style>
  <w:style w:type="paragraph" w:customStyle="1" w:styleId="ZLITCZWSPTIRwLITzmczciwsptirwlitliter">
    <w:name w:val="Z_LIT/CZ_WSP_TIR_w_LIT – zm. części wsp. tir. w lit. literą"/>
    <w:basedOn w:val="CZWSPTIRczwsplnatiret"/>
    <w:next w:val="LITlitera"/>
    <w:uiPriority w:val="51"/>
    <w:qFormat/>
    <w:rsid w:val="00CD1D86"/>
    <w:pPr>
      <w:ind w:left="1463"/>
    </w:pPr>
  </w:style>
  <w:style w:type="paragraph" w:customStyle="1" w:styleId="ZLITTIRwLITzmtirwlitliter">
    <w:name w:val="Z_LIT/TIR_w_LIT – zm. tir. w lit. literą"/>
    <w:basedOn w:val="TIRtiret"/>
    <w:uiPriority w:val="49"/>
    <w:qFormat/>
    <w:rsid w:val="00CD1D86"/>
    <w:pPr>
      <w:ind w:left="1860"/>
    </w:pPr>
  </w:style>
  <w:style w:type="paragraph" w:customStyle="1" w:styleId="TYTDZOZNoznaczenietytuulubdziau">
    <w:name w:val="TYT(DZ)_OZN – oznaczenie tytułu lub działu"/>
    <w:next w:val="Normalny"/>
    <w:uiPriority w:val="9"/>
    <w:qFormat/>
    <w:rsid w:val="00CD1D86"/>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CD1D8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D1D8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D1D86"/>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CD1D8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D1D86"/>
    <w:pPr>
      <w:ind w:left="510"/>
    </w:pPr>
  </w:style>
  <w:style w:type="paragraph" w:customStyle="1" w:styleId="ZZLITzmianazmlit">
    <w:name w:val="ZZ/LIT – zmiana zm. lit."/>
    <w:basedOn w:val="ZZPKTzmianazmpkt"/>
    <w:uiPriority w:val="67"/>
    <w:qFormat/>
    <w:rsid w:val="00CD1D86"/>
    <w:pPr>
      <w:ind w:left="2370" w:hanging="476"/>
    </w:pPr>
  </w:style>
  <w:style w:type="paragraph" w:customStyle="1" w:styleId="ZZTIRzmianazmtir">
    <w:name w:val="ZZ/TIR – zmiana zm. tir."/>
    <w:basedOn w:val="ZZLITzmianazmlit"/>
    <w:uiPriority w:val="67"/>
    <w:qFormat/>
    <w:rsid w:val="00CD1D8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D1D86"/>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CD1D86"/>
    <w:pPr>
      <w:ind w:left="987"/>
    </w:pPr>
  </w:style>
  <w:style w:type="paragraph" w:customStyle="1" w:styleId="ZLITPKTzmpktliter">
    <w:name w:val="Z_LIT/PKT – zm. pkt literą"/>
    <w:basedOn w:val="PKTpunkt"/>
    <w:uiPriority w:val="47"/>
    <w:qFormat/>
    <w:rsid w:val="00CD1D86"/>
    <w:pPr>
      <w:ind w:left="1497"/>
    </w:pPr>
  </w:style>
  <w:style w:type="paragraph" w:customStyle="1" w:styleId="ZZCZWSPPKTzmianazmczciwsppkt">
    <w:name w:val="ZZ/CZ_WSP_PKT – zmiana. zm. części wsp. pkt"/>
    <w:basedOn w:val="ZZARTzmianazmart"/>
    <w:next w:val="ZPKTzmpktartykuempunktem"/>
    <w:uiPriority w:val="68"/>
    <w:qFormat/>
    <w:rsid w:val="00CD1D86"/>
    <w:pPr>
      <w:ind w:firstLine="0"/>
    </w:pPr>
  </w:style>
  <w:style w:type="paragraph" w:customStyle="1" w:styleId="ZLITLITzmlitliter">
    <w:name w:val="Z_LIT/LIT – zm. lit. literą"/>
    <w:basedOn w:val="LITlitera"/>
    <w:uiPriority w:val="48"/>
    <w:qFormat/>
    <w:rsid w:val="00CD1D86"/>
    <w:pPr>
      <w:ind w:left="1463"/>
    </w:pPr>
  </w:style>
  <w:style w:type="paragraph" w:customStyle="1" w:styleId="ZLITCZWSPPKTzmczciwsppktliter">
    <w:name w:val="Z_LIT/CZ_WSP_PKT – zm. części wsp. pkt literą"/>
    <w:basedOn w:val="CZWSPLITczwsplnaliter"/>
    <w:next w:val="LITlitera"/>
    <w:uiPriority w:val="50"/>
    <w:qFormat/>
    <w:rsid w:val="00CD1D86"/>
    <w:pPr>
      <w:ind w:left="987"/>
    </w:pPr>
  </w:style>
  <w:style w:type="paragraph" w:customStyle="1" w:styleId="ZLITTIRzmtirliter">
    <w:name w:val="Z_LIT/TIR – zm. tir. literą"/>
    <w:basedOn w:val="TIRtiret"/>
    <w:uiPriority w:val="49"/>
    <w:qFormat/>
    <w:rsid w:val="00CD1D86"/>
  </w:style>
  <w:style w:type="paragraph" w:customStyle="1" w:styleId="ZZCZWSPLITwPKTzmianazmczciwsplitwpkt">
    <w:name w:val="ZZ/CZ_WSP_LIT_w_PKT – zmiana zm. części wsp. lit. w pkt"/>
    <w:basedOn w:val="ZZLITwPKTzmianazmlitwpkt"/>
    <w:uiPriority w:val="69"/>
    <w:qFormat/>
    <w:rsid w:val="00CD1D86"/>
    <w:pPr>
      <w:ind w:left="2404" w:firstLine="0"/>
    </w:pPr>
  </w:style>
  <w:style w:type="paragraph" w:customStyle="1" w:styleId="ZLITLITwPKTzmlitwpktliter">
    <w:name w:val="Z_LIT/LIT_w_PKT – zm. lit. w pkt literą"/>
    <w:basedOn w:val="LITlitera"/>
    <w:uiPriority w:val="48"/>
    <w:qFormat/>
    <w:rsid w:val="00CD1D86"/>
    <w:pPr>
      <w:ind w:left="1973"/>
    </w:pPr>
  </w:style>
  <w:style w:type="paragraph" w:customStyle="1" w:styleId="ZLITCZWSPLITwPKTzmczciwsplitwpktliter">
    <w:name w:val="Z_LIT/CZ_WSP_LIT_w_PKT – zm. części wsp. lit. w pkt literą"/>
    <w:basedOn w:val="CZWSPLITczwsplnaliter"/>
    <w:next w:val="LITlitera"/>
    <w:uiPriority w:val="51"/>
    <w:qFormat/>
    <w:rsid w:val="00CD1D86"/>
    <w:pPr>
      <w:ind w:left="1497"/>
    </w:pPr>
  </w:style>
  <w:style w:type="paragraph" w:customStyle="1" w:styleId="ZLITTIRwPKTzmtirwpktliter">
    <w:name w:val="Z_LIT/TIR_w_PKT – zm. tir. w pkt literą"/>
    <w:basedOn w:val="TIRtiret"/>
    <w:uiPriority w:val="49"/>
    <w:qFormat/>
    <w:rsid w:val="00CD1D86"/>
    <w:pPr>
      <w:ind w:left="2370"/>
    </w:pPr>
  </w:style>
  <w:style w:type="paragraph" w:customStyle="1" w:styleId="ZLITCZWSPTIRwPKTzmczciwsptirwpktliter">
    <w:name w:val="Z_LIT/CZ_WSP_TIR_w_PKT – zm. części wsp. tir. w pkt literą"/>
    <w:basedOn w:val="CZWSPTIRczwsplnatiret"/>
    <w:next w:val="LITlitera"/>
    <w:uiPriority w:val="51"/>
    <w:qFormat/>
    <w:rsid w:val="00CD1D86"/>
    <w:pPr>
      <w:ind w:left="1973"/>
    </w:pPr>
  </w:style>
  <w:style w:type="paragraph" w:styleId="Tekstprzypisudolnego">
    <w:name w:val="footnote text"/>
    <w:basedOn w:val="Normalny"/>
    <w:link w:val="TekstprzypisudolnegoZnak"/>
    <w:uiPriority w:val="99"/>
    <w:semiHidden/>
    <w:qFormat/>
    <w:rsid w:val="00CD1D86"/>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CD1D86"/>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CD1D86"/>
    <w:pPr>
      <w:ind w:left="1859"/>
    </w:pPr>
  </w:style>
  <w:style w:type="paragraph" w:customStyle="1" w:styleId="ZTIRCZWSPPKTzmczciwsppkttiret">
    <w:name w:val="Z_TIR/CZ_WSP_PKT – zm. części wsp. pkt tiret"/>
    <w:basedOn w:val="CZWSPLITczwsplnaliter"/>
    <w:next w:val="TIRtiret"/>
    <w:uiPriority w:val="58"/>
    <w:qFormat/>
    <w:rsid w:val="00CD1D86"/>
    <w:pPr>
      <w:ind w:left="1383"/>
    </w:pPr>
  </w:style>
  <w:style w:type="paragraph" w:customStyle="1" w:styleId="ZTIRTIRzmtirtiret">
    <w:name w:val="Z_TIR/TIR – zm. tir. tiret"/>
    <w:basedOn w:val="TIRtiret"/>
    <w:uiPriority w:val="57"/>
    <w:qFormat/>
    <w:rsid w:val="00CD1D86"/>
    <w:pPr>
      <w:ind w:left="1780"/>
    </w:pPr>
  </w:style>
  <w:style w:type="paragraph" w:customStyle="1" w:styleId="ZZCZWSPTIRwPKTzmianazmczciwsptirwpkt">
    <w:name w:val="ZZ/CZ_WSP_TIR_w_PKT – zmiana zm. części wsp. tir. w pkt"/>
    <w:basedOn w:val="ZZTIRwPKTzmianazmtirwpkt"/>
    <w:uiPriority w:val="70"/>
    <w:qFormat/>
    <w:rsid w:val="00CD1D86"/>
    <w:pPr>
      <w:ind w:left="2880" w:firstLine="0"/>
    </w:pPr>
  </w:style>
  <w:style w:type="paragraph" w:customStyle="1" w:styleId="ZZTIRwLITzmianazmtirwlit">
    <w:name w:val="ZZ/TIR_w_LIT – zmiana zm. tir. w lit."/>
    <w:basedOn w:val="ZZTIRzmianazmtir"/>
    <w:uiPriority w:val="67"/>
    <w:qFormat/>
    <w:rsid w:val="00CD1D86"/>
    <w:pPr>
      <w:ind w:left="2767"/>
    </w:pPr>
  </w:style>
  <w:style w:type="paragraph" w:customStyle="1" w:styleId="ZTIRTIRwLITzmtirwlittiret">
    <w:name w:val="Z_TIR/TIR_w_LIT – zm. tir. w lit. tiret"/>
    <w:basedOn w:val="TIRtiret"/>
    <w:uiPriority w:val="57"/>
    <w:qFormat/>
    <w:rsid w:val="00CD1D86"/>
    <w:pPr>
      <w:ind w:left="2257"/>
    </w:pPr>
  </w:style>
  <w:style w:type="paragraph" w:customStyle="1" w:styleId="ZTIRCZWSPTIRwLITzmczciwsptirwlittiret">
    <w:name w:val="Z_TIR/CZ_WSP_TIR_w_LIT – zm. części wsp. tir. w lit. tiret"/>
    <w:basedOn w:val="CZWSPTIRczwsplnatiret"/>
    <w:next w:val="TIRtiret"/>
    <w:uiPriority w:val="60"/>
    <w:qFormat/>
    <w:rsid w:val="00CD1D86"/>
    <w:pPr>
      <w:ind w:left="1860"/>
    </w:pPr>
  </w:style>
  <w:style w:type="paragraph" w:customStyle="1" w:styleId="CZWSP2TIRczwsplnapodwjnychtiret">
    <w:name w:val="CZ_WSP_2TIR – część wspólna podwójnych tiret"/>
    <w:basedOn w:val="CZWSPTIRczwsplnatiret"/>
    <w:next w:val="TIRtiret"/>
    <w:uiPriority w:val="73"/>
    <w:qFormat/>
    <w:rsid w:val="00CD1D86"/>
    <w:pPr>
      <w:ind w:left="1780"/>
    </w:pPr>
  </w:style>
  <w:style w:type="paragraph" w:customStyle="1" w:styleId="Z2TIRzmpodwtirartykuempunktem">
    <w:name w:val="Z/2TIR – zm. podw. tir. artykułem (punktem)"/>
    <w:basedOn w:val="TIRtiret"/>
    <w:uiPriority w:val="73"/>
    <w:qFormat/>
    <w:rsid w:val="00CD1D86"/>
    <w:pPr>
      <w:ind w:left="907"/>
    </w:pPr>
  </w:style>
  <w:style w:type="paragraph" w:customStyle="1" w:styleId="ZZCZWSPTIRwLITzmianazmczciwsptirwlit">
    <w:name w:val="ZZ/CZ_WSP_TIR_w_LIT – zmiana zm. części wsp. tir. w lit."/>
    <w:basedOn w:val="ZZTIRwLITzmianazmtirwlit"/>
    <w:uiPriority w:val="70"/>
    <w:qFormat/>
    <w:rsid w:val="00CD1D86"/>
    <w:pPr>
      <w:ind w:left="2370" w:firstLine="0"/>
    </w:pPr>
  </w:style>
  <w:style w:type="paragraph" w:customStyle="1" w:styleId="ZLIT2TIRzmpodwtirliter">
    <w:name w:val="Z_LIT/2TIR – zm. podw. tir. literą"/>
    <w:basedOn w:val="TIRtiret"/>
    <w:uiPriority w:val="75"/>
    <w:qFormat/>
    <w:rsid w:val="00CD1D86"/>
  </w:style>
  <w:style w:type="paragraph" w:customStyle="1" w:styleId="ZTIR2TIRzmpodwtirtiret">
    <w:name w:val="Z_TIR/2TIR – zm. podw. tir. tiret"/>
    <w:basedOn w:val="TIRtiret"/>
    <w:uiPriority w:val="78"/>
    <w:qFormat/>
    <w:rsid w:val="00CD1D8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D1D86"/>
    <w:pPr>
      <w:ind w:left="1780"/>
    </w:pPr>
  </w:style>
  <w:style w:type="paragraph" w:customStyle="1" w:styleId="Z2TIRwPKTzmpodwtirwpktartykuempunktem">
    <w:name w:val="Z/2TIR_w_PKT – zm. podw. tir. w pkt artykułem (punktem)"/>
    <w:basedOn w:val="TIRtiret"/>
    <w:next w:val="ZPKTzmpktartykuempunktem"/>
    <w:uiPriority w:val="74"/>
    <w:qFormat/>
    <w:rsid w:val="00CD1D86"/>
    <w:pPr>
      <w:ind w:left="2291"/>
    </w:pPr>
  </w:style>
  <w:style w:type="paragraph" w:customStyle="1" w:styleId="ZTIRPKTzmpkttiret">
    <w:name w:val="Z_TIR/PKT – zm. pkt tiret"/>
    <w:basedOn w:val="PKTpunkt"/>
    <w:uiPriority w:val="56"/>
    <w:qFormat/>
    <w:rsid w:val="00CD1D86"/>
    <w:pPr>
      <w:ind w:left="1893"/>
    </w:pPr>
  </w:style>
  <w:style w:type="paragraph" w:customStyle="1" w:styleId="ZTIRLITwPKTzmlitwpkttiret">
    <w:name w:val="Z_TIR/LIT_w_PKT – zm. lit. w pkt tiret"/>
    <w:basedOn w:val="LITlitera"/>
    <w:uiPriority w:val="57"/>
    <w:qFormat/>
    <w:rsid w:val="00CD1D86"/>
    <w:pPr>
      <w:ind w:left="2336"/>
    </w:pPr>
  </w:style>
  <w:style w:type="paragraph" w:customStyle="1" w:styleId="ZTIRCZWSPLITwPKTzmczciwsplitwpkttiret">
    <w:name w:val="Z_TIR/CZ_WSP_LIT_w_PKT – zm. części wsp. lit. w pkt tiret"/>
    <w:basedOn w:val="CZWSPLITczwsplnaliter"/>
    <w:uiPriority w:val="59"/>
    <w:qFormat/>
    <w:rsid w:val="00CD1D86"/>
    <w:pPr>
      <w:ind w:left="1860"/>
    </w:pPr>
  </w:style>
  <w:style w:type="paragraph" w:customStyle="1" w:styleId="ZTIR2TIRwLITzmpodwtirwlittiret">
    <w:name w:val="Z_TIR/2TIR_w_LIT – zm. podw. tir. w lit. tiret"/>
    <w:basedOn w:val="TIRtiret"/>
    <w:uiPriority w:val="79"/>
    <w:qFormat/>
    <w:rsid w:val="00CD1D8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D1D86"/>
    <w:pPr>
      <w:ind w:left="2257"/>
    </w:pPr>
  </w:style>
  <w:style w:type="paragraph" w:customStyle="1" w:styleId="ZTIR2TIRwTIRzmpodwtirwtirtiret">
    <w:name w:val="Z_TIR/2TIR_w_TIR – zm. podw. tir. w tir. tiret"/>
    <w:basedOn w:val="TIRtiret"/>
    <w:uiPriority w:val="78"/>
    <w:qFormat/>
    <w:rsid w:val="00CD1D86"/>
    <w:pPr>
      <w:ind w:left="2177"/>
    </w:pPr>
  </w:style>
  <w:style w:type="paragraph" w:customStyle="1" w:styleId="ZTIRCZWSP2TIRwTIRzmczciwsppodwtirwtirtiret">
    <w:name w:val="Z_TIR/CZ_WSP_2TIR_w_TIR – zm. części wsp. podw. tir. w tir. tiret"/>
    <w:basedOn w:val="CZWSPTIRczwsplnatiret"/>
    <w:uiPriority w:val="79"/>
    <w:qFormat/>
    <w:rsid w:val="00CD1D86"/>
    <w:pPr>
      <w:ind w:left="1780"/>
    </w:pPr>
  </w:style>
  <w:style w:type="paragraph" w:customStyle="1" w:styleId="Z2TIRLITzmlitpodwjnymtiret">
    <w:name w:val="Z_2TIR/LIT – zm. lit. podwójnym tiret"/>
    <w:basedOn w:val="LITlitera"/>
    <w:uiPriority w:val="84"/>
    <w:qFormat/>
    <w:rsid w:val="00CD1D86"/>
    <w:pPr>
      <w:ind w:left="2256"/>
    </w:pPr>
  </w:style>
  <w:style w:type="paragraph" w:customStyle="1" w:styleId="ZZ2TIRwTIRzmianazmpodwtirwtir">
    <w:name w:val="ZZ/2TIR_w_TIR – zmiana zm. podw. tir. w tir."/>
    <w:basedOn w:val="ZZCZWSP2TIRzmianazmczciwsppodwtir"/>
    <w:uiPriority w:val="93"/>
    <w:qFormat/>
    <w:rsid w:val="00CD1D86"/>
    <w:pPr>
      <w:ind w:left="2688" w:hanging="397"/>
    </w:pPr>
  </w:style>
  <w:style w:type="paragraph" w:customStyle="1" w:styleId="ZZ2TIRwLITzmianazmpodwtirwlit">
    <w:name w:val="ZZ/2TIR_w_LIT – zmiana zm. podw. tir. w lit."/>
    <w:basedOn w:val="ZZ2TIRwTIRzmianazmpodwtirwtir"/>
    <w:uiPriority w:val="94"/>
    <w:qFormat/>
    <w:rsid w:val="00CD1D86"/>
    <w:pPr>
      <w:ind w:left="3164"/>
    </w:pPr>
  </w:style>
  <w:style w:type="paragraph" w:customStyle="1" w:styleId="Z2TIRTIRwLITzmtirwlitpodwjnymtiret">
    <w:name w:val="Z_2TIR/TIR_w_LIT – zm. tir. w lit. podwójnym tiret"/>
    <w:basedOn w:val="TIRtiret"/>
    <w:uiPriority w:val="84"/>
    <w:qFormat/>
    <w:rsid w:val="00CD1D8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D1D86"/>
    <w:pPr>
      <w:ind w:left="2257"/>
    </w:pPr>
  </w:style>
  <w:style w:type="paragraph" w:customStyle="1" w:styleId="ZZ2TIRwPKTzmianazmpodwtirwpkt">
    <w:name w:val="ZZ/2TIR_w_PKT – zmiana zm. podw. tir. w pkt"/>
    <w:basedOn w:val="ZZ2TIRwLITzmianazmpodwtirwlit"/>
    <w:uiPriority w:val="94"/>
    <w:qFormat/>
    <w:rsid w:val="00CD1D86"/>
    <w:pPr>
      <w:ind w:left="3674"/>
    </w:pPr>
  </w:style>
  <w:style w:type="paragraph" w:customStyle="1" w:styleId="ZZCZWSP2TIRwTIRzmianazmczciwsppodwtirwtir">
    <w:name w:val="ZZ/CZ_WSP_2TIR_w_TIR – zmiana zm. części wsp. podw. tir. w tir."/>
    <w:basedOn w:val="ZZ2TIRwLITzmianazmpodwtirwlit"/>
    <w:uiPriority w:val="94"/>
    <w:qFormat/>
    <w:rsid w:val="00CD1D86"/>
    <w:pPr>
      <w:ind w:left="2291" w:firstLine="0"/>
    </w:pPr>
  </w:style>
  <w:style w:type="paragraph" w:customStyle="1" w:styleId="Z2TIR2TIRwTIRzmpodwtirwtirpodwjnymtiret">
    <w:name w:val="Z_2TIR/2TIR_w_TIR – zm. podw. tir. w tir. podwójnym tiret"/>
    <w:basedOn w:val="TIRtiret"/>
    <w:uiPriority w:val="85"/>
    <w:qFormat/>
    <w:rsid w:val="00CD1D8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D1D86"/>
    <w:pPr>
      <w:ind w:left="2177"/>
    </w:pPr>
  </w:style>
  <w:style w:type="paragraph" w:customStyle="1" w:styleId="Z2TIR2TIRwLITzmpodwtirwlitpodwjnymtiret">
    <w:name w:val="Z_2TIR/2TIR_w_LIT – zm. podw. tir. w lit. podwójnym tiret"/>
    <w:basedOn w:val="TIRtiret"/>
    <w:uiPriority w:val="86"/>
    <w:qFormat/>
    <w:rsid w:val="00CD1D8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D1D8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D1D8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D1D86"/>
    <w:pPr>
      <w:spacing w:after="120"/>
      <w:ind w:left="510"/>
    </w:pPr>
    <w:rPr>
      <w:b w:val="0"/>
    </w:rPr>
  </w:style>
  <w:style w:type="character" w:styleId="Odwoaniedokomentarza">
    <w:name w:val="annotation reference"/>
    <w:basedOn w:val="Domylnaczcionkaakapitu"/>
    <w:uiPriority w:val="99"/>
    <w:semiHidden/>
    <w:rsid w:val="00CD1D86"/>
    <w:rPr>
      <w:sz w:val="16"/>
      <w:szCs w:val="16"/>
    </w:rPr>
  </w:style>
  <w:style w:type="paragraph" w:styleId="Tekstkomentarza">
    <w:name w:val="annotation text"/>
    <w:basedOn w:val="Normalny"/>
    <w:link w:val="TekstkomentarzaZnak"/>
    <w:uiPriority w:val="99"/>
    <w:semiHidden/>
    <w:rsid w:val="00CD1D86"/>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CD1D86"/>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CD1D86"/>
    <w:rPr>
      <w:b/>
      <w:bCs/>
    </w:rPr>
  </w:style>
  <w:style w:type="character" w:customStyle="1" w:styleId="TematkomentarzaZnak">
    <w:name w:val="Temat komentarza Znak"/>
    <w:basedOn w:val="TekstkomentarzaZnak"/>
    <w:link w:val="Tematkomentarza"/>
    <w:uiPriority w:val="99"/>
    <w:semiHidden/>
    <w:rsid w:val="00CD1D86"/>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CD1D86"/>
    <w:pPr>
      <w:ind w:left="1894"/>
    </w:pPr>
  </w:style>
  <w:style w:type="paragraph" w:customStyle="1" w:styleId="ZZPKTzmianazmpkt">
    <w:name w:val="ZZ/PKT – zmiana zm. pkt"/>
    <w:basedOn w:val="ZPKTzmpktartykuempunktem"/>
    <w:uiPriority w:val="66"/>
    <w:qFormat/>
    <w:rsid w:val="00CD1D86"/>
    <w:pPr>
      <w:ind w:left="2404"/>
    </w:pPr>
  </w:style>
  <w:style w:type="paragraph" w:customStyle="1" w:styleId="ZZLITwPKTzmianazmlitwpkt">
    <w:name w:val="ZZ/LIT_w_PKT – zmiana zm. lit. w pkt"/>
    <w:basedOn w:val="ZLITwPKTzmlitwpktartykuempunktem"/>
    <w:uiPriority w:val="67"/>
    <w:qFormat/>
    <w:rsid w:val="00CD1D86"/>
    <w:pPr>
      <w:ind w:left="2880"/>
    </w:pPr>
  </w:style>
  <w:style w:type="paragraph" w:customStyle="1" w:styleId="ZZTIRwPKTzmianazmtirwpkt">
    <w:name w:val="ZZ/TIR_w_PKT – zmiana zm. tir. w pkt"/>
    <w:basedOn w:val="ZTIRwPKTzmtirwpktartykuempunktem"/>
    <w:uiPriority w:val="67"/>
    <w:qFormat/>
    <w:rsid w:val="00CD1D86"/>
    <w:pPr>
      <w:ind w:left="3277"/>
    </w:pPr>
  </w:style>
  <w:style w:type="paragraph" w:customStyle="1" w:styleId="ZZWMATFIZCHEMzmwzorumatfizlubchem">
    <w:name w:val="ZZ/W_MAT(FIZ|CHEM) – zm. wzoru mat. (fiz. lub chem.)"/>
    <w:basedOn w:val="ZWMATFIZCHEMzmwzorumatfizlubchemartykuempunktem"/>
    <w:uiPriority w:val="71"/>
    <w:qFormat/>
    <w:rsid w:val="00CD1D86"/>
    <w:pPr>
      <w:ind w:left="2404"/>
    </w:pPr>
  </w:style>
  <w:style w:type="paragraph" w:customStyle="1" w:styleId="ODNONIKtreodnonika">
    <w:name w:val="ODNOŚNIK – treść odnośnika"/>
    <w:uiPriority w:val="19"/>
    <w:qFormat/>
    <w:rsid w:val="00CD1D86"/>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CD1D8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D1D8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D1D86"/>
    <w:rPr>
      <w:rFonts w:ascii="Times New Roman" w:hAnsi="Times New Roman"/>
    </w:rPr>
  </w:style>
  <w:style w:type="paragraph" w:customStyle="1" w:styleId="ZTIRTIRwPKTzmtirwpkttiret">
    <w:name w:val="Z_TIR/TIR_w_PKT – zm. tir. w pkt tiret"/>
    <w:basedOn w:val="ZTIRTIRwLITzmtirwlittiret"/>
    <w:uiPriority w:val="57"/>
    <w:qFormat/>
    <w:rsid w:val="00CD1D86"/>
    <w:pPr>
      <w:ind w:left="2733"/>
    </w:pPr>
  </w:style>
  <w:style w:type="paragraph" w:customStyle="1" w:styleId="ZTIRCZWSPTIRwPKTzmczciwsptirtiret">
    <w:name w:val="Z_TIR/CZ_WSP_TIR_w_PKT – zm. części wsp. tir. tiret"/>
    <w:basedOn w:val="ZTIRTIRwPKTzmtirwpkttiret"/>
    <w:next w:val="TIRtiret"/>
    <w:uiPriority w:val="60"/>
    <w:qFormat/>
    <w:rsid w:val="00CD1D8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D1D86"/>
    <w:pPr>
      <w:ind w:left="510" w:firstLine="0"/>
    </w:pPr>
  </w:style>
  <w:style w:type="paragraph" w:customStyle="1" w:styleId="ROZDZODDZOZNoznaczenierozdziauluboddziau">
    <w:name w:val="ROZDZ(ODDZ)_OZN – oznaczenie rozdziału lub oddziału"/>
    <w:next w:val="ARTartustawynprozporzdzenia"/>
    <w:uiPriority w:val="10"/>
    <w:qFormat/>
    <w:rsid w:val="00CD1D86"/>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CD1D86"/>
    <w:pPr>
      <w:ind w:left="2177"/>
    </w:pPr>
  </w:style>
  <w:style w:type="paragraph" w:customStyle="1" w:styleId="Z2TIRTIRzmtirpodwjnymtiret">
    <w:name w:val="Z_2TIR/TIR – zm. tir. podwójnym tiret"/>
    <w:basedOn w:val="TIRtiret"/>
    <w:uiPriority w:val="84"/>
    <w:qFormat/>
    <w:rsid w:val="00CD1D8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D1D86"/>
    <w:pPr>
      <w:ind w:left="1021"/>
    </w:pPr>
  </w:style>
  <w:style w:type="paragraph" w:customStyle="1" w:styleId="ZLITSKARNzmsankcjikarnejliter">
    <w:name w:val="Z_LIT/S_KARN – zm. sankcji karnej literą"/>
    <w:basedOn w:val="ZSKARNzmsankcjikarnejwszczeglnociwKodeksiekarnym"/>
    <w:uiPriority w:val="53"/>
    <w:qFormat/>
    <w:rsid w:val="00CD1D8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D1D8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D1D86"/>
    <w:pPr>
      <w:ind w:left="1894" w:firstLine="0"/>
    </w:pPr>
  </w:style>
  <w:style w:type="paragraph" w:customStyle="1" w:styleId="Z2TIRwLITzmpodwtirwlitartykuempunktem">
    <w:name w:val="Z/2TIR_w_LIT – zm. podw. tir. w lit. artykułem (punktem)"/>
    <w:basedOn w:val="Z2TIRwPKTzmpodwtirwpktartykuempunktem"/>
    <w:uiPriority w:val="74"/>
    <w:qFormat/>
    <w:rsid w:val="00CD1D86"/>
    <w:pPr>
      <w:ind w:left="1780"/>
    </w:pPr>
  </w:style>
  <w:style w:type="paragraph" w:customStyle="1" w:styleId="Z2TIRwTIRzmpodwtirwtirartykuempunktem">
    <w:name w:val="Z/2TIR_w_TIR – zm. podw. tir. w tir. artykułem (punktem)"/>
    <w:basedOn w:val="Z2TIRwLITzmpodwtirwlitartykuempunktem"/>
    <w:uiPriority w:val="73"/>
    <w:qFormat/>
    <w:rsid w:val="00CD1D8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D1D8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D1D86"/>
    <w:pPr>
      <w:ind w:left="1383" w:firstLine="0"/>
    </w:pPr>
  </w:style>
  <w:style w:type="paragraph" w:customStyle="1" w:styleId="ZZCZWSP2TIRzmianazmczciwsppodwtir">
    <w:name w:val="ZZ/CZ_WSP_2TIR – zmiana zm. części wsp. podw. tir."/>
    <w:basedOn w:val="ZZTIRzmianazmtir"/>
    <w:next w:val="ZZUSTzmianazmust"/>
    <w:uiPriority w:val="94"/>
    <w:qFormat/>
    <w:rsid w:val="00CD1D86"/>
    <w:pPr>
      <w:ind w:left="1894" w:firstLine="0"/>
    </w:pPr>
  </w:style>
  <w:style w:type="paragraph" w:customStyle="1" w:styleId="PKTODNONIKApunktodnonika">
    <w:name w:val="PKT_ODNOŚNIKA – punkt odnośnika"/>
    <w:basedOn w:val="ODNONIKtreodnonika"/>
    <w:uiPriority w:val="19"/>
    <w:qFormat/>
    <w:rsid w:val="00CD1D86"/>
    <w:pPr>
      <w:ind w:left="568"/>
    </w:pPr>
  </w:style>
  <w:style w:type="paragraph" w:customStyle="1" w:styleId="ZODNONIKAzmtekstuodnonikaartykuempunktem">
    <w:name w:val="Z/ODNOŚNIKA – zm. tekstu odnośnika artykułem (punktem)"/>
    <w:basedOn w:val="ODNONIKtreodnonika"/>
    <w:uiPriority w:val="39"/>
    <w:qFormat/>
    <w:rsid w:val="00CD1D8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D1D86"/>
    <w:pPr>
      <w:ind w:left="1304"/>
    </w:pPr>
  </w:style>
  <w:style w:type="paragraph" w:customStyle="1" w:styleId="ZPKTODNONIKAzmpktodnonikaartykuempunktem">
    <w:name w:val="Z/PKT_ODNOŚNIKA – zm. pkt odnośnika artykułem (punktem)"/>
    <w:basedOn w:val="ZODNONIKAzmtekstuodnonikaartykuempunktem"/>
    <w:uiPriority w:val="39"/>
    <w:qFormat/>
    <w:rsid w:val="00CD1D86"/>
  </w:style>
  <w:style w:type="paragraph" w:customStyle="1" w:styleId="ZLIT2TIRwTIRzmpodwtirwtirliter">
    <w:name w:val="Z_LIT/2TIR_w_TIR – zm. podw. tir. w tir. literą"/>
    <w:basedOn w:val="ZLIT2TIRzmpodwtirliter"/>
    <w:uiPriority w:val="75"/>
    <w:qFormat/>
    <w:rsid w:val="00CD1D86"/>
    <w:pPr>
      <w:ind w:left="1780"/>
    </w:pPr>
  </w:style>
  <w:style w:type="paragraph" w:customStyle="1" w:styleId="ZLIT2TIRwLITzmpodwtirwlitliter">
    <w:name w:val="Z_LIT/2TIR_w_LIT – zm. podw. tir. w lit. literą"/>
    <w:basedOn w:val="ZLIT2TIRwTIRzmpodwtirwtirliter"/>
    <w:uiPriority w:val="76"/>
    <w:qFormat/>
    <w:rsid w:val="00CD1D86"/>
    <w:pPr>
      <w:ind w:left="2257"/>
    </w:pPr>
  </w:style>
  <w:style w:type="paragraph" w:customStyle="1" w:styleId="ZLIT2TIRwPKTzmpodwtirwpktliter">
    <w:name w:val="Z_LIT/2TIR_w_PKT – zm. podw. tir. w pkt literą"/>
    <w:basedOn w:val="ZLIT2TIRwLITzmpodwtirwlitliter"/>
    <w:uiPriority w:val="76"/>
    <w:qFormat/>
    <w:rsid w:val="00CD1D8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D1D8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D1D8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D1D86"/>
    <w:pPr>
      <w:ind w:left="2370" w:firstLine="0"/>
    </w:pPr>
  </w:style>
  <w:style w:type="paragraph" w:customStyle="1" w:styleId="ZTIR2TIRwPKTzmpodwtirwpkttiret">
    <w:name w:val="Z_TIR/2TIR_w_PKT – zm. podw. tir. w pkt tiret"/>
    <w:basedOn w:val="ZTIR2TIRwLITzmpodwtirwlittiret"/>
    <w:uiPriority w:val="79"/>
    <w:qFormat/>
    <w:rsid w:val="00CD1D8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D1D8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D1D86"/>
    <w:pPr>
      <w:ind w:left="2767"/>
    </w:pPr>
  </w:style>
  <w:style w:type="paragraph" w:customStyle="1" w:styleId="ZZCZWSP2TIRwPKTzmianazmczciwsppodwtirwpkt">
    <w:name w:val="ZZ/CZ_WSP_2TIR_w_PKT – zmiana zm. części wsp. podw. tir. w pkt"/>
    <w:basedOn w:val="ZZ2TIRwLITzmianazmpodwtirwlit"/>
    <w:uiPriority w:val="95"/>
    <w:qFormat/>
    <w:rsid w:val="00CD1D8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D1D86"/>
  </w:style>
  <w:style w:type="paragraph" w:customStyle="1" w:styleId="ZLITCZWSP2TIRzmczciwsppodwtirliter">
    <w:name w:val="Z_LIT/CZ_WSP_2TIR – zm. części wsp. podw. tir. literą"/>
    <w:basedOn w:val="ZLITCZWSPPKTzmczciwsppktliter"/>
    <w:next w:val="LITlitera"/>
    <w:uiPriority w:val="76"/>
    <w:qFormat/>
    <w:rsid w:val="00CD1D86"/>
  </w:style>
  <w:style w:type="paragraph" w:customStyle="1" w:styleId="ZTIRCZWSP2TIRzmczciwsppodwtirtiret">
    <w:name w:val="Z_TIR/CZ_WSP_2TIR – zm. części wsp. podw. tir. tiret"/>
    <w:basedOn w:val="ZLITCZWSP2TIRzmczciwsppodwtirliter"/>
    <w:next w:val="TIRtiret"/>
    <w:uiPriority w:val="79"/>
    <w:qFormat/>
    <w:rsid w:val="00CD1D86"/>
  </w:style>
  <w:style w:type="paragraph" w:customStyle="1" w:styleId="ZZ2TIRzmianazmpodwtir">
    <w:name w:val="ZZ/2TIR – zmiana zm. podw. tir."/>
    <w:basedOn w:val="ZZCZWSP2TIRzmianazmczciwsppodwtir"/>
    <w:uiPriority w:val="93"/>
    <w:qFormat/>
    <w:rsid w:val="00CD1D8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D1D86"/>
  </w:style>
  <w:style w:type="paragraph" w:customStyle="1" w:styleId="ZCZWSPTIRzmczciwsptirartykuempunktem">
    <w:name w:val="Z/CZ_WSP_TIR – zm. części wsp. tir. artykułem (punktem)"/>
    <w:basedOn w:val="ZCZWSPPKTzmczciwsppktartykuempunktem"/>
    <w:next w:val="PKTpunkt"/>
    <w:uiPriority w:val="35"/>
    <w:qFormat/>
    <w:rsid w:val="00CD1D86"/>
  </w:style>
  <w:style w:type="paragraph" w:customStyle="1" w:styleId="ZLITCZWSPLITzmczciwsplitliter">
    <w:name w:val="Z_LIT/CZ_WSP_LIT – zm. części wsp. lit. literą"/>
    <w:basedOn w:val="ZLITCZWSPPKTzmczciwsppktliter"/>
    <w:next w:val="LITlitera"/>
    <w:uiPriority w:val="51"/>
    <w:qFormat/>
    <w:rsid w:val="00CD1D86"/>
  </w:style>
  <w:style w:type="paragraph" w:customStyle="1" w:styleId="ZLITCZWSPTIRzmczciwsptirliter">
    <w:name w:val="Z_LIT/CZ_WSP_TIR – zm. części wsp. tir. literą"/>
    <w:basedOn w:val="ZLITCZWSPPKTzmczciwsppktliter"/>
    <w:next w:val="LITlitera"/>
    <w:uiPriority w:val="51"/>
    <w:qFormat/>
    <w:rsid w:val="00CD1D86"/>
  </w:style>
  <w:style w:type="paragraph" w:customStyle="1" w:styleId="ZTIRCZWSPLITzmczciwsplittiret">
    <w:name w:val="Z_TIR/CZ_WSP_LIT – zm. części wsp. lit. tiret"/>
    <w:basedOn w:val="ZTIRCZWSPPKTzmczciwsppkttiret"/>
    <w:next w:val="TIRtiret"/>
    <w:uiPriority w:val="59"/>
    <w:qFormat/>
    <w:rsid w:val="00CD1D86"/>
  </w:style>
  <w:style w:type="paragraph" w:customStyle="1" w:styleId="ZTIRCZWSPTIRzmczciwsptirtiret">
    <w:name w:val="Z_TIR/CZ_WSP_TIR – zm. części wsp. tir. tiret"/>
    <w:basedOn w:val="ZTIRCZWSPPKTzmczciwsppkttiret"/>
    <w:next w:val="TIRtiret"/>
    <w:uiPriority w:val="60"/>
    <w:qFormat/>
    <w:rsid w:val="00CD1D86"/>
  </w:style>
  <w:style w:type="paragraph" w:customStyle="1" w:styleId="ZZCZWSPLITzmianazmczciwsplit">
    <w:name w:val="ZZ/CZ_WSP_LIT – zmiana. zm. części wsp. lit."/>
    <w:basedOn w:val="ZZCZWSPPKTzmianazmczciwsppkt"/>
    <w:uiPriority w:val="69"/>
    <w:qFormat/>
    <w:rsid w:val="00CD1D86"/>
  </w:style>
  <w:style w:type="paragraph" w:customStyle="1" w:styleId="ZZCZWSPTIRzmianazmczciwsptir">
    <w:name w:val="ZZ/CZ_WSP_TIR – zmiana. zm. części wsp. tir."/>
    <w:basedOn w:val="ZZCZWSPPKTzmianazmczciwsppkt"/>
    <w:uiPriority w:val="69"/>
    <w:qFormat/>
    <w:rsid w:val="00CD1D86"/>
  </w:style>
  <w:style w:type="paragraph" w:customStyle="1" w:styleId="Z2TIRCZWSPTIRzmczciwsptirpodwjnymtiret">
    <w:name w:val="Z_2TIR/CZ_WSP_TIR – zm. części wsp. tir. podwójnym tiret"/>
    <w:basedOn w:val="Z2TIRCZWSPLITzmczciwsplitpodwjnymtiret"/>
    <w:next w:val="2TIRpodwjnytiret"/>
    <w:uiPriority w:val="87"/>
    <w:qFormat/>
    <w:rsid w:val="00CD1D8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D1D86"/>
  </w:style>
  <w:style w:type="paragraph" w:customStyle="1" w:styleId="ZUSTzmustartykuempunktem">
    <w:name w:val="Z/UST(§) – zm. ust. (§) artykułem (punktem)"/>
    <w:basedOn w:val="ZARTzmartartykuempunktem"/>
    <w:uiPriority w:val="30"/>
    <w:qFormat/>
    <w:rsid w:val="00CD1D86"/>
  </w:style>
  <w:style w:type="paragraph" w:customStyle="1" w:styleId="ZZUSTzmianazmust">
    <w:name w:val="ZZ/UST(§) – zmiana zm. ust. (§)"/>
    <w:basedOn w:val="ZZARTzmianazmart"/>
    <w:uiPriority w:val="65"/>
    <w:qFormat/>
    <w:rsid w:val="00CD1D86"/>
  </w:style>
  <w:style w:type="paragraph" w:customStyle="1" w:styleId="TYTDZPRZEDMprzedmiotregulacjitytuulubdziau">
    <w:name w:val="TYT(DZ)_PRZEDM – przedmiot regulacji tytułu lub działu"/>
    <w:next w:val="ARTartustawynprozporzdzenia"/>
    <w:uiPriority w:val="9"/>
    <w:qFormat/>
    <w:rsid w:val="00CD1D86"/>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CD1D8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D1D8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D1D8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D1D8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D1D8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D1D86"/>
    <w:pPr>
      <w:ind w:left="1894"/>
    </w:pPr>
  </w:style>
  <w:style w:type="paragraph" w:customStyle="1" w:styleId="P1wTABELIpoziom1numeracjiwtabeli">
    <w:name w:val="P1_w_TABELI – poziom 1 numeracji w tabeli"/>
    <w:basedOn w:val="PKTpunkt"/>
    <w:uiPriority w:val="24"/>
    <w:qFormat/>
    <w:rsid w:val="00CD1D8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D1D86"/>
    <w:pPr>
      <w:ind w:left="0" w:firstLine="0"/>
    </w:pPr>
  </w:style>
  <w:style w:type="paragraph" w:customStyle="1" w:styleId="P2wTABELIpoziom2numeracjiwtabeli">
    <w:name w:val="P2_w_TABELI – poziom 2 numeracji w tabeli"/>
    <w:basedOn w:val="P1wTABELIpoziom1numeracjiwtabeli"/>
    <w:uiPriority w:val="24"/>
    <w:qFormat/>
    <w:rsid w:val="00CD1D86"/>
    <w:pPr>
      <w:ind w:left="794"/>
    </w:pPr>
  </w:style>
  <w:style w:type="paragraph" w:customStyle="1" w:styleId="P3wTABELIpoziom3numeracjiwtabeli">
    <w:name w:val="P3_w_TABELI – poziom 3 numeracji w tabeli"/>
    <w:basedOn w:val="P2wTABELIpoziom2numeracjiwtabeli"/>
    <w:uiPriority w:val="24"/>
    <w:qFormat/>
    <w:rsid w:val="00CD1D8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D1D8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D1D8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D1D86"/>
    <w:pPr>
      <w:ind w:left="1191"/>
    </w:pPr>
  </w:style>
  <w:style w:type="paragraph" w:customStyle="1" w:styleId="P4wTABELIpoziom4numeracjiwtabeli">
    <w:name w:val="P4_w_TABELI – poziom 4 numeracji w tabeli"/>
    <w:basedOn w:val="P3wTABELIpoziom3numeracjiwtabeli"/>
    <w:uiPriority w:val="24"/>
    <w:qFormat/>
    <w:rsid w:val="00CD1D86"/>
    <w:pPr>
      <w:ind w:left="1588"/>
    </w:pPr>
  </w:style>
  <w:style w:type="paragraph" w:customStyle="1" w:styleId="TYTTABELItytutabeli">
    <w:name w:val="TYT_TABELI – tytuł tabeli"/>
    <w:basedOn w:val="TYTDZOZNoznaczenietytuulubdziau"/>
    <w:uiPriority w:val="22"/>
    <w:qFormat/>
    <w:rsid w:val="00CD1D86"/>
    <w:rPr>
      <w:b/>
    </w:rPr>
  </w:style>
  <w:style w:type="paragraph" w:customStyle="1" w:styleId="OZNPROJEKTUwskazaniedatylubwersjiprojektu">
    <w:name w:val="OZN_PROJEKTU – wskazanie daty lub wersji projektu"/>
    <w:next w:val="OZNRODZAKTUtznustawalubrozporzdzenieiorganwydajcy"/>
    <w:uiPriority w:val="5"/>
    <w:qFormat/>
    <w:rsid w:val="00CD1D86"/>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CD1D8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D1D86"/>
    <w:pPr>
      <w:ind w:left="0" w:right="4820"/>
      <w:jc w:val="left"/>
    </w:pPr>
  </w:style>
  <w:style w:type="paragraph" w:customStyle="1" w:styleId="TEKSTwporozumieniu">
    <w:name w:val="TEKST&quot;w porozumieniu:&quot;"/>
    <w:next w:val="NAZORGWPOROZUMIENIUnazwaorganuwporozumieniuzktrymaktjestwydawany"/>
    <w:uiPriority w:val="27"/>
    <w:qFormat/>
    <w:rsid w:val="00CD1D86"/>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CD1D8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D1D86"/>
    <w:pPr>
      <w:ind w:left="510" w:firstLine="0"/>
    </w:pPr>
  </w:style>
  <w:style w:type="paragraph" w:customStyle="1" w:styleId="NOTATKILEGISLATORA">
    <w:name w:val="NOTATKI_LEGISLATORA"/>
    <w:basedOn w:val="Normalny"/>
    <w:uiPriority w:val="5"/>
    <w:qFormat/>
    <w:rsid w:val="00CD1D86"/>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CD1D86"/>
    <w:pPr>
      <w:keepNext/>
    </w:pPr>
    <w:rPr>
      <w:b/>
      <w:u w:val="none"/>
    </w:rPr>
  </w:style>
  <w:style w:type="paragraph" w:customStyle="1" w:styleId="OZNPARAFYADNOTACJE">
    <w:name w:val="OZN_PARAFY(ADNOTACJE)"/>
    <w:basedOn w:val="ODNONIKtreodnonika"/>
    <w:uiPriority w:val="26"/>
    <w:qFormat/>
    <w:rsid w:val="00CD1D86"/>
  </w:style>
  <w:style w:type="paragraph" w:customStyle="1" w:styleId="TEKSTZacznikido">
    <w:name w:val="TEKST&quot;Załącznik(i) do ...&quot;"/>
    <w:uiPriority w:val="28"/>
    <w:qFormat/>
    <w:rsid w:val="00CD1D86"/>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CD1D86"/>
    <w:pPr>
      <w:ind w:left="851"/>
    </w:pPr>
  </w:style>
  <w:style w:type="paragraph" w:customStyle="1" w:styleId="CZWSPLITODNONIKAczwspliterodnonika">
    <w:name w:val="CZ_WSP_LIT_ODNOŚNIKA – część wsp. liter odnośnika"/>
    <w:basedOn w:val="LITODNONIKAliteraodnonika"/>
    <w:uiPriority w:val="22"/>
    <w:qFormat/>
    <w:rsid w:val="00CD1D8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D1D8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D1D8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D1D8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D1D8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D1D8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D1D8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D1D86"/>
  </w:style>
  <w:style w:type="paragraph" w:customStyle="1" w:styleId="ZLITwPKTODNONIKAzmlitwpktodnonikaartykuempunktem">
    <w:name w:val="Z/LIT_w_PKT_ODNOŚNIKA – zm. lit. w pkt odnośnika artykułem (punktem)"/>
    <w:basedOn w:val="ZLITODNONIKAzmlitodnonikaartykuempunktem"/>
    <w:uiPriority w:val="40"/>
    <w:qFormat/>
    <w:rsid w:val="00CD1D8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D1D8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D1D8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D1D8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D1D8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D1D8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D1D86"/>
  </w:style>
  <w:style w:type="paragraph" w:customStyle="1" w:styleId="ZZFRAGzmianazmfragmentunpzdania">
    <w:name w:val="ZZ/FRAG – zmiana zm. fragmentu (np. zdania)"/>
    <w:basedOn w:val="ZZCZWSPPKTzmianazmczciwsppkt"/>
    <w:uiPriority w:val="70"/>
    <w:qFormat/>
    <w:rsid w:val="00CD1D86"/>
  </w:style>
  <w:style w:type="paragraph" w:customStyle="1" w:styleId="Z2TIRPKTzmpktpodwjnymtiret">
    <w:name w:val="Z_2TIR/PKT – zm. pkt podwójnym tiret"/>
    <w:basedOn w:val="Z2TIRLITzmlitpodwjnymtiret"/>
    <w:uiPriority w:val="83"/>
    <w:qFormat/>
    <w:rsid w:val="00CD1D8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D1D8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D1D8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D1D8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D1D86"/>
    <w:pPr>
      <w:ind w:left="1780" w:firstLine="510"/>
    </w:pPr>
  </w:style>
  <w:style w:type="paragraph" w:customStyle="1" w:styleId="Z2TIRUSTzmustpodwjnymtiret">
    <w:name w:val="Z_2TIR/UST(§) – zm. ust. (§) podwójnym tiret"/>
    <w:basedOn w:val="Z2TIRPKTzmpktpodwjnymtiret"/>
    <w:uiPriority w:val="82"/>
    <w:qFormat/>
    <w:rsid w:val="00CD1D8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D1D86"/>
    <w:pPr>
      <w:ind w:left="3164" w:firstLine="0"/>
    </w:pPr>
  </w:style>
  <w:style w:type="paragraph" w:customStyle="1" w:styleId="Z2TIRCZWSPPKTzmczciwsppktpodwjnymtiret">
    <w:name w:val="Z_2TIR/CZ_WSP_PKT – zm. części wsp. pkt podwójnym tiret"/>
    <w:basedOn w:val="Z2TIRPKTzmpktpodwjnymtiret"/>
    <w:uiPriority w:val="86"/>
    <w:qFormat/>
    <w:rsid w:val="00CD1D8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D1D8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D1D86"/>
    <w:pPr>
      <w:ind w:left="2767" w:firstLine="0"/>
    </w:pPr>
  </w:style>
  <w:style w:type="paragraph" w:customStyle="1" w:styleId="ZLITARTzmartliter">
    <w:name w:val="Z_LIT/ART(§) – zm. art. (§) literą"/>
    <w:basedOn w:val="ZLITUSTzmustliter"/>
    <w:uiPriority w:val="46"/>
    <w:qFormat/>
    <w:rsid w:val="00CD1D86"/>
    <w:rPr>
      <w:rFonts w:ascii="Times New Roman" w:hAnsi="Times New Roman"/>
    </w:rPr>
  </w:style>
  <w:style w:type="paragraph" w:customStyle="1" w:styleId="ZTIRARTzmarttiret">
    <w:name w:val="Z_TIR/ART(§) – zm. art. (§) tiret"/>
    <w:basedOn w:val="ZTIRPKTzmpkttiret"/>
    <w:uiPriority w:val="55"/>
    <w:qFormat/>
    <w:rsid w:val="00CD1D86"/>
    <w:pPr>
      <w:ind w:left="1383" w:firstLine="510"/>
    </w:pPr>
    <w:rPr>
      <w:rFonts w:ascii="Times New Roman" w:hAnsi="Times New Roman"/>
    </w:rPr>
  </w:style>
  <w:style w:type="paragraph" w:customStyle="1" w:styleId="ZTIRUSTzmusttiret">
    <w:name w:val="Z_TIR/UST(§) – zm. ust. (§) tiret"/>
    <w:basedOn w:val="ZTIRARTzmarttiret"/>
    <w:uiPriority w:val="55"/>
    <w:qFormat/>
    <w:rsid w:val="00CD1D86"/>
  </w:style>
  <w:style w:type="paragraph" w:customStyle="1" w:styleId="ZLITKSIGIzmozniprzedmksigiliter">
    <w:name w:val="Z_LIT/KSIĘGI – zm. ozn. i przedm. księgi literą"/>
    <w:basedOn w:val="ZCZCIKSIGIzmozniprzedmczciksigiartykuempunktem"/>
    <w:uiPriority w:val="44"/>
    <w:qFormat/>
    <w:rsid w:val="00CD1D8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D1D8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D1D8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D1D8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D1D86"/>
    <w:pPr>
      <w:ind w:left="987"/>
    </w:pPr>
  </w:style>
  <w:style w:type="paragraph" w:customStyle="1" w:styleId="ZTIRDZOZNzmozndziautiret">
    <w:name w:val="Z_TIR/DZ_OZN – zm. ozn. działu tiret"/>
    <w:basedOn w:val="ZLITTYTDZOZNzmozntytuudziauliter"/>
    <w:next w:val="ZTIRDZPRZEDMzmprzedmdziautiret"/>
    <w:uiPriority w:val="54"/>
    <w:qFormat/>
    <w:rsid w:val="00CD1D86"/>
    <w:pPr>
      <w:ind w:left="1383"/>
    </w:pPr>
  </w:style>
  <w:style w:type="paragraph" w:customStyle="1" w:styleId="ZTIRDZPRZEDMzmprzedmdziautiret">
    <w:name w:val="Z_TIR/DZ_PRZEDM – zm. przedm. działu tiret"/>
    <w:basedOn w:val="ZLITTYTDZPRZEDMzmprzedmtytuudziauliter"/>
    <w:uiPriority w:val="54"/>
    <w:qFormat/>
    <w:rsid w:val="00CD1D8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D1D86"/>
    <w:pPr>
      <w:ind w:left="1383"/>
    </w:pPr>
  </w:style>
  <w:style w:type="paragraph" w:customStyle="1" w:styleId="ZTIRROZDZODDZPRZEDMzmprzedmrozdzoddztiret">
    <w:name w:val="Z_TIR/ROZDZ(ODDZ)_PRZEDM – zm. przedm. rozdz. (oddz.) tiret"/>
    <w:basedOn w:val="ZLITROZDZODDZPRZEDMzmprzedmrozdzoddzliter"/>
    <w:uiPriority w:val="54"/>
    <w:qFormat/>
    <w:rsid w:val="00CD1D8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D1D8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D1D86"/>
    <w:pPr>
      <w:ind w:left="1780"/>
    </w:pPr>
  </w:style>
  <w:style w:type="character" w:customStyle="1" w:styleId="IGindeksgrny">
    <w:name w:val="_IG_ – indeks górny"/>
    <w:basedOn w:val="Domylnaczcionkaakapitu"/>
    <w:uiPriority w:val="2"/>
    <w:qFormat/>
    <w:rsid w:val="00CD1D86"/>
    <w:rPr>
      <w:b w:val="0"/>
      <w:i w:val="0"/>
      <w:vanish w:val="0"/>
      <w:spacing w:val="0"/>
      <w:vertAlign w:val="superscript"/>
    </w:rPr>
  </w:style>
  <w:style w:type="character" w:customStyle="1" w:styleId="IDindeksdolny">
    <w:name w:val="_ID_ – indeks dolny"/>
    <w:basedOn w:val="Domylnaczcionkaakapitu"/>
    <w:uiPriority w:val="3"/>
    <w:qFormat/>
    <w:rsid w:val="00CD1D8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D1D86"/>
    <w:rPr>
      <w:b/>
      <w:vanish w:val="0"/>
      <w:spacing w:val="0"/>
      <w:vertAlign w:val="subscript"/>
    </w:rPr>
  </w:style>
  <w:style w:type="character" w:customStyle="1" w:styleId="IDKindeksdolnyikursywa">
    <w:name w:val="_ID_K_ – indeks dolny i kursywa"/>
    <w:basedOn w:val="Domylnaczcionkaakapitu"/>
    <w:uiPriority w:val="3"/>
    <w:qFormat/>
    <w:rsid w:val="00CD1D86"/>
    <w:rPr>
      <w:i/>
      <w:vanish w:val="0"/>
      <w:spacing w:val="0"/>
      <w:vertAlign w:val="subscript"/>
    </w:rPr>
  </w:style>
  <w:style w:type="character" w:customStyle="1" w:styleId="IGPindeksgrnyipogrubienie">
    <w:name w:val="_IG_P_ – indeks górny i pogrubienie"/>
    <w:basedOn w:val="Domylnaczcionkaakapitu"/>
    <w:uiPriority w:val="2"/>
    <w:qFormat/>
    <w:rsid w:val="00CD1D86"/>
    <w:rPr>
      <w:b/>
      <w:vanish w:val="0"/>
      <w:spacing w:val="0"/>
      <w:vertAlign w:val="superscript"/>
    </w:rPr>
  </w:style>
  <w:style w:type="character" w:customStyle="1" w:styleId="IGKindeksgrnyikursywa">
    <w:name w:val="_IG_K_ – indeks górny i kursywa"/>
    <w:basedOn w:val="Domylnaczcionkaakapitu"/>
    <w:uiPriority w:val="2"/>
    <w:qFormat/>
    <w:rsid w:val="00CD1D8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D1D8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D1D86"/>
    <w:rPr>
      <w:b/>
      <w:i/>
      <w:vanish w:val="0"/>
      <w:spacing w:val="0"/>
      <w:vertAlign w:val="subscript"/>
    </w:rPr>
  </w:style>
  <w:style w:type="character" w:customStyle="1" w:styleId="Ppogrubienie">
    <w:name w:val="_P_ – pogrubienie"/>
    <w:basedOn w:val="Domylnaczcionkaakapitu"/>
    <w:uiPriority w:val="1"/>
    <w:qFormat/>
    <w:rsid w:val="00CD1D86"/>
    <w:rPr>
      <w:b/>
    </w:rPr>
  </w:style>
  <w:style w:type="character" w:customStyle="1" w:styleId="Kkursywa">
    <w:name w:val="_K_ – kursywa"/>
    <w:basedOn w:val="Domylnaczcionkaakapitu"/>
    <w:uiPriority w:val="1"/>
    <w:qFormat/>
    <w:rsid w:val="00CD1D86"/>
    <w:rPr>
      <w:i/>
    </w:rPr>
  </w:style>
  <w:style w:type="character" w:customStyle="1" w:styleId="PKpogrubieniekursywa">
    <w:name w:val="_P_K_ – pogrubienie kursywa"/>
    <w:basedOn w:val="Domylnaczcionkaakapitu"/>
    <w:uiPriority w:val="1"/>
    <w:qFormat/>
    <w:rsid w:val="00CD1D86"/>
    <w:rPr>
      <w:b/>
      <w:i/>
    </w:rPr>
  </w:style>
  <w:style w:type="character" w:customStyle="1" w:styleId="TEKSTOZNACZONYWDOKUMENCIERDOWYMJAKOUKRYTY">
    <w:name w:val="_TEKST_OZNACZONY_W_DOKUMENCIE_ŹRÓDŁOWYM_JAKO_UKRYTY_"/>
    <w:basedOn w:val="Domylnaczcionkaakapitu"/>
    <w:uiPriority w:val="4"/>
    <w:unhideWhenUsed/>
    <w:qFormat/>
    <w:rsid w:val="00CD1D86"/>
    <w:rPr>
      <w:vanish w:val="0"/>
      <w:color w:val="FF0000"/>
      <w:u w:val="single" w:color="FF0000"/>
    </w:rPr>
  </w:style>
  <w:style w:type="character" w:customStyle="1" w:styleId="BEZWERSALIKW">
    <w:name w:val="_BEZ_WERSALIKÓW_"/>
    <w:basedOn w:val="Domylnaczcionkaakapitu"/>
    <w:uiPriority w:val="4"/>
    <w:qFormat/>
    <w:rsid w:val="00CD1D86"/>
    <w:rPr>
      <w:caps/>
    </w:rPr>
  </w:style>
  <w:style w:type="character" w:customStyle="1" w:styleId="IIGPindeksgrnyindeksugrnegoipogrubienie">
    <w:name w:val="_IIG_P_ – indeks górny indeksu górnego i pogrubienie"/>
    <w:basedOn w:val="Domylnaczcionkaakapitu"/>
    <w:uiPriority w:val="3"/>
    <w:qFormat/>
    <w:rsid w:val="00CD1D8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D1D8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D1D86"/>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CD1D86"/>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CD1D86"/>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CD1D86"/>
    <w:pPr>
      <w:ind w:left="1894"/>
    </w:pPr>
  </w:style>
  <w:style w:type="paragraph" w:customStyle="1" w:styleId="ZZSKARNzmianazmsankcjikarnej">
    <w:name w:val="ZZ/S_KARN – zmiana zm. sankcji karnej"/>
    <w:basedOn w:val="ZZFRAGzmianazmfragmentunpzdania"/>
    <w:uiPriority w:val="71"/>
    <w:qFormat/>
    <w:rsid w:val="00CD1D8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D1D86"/>
    <w:pPr>
      <w:ind w:left="2291" w:firstLine="0"/>
    </w:pPr>
  </w:style>
  <w:style w:type="paragraph" w:customStyle="1" w:styleId="WMATFIZCHEMwzrmatfizlubchem">
    <w:name w:val="W_MAT(FIZ|CHEM) – wzór mat. (fiz. lub chem.)"/>
    <w:uiPriority w:val="18"/>
    <w:qFormat/>
    <w:rsid w:val="00CD1D86"/>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D1D8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D1D8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D1D8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D1D8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D1D8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D1D8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D1D8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D1D8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D1D86"/>
    <w:pPr>
      <w:ind w:left="3085"/>
    </w:pPr>
  </w:style>
  <w:style w:type="paragraph" w:customStyle="1" w:styleId="ZLITCYTzmcytatunpprzysigiliter">
    <w:name w:val="Z_LIT/CYT – zm. cytatu np. przysięgi literą"/>
    <w:basedOn w:val="ZCYTzmcytatunpprzysigiartykuempunktem"/>
    <w:uiPriority w:val="53"/>
    <w:qFormat/>
    <w:rsid w:val="00CD1D86"/>
    <w:pPr>
      <w:ind w:left="1497"/>
    </w:pPr>
  </w:style>
  <w:style w:type="paragraph" w:customStyle="1" w:styleId="ZTIRCYTzmcytatunpprzysigitiret">
    <w:name w:val="Z_TIR/CYT – zm. cytatu np. przysięgi tiret"/>
    <w:basedOn w:val="ZLITCYTzmcytatunpprzysigiliter"/>
    <w:next w:val="ZTIRUSTzmusttiret"/>
    <w:uiPriority w:val="61"/>
    <w:qFormat/>
    <w:rsid w:val="00CD1D8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D1D86"/>
    <w:pPr>
      <w:ind w:left="2291"/>
    </w:pPr>
  </w:style>
  <w:style w:type="paragraph" w:customStyle="1" w:styleId="ZZCYTzmianazmcytatunpprzysigi">
    <w:name w:val="ZZ/CYT – zmiana zm. cytatu np. przysięgi"/>
    <w:basedOn w:val="ZZFRAGzmianazmfragmentunpzdania"/>
    <w:next w:val="ZZUSTzmianazmust"/>
    <w:uiPriority w:val="71"/>
    <w:qFormat/>
    <w:rsid w:val="00CD1D8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D1D86"/>
    <w:pPr>
      <w:ind w:left="1780"/>
    </w:pPr>
  </w:style>
  <w:style w:type="table" w:styleId="Tabela-Siatka">
    <w:name w:val="Table Grid"/>
    <w:basedOn w:val="Standardowy"/>
    <w:rsid w:val="00CD1D86"/>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CD1D86"/>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D1D8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D1D8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D1D8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D1D86"/>
    <w:rPr>
      <w:color w:val="808080"/>
    </w:rPr>
  </w:style>
  <w:style w:type="table" w:customStyle="1" w:styleId="Siatkatabelijasna1">
    <w:name w:val="Siatka tabeli — jasna1"/>
    <w:basedOn w:val="Standardowy"/>
    <w:uiPriority w:val="40"/>
    <w:rsid w:val="00CD1D86"/>
    <w:pPr>
      <w:spacing w:after="0" w:line="240" w:lineRule="auto"/>
    </w:pPr>
    <w:rPr>
      <w:rFonts w:ascii="Times" w:eastAsia="Times New Roman" w:hAnsi="Times" w:cs="Times New Roman"/>
      <w:sz w:val="24"/>
      <w:szCs w:val="24"/>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ipercze1">
    <w:name w:val="Hiperłącze1"/>
    <w:basedOn w:val="Domylnaczcionkaakapitu"/>
    <w:uiPriority w:val="99"/>
    <w:unhideWhenUsed/>
    <w:rsid w:val="00CD1D86"/>
    <w:rPr>
      <w:color w:val="0000FF"/>
      <w:u w:val="single"/>
    </w:rPr>
  </w:style>
  <w:style w:type="paragraph" w:styleId="Tekstpodstawowy2">
    <w:name w:val="Body Text 2"/>
    <w:basedOn w:val="Normalny"/>
    <w:link w:val="Tekstpodstawowy2Znak"/>
    <w:uiPriority w:val="99"/>
    <w:unhideWhenUsed/>
    <w:rsid w:val="00CD1D86"/>
    <w:pPr>
      <w:widowControl w:val="0"/>
      <w:autoSpaceDE w:val="0"/>
      <w:autoSpaceDN w:val="0"/>
      <w:adjustRightInd w:val="0"/>
      <w:spacing w:after="120" w:line="480" w:lineRule="auto"/>
    </w:pPr>
    <w:rPr>
      <w:rFonts w:ascii="Times New Roman" w:eastAsia="Times New Roman" w:hAnsi="Times New Roman" w:cs="Arial"/>
      <w:sz w:val="24"/>
      <w:szCs w:val="20"/>
      <w:lang w:eastAsia="pl-PL"/>
    </w:rPr>
  </w:style>
  <w:style w:type="character" w:customStyle="1" w:styleId="Tekstpodstawowy2Znak">
    <w:name w:val="Tekst podstawowy 2 Znak"/>
    <w:basedOn w:val="Domylnaczcionkaakapitu"/>
    <w:link w:val="Tekstpodstawowy2"/>
    <w:uiPriority w:val="99"/>
    <w:rsid w:val="00CD1D86"/>
    <w:rPr>
      <w:rFonts w:ascii="Times New Roman" w:eastAsia="Times New Roman" w:hAnsi="Times New Roman" w:cs="Arial"/>
      <w:sz w:val="24"/>
      <w:szCs w:val="20"/>
      <w:lang w:eastAsia="pl-PL"/>
    </w:rPr>
  </w:style>
  <w:style w:type="paragraph" w:customStyle="1" w:styleId="Akapitzlist1">
    <w:name w:val="Akapit z listą1"/>
    <w:basedOn w:val="Normalny"/>
    <w:next w:val="Akapitzlist"/>
    <w:uiPriority w:val="34"/>
    <w:qFormat/>
    <w:rsid w:val="00CD1D86"/>
    <w:pPr>
      <w:ind w:left="720"/>
      <w:contextualSpacing/>
    </w:pPr>
  </w:style>
  <w:style w:type="paragraph" w:styleId="NormalnyWeb">
    <w:name w:val="Normal (Web)"/>
    <w:basedOn w:val="Normalny"/>
    <w:uiPriority w:val="99"/>
    <w:semiHidden/>
    <w:unhideWhenUsed/>
    <w:rsid w:val="00CD1D86"/>
    <w:pPr>
      <w:widowControl w:val="0"/>
      <w:autoSpaceDE w:val="0"/>
      <w:autoSpaceDN w:val="0"/>
      <w:adjustRightInd w:val="0"/>
      <w:spacing w:after="0" w:line="36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9"/>
    <w:semiHidden/>
    <w:rsid w:val="00CD1D86"/>
    <w:rPr>
      <w:rFonts w:ascii="Cambria" w:eastAsia="Times New Roman" w:hAnsi="Cambria" w:cs="Times New Roman"/>
      <w:b/>
      <w:bCs/>
      <w:color w:val="4F81BD"/>
      <w:szCs w:val="20"/>
    </w:rPr>
  </w:style>
  <w:style w:type="character" w:customStyle="1" w:styleId="Nagwek1Znak1">
    <w:name w:val="Nagłówek 1 Znak1"/>
    <w:basedOn w:val="Domylnaczcionkaakapitu"/>
    <w:uiPriority w:val="9"/>
    <w:rsid w:val="00CD1D86"/>
    <w:rPr>
      <w:rFonts w:asciiTheme="majorHAnsi" w:eastAsiaTheme="majorEastAsia" w:hAnsiTheme="majorHAnsi" w:cstheme="majorBidi"/>
      <w:color w:val="2E74B5" w:themeColor="accent1" w:themeShade="BF"/>
      <w:sz w:val="32"/>
      <w:szCs w:val="32"/>
    </w:rPr>
  </w:style>
  <w:style w:type="character" w:styleId="Hipercze">
    <w:name w:val="Hyperlink"/>
    <w:basedOn w:val="Domylnaczcionkaakapitu"/>
    <w:uiPriority w:val="99"/>
    <w:semiHidden/>
    <w:unhideWhenUsed/>
    <w:rsid w:val="00CD1D86"/>
    <w:rPr>
      <w:color w:val="0563C1" w:themeColor="hyperlink"/>
      <w:u w:val="single"/>
    </w:rPr>
  </w:style>
  <w:style w:type="paragraph" w:styleId="Akapitzlist">
    <w:name w:val="List Paragraph"/>
    <w:basedOn w:val="Normalny"/>
    <w:uiPriority w:val="34"/>
    <w:qFormat/>
    <w:rsid w:val="00CD1D86"/>
    <w:pPr>
      <w:ind w:left="720"/>
      <w:contextualSpacing/>
    </w:pPr>
  </w:style>
  <w:style w:type="character" w:customStyle="1" w:styleId="Nagwek3Znak1">
    <w:name w:val="Nagłówek 3 Znak1"/>
    <w:basedOn w:val="Domylnaczcionkaakapitu"/>
    <w:uiPriority w:val="9"/>
    <w:semiHidden/>
    <w:rsid w:val="00CD1D86"/>
    <w:rPr>
      <w:rFonts w:asciiTheme="majorHAnsi" w:eastAsiaTheme="majorEastAsia" w:hAnsiTheme="majorHAnsi" w:cstheme="majorBidi"/>
      <w:color w:val="1F4D78" w:themeColor="accent1" w:themeShade="7F"/>
      <w:sz w:val="24"/>
      <w:szCs w:val="24"/>
    </w:rPr>
  </w:style>
  <w:style w:type="paragraph" w:styleId="Poprawka">
    <w:name w:val="Revision"/>
    <w:hidden/>
    <w:uiPriority w:val="99"/>
    <w:semiHidden/>
    <w:rsid w:val="00A675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Arkusz_programu_Microsoft_Excel.xlsx"/></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64814-D734-4D82-A4CA-0B59D4E25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8181</Words>
  <Characters>49089</Characters>
  <Application>Microsoft Office Word</Application>
  <DocSecurity>0</DocSecurity>
  <Lines>409</Lines>
  <Paragraphs>114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Grażyna D. Grabowska</cp:lastModifiedBy>
  <cp:revision>2</cp:revision>
  <dcterms:created xsi:type="dcterms:W3CDTF">2020-11-23T10:05:00Z</dcterms:created>
  <dcterms:modified xsi:type="dcterms:W3CDTF">2020-11-23T10:05:00Z</dcterms:modified>
</cp:coreProperties>
</file>