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673" w:rsidRPr="0007151E" w:rsidRDefault="005B7673" w:rsidP="0007151E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7151E">
        <w:rPr>
          <w:rFonts w:ascii="Times New Roman" w:hAnsi="Times New Roman" w:cs="Times New Roman"/>
          <w:sz w:val="24"/>
          <w:szCs w:val="24"/>
        </w:rPr>
        <w:t>UZASADNIENIE</w:t>
      </w:r>
    </w:p>
    <w:p w:rsidR="005B7673" w:rsidRDefault="005B7673" w:rsidP="005B7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F6E21">
        <w:rPr>
          <w:rFonts w:ascii="Times New Roman" w:hAnsi="Times New Roman" w:cs="Times New Roman"/>
          <w:sz w:val="24"/>
          <w:szCs w:val="24"/>
        </w:rPr>
        <w:t xml:space="preserve">Projekt ustawy o zmianie </w:t>
      </w:r>
      <w:r>
        <w:rPr>
          <w:rFonts w:ascii="Times New Roman" w:hAnsi="Times New Roman" w:cs="Times New Roman"/>
          <w:sz w:val="24"/>
          <w:szCs w:val="24"/>
        </w:rPr>
        <w:t xml:space="preserve">ustawy </w:t>
      </w:r>
      <w:r w:rsidRPr="003448FE">
        <w:rPr>
          <w:rFonts w:ascii="Times New Roman" w:hAnsi="Times New Roman" w:cs="Times New Roman"/>
          <w:sz w:val="24"/>
          <w:szCs w:val="24"/>
        </w:rPr>
        <w:t>o szczególnych rozwiązaniach związanych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448FE">
        <w:rPr>
          <w:rFonts w:ascii="Times New Roman" w:hAnsi="Times New Roman" w:cs="Times New Roman"/>
          <w:sz w:val="24"/>
          <w:szCs w:val="24"/>
        </w:rPr>
        <w:t xml:space="preserve">zapobieganiem, przeciwdziałaniem i zwalczaniem COVID-19, innych chorób zakaźnych oraz wywołanych nimi sytuacji kryzysowych </w:t>
      </w:r>
      <w:r>
        <w:rPr>
          <w:rFonts w:ascii="Times New Roman" w:hAnsi="Times New Roman" w:cs="Times New Roman"/>
          <w:sz w:val="24"/>
          <w:szCs w:val="24"/>
        </w:rPr>
        <w:t>wprowadza zmiany w następujących ustawach:</w:t>
      </w:r>
    </w:p>
    <w:p w:rsidR="006E3FAE" w:rsidRDefault="005B7673" w:rsidP="005B767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6E3FAE" w:rsidRPr="003448FE">
        <w:rPr>
          <w:rFonts w:ascii="Times New Roman" w:hAnsi="Times New Roman" w:cs="Times New Roman"/>
          <w:sz w:val="24"/>
          <w:szCs w:val="24"/>
        </w:rPr>
        <w:t>ustawie z dnia 2 marca 2020 r. o szczególnych rozwiązaniach związanych z</w:t>
      </w:r>
      <w:r w:rsidR="006E3FAE">
        <w:rPr>
          <w:rFonts w:ascii="Times New Roman" w:hAnsi="Times New Roman" w:cs="Times New Roman"/>
          <w:sz w:val="24"/>
          <w:szCs w:val="24"/>
        </w:rPr>
        <w:t> </w:t>
      </w:r>
      <w:r w:rsidR="006E3FAE" w:rsidRPr="003448FE">
        <w:rPr>
          <w:rFonts w:ascii="Times New Roman" w:hAnsi="Times New Roman" w:cs="Times New Roman"/>
          <w:sz w:val="24"/>
          <w:szCs w:val="24"/>
        </w:rPr>
        <w:t>zapobieganiem, przeciwdziałaniem i zwalczaniem COVID-19, innych chorób zakaźnych oraz wywołanych nimi sytuacji kryzysowych (Dz. U. poz. 1842</w:t>
      </w:r>
      <w:r w:rsidR="006E3FAE">
        <w:rPr>
          <w:rFonts w:ascii="Times New Roman" w:hAnsi="Times New Roman" w:cs="Times New Roman"/>
          <w:sz w:val="24"/>
          <w:szCs w:val="24"/>
        </w:rPr>
        <w:t>, z późn. zm.</w:t>
      </w:r>
      <w:r w:rsidR="006E3FAE" w:rsidRPr="003448FE">
        <w:rPr>
          <w:rFonts w:ascii="Times New Roman" w:hAnsi="Times New Roman" w:cs="Times New Roman"/>
          <w:sz w:val="24"/>
          <w:szCs w:val="24"/>
        </w:rPr>
        <w:t>)</w:t>
      </w:r>
      <w:r w:rsidR="006E3FAE">
        <w:rPr>
          <w:rFonts w:ascii="Times New Roman" w:hAnsi="Times New Roman" w:cs="Times New Roman"/>
          <w:sz w:val="24"/>
          <w:szCs w:val="24"/>
        </w:rPr>
        <w:t>;</w:t>
      </w:r>
    </w:p>
    <w:p w:rsidR="005B7673" w:rsidRDefault="006E3FAE" w:rsidP="005B767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5B7673" w:rsidRPr="00BD38AA">
        <w:rPr>
          <w:rFonts w:ascii="Times New Roman" w:hAnsi="Times New Roman" w:cs="Times New Roman"/>
          <w:sz w:val="24"/>
          <w:szCs w:val="24"/>
        </w:rPr>
        <w:t>ustawie z dnia 24 lipca 2015 r. o Radzie Dialogu Społecznego i innych instytucjach dialogu społecznego (Dz. U. z 2018 r. poz. 2232</w:t>
      </w:r>
      <w:r w:rsidR="00C33E37">
        <w:rPr>
          <w:rFonts w:ascii="Times New Roman" w:hAnsi="Times New Roman" w:cs="Times New Roman"/>
          <w:sz w:val="24"/>
          <w:szCs w:val="24"/>
        </w:rPr>
        <w:t>, z późn. zm.</w:t>
      </w:r>
      <w:r w:rsidR="005B7673" w:rsidRPr="00BD38AA">
        <w:rPr>
          <w:rFonts w:ascii="Times New Roman" w:hAnsi="Times New Roman" w:cs="Times New Roman"/>
          <w:sz w:val="24"/>
          <w:szCs w:val="24"/>
        </w:rPr>
        <w:t>)</w:t>
      </w:r>
      <w:r w:rsidR="005B7673">
        <w:rPr>
          <w:rFonts w:ascii="Times New Roman" w:hAnsi="Times New Roman" w:cs="Times New Roman"/>
          <w:sz w:val="24"/>
          <w:szCs w:val="24"/>
        </w:rPr>
        <w:t>;</w:t>
      </w:r>
    </w:p>
    <w:p w:rsidR="005B7673" w:rsidRDefault="006E3FAE" w:rsidP="005B767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B7673">
        <w:rPr>
          <w:rFonts w:ascii="Times New Roman" w:hAnsi="Times New Roman" w:cs="Times New Roman"/>
          <w:sz w:val="24"/>
          <w:szCs w:val="24"/>
        </w:rPr>
        <w:t>)</w:t>
      </w:r>
      <w:r w:rsidR="005B7673">
        <w:rPr>
          <w:rFonts w:ascii="Times New Roman" w:hAnsi="Times New Roman" w:cs="Times New Roman"/>
          <w:sz w:val="24"/>
          <w:szCs w:val="24"/>
        </w:rPr>
        <w:tab/>
        <w:t>ustawie z dnia 10 stycznia 2018 r. o ograniczeniu handlu w niedziele i święta oraz w niektóre inne dni (Dz. U. z 2019 r. poz. 466);</w:t>
      </w:r>
    </w:p>
    <w:p w:rsidR="005B7673" w:rsidRDefault="006E3FAE" w:rsidP="005B767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B7673">
        <w:rPr>
          <w:rFonts w:ascii="Times New Roman" w:hAnsi="Times New Roman" w:cs="Times New Roman"/>
          <w:sz w:val="24"/>
          <w:szCs w:val="24"/>
        </w:rPr>
        <w:t>)</w:t>
      </w:r>
      <w:r w:rsidR="005B7673">
        <w:rPr>
          <w:rFonts w:ascii="Times New Roman" w:hAnsi="Times New Roman" w:cs="Times New Roman"/>
          <w:sz w:val="24"/>
          <w:szCs w:val="24"/>
        </w:rPr>
        <w:tab/>
      </w:r>
      <w:r w:rsidR="005B7673" w:rsidRPr="0024226A">
        <w:rPr>
          <w:rFonts w:ascii="Times New Roman" w:hAnsi="Times New Roman" w:cs="Times New Roman"/>
          <w:sz w:val="24"/>
          <w:szCs w:val="24"/>
        </w:rPr>
        <w:t>ustawie z dnia 31</w:t>
      </w:r>
      <w:r w:rsidR="005B7673">
        <w:rPr>
          <w:rFonts w:ascii="Times New Roman" w:hAnsi="Times New Roman" w:cs="Times New Roman"/>
          <w:sz w:val="24"/>
          <w:szCs w:val="24"/>
        </w:rPr>
        <w:t xml:space="preserve"> </w:t>
      </w:r>
      <w:r w:rsidR="005B7673" w:rsidRPr="0024226A">
        <w:rPr>
          <w:rFonts w:ascii="Times New Roman" w:hAnsi="Times New Roman" w:cs="Times New Roman"/>
          <w:sz w:val="24"/>
          <w:szCs w:val="24"/>
        </w:rPr>
        <w:t>marca 2020</w:t>
      </w:r>
      <w:r w:rsidR="005B7673">
        <w:rPr>
          <w:rFonts w:ascii="Times New Roman" w:hAnsi="Times New Roman" w:cs="Times New Roman"/>
          <w:sz w:val="24"/>
          <w:szCs w:val="24"/>
        </w:rPr>
        <w:t xml:space="preserve"> </w:t>
      </w:r>
      <w:r w:rsidR="005B7673" w:rsidRPr="0024226A">
        <w:rPr>
          <w:rFonts w:ascii="Times New Roman" w:hAnsi="Times New Roman" w:cs="Times New Roman"/>
          <w:sz w:val="24"/>
          <w:szCs w:val="24"/>
        </w:rPr>
        <w:t>r.</w:t>
      </w:r>
      <w:r w:rsidR="005B7673">
        <w:rPr>
          <w:rFonts w:ascii="Times New Roman" w:hAnsi="Times New Roman" w:cs="Times New Roman"/>
          <w:sz w:val="24"/>
          <w:szCs w:val="24"/>
        </w:rPr>
        <w:t xml:space="preserve"> </w:t>
      </w:r>
      <w:r w:rsidR="005B7673" w:rsidRPr="0024226A">
        <w:rPr>
          <w:rFonts w:ascii="Times New Roman" w:hAnsi="Times New Roman" w:cs="Times New Roman"/>
          <w:sz w:val="24"/>
          <w:szCs w:val="24"/>
        </w:rPr>
        <w:t>o zmianie ustawy o</w:t>
      </w:r>
      <w:r w:rsidR="005B7673">
        <w:rPr>
          <w:rFonts w:ascii="Times New Roman" w:hAnsi="Times New Roman" w:cs="Times New Roman"/>
          <w:sz w:val="24"/>
          <w:szCs w:val="24"/>
        </w:rPr>
        <w:t xml:space="preserve"> </w:t>
      </w:r>
      <w:r w:rsidR="005B7673" w:rsidRPr="0024226A">
        <w:rPr>
          <w:rFonts w:ascii="Times New Roman" w:hAnsi="Times New Roman" w:cs="Times New Roman"/>
          <w:sz w:val="24"/>
          <w:szCs w:val="24"/>
        </w:rPr>
        <w:t>szczególnych rozwiązaniach związanych z</w:t>
      </w:r>
      <w:r w:rsidR="005B7673">
        <w:rPr>
          <w:rFonts w:ascii="Times New Roman" w:hAnsi="Times New Roman" w:cs="Times New Roman"/>
          <w:sz w:val="24"/>
          <w:szCs w:val="24"/>
        </w:rPr>
        <w:t xml:space="preserve"> </w:t>
      </w:r>
      <w:r w:rsidR="005B7673" w:rsidRPr="0024226A">
        <w:rPr>
          <w:rFonts w:ascii="Times New Roman" w:hAnsi="Times New Roman" w:cs="Times New Roman"/>
          <w:sz w:val="24"/>
          <w:szCs w:val="24"/>
        </w:rPr>
        <w:t>zapobieganiem, przeciwdziałaniem i</w:t>
      </w:r>
      <w:r w:rsidR="005B7673">
        <w:rPr>
          <w:rFonts w:ascii="Times New Roman" w:hAnsi="Times New Roman" w:cs="Times New Roman"/>
          <w:sz w:val="24"/>
          <w:szCs w:val="24"/>
        </w:rPr>
        <w:t xml:space="preserve"> </w:t>
      </w:r>
      <w:r w:rsidR="005B7673" w:rsidRPr="0024226A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 oraz niektórych innych ustaw</w:t>
      </w:r>
      <w:r w:rsidR="005B7673">
        <w:rPr>
          <w:rFonts w:ascii="Times New Roman" w:hAnsi="Times New Roman" w:cs="Times New Roman"/>
          <w:sz w:val="24"/>
          <w:szCs w:val="24"/>
        </w:rPr>
        <w:t xml:space="preserve"> (Dz. U. </w:t>
      </w:r>
      <w:r w:rsidR="005B7673" w:rsidRPr="007335A8">
        <w:rPr>
          <w:rFonts w:ascii="Times New Roman" w:hAnsi="Times New Roman" w:cs="Times New Roman"/>
          <w:sz w:val="24"/>
          <w:szCs w:val="24"/>
        </w:rPr>
        <w:t xml:space="preserve">poz. 568, </w:t>
      </w:r>
      <w:r w:rsidR="005B7673">
        <w:rPr>
          <w:rFonts w:ascii="Times New Roman" w:hAnsi="Times New Roman" w:cs="Times New Roman"/>
          <w:sz w:val="24"/>
          <w:szCs w:val="24"/>
        </w:rPr>
        <w:t>z późn. zm.).</w:t>
      </w:r>
    </w:p>
    <w:p w:rsidR="005B7673" w:rsidRDefault="005B7673" w:rsidP="0007151E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Istotą zmiany wprowadzanej w ustawie </w:t>
      </w:r>
      <w:r w:rsidRPr="003448FE">
        <w:rPr>
          <w:rFonts w:ascii="Times New Roman" w:hAnsi="Times New Roman" w:cs="Times New Roman"/>
          <w:sz w:val="24"/>
          <w:szCs w:val="24"/>
        </w:rPr>
        <w:t>z dnia 2 marca 2020 r. o szczególnych rozwiązaniach związanych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8FE">
        <w:rPr>
          <w:rFonts w:ascii="Times New Roman" w:hAnsi="Times New Roman" w:cs="Times New Roman"/>
          <w:sz w:val="24"/>
          <w:szCs w:val="24"/>
        </w:rPr>
        <w:t>zapobieganiem, przeciwdziałaniem i zwalczaniem COVID-19, innych chorób zakaźnych oraz wywołanych nimi sytuacji kryzysowych</w:t>
      </w:r>
      <w:r w:rsidR="003E6565">
        <w:rPr>
          <w:rFonts w:ascii="Times New Roman" w:hAnsi="Times New Roman" w:cs="Times New Roman"/>
          <w:sz w:val="24"/>
          <w:szCs w:val="24"/>
        </w:rPr>
        <w:t>, polegającej na dodaniu art. 4ha,</w:t>
      </w:r>
      <w:r w:rsidRPr="003448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 stworzenie podstawy prawnej pozwalającej pracownikowi lub innej osobie zatrudnionej, przebywającej w izolacji w warunkach domowych w związku z</w:t>
      </w:r>
      <w:r w:rsidR="000E595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pozytywnym wynikiem testu na obecność wirusa SARS-CoV-2, na wykonywanie pracy zdalnej</w:t>
      </w:r>
      <w:r w:rsidR="00D473EB">
        <w:rPr>
          <w:rFonts w:ascii="Times New Roman" w:hAnsi="Times New Roman" w:cs="Times New Roman"/>
          <w:sz w:val="24"/>
          <w:szCs w:val="24"/>
        </w:rPr>
        <w:t xml:space="preserve"> (art. 1 pkt 1)</w:t>
      </w:r>
      <w:r>
        <w:rPr>
          <w:rFonts w:ascii="Times New Roman" w:hAnsi="Times New Roman" w:cs="Times New Roman"/>
          <w:sz w:val="24"/>
          <w:szCs w:val="24"/>
        </w:rPr>
        <w:t xml:space="preserve">. Możliwość taka została przewidziana w dodawanym, na mocy art. 20 pkt 2 ustawy z dnia 28 października 2020 r. </w:t>
      </w:r>
      <w:r w:rsidRPr="00DC0E9A">
        <w:rPr>
          <w:rFonts w:ascii="Times New Roman" w:hAnsi="Times New Roman" w:cs="Times New Roman"/>
          <w:bCs/>
          <w:sz w:val="24"/>
          <w:szCs w:val="24"/>
        </w:rPr>
        <w:t>o zmianie niektórych ustaw w związku z</w:t>
      </w:r>
      <w:r w:rsidR="000E595F">
        <w:rPr>
          <w:rFonts w:ascii="Times New Roman" w:hAnsi="Times New Roman" w:cs="Times New Roman"/>
          <w:bCs/>
          <w:sz w:val="24"/>
          <w:szCs w:val="24"/>
        </w:rPr>
        <w:t> </w:t>
      </w:r>
      <w:r w:rsidRPr="00DC0E9A">
        <w:rPr>
          <w:rFonts w:ascii="Times New Roman" w:hAnsi="Times New Roman" w:cs="Times New Roman"/>
          <w:bCs/>
          <w:sz w:val="24"/>
          <w:szCs w:val="24"/>
        </w:rPr>
        <w:t>przeciwdziałaniem sytuacjom kryzysowym związanym z</w:t>
      </w:r>
      <w:r w:rsidR="006E3FAE">
        <w:rPr>
          <w:rFonts w:ascii="Times New Roman" w:hAnsi="Times New Roman" w:cs="Times New Roman"/>
          <w:bCs/>
          <w:sz w:val="24"/>
          <w:szCs w:val="24"/>
        </w:rPr>
        <w:t> </w:t>
      </w:r>
      <w:r w:rsidRPr="00DC0E9A">
        <w:rPr>
          <w:rFonts w:ascii="Times New Roman" w:hAnsi="Times New Roman" w:cs="Times New Roman"/>
          <w:bCs/>
          <w:sz w:val="24"/>
          <w:szCs w:val="24"/>
        </w:rPr>
        <w:t>wystąpieniem COVID-19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DC0E9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Pr="00DC04F3">
        <w:rPr>
          <w:rFonts w:ascii="Times New Roman" w:hAnsi="Times New Roman" w:cs="Times New Roman"/>
          <w:sz w:val="24"/>
          <w:szCs w:val="24"/>
        </w:rPr>
        <w:t>ustawy z dnia 2 marca 2020 r.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04F3">
        <w:rPr>
          <w:rFonts w:ascii="Times New Roman" w:hAnsi="Times New Roman" w:cs="Times New Roman"/>
          <w:sz w:val="24"/>
          <w:szCs w:val="24"/>
        </w:rPr>
        <w:t>szczególnych rozwiązaniach związanych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04F3">
        <w:rPr>
          <w:rFonts w:ascii="Times New Roman" w:hAnsi="Times New Roman" w:cs="Times New Roman"/>
          <w:sz w:val="24"/>
          <w:szCs w:val="24"/>
        </w:rPr>
        <w:t>zapobieganiem, przeciwdziałaniem i zwalczaniem COVID-19, innych chorób zakaźnych oraz wywołanych nimi sytuacji kryzysowych</w:t>
      </w:r>
      <w:r w:rsidR="006E3F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art. 4h w odniesieniu do kwarantanny. </w:t>
      </w:r>
    </w:p>
    <w:p w:rsidR="005B7673" w:rsidRPr="00E5089F" w:rsidRDefault="005B7673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8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Izolację stosuje się wobec osób, co do których wiadomo, że są zakażone wirusem SARS-CoV-2. Ma ona na celu odosobnienie osób chorych od osób zdrowych. Izolacja pozwala na obserwację oraz leczenie osób chorych. Osoby izolowane mogą pozostawać pod opieką w swoich domach, w szpitalach lub innych wyznaczonych placówkach (tzw. izolatoriach). Co istotne, izolowana osoba zakażona nie zawsze jest tzw. „osobą objawową”, co oznacza, że nie stwierdza się u niej jakichkolwiek objawów choroby zakaźnej lub przebieg choroby jest </w:t>
      </w:r>
      <w:r w:rsidRPr="00E508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>skąpoobjawowy. Jak pokazują dostępne dane, koronawirus u dużej liczby chorych przebiega bezobjawowo. Okoliczności te uzasadniają wprowadzenie możliwości wykonywania przez takie osoby pracy zdalnej, za zgodą pracodawcy, przy zachowaniu reżimu sanitarnego.</w:t>
      </w:r>
    </w:p>
    <w:p w:rsidR="005B7673" w:rsidRDefault="005B7673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należy zwrócić uwagę, że liczba zakażeń wirusem SARS-CoV-2 w Rzeczypospolitej Polskiej może skutkować deficytem pracowników w zakładach pracy, a przez to zagrażać utrzymaniu ciągłości ich działania. Zarówno pracodawcy prywatni, jak i podmioty publiczne, mogą stanąć przed zagrożeniem ograniczenia bądź, w najgorszym przypadku – utraty możliwości realizacji swoich zadań, z uwagi na zwiększającą się liczbę pracowników przebywających na kwarantannie lub </w:t>
      </w:r>
      <w:r w:rsidR="000E7F85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izolacji w warunkach domowych.</w:t>
      </w:r>
    </w:p>
    <w:p w:rsidR="005B7673" w:rsidRDefault="005B7673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na uwadze powyższe oraz okoliczność, iż ustawodawca uregulował omawianą kwestię w przypadku kwarantanny, proponuje się wprowadzenie analogicznego rozwiązania umożliwiającego pracownikom objętym izolacją w warunkach domowych, którzy nie przejawiają symptomów choroby COVID-19 bądź objawy tej choroby mają łagodny przebieg, wykonywanie pracy zdalnej. W przypadku pogorszenia stanu zdrowia pracownika w okresie świadczenia przez niego pracy zdalnej podczas izolacji w warunkach domowych, uzyska on prawo do wynagrodzenia chorobowego, o którym mowa w art. 92 ustawy z dnia 26 czerwca 1974 r. – Kodeks pracy, albo do świadczenia pieniężnego z tytułu choroby za pozostały okres przebywania w izolacji w warunkach domowych, w trakcie którego nie świadczy pracy zdalnej.</w:t>
      </w:r>
      <w:r w:rsidR="009A2A48">
        <w:rPr>
          <w:rFonts w:ascii="Times New Roman" w:hAnsi="Times New Roman" w:cs="Times New Roman"/>
          <w:sz w:val="24"/>
          <w:szCs w:val="24"/>
        </w:rPr>
        <w:t xml:space="preserve"> </w:t>
      </w:r>
      <w:r w:rsidR="009A2A48" w:rsidRPr="009A2A48">
        <w:rPr>
          <w:rFonts w:ascii="Times New Roman" w:hAnsi="Times New Roman" w:cs="Times New Roman"/>
          <w:sz w:val="24"/>
          <w:szCs w:val="24"/>
        </w:rPr>
        <w:t>W celu ujednolicenia projektowanych rozwiązań projektowanym art. 4hb uregulowano kwestie świadczeń przysługujących w trakcie nieświadczenia pracy w okresie kwarantanny, jak również w okresie izolacji w warunkach domowych.</w:t>
      </w:r>
    </w:p>
    <w:p w:rsidR="003E6565" w:rsidRDefault="00CC72A7" w:rsidP="003E65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zmianach zawartych w art. 1 pkt </w:t>
      </w:r>
      <w:r w:rsidR="00A94A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–6 p</w:t>
      </w:r>
      <w:r w:rsidR="003E6565">
        <w:rPr>
          <w:rFonts w:ascii="Times New Roman" w:hAnsi="Times New Roman" w:cs="Times New Roman"/>
          <w:sz w:val="24"/>
          <w:szCs w:val="24"/>
        </w:rPr>
        <w:t xml:space="preserve">roponuje się </w:t>
      </w:r>
      <w:r>
        <w:rPr>
          <w:rFonts w:ascii="Times New Roman" w:hAnsi="Times New Roman" w:cs="Times New Roman"/>
          <w:sz w:val="24"/>
          <w:szCs w:val="24"/>
        </w:rPr>
        <w:t xml:space="preserve">natomiast </w:t>
      </w:r>
      <w:r w:rsidR="003E6565">
        <w:rPr>
          <w:rFonts w:ascii="Times New Roman" w:hAnsi="Times New Roman" w:cs="Times New Roman"/>
          <w:sz w:val="24"/>
          <w:szCs w:val="24"/>
        </w:rPr>
        <w:t>umożliwienie przeprowadzania zawieszonych dotychczas badań lekarskich i psychologicznych, szkoleń i</w:t>
      </w:r>
      <w:r w:rsidR="000E595F">
        <w:rPr>
          <w:rFonts w:ascii="Times New Roman" w:hAnsi="Times New Roman" w:cs="Times New Roman"/>
          <w:sz w:val="24"/>
          <w:szCs w:val="24"/>
        </w:rPr>
        <w:t> </w:t>
      </w:r>
      <w:r w:rsidR="003E6565">
        <w:rPr>
          <w:rFonts w:ascii="Times New Roman" w:hAnsi="Times New Roman" w:cs="Times New Roman"/>
          <w:sz w:val="24"/>
          <w:szCs w:val="24"/>
        </w:rPr>
        <w:t>sprawdzianów wiedzy maszynistów oraz egzaminów okresowych, o których mowa w § 42 ust. 1 rozporządzenia Ministra Infrastruktury i Rozwoju z dnia 30 grudnia 2014 r. w sprawie pracowników zatrudnionych na stanowiskach bezpośrednio związanych z prowadzeniem i</w:t>
      </w:r>
      <w:r w:rsidR="000E595F">
        <w:rPr>
          <w:rFonts w:ascii="Times New Roman" w:hAnsi="Times New Roman" w:cs="Times New Roman"/>
          <w:sz w:val="24"/>
          <w:szCs w:val="24"/>
        </w:rPr>
        <w:t> </w:t>
      </w:r>
      <w:r w:rsidR="003E6565">
        <w:rPr>
          <w:rFonts w:ascii="Times New Roman" w:hAnsi="Times New Roman" w:cs="Times New Roman"/>
          <w:sz w:val="24"/>
          <w:szCs w:val="24"/>
        </w:rPr>
        <w:t>bezpieczeństwem ruchu kolejowego oraz z prowadzeniem określonych rodzajów pojazdów kolejowych (Dz. U. z 2015 r. poz. 46)</w:t>
      </w:r>
      <w:r w:rsidR="0007151E">
        <w:rPr>
          <w:rFonts w:ascii="Times New Roman" w:hAnsi="Times New Roman" w:cs="Times New Roman"/>
          <w:sz w:val="24"/>
          <w:szCs w:val="24"/>
        </w:rPr>
        <w:t>,</w:t>
      </w:r>
      <w:r w:rsidR="003E6565">
        <w:rPr>
          <w:rFonts w:ascii="Times New Roman" w:hAnsi="Times New Roman" w:cs="Times New Roman"/>
          <w:sz w:val="24"/>
          <w:szCs w:val="24"/>
        </w:rPr>
        <w:t xml:space="preserve"> przez uchylenie w art. 12a w ust. 1 pkt 3</w:t>
      </w:r>
      <w:r w:rsidR="000E595F">
        <w:rPr>
          <w:rFonts w:ascii="Times New Roman" w:hAnsi="Times New Roman" w:cs="Times New Roman"/>
          <w:sz w:val="24"/>
          <w:szCs w:val="24"/>
        </w:rPr>
        <w:t xml:space="preserve"> oraz</w:t>
      </w:r>
      <w:r w:rsidR="003E6565">
        <w:rPr>
          <w:rFonts w:ascii="Times New Roman" w:hAnsi="Times New Roman" w:cs="Times New Roman"/>
          <w:sz w:val="24"/>
          <w:szCs w:val="24"/>
        </w:rPr>
        <w:t xml:space="preserve"> </w:t>
      </w:r>
      <w:r w:rsidR="000E7F85">
        <w:rPr>
          <w:rFonts w:ascii="Times New Roman" w:hAnsi="Times New Roman" w:cs="Times New Roman"/>
          <w:sz w:val="24"/>
          <w:szCs w:val="24"/>
        </w:rPr>
        <w:t>zmianę</w:t>
      </w:r>
      <w:r w:rsidR="003E6565">
        <w:rPr>
          <w:rFonts w:ascii="Times New Roman" w:hAnsi="Times New Roman" w:cs="Times New Roman"/>
          <w:sz w:val="24"/>
          <w:szCs w:val="24"/>
        </w:rPr>
        <w:t xml:space="preserve"> brzmienia art. 15zzzy, art. 15zzzy</w:t>
      </w:r>
      <w:r w:rsidR="003E6565" w:rsidRPr="00BD181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8685A">
        <w:rPr>
          <w:rFonts w:ascii="Times New Roman" w:hAnsi="Times New Roman" w:cs="Times New Roman"/>
          <w:sz w:val="24"/>
          <w:szCs w:val="24"/>
        </w:rPr>
        <w:t>,</w:t>
      </w:r>
      <w:r w:rsidR="003E6565">
        <w:rPr>
          <w:rFonts w:ascii="Times New Roman" w:hAnsi="Times New Roman" w:cs="Times New Roman"/>
          <w:sz w:val="24"/>
          <w:szCs w:val="24"/>
        </w:rPr>
        <w:t xml:space="preserve"> art. 15zzzz i art. 15zzzza, w taki sposób</w:t>
      </w:r>
      <w:r w:rsidR="0007151E">
        <w:rPr>
          <w:rFonts w:ascii="Times New Roman" w:hAnsi="Times New Roman" w:cs="Times New Roman"/>
          <w:sz w:val="24"/>
          <w:szCs w:val="24"/>
        </w:rPr>
        <w:t>,</w:t>
      </w:r>
      <w:r w:rsidR="003E6565">
        <w:rPr>
          <w:rFonts w:ascii="Times New Roman" w:hAnsi="Times New Roman" w:cs="Times New Roman"/>
          <w:sz w:val="24"/>
          <w:szCs w:val="24"/>
        </w:rPr>
        <w:t xml:space="preserve"> </w:t>
      </w:r>
      <w:r w:rsidR="0007151E">
        <w:rPr>
          <w:rFonts w:ascii="Times New Roman" w:hAnsi="Times New Roman" w:cs="Times New Roman"/>
          <w:sz w:val="24"/>
          <w:szCs w:val="24"/>
        </w:rPr>
        <w:t>a</w:t>
      </w:r>
      <w:r w:rsidR="003E6565">
        <w:rPr>
          <w:rFonts w:ascii="Times New Roman" w:hAnsi="Times New Roman" w:cs="Times New Roman"/>
          <w:sz w:val="24"/>
          <w:szCs w:val="24"/>
        </w:rPr>
        <w:t>by umożliwić prowadzanie ww. badań, szkoleń, i egzaminów okresowych przez właściwy ośrodek kolejowej medycyny pracy, ośrodek szkolenia lub przedsiębiorcę.</w:t>
      </w:r>
    </w:p>
    <w:p w:rsidR="003E6565" w:rsidRDefault="003E6565" w:rsidP="003E65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Zaproponowane zmiany spowodują, że od dnia wejścia w życie nowelizacji umożliwione zostanie prowadz</w:t>
      </w:r>
      <w:r w:rsidR="000E595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nie badań lekarskich i psychologicznych osób ubiegających się o uzyskanie licencji lub świadectwa maszynisty. </w:t>
      </w:r>
    </w:p>
    <w:p w:rsidR="003E6565" w:rsidRDefault="003E6565" w:rsidP="003E65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Ponadto od dnia 1 marca 2021 r. będzie można przeprowadzać badania lekarskie i</w:t>
      </w:r>
      <w:r w:rsidR="000E595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psychologiczne osób ubiegających się o zachowanie ważności licencji lub świadectwa maszynisty, pracowników zatrudnionych na stanowiskach bezpośrednio związanych z</w:t>
      </w:r>
      <w:r w:rsidR="000E595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prowadzeniem i bezpieczeństwem ruchu kolejowego oraz z prowadzeniem określonych rodzajów pojazdów kolejowych, pracowników zatrudnionych na stanowisku zwrotniczego oraz funkcjonariuszy straży ochrony kolei. </w:t>
      </w:r>
    </w:p>
    <w:p w:rsidR="003E6565" w:rsidRDefault="003E6565" w:rsidP="003E65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w przypadku</w:t>
      </w:r>
      <w:r w:rsidR="000E59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gdy ważność ww. badań lekarskich i psychologicznych upłynęłab</w:t>
      </w:r>
      <w:r w:rsidR="000E595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w okresie od dnia 1</w:t>
      </w:r>
      <w:r w:rsidR="000E7F8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marca 2020 r</w:t>
      </w:r>
      <w:r w:rsidR="000715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do dnia 31 grudnia 2022 r., ule</w:t>
      </w:r>
      <w:r w:rsidR="000E595F">
        <w:rPr>
          <w:rFonts w:ascii="Times New Roman" w:hAnsi="Times New Roman" w:cs="Times New Roman"/>
          <w:sz w:val="24"/>
          <w:szCs w:val="24"/>
        </w:rPr>
        <w:t>gnie</w:t>
      </w:r>
      <w:r>
        <w:rPr>
          <w:rFonts w:ascii="Times New Roman" w:hAnsi="Times New Roman" w:cs="Times New Roman"/>
          <w:sz w:val="24"/>
          <w:szCs w:val="24"/>
        </w:rPr>
        <w:t xml:space="preserve"> ona przedłużeniu o rok. </w:t>
      </w:r>
    </w:p>
    <w:p w:rsidR="003E6565" w:rsidRDefault="003E6565" w:rsidP="003E65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Zaproponowany mechanizm pozwoli na usprawnienie przeprowadzania przez Kolejową Medycynę Pracy niezbędnych badań zarówno w okresie trwania epidemii</w:t>
      </w:r>
      <w:r w:rsidR="000E59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jak i po jej zakończeniu. W pierwszej kolejności badaniom będą poddawane osoby ubiegające się o</w:t>
      </w:r>
      <w:r w:rsidR="000E595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uzyskanie licencji bądź świadectwa maszynisty</w:t>
      </w:r>
      <w:r w:rsidR="000E59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 pozwoli na stały dopływ nowych kandydatów do zawodu maszynisty. Natomiast od </w:t>
      </w:r>
      <w:r w:rsidR="000E595F">
        <w:rPr>
          <w:rFonts w:ascii="Times New Roman" w:hAnsi="Times New Roman" w:cs="Times New Roman"/>
          <w:sz w:val="24"/>
          <w:szCs w:val="24"/>
        </w:rPr>
        <w:t xml:space="preserve">dnia </w:t>
      </w:r>
      <w:r>
        <w:rPr>
          <w:rFonts w:ascii="Times New Roman" w:hAnsi="Times New Roman" w:cs="Times New Roman"/>
          <w:sz w:val="24"/>
          <w:szCs w:val="24"/>
        </w:rPr>
        <w:t>1 marca 2021 r. przywrócone będą badania dla maszynistów, którzy obowiązani są ponowić badania. Proponowane wydłużenie wynika z analiz przeprowadzonych przez Kolejową Medycynę Pracy, dotyczących możliwości wykonania zawieszonych ustawowo badań lekarskich i psychologicznych po odwołaniu stanu zagrożenia epidemicznego albo stanu epidemii, mając na uwadze zabezpieczenie sprawnego wykonania tych badań. Wprowadzenie proponowanych zmian pozwoli na spłaszczenie szczytu liczby badań niezbędnych do wykonania z powodu ich dotychczasowego zawieszenia.</w:t>
      </w:r>
    </w:p>
    <w:p w:rsidR="005B7673" w:rsidRDefault="003E6565" w:rsidP="003E65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projektowane przepisy wydłużają do 180 dni (dotychczas było 90 dni) od dnia odwołania stanu zagrożenia epidemicznego albo stanu epidemii ważność szkoleń i</w:t>
      </w:r>
      <w:r w:rsidR="000E595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okresowych sprawdzianów wiedzy maszynistów oraz egzaminów okresowych dla stanowisk związanych z prowadzeniem i bezpieczeństwem ruchu kolejowego. W tych przypadkach intencją proponowanego wydłużenia jest uniknięcie znacznego wzrostu liczby wykonywanych szkoleń, egzaminów oraz wniosków o przedłużenie dokumentów w krótkim okresie po zakończeniu stanu zagrożenia epidemicznego albo stanu epidemii.</w:t>
      </w:r>
    </w:p>
    <w:p w:rsidR="005B7673" w:rsidRDefault="005B7673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Zmiany wprowadzane w ustawie z dnia </w:t>
      </w:r>
      <w:r w:rsidRPr="00BD38AA">
        <w:rPr>
          <w:rFonts w:ascii="Times New Roman" w:hAnsi="Times New Roman" w:cs="Times New Roman"/>
          <w:sz w:val="24"/>
          <w:szCs w:val="24"/>
        </w:rPr>
        <w:t>24 lipca 2015 r. o Radzie Dialogu Społecznego i innych instytucjach dialogu społecznego</w:t>
      </w:r>
      <w:r>
        <w:rPr>
          <w:rFonts w:ascii="Times New Roman" w:hAnsi="Times New Roman" w:cs="Times New Roman"/>
          <w:sz w:val="24"/>
          <w:szCs w:val="24"/>
        </w:rPr>
        <w:t xml:space="preserve"> oraz ustawie </w:t>
      </w:r>
      <w:r w:rsidRPr="0024226A">
        <w:rPr>
          <w:rFonts w:ascii="Times New Roman" w:hAnsi="Times New Roman" w:cs="Times New Roman"/>
          <w:sz w:val="24"/>
          <w:szCs w:val="24"/>
        </w:rPr>
        <w:t xml:space="preserve">z dnia </w:t>
      </w:r>
      <w:bookmarkStart w:id="1" w:name="_Hlk57065368"/>
      <w:r w:rsidRPr="0024226A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marca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o zmianie ustawy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szczególnych rozwiązaniach związanych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zapobieganiem, przeciwdziałaniem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 oraz niektórych innych ustaw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mają na celu uchylenie przepisów dotyczących członków Rady Dialogu Społecznego wprowadzonych do systemu prawnego ustawą z dnia </w:t>
      </w:r>
      <w:r w:rsidRPr="0024226A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marca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o zmianie ustawy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szczególnych rozwiązaniach związanych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4226A">
        <w:rPr>
          <w:rFonts w:ascii="Times New Roman" w:hAnsi="Times New Roman" w:cs="Times New Roman"/>
          <w:sz w:val="24"/>
          <w:szCs w:val="24"/>
        </w:rPr>
        <w:t xml:space="preserve">zapobieganiem, </w:t>
      </w:r>
      <w:r w:rsidRPr="0024226A">
        <w:rPr>
          <w:rFonts w:ascii="Times New Roman" w:hAnsi="Times New Roman" w:cs="Times New Roman"/>
          <w:sz w:val="24"/>
          <w:szCs w:val="24"/>
        </w:rPr>
        <w:lastRenderedPageBreak/>
        <w:t>przeciwdziałaniem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 oraz niektórych innych ustaw</w:t>
      </w:r>
      <w:r>
        <w:rPr>
          <w:rFonts w:ascii="Times New Roman" w:hAnsi="Times New Roman" w:cs="Times New Roman"/>
          <w:sz w:val="24"/>
          <w:szCs w:val="24"/>
        </w:rPr>
        <w:t>. Zgodnie z art. 46 powyższej ustawy</w:t>
      </w:r>
      <w:r w:rsidR="006E3F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art. 27 ustawy z dnia </w:t>
      </w:r>
      <w:r w:rsidRPr="00BD38AA">
        <w:rPr>
          <w:rFonts w:ascii="Times New Roman" w:hAnsi="Times New Roman" w:cs="Times New Roman"/>
          <w:sz w:val="24"/>
          <w:szCs w:val="24"/>
        </w:rPr>
        <w:t>24 lipca 2015 r. o Radzie Dialogu Społecznego i innych instytucjach dialogu społecznego</w:t>
      </w:r>
      <w:r>
        <w:rPr>
          <w:rFonts w:ascii="Times New Roman" w:hAnsi="Times New Roman" w:cs="Times New Roman"/>
          <w:sz w:val="24"/>
          <w:szCs w:val="24"/>
        </w:rPr>
        <w:t xml:space="preserve"> dodano ust. 2a i 2b. Przepis art. 27 ust. 2a tej ustawy umożliwia odwołanie przez Pr</w:t>
      </w:r>
      <w:r w:rsidRPr="00544E38">
        <w:rPr>
          <w:rFonts w:ascii="Times New Roman" w:hAnsi="Times New Roman" w:cs="Times New Roman"/>
          <w:sz w:val="24"/>
          <w:szCs w:val="24"/>
        </w:rPr>
        <w:t>ezes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44E38">
        <w:rPr>
          <w:rFonts w:ascii="Times New Roman" w:hAnsi="Times New Roman" w:cs="Times New Roman"/>
          <w:sz w:val="24"/>
          <w:szCs w:val="24"/>
        </w:rPr>
        <w:t xml:space="preserve"> Rady Ministrów członka Rady </w:t>
      </w:r>
      <w:r>
        <w:rPr>
          <w:rFonts w:ascii="Times New Roman" w:hAnsi="Times New Roman" w:cs="Times New Roman"/>
          <w:sz w:val="24"/>
          <w:szCs w:val="24"/>
        </w:rPr>
        <w:t xml:space="preserve">Dialogu Społecznego </w:t>
      </w:r>
      <w:r w:rsidRPr="00544E38">
        <w:rPr>
          <w:rFonts w:ascii="Times New Roman" w:hAnsi="Times New Roman" w:cs="Times New Roman"/>
          <w:sz w:val="24"/>
          <w:szCs w:val="24"/>
        </w:rPr>
        <w:t>w</w:t>
      </w:r>
      <w:r w:rsidR="006E3FAE">
        <w:rPr>
          <w:rFonts w:ascii="Times New Roman" w:hAnsi="Times New Roman" w:cs="Times New Roman"/>
          <w:sz w:val="24"/>
          <w:szCs w:val="24"/>
        </w:rPr>
        <w:t> </w:t>
      </w:r>
      <w:r w:rsidRPr="00544E38">
        <w:rPr>
          <w:rFonts w:ascii="Times New Roman" w:hAnsi="Times New Roman" w:cs="Times New Roman"/>
          <w:sz w:val="24"/>
          <w:szCs w:val="24"/>
        </w:rPr>
        <w:t>przypadku:</w:t>
      </w:r>
    </w:p>
    <w:p w:rsidR="005B7673" w:rsidRDefault="005B7673" w:rsidP="005B767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44E38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Pr="00544E38">
        <w:rPr>
          <w:rFonts w:ascii="Times New Roman" w:hAnsi="Times New Roman" w:cs="Times New Roman"/>
          <w:sz w:val="24"/>
          <w:szCs w:val="24"/>
        </w:rPr>
        <w:t>utraty zaufania związan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544E38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 xml:space="preserve">informacją dotyczącą pracy, współpracy lub pełnienia służby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544E38">
        <w:rPr>
          <w:rFonts w:ascii="Times New Roman" w:hAnsi="Times New Roman" w:cs="Times New Roman"/>
          <w:sz w:val="24"/>
          <w:szCs w:val="24"/>
        </w:rPr>
        <w:t>organach bezpieczeństwa państwa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rozumieniu 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2 ustawy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dnia 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października 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r.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ujawnianiu informacji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dokumentach organów bezpieczeństwa państwa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lat 1944</w:t>
      </w:r>
      <w:r w:rsidR="0007151E">
        <w:rPr>
          <w:rFonts w:ascii="Times New Roman" w:hAnsi="Times New Roman" w:cs="Times New Roman"/>
          <w:sz w:val="24"/>
          <w:szCs w:val="24"/>
        </w:rPr>
        <w:t>–</w:t>
      </w:r>
      <w:r w:rsidRPr="00544E38">
        <w:rPr>
          <w:rFonts w:ascii="Times New Roman" w:hAnsi="Times New Roman" w:cs="Times New Roman"/>
          <w:sz w:val="24"/>
          <w:szCs w:val="24"/>
        </w:rPr>
        <w:t>1990 oraz treści tych dokumentów (Dz.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U.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r. poz.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306</w:t>
      </w:r>
      <w:r w:rsidR="000E7F85">
        <w:rPr>
          <w:rFonts w:ascii="Times New Roman" w:hAnsi="Times New Roman" w:cs="Times New Roman"/>
          <w:sz w:val="24"/>
          <w:szCs w:val="24"/>
        </w:rPr>
        <w:t>, z późn. zm.</w:t>
      </w:r>
      <w:r w:rsidRPr="00544E38">
        <w:rPr>
          <w:rFonts w:ascii="Times New Roman" w:hAnsi="Times New Roman" w:cs="Times New Roman"/>
          <w:sz w:val="24"/>
          <w:szCs w:val="24"/>
        </w:rPr>
        <w:t>);</w:t>
      </w:r>
    </w:p>
    <w:p w:rsidR="005B7673" w:rsidRDefault="005B7673" w:rsidP="005B767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544E3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Pr="00544E38">
        <w:rPr>
          <w:rFonts w:ascii="Times New Roman" w:hAnsi="Times New Roman" w:cs="Times New Roman"/>
          <w:sz w:val="24"/>
          <w:szCs w:val="24"/>
        </w:rPr>
        <w:t>sprzeniewierzenia się działaniom Rady doprowadzając do braku możliwości prowadzenia przejrzystego, merytorycznego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regularnego dialogu organizacji pracowników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44E38">
        <w:rPr>
          <w:rFonts w:ascii="Times New Roman" w:hAnsi="Times New Roman" w:cs="Times New Roman"/>
          <w:sz w:val="24"/>
          <w:szCs w:val="24"/>
        </w:rPr>
        <w:t>pracodawców oraz strony rządowej.</w:t>
      </w:r>
    </w:p>
    <w:p w:rsidR="005B7673" w:rsidRDefault="005B7673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kolei art. 27 ust. 2b powyższej ustawy wprowadza sankcję z tytułu </w:t>
      </w:r>
      <w:r w:rsidRPr="00544E38">
        <w:rPr>
          <w:rFonts w:ascii="Times New Roman" w:hAnsi="Times New Roman" w:cs="Times New Roman"/>
          <w:sz w:val="24"/>
          <w:szCs w:val="24"/>
        </w:rPr>
        <w:t>złożenia niezgodnego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prawdą oświadczenia lustracyjnego,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 xml:space="preserve">którym </w:t>
      </w:r>
      <w:r>
        <w:rPr>
          <w:rFonts w:ascii="Times New Roman" w:hAnsi="Times New Roman" w:cs="Times New Roman"/>
          <w:sz w:val="24"/>
          <w:szCs w:val="24"/>
        </w:rPr>
        <w:t xml:space="preserve">mowa w </w:t>
      </w:r>
      <w:r w:rsidRPr="00544E38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544E38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dnia 18</w:t>
      </w:r>
      <w:r w:rsidR="002B6DA0">
        <w:rPr>
          <w:rFonts w:ascii="Times New Roman" w:hAnsi="Times New Roman" w:cs="Times New Roman"/>
          <w:sz w:val="24"/>
          <w:szCs w:val="24"/>
        </w:rPr>
        <w:t> </w:t>
      </w:r>
      <w:r w:rsidRPr="00544E38">
        <w:rPr>
          <w:rFonts w:ascii="Times New Roman" w:hAnsi="Times New Roman" w:cs="Times New Roman"/>
          <w:sz w:val="24"/>
          <w:szCs w:val="24"/>
        </w:rPr>
        <w:t>października 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r. o</w:t>
      </w:r>
      <w:r w:rsidR="002B6DA0"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ujawnianiu informacji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dokumentach organów bezpieczeństwa państwa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38">
        <w:rPr>
          <w:rFonts w:ascii="Times New Roman" w:hAnsi="Times New Roman" w:cs="Times New Roman"/>
          <w:sz w:val="24"/>
          <w:szCs w:val="24"/>
        </w:rPr>
        <w:t>lat 1944</w:t>
      </w:r>
      <w:r w:rsidR="0007151E">
        <w:rPr>
          <w:rFonts w:ascii="Times New Roman" w:hAnsi="Times New Roman" w:cs="Times New Roman"/>
          <w:sz w:val="24"/>
          <w:szCs w:val="24"/>
        </w:rPr>
        <w:t>–</w:t>
      </w:r>
      <w:r w:rsidRPr="00544E38">
        <w:rPr>
          <w:rFonts w:ascii="Times New Roman" w:hAnsi="Times New Roman" w:cs="Times New Roman"/>
          <w:sz w:val="24"/>
          <w:szCs w:val="24"/>
        </w:rPr>
        <w:t>1990 oraz treści tych dokumentów, stwierdzonego prawomocnym orzeczeniem są</w:t>
      </w:r>
      <w:r>
        <w:rPr>
          <w:rFonts w:ascii="Times New Roman" w:hAnsi="Times New Roman" w:cs="Times New Roman"/>
          <w:sz w:val="24"/>
          <w:szCs w:val="24"/>
        </w:rPr>
        <w:t xml:space="preserve">du, w postaci wygaśnięcia członkostwa w </w:t>
      </w:r>
      <w:r w:rsidRPr="00544E38">
        <w:rPr>
          <w:rFonts w:ascii="Times New Roman" w:hAnsi="Times New Roman" w:cs="Times New Roman"/>
          <w:sz w:val="24"/>
          <w:szCs w:val="24"/>
        </w:rPr>
        <w:t>Radzie</w:t>
      </w:r>
      <w:r>
        <w:rPr>
          <w:rFonts w:ascii="Times New Roman" w:hAnsi="Times New Roman" w:cs="Times New Roman"/>
          <w:sz w:val="24"/>
          <w:szCs w:val="24"/>
        </w:rPr>
        <w:t xml:space="preserve"> Dialogu Społecznego.</w:t>
      </w:r>
      <w:r w:rsidRPr="00544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673" w:rsidRDefault="005B7673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Art. 85 ustawy </w:t>
      </w:r>
      <w:r w:rsidRPr="0024226A">
        <w:rPr>
          <w:rFonts w:ascii="Times New Roman" w:hAnsi="Times New Roman" w:cs="Times New Roman"/>
          <w:sz w:val="24"/>
          <w:szCs w:val="24"/>
        </w:rPr>
        <w:t>z dnia 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marca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o zmianie ustawy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szczególnych rozwiązaniach związanych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zapobieganiem, przeciwdziałaniem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 oraz niektórych innych ustaw</w:t>
      </w:r>
      <w:r>
        <w:rPr>
          <w:rFonts w:ascii="Times New Roman" w:hAnsi="Times New Roman" w:cs="Times New Roman"/>
          <w:sz w:val="24"/>
          <w:szCs w:val="24"/>
        </w:rPr>
        <w:t xml:space="preserve"> wskazuje natomiast, że w </w:t>
      </w:r>
      <w:r w:rsidRPr="002A3605">
        <w:rPr>
          <w:rFonts w:ascii="Times New Roman" w:hAnsi="Times New Roman" w:cs="Times New Roman"/>
          <w:sz w:val="24"/>
          <w:szCs w:val="24"/>
        </w:rPr>
        <w:t>okresie obowiązywania stanu zagrożenia epidemicznego albo stanu epidemii organem uprawnionym do odwoływania członków Rady Dialogu Społecznego będących przedstawicielami strony pracowników, strony pracodawców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605">
        <w:rPr>
          <w:rFonts w:ascii="Times New Roman" w:hAnsi="Times New Roman" w:cs="Times New Roman"/>
          <w:sz w:val="24"/>
          <w:szCs w:val="24"/>
        </w:rPr>
        <w:t>strony rządowej, na wniosek tych organizacji lub bez tego wniosku</w:t>
      </w:r>
      <w:r>
        <w:rPr>
          <w:rFonts w:ascii="Times New Roman" w:hAnsi="Times New Roman" w:cs="Times New Roman"/>
          <w:sz w:val="24"/>
          <w:szCs w:val="24"/>
        </w:rPr>
        <w:t>, jest Prezes Rady Ministrów</w:t>
      </w:r>
      <w:r w:rsidRPr="002B6DA0">
        <w:rPr>
          <w:rFonts w:ascii="Times New Roman" w:hAnsi="Times New Roman" w:cs="Times New Roman"/>
          <w:sz w:val="24"/>
          <w:szCs w:val="24"/>
        </w:rPr>
        <w:t>. Ponadto wyłącza w zakresie odwoływania członków Rady Dialogu Społecznego kompetencję Prezydenta Rzeczypospolitej Polskiej.</w:t>
      </w:r>
    </w:p>
    <w:p w:rsidR="005B7673" w:rsidRDefault="005B7673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Wejście w życie powyższych zmian jest równoznaczne z przywróceniem stanu prawnego obowiązującego przed wejściem w życie ustawy </w:t>
      </w:r>
      <w:r w:rsidRPr="0024226A">
        <w:rPr>
          <w:rFonts w:ascii="Times New Roman" w:hAnsi="Times New Roman" w:cs="Times New Roman"/>
          <w:sz w:val="24"/>
          <w:szCs w:val="24"/>
        </w:rPr>
        <w:t>z dnia 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marca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o zmianie ustawy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szczególnych rozwiązaniach związanych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26A">
        <w:rPr>
          <w:rFonts w:ascii="Times New Roman" w:hAnsi="Times New Roman" w:cs="Times New Roman"/>
          <w:sz w:val="24"/>
          <w:szCs w:val="24"/>
        </w:rPr>
        <w:t>zapobieganiem, przeciwdziałaniem i</w:t>
      </w:r>
      <w:r w:rsidR="002B6DA0">
        <w:rPr>
          <w:rFonts w:ascii="Times New Roman" w:hAnsi="Times New Roman" w:cs="Times New Roman"/>
          <w:sz w:val="24"/>
          <w:szCs w:val="24"/>
        </w:rPr>
        <w:t> </w:t>
      </w:r>
      <w:r w:rsidRPr="0024226A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 oraz niektórych innych ustaw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7673" w:rsidRDefault="005B7673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Projektowana zmiana ustawy z dnia </w:t>
      </w:r>
      <w:r w:rsidRPr="00B81B20">
        <w:rPr>
          <w:rFonts w:ascii="Times New Roman" w:hAnsi="Times New Roman" w:cs="Times New Roman"/>
          <w:sz w:val="24"/>
          <w:szCs w:val="24"/>
        </w:rPr>
        <w:t>10 stycznia 2018 r. o ograniczeniu handlu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81B20">
        <w:rPr>
          <w:rFonts w:ascii="Times New Roman" w:hAnsi="Times New Roman" w:cs="Times New Roman"/>
          <w:sz w:val="24"/>
          <w:szCs w:val="24"/>
        </w:rPr>
        <w:t xml:space="preserve">niedziele i święta oraz w niektóre inne dni </w:t>
      </w:r>
      <w:r>
        <w:rPr>
          <w:rFonts w:ascii="Times New Roman" w:hAnsi="Times New Roman" w:cs="Times New Roman"/>
          <w:sz w:val="24"/>
          <w:szCs w:val="24"/>
        </w:rPr>
        <w:t xml:space="preserve">wprowadza epizodyczne rozwiązanie polegające na zniesieniu zakazu handlu, o którym mowa w art. 5 tej ustawy, w niedzielę w dniu 6 grudnia </w:t>
      </w:r>
      <w:r>
        <w:rPr>
          <w:rFonts w:ascii="Times New Roman" w:hAnsi="Times New Roman" w:cs="Times New Roman"/>
          <w:sz w:val="24"/>
          <w:szCs w:val="24"/>
        </w:rPr>
        <w:lastRenderedPageBreak/>
        <w:t>2020 r. w placówkach handlowych. W grudni</w:t>
      </w:r>
      <w:r w:rsidR="002B6DA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2020 r. są przewidziane dwie niedziele handlowe, </w:t>
      </w:r>
      <w:r w:rsidR="002B6DA0">
        <w:rPr>
          <w:rFonts w:ascii="Times New Roman" w:hAnsi="Times New Roman" w:cs="Times New Roman"/>
          <w:sz w:val="24"/>
          <w:szCs w:val="24"/>
        </w:rPr>
        <w:t xml:space="preserve">przypadające </w:t>
      </w:r>
      <w:r>
        <w:rPr>
          <w:rFonts w:ascii="Times New Roman" w:hAnsi="Times New Roman" w:cs="Times New Roman"/>
          <w:sz w:val="24"/>
          <w:szCs w:val="24"/>
        </w:rPr>
        <w:t>w dniu 13 i 20 grudnia 2020 r. Okres przedświąteczny, zwłaszcza przed Świętami Bożego Narodzenia, jest</w:t>
      </w:r>
      <w:r w:rsidR="002B6DA0">
        <w:rPr>
          <w:rFonts w:ascii="Times New Roman" w:hAnsi="Times New Roman" w:cs="Times New Roman"/>
          <w:sz w:val="24"/>
          <w:szCs w:val="24"/>
        </w:rPr>
        <w:t xml:space="preserve"> okresem</w:t>
      </w:r>
      <w:r>
        <w:rPr>
          <w:rFonts w:ascii="Times New Roman" w:hAnsi="Times New Roman" w:cs="Times New Roman"/>
          <w:sz w:val="24"/>
          <w:szCs w:val="24"/>
        </w:rPr>
        <w:t xml:space="preserve">, w którym liczba klientów dokonujących zakupów jest znaczna. Aby rozłożyć </w:t>
      </w:r>
      <w:r w:rsidR="002B6DA0">
        <w:rPr>
          <w:rFonts w:ascii="Times New Roman" w:hAnsi="Times New Roman" w:cs="Times New Roman"/>
          <w:sz w:val="24"/>
          <w:szCs w:val="24"/>
        </w:rPr>
        <w:t>ten proces w czasie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B6DA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tym samym zmniejszyć liczbę klientów </w:t>
      </w:r>
      <w:r w:rsidR="002B6DA0">
        <w:rPr>
          <w:rFonts w:ascii="Times New Roman" w:hAnsi="Times New Roman" w:cs="Times New Roman"/>
          <w:sz w:val="24"/>
          <w:szCs w:val="24"/>
        </w:rPr>
        <w:t xml:space="preserve">robiących </w:t>
      </w:r>
      <w:r>
        <w:rPr>
          <w:rFonts w:ascii="Times New Roman" w:hAnsi="Times New Roman" w:cs="Times New Roman"/>
          <w:sz w:val="24"/>
          <w:szCs w:val="24"/>
        </w:rPr>
        <w:t>zaku</w:t>
      </w:r>
      <w:r w:rsidR="002B6DA0">
        <w:rPr>
          <w:rFonts w:ascii="Times New Roman" w:hAnsi="Times New Roman" w:cs="Times New Roman"/>
          <w:sz w:val="24"/>
          <w:szCs w:val="24"/>
        </w:rPr>
        <w:t>py</w:t>
      </w:r>
      <w:r>
        <w:rPr>
          <w:rFonts w:ascii="Times New Roman" w:hAnsi="Times New Roman" w:cs="Times New Roman"/>
          <w:sz w:val="24"/>
          <w:szCs w:val="24"/>
        </w:rPr>
        <w:t xml:space="preserve"> w tym samym czasie, zasadne jest wprowadzenie dodatkowej niedzieli handlowej w dniu 6 grudnia 2020 r. Z jednej strony umożliwi to zachowanie ograniczeń sanitarnych w związku z trwającą epidemią, a z drugiej strony będzie miało pozytywny wpływ na przedsiębiorców, </w:t>
      </w:r>
      <w:r w:rsidR="002B6DA0">
        <w:rPr>
          <w:rFonts w:ascii="Times New Roman" w:hAnsi="Times New Roman" w:cs="Times New Roman"/>
          <w:sz w:val="24"/>
          <w:szCs w:val="24"/>
        </w:rPr>
        <w:t xml:space="preserve">przyczyniając się do poprawy ich sytuacji finansowej. </w:t>
      </w:r>
    </w:p>
    <w:p w:rsidR="002B6DA0" w:rsidRDefault="002B6DA0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Projektowane regulacje nie wymagają wprowadzenia przepisów przejściowych.</w:t>
      </w:r>
    </w:p>
    <w:p w:rsidR="00D473EB" w:rsidRDefault="00D473EB" w:rsidP="005B76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Projektowana </w:t>
      </w:r>
      <w:r w:rsidR="00DA492F">
        <w:rPr>
          <w:rFonts w:ascii="Times New Roman" w:hAnsi="Times New Roman" w:cs="Times New Roman"/>
          <w:sz w:val="24"/>
          <w:szCs w:val="24"/>
        </w:rPr>
        <w:t>regulacja</w:t>
      </w:r>
      <w:r w:rsidRPr="00D473EB">
        <w:rPr>
          <w:rFonts w:ascii="Times New Roman" w:hAnsi="Times New Roman" w:cs="Times New Roman"/>
          <w:sz w:val="24"/>
          <w:szCs w:val="24"/>
        </w:rPr>
        <w:t xml:space="preserve"> wejdzie w życie z dniem następującym po dniu ogłoszenia z</w:t>
      </w:r>
      <w:r w:rsidR="002253F7">
        <w:rPr>
          <w:rFonts w:ascii="Times New Roman" w:hAnsi="Times New Roman" w:cs="Times New Roman"/>
          <w:sz w:val="24"/>
          <w:szCs w:val="24"/>
        </w:rPr>
        <w:t> </w:t>
      </w:r>
      <w:r w:rsidRPr="00D473EB">
        <w:rPr>
          <w:rFonts w:ascii="Times New Roman" w:hAnsi="Times New Roman" w:cs="Times New Roman"/>
          <w:sz w:val="24"/>
          <w:szCs w:val="24"/>
        </w:rPr>
        <w:t>uwagi na konieczność niezwłocznego podjęcia działań związanych z zapobieganiem rozprzestrzenianiu się oraz zwalczaniem zakażenia wywołanego wirusem SARS-CoV-2. Zasady demokratycznego państwa prawnego nie stoją temu na przeszkodzie.</w:t>
      </w:r>
    </w:p>
    <w:p w:rsidR="005B7673" w:rsidRDefault="005B7673" w:rsidP="005B7673">
      <w:pPr>
        <w:pStyle w:val="ARTartustawynprozporzdzenia"/>
        <w:spacing w:before="0"/>
        <w:ind w:firstLine="709"/>
      </w:pPr>
      <w:r>
        <w:t>Kwestie regulowane projektowaną ustawą nie są objęte prawem Unii Europejskiej.</w:t>
      </w:r>
    </w:p>
    <w:p w:rsidR="005B7673" w:rsidRDefault="005B7673" w:rsidP="005B7673">
      <w:pPr>
        <w:pStyle w:val="ARTartustawynprozporzdzenia"/>
        <w:spacing w:before="0"/>
        <w:ind w:firstLine="708"/>
      </w:pPr>
      <w:r>
        <w:t>Projekt nie wymaga przedstawienia właściwym organom i instytucjom Unii Europejskiej, w tym Europejskiemu Bankowi Centralnemu, w celu uzyskania opinii, dokonania powiadomienia, konsultacji albo uzgodnienia.</w:t>
      </w:r>
    </w:p>
    <w:p w:rsidR="005B7673" w:rsidRDefault="005B7673" w:rsidP="005B7673">
      <w:pPr>
        <w:pStyle w:val="USTustnpkodeksu"/>
        <w:ind w:firstLine="708"/>
      </w:pPr>
      <w:r>
        <w:t>Projektowana ustawa przez stworzenie możliwości świadczenia przez pracownika oraz inną osobę zatrudnioną w okresie izolacji w warunkach domowych pracy zdalnej pozytywnie wpłynie na działalność mikro-, małych i średnich przedsiębiorców.</w:t>
      </w:r>
    </w:p>
    <w:p w:rsidR="005B7673" w:rsidRDefault="005B7673" w:rsidP="005B7673">
      <w:pPr>
        <w:pStyle w:val="USTustnpkodeksu"/>
        <w:ind w:firstLine="708"/>
      </w:pPr>
      <w:r>
        <w:t>Projekt nie zawiera przepisów technicznych w rozumieniu rozporządzenia Rady Ministrów z dnia 23 grudnia 2002 r. w sprawie sposobu funkcjonowania krajowego systemu notyfikacji norm i aktów prawnych (Dz. U. poz. 2039 oraz z 2004 r. poz. 597), w związku z tym nie podlega notyfikacji.</w:t>
      </w:r>
    </w:p>
    <w:p w:rsidR="005B7673" w:rsidRDefault="005B7673" w:rsidP="005B7673">
      <w:pPr>
        <w:pStyle w:val="USTustnpkodeksu"/>
        <w:ind w:firstLine="708"/>
      </w:pPr>
      <w:r>
        <w:t>Podkreślenia wymaga, że nie ma możliwości podjęcia alternatywnych w</w:t>
      </w:r>
      <w:r w:rsidR="000E595F">
        <w:t xml:space="preserve"> </w:t>
      </w:r>
      <w:r>
        <w:t>stosunku do projektowanej regulacji środków umożliwiających osiągnięcie zamierzonego celu.</w:t>
      </w:r>
    </w:p>
    <w:p w:rsidR="00EA5FF0" w:rsidRDefault="00EA5FF0" w:rsidP="00EA5FF0">
      <w:pPr>
        <w:pStyle w:val="USTustnpkodeksu"/>
        <w:ind w:firstLine="708"/>
      </w:pPr>
      <w:r>
        <w:t>Zgodnie z § 52 ust. 1 uchwały nr 190 Rady Ministrów z dnia 29 października 2013 r. – Regulamin pracy Rady Ministrów (M.P. z 2016 r. poz. 1006, z późn. zm.) przedmiotowy projekt ustawy wraz z uzasadnieniem i oceną skutków regulacji został zamieszczony na stronie podmiotowej Rządowego Centrum Legislacji w zakładce Rządowy Proces Legislacyjny.</w:t>
      </w:r>
    </w:p>
    <w:sectPr w:rsidR="00EA5FF0" w:rsidSect="0007151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B3E" w:rsidRDefault="00627B3E" w:rsidP="005B7673">
      <w:pPr>
        <w:spacing w:after="0" w:line="240" w:lineRule="auto"/>
      </w:pPr>
      <w:r>
        <w:separator/>
      </w:r>
    </w:p>
  </w:endnote>
  <w:endnote w:type="continuationSeparator" w:id="0">
    <w:p w:rsidR="00627B3E" w:rsidRDefault="00627B3E" w:rsidP="005B7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680072124"/>
      <w:docPartObj>
        <w:docPartGallery w:val="Page Numbers (Bottom of Page)"/>
        <w:docPartUnique/>
      </w:docPartObj>
    </w:sdtPr>
    <w:sdtEndPr/>
    <w:sdtContent>
      <w:p w:rsidR="0007151E" w:rsidRPr="0007151E" w:rsidRDefault="0007151E" w:rsidP="0007151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715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15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715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20F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7151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B3E" w:rsidRDefault="00627B3E" w:rsidP="005B7673">
      <w:pPr>
        <w:spacing w:after="0" w:line="240" w:lineRule="auto"/>
      </w:pPr>
      <w:r>
        <w:separator/>
      </w:r>
    </w:p>
  </w:footnote>
  <w:footnote w:type="continuationSeparator" w:id="0">
    <w:p w:rsidR="00627B3E" w:rsidRDefault="00627B3E" w:rsidP="005B7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5A9B"/>
    <w:multiLevelType w:val="hybridMultilevel"/>
    <w:tmpl w:val="94B0CC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05300"/>
    <w:multiLevelType w:val="hybridMultilevel"/>
    <w:tmpl w:val="E2381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525C5"/>
    <w:multiLevelType w:val="hybridMultilevel"/>
    <w:tmpl w:val="48EAB798"/>
    <w:lvl w:ilvl="0" w:tplc="C00058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757BB"/>
    <w:multiLevelType w:val="hybridMultilevel"/>
    <w:tmpl w:val="C524A4CA"/>
    <w:lvl w:ilvl="0" w:tplc="44D03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B91EC0"/>
    <w:multiLevelType w:val="hybridMultilevel"/>
    <w:tmpl w:val="E38278CA"/>
    <w:lvl w:ilvl="0" w:tplc="C00058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2A6407"/>
    <w:multiLevelType w:val="hybridMultilevel"/>
    <w:tmpl w:val="5C36F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removePersonalInformation/>
  <w:removeDateAndTi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73"/>
    <w:rsid w:val="00006D07"/>
    <w:rsid w:val="0007151E"/>
    <w:rsid w:val="000E595F"/>
    <w:rsid w:val="000E7F85"/>
    <w:rsid w:val="001B70E7"/>
    <w:rsid w:val="001D5D9D"/>
    <w:rsid w:val="00220237"/>
    <w:rsid w:val="00220F53"/>
    <w:rsid w:val="00221DD9"/>
    <w:rsid w:val="002253F7"/>
    <w:rsid w:val="002B6DA0"/>
    <w:rsid w:val="003E6565"/>
    <w:rsid w:val="004A58D6"/>
    <w:rsid w:val="004C418E"/>
    <w:rsid w:val="005B7673"/>
    <w:rsid w:val="005C4AF7"/>
    <w:rsid w:val="00627B3E"/>
    <w:rsid w:val="00640F0B"/>
    <w:rsid w:val="00661B29"/>
    <w:rsid w:val="006E3FAE"/>
    <w:rsid w:val="006F354E"/>
    <w:rsid w:val="007B6FBA"/>
    <w:rsid w:val="00803980"/>
    <w:rsid w:val="008120F7"/>
    <w:rsid w:val="00826C6C"/>
    <w:rsid w:val="00881CA7"/>
    <w:rsid w:val="00887321"/>
    <w:rsid w:val="00917D95"/>
    <w:rsid w:val="00922049"/>
    <w:rsid w:val="0094007F"/>
    <w:rsid w:val="009A2A48"/>
    <w:rsid w:val="009D7A0C"/>
    <w:rsid w:val="00A420CF"/>
    <w:rsid w:val="00A47F69"/>
    <w:rsid w:val="00A94A0F"/>
    <w:rsid w:val="00B86EC1"/>
    <w:rsid w:val="00BC65CC"/>
    <w:rsid w:val="00BD181E"/>
    <w:rsid w:val="00BD4591"/>
    <w:rsid w:val="00C33E37"/>
    <w:rsid w:val="00CC72A7"/>
    <w:rsid w:val="00D473EB"/>
    <w:rsid w:val="00D8189B"/>
    <w:rsid w:val="00DA492F"/>
    <w:rsid w:val="00E5089F"/>
    <w:rsid w:val="00EA3B89"/>
    <w:rsid w:val="00EA5FF0"/>
    <w:rsid w:val="00F05D4A"/>
    <w:rsid w:val="00F0657B"/>
    <w:rsid w:val="00F44FB9"/>
    <w:rsid w:val="00F81C69"/>
    <w:rsid w:val="00F8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76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767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767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767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5B7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7673"/>
  </w:style>
  <w:style w:type="paragraph" w:customStyle="1" w:styleId="ARTartustawynprozporzdzenia">
    <w:name w:val="ART(§) – art. ustawy (§ np. rozporządzenia)"/>
    <w:uiPriority w:val="11"/>
    <w:qFormat/>
    <w:rsid w:val="005B767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5B7673"/>
    <w:pPr>
      <w:spacing w:before="0"/>
    </w:pPr>
    <w:rPr>
      <w:bCs/>
    </w:rPr>
  </w:style>
  <w:style w:type="paragraph" w:styleId="Tekstkomentarza">
    <w:name w:val="annotation text"/>
    <w:basedOn w:val="Normalny"/>
    <w:link w:val="TekstkomentarzaZnak"/>
    <w:semiHidden/>
    <w:unhideWhenUsed/>
    <w:rsid w:val="005B7673"/>
    <w:pPr>
      <w:suppressAutoHyphens/>
      <w:autoSpaceDN w:val="0"/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B7673"/>
    <w:rPr>
      <w:rFonts w:ascii="Calibri" w:eastAsia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semiHidden/>
    <w:unhideWhenUsed/>
    <w:rsid w:val="005B7673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767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B6FBA"/>
    <w:pPr>
      <w:ind w:left="720"/>
      <w:contextualSpacing/>
    </w:pPr>
  </w:style>
  <w:style w:type="paragraph" w:customStyle="1" w:styleId="PKTpunkt">
    <w:name w:val="PKT – punkt"/>
    <w:uiPriority w:val="13"/>
    <w:qFormat/>
    <w:rsid w:val="007B6FB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Normalny"/>
    <w:uiPriority w:val="46"/>
    <w:qFormat/>
    <w:rsid w:val="007B6FBA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PKTzmpktliter">
    <w:name w:val="Z_LIT/PKT – zm. pkt literą"/>
    <w:basedOn w:val="PKTpunkt"/>
    <w:uiPriority w:val="47"/>
    <w:qFormat/>
    <w:rsid w:val="007B6FBA"/>
    <w:pPr>
      <w:ind w:left="1497"/>
    </w:pPr>
  </w:style>
  <w:style w:type="paragraph" w:customStyle="1" w:styleId="ZLITLITzmlitliter">
    <w:name w:val="Z_LIT/LIT – zm. lit. literą"/>
    <w:basedOn w:val="Normalny"/>
    <w:uiPriority w:val="48"/>
    <w:qFormat/>
    <w:rsid w:val="007B6FBA"/>
    <w:pPr>
      <w:spacing w:after="0" w:line="360" w:lineRule="auto"/>
      <w:ind w:left="1463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7B6FBA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7B6FBA"/>
    <w:pPr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B6FBA"/>
    <w:pPr>
      <w:ind w:left="1020"/>
    </w:pPr>
  </w:style>
  <w:style w:type="paragraph" w:customStyle="1" w:styleId="LITlitera">
    <w:name w:val="LIT – litera"/>
    <w:basedOn w:val="PKTpunkt"/>
    <w:uiPriority w:val="14"/>
    <w:qFormat/>
    <w:rsid w:val="007B6FBA"/>
    <w:pPr>
      <w:ind w:left="986" w:hanging="476"/>
    </w:pPr>
  </w:style>
  <w:style w:type="paragraph" w:styleId="Nagwek">
    <w:name w:val="header"/>
    <w:basedOn w:val="Normalny"/>
    <w:link w:val="NagwekZnak"/>
    <w:uiPriority w:val="99"/>
    <w:unhideWhenUsed/>
    <w:rsid w:val="0000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6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1872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2020-11-25T18:21:00Z</dcterms:created>
  <dcterms:modified xsi:type="dcterms:W3CDTF">2020-11-25T18:21:00Z</dcterms:modified>
</cp:coreProperties>
</file>