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3DB646" w14:textId="6D6EC7BB" w:rsidR="00076C40" w:rsidRPr="00774FA7" w:rsidRDefault="00076C40" w:rsidP="004F6DC6">
      <w:pPr>
        <w:spacing w:after="0" w:line="288" w:lineRule="auto"/>
        <w:ind w:left="6372"/>
        <w:jc w:val="center"/>
        <w:rPr>
          <w:rFonts w:ascii="Times New Roman" w:eastAsia="Calibri" w:hAnsi="Times New Roman" w:cs="Times New Roman"/>
          <w:sz w:val="24"/>
          <w:szCs w:val="24"/>
        </w:rPr>
      </w:pPr>
      <w:bookmarkStart w:id="0" w:name="_GoBack"/>
      <w:bookmarkEnd w:id="0"/>
    </w:p>
    <w:p w14:paraId="4D865C51" w14:textId="77777777" w:rsidR="00076C40" w:rsidRPr="00774FA7" w:rsidRDefault="00076C40" w:rsidP="004F6DC6">
      <w:pPr>
        <w:spacing w:after="0" w:line="288" w:lineRule="auto"/>
        <w:jc w:val="center"/>
        <w:rPr>
          <w:rFonts w:ascii="Times New Roman" w:eastAsia="Calibri" w:hAnsi="Times New Roman" w:cs="Times New Roman"/>
          <w:sz w:val="24"/>
          <w:szCs w:val="24"/>
        </w:rPr>
      </w:pPr>
      <w:r w:rsidRPr="00774FA7">
        <w:rPr>
          <w:rFonts w:ascii="Times New Roman" w:eastAsia="Calibri" w:hAnsi="Times New Roman" w:cs="Times New Roman"/>
          <w:sz w:val="24"/>
          <w:szCs w:val="24"/>
        </w:rPr>
        <w:t>UZASADNIENIE</w:t>
      </w:r>
    </w:p>
    <w:p w14:paraId="369074CE" w14:textId="77777777" w:rsidR="00076C40" w:rsidRPr="00774FA7" w:rsidRDefault="00076C40" w:rsidP="004F6DC6">
      <w:pPr>
        <w:spacing w:after="0" w:line="288" w:lineRule="auto"/>
        <w:jc w:val="center"/>
        <w:rPr>
          <w:rFonts w:ascii="Times New Roman" w:eastAsia="Calibri" w:hAnsi="Times New Roman" w:cs="Times New Roman"/>
          <w:sz w:val="24"/>
          <w:szCs w:val="24"/>
        </w:rPr>
      </w:pPr>
    </w:p>
    <w:p w14:paraId="5EDDD375" w14:textId="77777777" w:rsidR="00076C40" w:rsidRPr="00774FA7" w:rsidRDefault="00076C40" w:rsidP="004F6DC6">
      <w:pPr>
        <w:numPr>
          <w:ilvl w:val="0"/>
          <w:numId w:val="6"/>
        </w:numPr>
        <w:spacing w:after="0" w:line="288" w:lineRule="auto"/>
        <w:rPr>
          <w:rFonts w:ascii="Times New Roman" w:eastAsia="Calibri" w:hAnsi="Times New Roman" w:cs="Times New Roman"/>
          <w:sz w:val="24"/>
          <w:szCs w:val="24"/>
          <w:lang w:val="x-none"/>
        </w:rPr>
      </w:pPr>
      <w:r w:rsidRPr="00774FA7">
        <w:rPr>
          <w:rFonts w:ascii="Times New Roman" w:eastAsia="Calibri" w:hAnsi="Times New Roman" w:cs="Times New Roman"/>
          <w:sz w:val="24"/>
          <w:szCs w:val="24"/>
          <w:lang w:val="x-none"/>
        </w:rPr>
        <w:t>Potrzeba i cel projektu ustawy</w:t>
      </w:r>
    </w:p>
    <w:p w14:paraId="247DF966" w14:textId="5D61BCEC" w:rsidR="00222467"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Projekt ustawy o zmianie ustawy o wjeździe na terytorium Rzeczypospolitej Polskiej, pobycie oraz wyjeździe z tego terytorium obywateli państw członkowskich Unii Europejskiej i członków ich rodzin oraz niektórych innych ustaw, zwany dalej „projektem ustawy”, ma na celu dostosowanie polskiego porządku prawnego do orzeczeń Trybunału Sprawiedliwości Unii Europejskiej z zakresu stosowania </w:t>
      </w:r>
      <w:r w:rsidRPr="00774FA7">
        <w:rPr>
          <w:rFonts w:ascii="Times New Roman" w:eastAsia="Calibri" w:hAnsi="Times New Roman" w:cs="Times New Roman"/>
          <w:i/>
          <w:sz w:val="24"/>
          <w:szCs w:val="24"/>
        </w:rPr>
        <w:t>dyrektywy 2004/38/WE Parlamentu Europejskiego i Rady z dnia 29 kwietnia 2004 r. w sprawie prawa obywateli Unii i członków ich rodzin do swobodnego przemieszczania się i pobytu na terytorium Państw Członkowskich zmieniającej rozporządzenie (EWG) nr 1612/68 i uchylającej dyrektywy 64/221/EWG, 68/360/EWG, 72/194/EWG, 73/148/EWG, 75/34/EWG, 75/35/EWG, 90/364/EWG, 90/365/EWG i 93/96/EWG</w:t>
      </w:r>
      <w:r w:rsidRPr="00774FA7">
        <w:rPr>
          <w:rFonts w:ascii="Times New Roman" w:eastAsia="Calibri" w:hAnsi="Times New Roman" w:cs="Times New Roman"/>
          <w:sz w:val="24"/>
          <w:szCs w:val="24"/>
        </w:rPr>
        <w:t xml:space="preserve"> (Dz. Urz. UE L 158 z 30.04.2004, str. 77; Dz. Urz. UE Polskie wydanie specjalne, rozdz. 5, t. 5, str. 46), zwanej dalej „dyrektywą 2004/38/WE”. </w:t>
      </w:r>
    </w:p>
    <w:p w14:paraId="7F061A6C" w14:textId="7FE6D015"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ostatnich kilku latach Trybunał Sprawiedliwości Unii Europejskiej wielokrotnie orzekał na temat stosowania przepisów dyrektywy 2004/38/WE. </w:t>
      </w:r>
      <w:r w:rsidR="00222467" w:rsidRPr="00774FA7">
        <w:rPr>
          <w:rFonts w:ascii="Times New Roman" w:eastAsia="Calibri" w:hAnsi="Times New Roman" w:cs="Times New Roman"/>
          <w:sz w:val="24"/>
          <w:szCs w:val="24"/>
        </w:rPr>
        <w:t>Powyższe znalazło swoje odzwierciedlenie w p</w:t>
      </w:r>
      <w:r w:rsidRPr="00774FA7">
        <w:rPr>
          <w:rFonts w:ascii="Times New Roman" w:eastAsia="Calibri" w:hAnsi="Times New Roman" w:cs="Times New Roman"/>
          <w:sz w:val="24"/>
          <w:szCs w:val="24"/>
        </w:rPr>
        <w:t>rojektowane</w:t>
      </w:r>
      <w:r w:rsidR="00222467" w:rsidRPr="00774FA7">
        <w:rPr>
          <w:rFonts w:ascii="Times New Roman" w:eastAsia="Calibri" w:hAnsi="Times New Roman" w:cs="Times New Roman"/>
          <w:sz w:val="24"/>
          <w:szCs w:val="24"/>
        </w:rPr>
        <w:t>j ustawie, której</w:t>
      </w:r>
      <w:r w:rsidRPr="00774FA7">
        <w:rPr>
          <w:rFonts w:ascii="Times New Roman" w:eastAsia="Calibri" w:hAnsi="Times New Roman" w:cs="Times New Roman"/>
          <w:sz w:val="24"/>
          <w:szCs w:val="24"/>
        </w:rPr>
        <w:t xml:space="preserve"> </w:t>
      </w:r>
      <w:r w:rsidR="00C97114" w:rsidRPr="00774FA7">
        <w:rPr>
          <w:rFonts w:ascii="Times New Roman" w:eastAsia="Calibri" w:hAnsi="Times New Roman" w:cs="Times New Roman"/>
          <w:sz w:val="24"/>
          <w:szCs w:val="24"/>
        </w:rPr>
        <w:t xml:space="preserve">regulacje </w:t>
      </w:r>
      <w:r w:rsidRPr="00774FA7">
        <w:rPr>
          <w:rFonts w:ascii="Times New Roman" w:eastAsia="Calibri" w:hAnsi="Times New Roman" w:cs="Times New Roman"/>
          <w:sz w:val="24"/>
          <w:szCs w:val="24"/>
        </w:rPr>
        <w:t xml:space="preserve">mają na celu </w:t>
      </w:r>
      <w:r w:rsidR="00C97114" w:rsidRPr="00774FA7">
        <w:rPr>
          <w:rFonts w:ascii="Times New Roman" w:eastAsia="Calibri" w:hAnsi="Times New Roman" w:cs="Times New Roman"/>
          <w:sz w:val="24"/>
          <w:szCs w:val="24"/>
        </w:rPr>
        <w:t>uwzględnienie tez</w:t>
      </w:r>
      <w:r w:rsidRPr="00774FA7">
        <w:rPr>
          <w:rFonts w:ascii="Times New Roman" w:eastAsia="Calibri" w:hAnsi="Times New Roman" w:cs="Times New Roman"/>
          <w:sz w:val="24"/>
          <w:szCs w:val="24"/>
        </w:rPr>
        <w:t xml:space="preserve"> orzeczeń Trybunału Sprawiedliwości Unii Europejskiej w</w:t>
      </w:r>
      <w:r w:rsidR="00C97114" w:rsidRPr="00774FA7">
        <w:rPr>
          <w:rFonts w:ascii="Times New Roman" w:eastAsia="Calibri" w:hAnsi="Times New Roman" w:cs="Times New Roman"/>
          <w:sz w:val="24"/>
          <w:szCs w:val="24"/>
        </w:rPr>
        <w:t xml:space="preserve"> następujących</w:t>
      </w:r>
      <w:r w:rsidRPr="00774FA7">
        <w:rPr>
          <w:rFonts w:ascii="Times New Roman" w:eastAsia="Calibri" w:hAnsi="Times New Roman" w:cs="Times New Roman"/>
          <w:sz w:val="24"/>
          <w:szCs w:val="24"/>
        </w:rPr>
        <w:t xml:space="preserve"> sprawach</w:t>
      </w:r>
      <w:r w:rsidR="00C97114"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C-378/12 </w:t>
      </w:r>
      <w:proofErr w:type="spellStart"/>
      <w:r w:rsidRPr="00774FA7">
        <w:rPr>
          <w:rFonts w:ascii="Times New Roman" w:eastAsia="Calibri" w:hAnsi="Times New Roman" w:cs="Times New Roman"/>
          <w:sz w:val="24"/>
          <w:szCs w:val="24"/>
        </w:rPr>
        <w:t>Onuekwere</w:t>
      </w:r>
      <w:proofErr w:type="spellEnd"/>
      <w:r w:rsidRPr="00774FA7">
        <w:rPr>
          <w:rFonts w:ascii="Times New Roman" w:eastAsia="Calibri" w:hAnsi="Times New Roman" w:cs="Times New Roman"/>
          <w:sz w:val="24"/>
          <w:szCs w:val="24"/>
        </w:rPr>
        <w:t xml:space="preserve">, C-400/12 MG, C-456/12 O i B, C-145/09 </w:t>
      </w:r>
      <w:proofErr w:type="spellStart"/>
      <w:r w:rsidRPr="00774FA7">
        <w:rPr>
          <w:rFonts w:ascii="Times New Roman" w:eastAsia="Calibri" w:hAnsi="Times New Roman" w:cs="Times New Roman"/>
          <w:sz w:val="24"/>
          <w:szCs w:val="24"/>
        </w:rPr>
        <w:t>Tsakouridis</w:t>
      </w:r>
      <w:proofErr w:type="spellEnd"/>
      <w:r w:rsidRPr="00774FA7">
        <w:rPr>
          <w:rFonts w:ascii="Times New Roman" w:eastAsia="Calibri" w:hAnsi="Times New Roman" w:cs="Times New Roman"/>
          <w:sz w:val="24"/>
          <w:szCs w:val="24"/>
        </w:rPr>
        <w:t xml:space="preserve">, C-348/09 </w:t>
      </w:r>
      <w:proofErr w:type="spellStart"/>
      <w:r w:rsidRPr="00774FA7">
        <w:rPr>
          <w:rFonts w:ascii="Times New Roman" w:eastAsia="Calibri" w:hAnsi="Times New Roman" w:cs="Times New Roman"/>
          <w:sz w:val="24"/>
          <w:szCs w:val="24"/>
        </w:rPr>
        <w:t>Infusino</w:t>
      </w:r>
      <w:proofErr w:type="spellEnd"/>
      <w:r w:rsidRPr="00774FA7">
        <w:rPr>
          <w:rFonts w:ascii="Times New Roman" w:eastAsia="Calibri" w:hAnsi="Times New Roman" w:cs="Times New Roman"/>
          <w:sz w:val="24"/>
          <w:szCs w:val="24"/>
        </w:rPr>
        <w:t xml:space="preserve">, C-244/13 </w:t>
      </w:r>
      <w:proofErr w:type="spellStart"/>
      <w:r w:rsidRPr="00774FA7">
        <w:rPr>
          <w:rFonts w:ascii="Times New Roman" w:eastAsia="Calibri" w:hAnsi="Times New Roman" w:cs="Times New Roman"/>
          <w:sz w:val="24"/>
          <w:szCs w:val="24"/>
        </w:rPr>
        <w:t>Ogieriakhi</w:t>
      </w:r>
      <w:proofErr w:type="spellEnd"/>
      <w:r w:rsidRPr="00774FA7">
        <w:rPr>
          <w:rFonts w:ascii="Times New Roman" w:eastAsia="Calibri" w:hAnsi="Times New Roman" w:cs="Times New Roman"/>
          <w:sz w:val="24"/>
          <w:szCs w:val="24"/>
        </w:rPr>
        <w:t>, C-325/09 Maria Dias, C-424/10 Ziółkowski, C-425/10 Szeja</w:t>
      </w:r>
      <w:r w:rsidR="00300310">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C-507/12, Saint Prix, C-218/14 </w:t>
      </w:r>
      <w:proofErr w:type="spellStart"/>
      <w:r w:rsidRPr="00774FA7">
        <w:rPr>
          <w:rFonts w:ascii="Times New Roman" w:eastAsia="Calibri" w:hAnsi="Times New Roman" w:cs="Times New Roman"/>
          <w:sz w:val="24"/>
          <w:szCs w:val="24"/>
        </w:rPr>
        <w:t>Kuldp</w:t>
      </w:r>
      <w:proofErr w:type="spellEnd"/>
      <w:r w:rsidRPr="00774FA7">
        <w:rPr>
          <w:rFonts w:ascii="Times New Roman" w:eastAsia="Calibri" w:hAnsi="Times New Roman" w:cs="Times New Roman"/>
          <w:sz w:val="24"/>
          <w:szCs w:val="24"/>
        </w:rPr>
        <w:t xml:space="preserve"> Singh, C-200/02 </w:t>
      </w:r>
      <w:proofErr w:type="spellStart"/>
      <w:r w:rsidRPr="00774FA7">
        <w:rPr>
          <w:rFonts w:ascii="Times New Roman" w:eastAsia="Calibri" w:hAnsi="Times New Roman" w:cs="Times New Roman"/>
          <w:sz w:val="24"/>
          <w:szCs w:val="24"/>
        </w:rPr>
        <w:t>Zhu</w:t>
      </w:r>
      <w:proofErr w:type="spellEnd"/>
      <w:r w:rsidRPr="00774FA7">
        <w:rPr>
          <w:rFonts w:ascii="Times New Roman" w:eastAsia="Calibri" w:hAnsi="Times New Roman" w:cs="Times New Roman"/>
          <w:sz w:val="24"/>
          <w:szCs w:val="24"/>
        </w:rPr>
        <w:t xml:space="preserve"> i Chen,  C-165/14 </w:t>
      </w:r>
      <w:proofErr w:type="spellStart"/>
      <w:r w:rsidRPr="00774FA7">
        <w:rPr>
          <w:rFonts w:ascii="Times New Roman" w:eastAsia="Calibri" w:hAnsi="Times New Roman" w:cs="Times New Roman"/>
          <w:sz w:val="24"/>
          <w:szCs w:val="24"/>
        </w:rPr>
        <w:t>Rendón</w:t>
      </w:r>
      <w:proofErr w:type="spellEnd"/>
      <w:r w:rsidRPr="00774FA7">
        <w:rPr>
          <w:rFonts w:ascii="Times New Roman" w:eastAsia="Calibri" w:hAnsi="Times New Roman" w:cs="Times New Roman"/>
          <w:sz w:val="24"/>
          <w:szCs w:val="24"/>
        </w:rPr>
        <w:t xml:space="preserve"> </w:t>
      </w:r>
      <w:proofErr w:type="spellStart"/>
      <w:r w:rsidRPr="00774FA7">
        <w:rPr>
          <w:rFonts w:ascii="Times New Roman" w:eastAsia="Calibri" w:hAnsi="Times New Roman" w:cs="Times New Roman"/>
          <w:sz w:val="24"/>
          <w:szCs w:val="24"/>
        </w:rPr>
        <w:t>Marín</w:t>
      </w:r>
      <w:proofErr w:type="spellEnd"/>
      <w:r w:rsidRPr="00774FA7" w:rsidDel="00B96E29">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 C-86/12 </w:t>
      </w:r>
      <w:proofErr w:type="spellStart"/>
      <w:r w:rsidRPr="00774FA7">
        <w:rPr>
          <w:rFonts w:ascii="Times New Roman" w:eastAsia="Calibri" w:hAnsi="Times New Roman" w:cs="Times New Roman"/>
          <w:sz w:val="24"/>
          <w:szCs w:val="24"/>
        </w:rPr>
        <w:t>Alokpa</w:t>
      </w:r>
      <w:proofErr w:type="spellEnd"/>
      <w:r w:rsidRPr="00774FA7">
        <w:rPr>
          <w:rFonts w:ascii="Times New Roman" w:eastAsia="Calibri" w:hAnsi="Times New Roman" w:cs="Times New Roman"/>
          <w:sz w:val="24"/>
          <w:szCs w:val="24"/>
        </w:rPr>
        <w:t xml:space="preserve"> i </w:t>
      </w:r>
      <w:proofErr w:type="spellStart"/>
      <w:r w:rsidRPr="00774FA7">
        <w:rPr>
          <w:rFonts w:ascii="Times New Roman" w:eastAsia="Calibri" w:hAnsi="Times New Roman" w:cs="Times New Roman"/>
          <w:sz w:val="24"/>
          <w:szCs w:val="24"/>
        </w:rPr>
        <w:t>Moudoulou</w:t>
      </w:r>
      <w:proofErr w:type="spellEnd"/>
      <w:r w:rsidRPr="00774FA7">
        <w:rPr>
          <w:rFonts w:ascii="Times New Roman" w:eastAsia="Calibri" w:hAnsi="Times New Roman" w:cs="Times New Roman"/>
          <w:sz w:val="24"/>
          <w:szCs w:val="24"/>
        </w:rPr>
        <w:t xml:space="preserve">, C-133/15 </w:t>
      </w:r>
      <w:proofErr w:type="spellStart"/>
      <w:r w:rsidRPr="00774FA7">
        <w:rPr>
          <w:rFonts w:ascii="Times New Roman" w:eastAsia="Calibri" w:hAnsi="Times New Roman" w:cs="Times New Roman"/>
          <w:sz w:val="24"/>
          <w:szCs w:val="24"/>
        </w:rPr>
        <w:t>Chavez-Vilchez</w:t>
      </w:r>
      <w:proofErr w:type="spellEnd"/>
      <w:r w:rsidRPr="00774FA7">
        <w:rPr>
          <w:rFonts w:ascii="Times New Roman" w:eastAsia="Calibri" w:hAnsi="Times New Roman" w:cs="Times New Roman"/>
          <w:sz w:val="24"/>
          <w:szCs w:val="24"/>
        </w:rPr>
        <w:t xml:space="preserve">, C-165/16 </w:t>
      </w:r>
      <w:proofErr w:type="spellStart"/>
      <w:r w:rsidR="00307C0E" w:rsidRPr="00774FA7">
        <w:rPr>
          <w:rFonts w:ascii="Times New Roman" w:eastAsia="Calibri" w:hAnsi="Times New Roman" w:cs="Times New Roman"/>
          <w:bCs/>
          <w:sz w:val="24"/>
          <w:szCs w:val="24"/>
        </w:rPr>
        <w:t>Toufik</w:t>
      </w:r>
      <w:proofErr w:type="spellEnd"/>
      <w:r w:rsidR="00307C0E" w:rsidRPr="00774FA7">
        <w:rPr>
          <w:rFonts w:ascii="Times New Roman" w:eastAsia="Calibri" w:hAnsi="Times New Roman" w:cs="Times New Roman"/>
          <w:bCs/>
          <w:sz w:val="24"/>
          <w:szCs w:val="24"/>
        </w:rPr>
        <w:t xml:space="preserve"> </w:t>
      </w:r>
      <w:proofErr w:type="spellStart"/>
      <w:r w:rsidR="00307C0E" w:rsidRPr="00774FA7">
        <w:rPr>
          <w:rFonts w:ascii="Times New Roman" w:eastAsia="Calibri" w:hAnsi="Times New Roman" w:cs="Times New Roman"/>
          <w:bCs/>
          <w:sz w:val="24"/>
          <w:szCs w:val="24"/>
        </w:rPr>
        <w:t>Lounes</w:t>
      </w:r>
      <w:proofErr w:type="spellEnd"/>
      <w:r w:rsidR="00307C0E" w:rsidRPr="00774FA7">
        <w:rPr>
          <w:rFonts w:ascii="Times New Roman" w:eastAsia="Calibri" w:hAnsi="Times New Roman" w:cs="Times New Roman"/>
          <w:bCs/>
          <w:sz w:val="24"/>
          <w:szCs w:val="24"/>
        </w:rPr>
        <w:t>,</w:t>
      </w:r>
      <w:r w:rsidRPr="00774FA7">
        <w:rPr>
          <w:rFonts w:ascii="Times New Roman" w:eastAsia="Calibri" w:hAnsi="Times New Roman" w:cs="Times New Roman"/>
          <w:bCs/>
          <w:sz w:val="24"/>
          <w:szCs w:val="24"/>
        </w:rPr>
        <w:t xml:space="preserve"> w sprawach połączonych C-316/16 B i C-424/16 Franco </w:t>
      </w:r>
      <w:proofErr w:type="spellStart"/>
      <w:r w:rsidRPr="00774FA7">
        <w:rPr>
          <w:rFonts w:ascii="Times New Roman" w:eastAsia="Calibri" w:hAnsi="Times New Roman" w:cs="Times New Roman"/>
          <w:bCs/>
          <w:sz w:val="24"/>
          <w:szCs w:val="24"/>
        </w:rPr>
        <w:t>Vomero</w:t>
      </w:r>
      <w:proofErr w:type="spellEnd"/>
      <w:r w:rsidR="00307C0E" w:rsidRPr="00774FA7">
        <w:rPr>
          <w:rFonts w:ascii="Times New Roman" w:eastAsia="Calibri" w:hAnsi="Times New Roman" w:cs="Times New Roman"/>
          <w:sz w:val="24"/>
          <w:szCs w:val="24"/>
        </w:rPr>
        <w:t xml:space="preserve"> oraz </w:t>
      </w:r>
      <w:r w:rsidR="00EF6E33" w:rsidRPr="00774FA7">
        <w:rPr>
          <w:rFonts w:ascii="Times New Roman" w:eastAsia="Calibri" w:hAnsi="Times New Roman" w:cs="Times New Roman"/>
          <w:sz w:val="24"/>
          <w:szCs w:val="24"/>
        </w:rPr>
        <w:t xml:space="preserve">w </w:t>
      </w:r>
      <w:r w:rsidR="00307C0E" w:rsidRPr="00774FA7">
        <w:rPr>
          <w:rFonts w:ascii="Times New Roman" w:eastAsia="Calibri" w:hAnsi="Times New Roman" w:cs="Times New Roman"/>
          <w:sz w:val="24"/>
          <w:szCs w:val="24"/>
        </w:rPr>
        <w:t xml:space="preserve">sprawie C-94/18 </w:t>
      </w:r>
      <w:proofErr w:type="spellStart"/>
      <w:r w:rsidR="00307C0E" w:rsidRPr="00774FA7">
        <w:rPr>
          <w:rFonts w:ascii="Times New Roman" w:eastAsia="Calibri" w:hAnsi="Times New Roman" w:cs="Times New Roman"/>
          <w:sz w:val="24"/>
          <w:szCs w:val="24"/>
        </w:rPr>
        <w:t>Chenchooliah</w:t>
      </w:r>
      <w:proofErr w:type="spellEnd"/>
      <w:r w:rsidR="00307C0E" w:rsidRPr="00774FA7">
        <w:rPr>
          <w:rFonts w:ascii="Times New Roman" w:eastAsia="Calibri" w:hAnsi="Times New Roman" w:cs="Times New Roman"/>
          <w:sz w:val="24"/>
          <w:szCs w:val="24"/>
        </w:rPr>
        <w:t>.</w:t>
      </w:r>
    </w:p>
    <w:p w14:paraId="2830A928" w14:textId="09219FD6"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Dodatkowo projekt ustawy dostosowuje przepisy polskiego prawa do rozporządzenia Parlamentu Europejskiego i Rady (UE) 2019/1157 z dnia 20 czerwca 2019 r. w sprawie poprawy zabezpieczeń dowodów osobistych obywateli Unii i dokumentów pobytowych wydawanych obywatelom Unii i członkom ich rodzin korzystającym z prawa do swobodnego przemieszczania się (Dz. Urz. UE L 188 z 12.07.2019, str. 67), zwanego dalej „rozporządzeniem Rady (UE) 2019/1157”. Wskazane wyżej rozporządzenie wprowadza jednolity format dokumentów wydawanych obywatelom UE oraz członkom ich rodzin, którzy korzystają ze swobody przemieszczania się. Zakresem niniejszego rozporządzenia zostały objęte nie tylko dowody osobiste wydawane przez państwa członkowskie Unii Europejskiej swoim obywatelom, ale także zaświadczenia o rejestracji wydawane zgodnie z art. 8 dyrektywy 2004/38/WE oraz karty pobytowe i karty stałego pobytu wydawane członkom rodziny obywateli Unii Europejskiej na mocy ww. dyrektywy. </w:t>
      </w:r>
      <w:r w:rsidR="00C97114" w:rsidRPr="00774FA7">
        <w:rPr>
          <w:rFonts w:ascii="Times New Roman" w:eastAsia="Calibri" w:hAnsi="Times New Roman" w:cs="Times New Roman"/>
          <w:sz w:val="24"/>
          <w:szCs w:val="24"/>
        </w:rPr>
        <w:t>Przepis a</w:t>
      </w:r>
      <w:r w:rsidRPr="00774FA7">
        <w:rPr>
          <w:rFonts w:ascii="Times New Roman" w:eastAsia="Calibri" w:hAnsi="Times New Roman" w:cs="Times New Roman"/>
          <w:sz w:val="24"/>
          <w:szCs w:val="24"/>
        </w:rPr>
        <w:t xml:space="preserve">rt. 6 rozporządzenia Rady (UE) 2019/1157 określa minimalny zakres informacji, które powinny znajdować się na zaświadczeniu o zarejestrowaniu pobytu obywatela UE oraz dokumencie potwierdzającym prawo stałego pobytu. </w:t>
      </w:r>
      <w:r w:rsidR="00C97114" w:rsidRPr="00774FA7">
        <w:rPr>
          <w:rFonts w:ascii="Times New Roman" w:eastAsia="Calibri" w:hAnsi="Times New Roman" w:cs="Times New Roman"/>
          <w:sz w:val="24"/>
          <w:szCs w:val="24"/>
        </w:rPr>
        <w:t xml:space="preserve">Ww. </w:t>
      </w:r>
      <w:r w:rsidR="006A0D21" w:rsidRPr="00774FA7">
        <w:rPr>
          <w:rFonts w:ascii="Times New Roman" w:eastAsia="Calibri" w:hAnsi="Times New Roman" w:cs="Times New Roman"/>
          <w:sz w:val="24"/>
          <w:szCs w:val="24"/>
        </w:rPr>
        <w:t>r</w:t>
      </w:r>
      <w:r w:rsidRPr="00774FA7">
        <w:rPr>
          <w:rFonts w:ascii="Times New Roman" w:eastAsia="Calibri" w:hAnsi="Times New Roman" w:cs="Times New Roman"/>
          <w:sz w:val="24"/>
          <w:szCs w:val="24"/>
        </w:rPr>
        <w:t>ozporządzanie nie wskazuje jednak</w:t>
      </w:r>
      <w:r w:rsidR="00C97114" w:rsidRPr="00774FA7">
        <w:rPr>
          <w:rFonts w:ascii="Times New Roman" w:eastAsia="Calibri" w:hAnsi="Times New Roman" w:cs="Times New Roman"/>
          <w:sz w:val="24"/>
          <w:szCs w:val="24"/>
        </w:rPr>
        <w:t>że</w:t>
      </w:r>
      <w:r w:rsidRPr="00774FA7">
        <w:rPr>
          <w:rFonts w:ascii="Times New Roman" w:eastAsia="Calibri" w:hAnsi="Times New Roman" w:cs="Times New Roman"/>
          <w:sz w:val="24"/>
          <w:szCs w:val="24"/>
        </w:rPr>
        <w:t xml:space="preserve"> w jakim formacie powinny być wydawane opisane wyżej dokumenty. Projektodawca zdecydował się na wprowadzenie regulacji prawnych, przewidujących wydawanie zaświadczenia o zarejestrowaniu pobytu </w:t>
      </w:r>
      <w:r w:rsidRPr="00774FA7">
        <w:rPr>
          <w:rFonts w:ascii="Times New Roman" w:eastAsia="Calibri" w:hAnsi="Times New Roman" w:cs="Times New Roman"/>
          <w:sz w:val="24"/>
          <w:szCs w:val="24"/>
        </w:rPr>
        <w:lastRenderedPageBreak/>
        <w:t xml:space="preserve">obywatela UE w formacie zbliżonym do karty pobytu. Dotychczasowe zaświadczenia </w:t>
      </w:r>
      <w:r w:rsidR="007B4EC4">
        <w:rPr>
          <w:rFonts w:ascii="Times New Roman" w:eastAsia="Calibri" w:hAnsi="Times New Roman" w:cs="Times New Roman"/>
          <w:sz w:val="24"/>
          <w:szCs w:val="24"/>
        </w:rPr>
        <w:br/>
      </w:r>
      <w:r w:rsidRPr="00774FA7">
        <w:rPr>
          <w:rFonts w:ascii="Times New Roman" w:eastAsia="Calibri" w:hAnsi="Times New Roman" w:cs="Times New Roman"/>
          <w:sz w:val="24"/>
          <w:szCs w:val="24"/>
        </w:rPr>
        <w:t xml:space="preserve">o zarejestrowaniu pobytu obywatela UE były wydawane w formacie papierowym, jako niezabezpieczony dokument bez zdjęcia. Powyższy format budził wiele kontrowersji zarówno ze strony organów administracji publicznej, jak również samych obywateli UE. Z uwagi na powyższe w projekcie ustawy zaproponowano odejście od papierowego formatu zaświadczenia o zarejestrowaniu pobytu obywatela UE na rzecz zabezpieczonego dokumentu ze zdjęciem.  </w:t>
      </w:r>
    </w:p>
    <w:p w14:paraId="6880E842" w14:textId="22912D9F" w:rsidR="00C97114" w:rsidRPr="00774FA7" w:rsidRDefault="00076C40" w:rsidP="007B4EC4">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 art. 7 ust. 1 rozporządzenia Rady (UE) 2019/1157 wynika, iż karty pobytowe oraz karty stałego pobytu członkom rodziny obywatela Unii Europejskiej są wydawane zgodnie z formatem określonym w rozporządzeniu Rady (WE) nr 1030/2002 z dnia 13 czerwca 2002 r. ustanawiającym jednolity wzór dokumentów pobytowych dla obywateli państw trzecich (Dz. Urz. UE L 157 z 15.06.2002, str. 1, z </w:t>
      </w:r>
      <w:proofErr w:type="spellStart"/>
      <w:r w:rsidRPr="00774FA7">
        <w:rPr>
          <w:rFonts w:ascii="Times New Roman" w:eastAsia="Calibri" w:hAnsi="Times New Roman" w:cs="Times New Roman"/>
          <w:sz w:val="24"/>
          <w:szCs w:val="24"/>
        </w:rPr>
        <w:t>późn</w:t>
      </w:r>
      <w:proofErr w:type="spellEnd"/>
      <w:r w:rsidRPr="00774FA7">
        <w:rPr>
          <w:rFonts w:ascii="Times New Roman" w:eastAsia="Calibri" w:hAnsi="Times New Roman" w:cs="Times New Roman"/>
          <w:sz w:val="24"/>
          <w:szCs w:val="24"/>
        </w:rPr>
        <w:t xml:space="preserve">. zm.), zwanym dalej „rozporządzeniem Rady (WE) nr 1030/2002”. </w:t>
      </w:r>
      <w:r w:rsidR="00C97114" w:rsidRPr="00774FA7">
        <w:rPr>
          <w:rFonts w:ascii="Times New Roman" w:eastAsia="Calibri" w:hAnsi="Times New Roman" w:cs="Times New Roman"/>
          <w:sz w:val="24"/>
          <w:szCs w:val="24"/>
        </w:rPr>
        <w:t>Przepis a</w:t>
      </w:r>
      <w:r w:rsidRPr="00774FA7">
        <w:rPr>
          <w:rFonts w:ascii="Times New Roman" w:eastAsia="Calibri" w:hAnsi="Times New Roman" w:cs="Times New Roman"/>
          <w:sz w:val="24"/>
          <w:szCs w:val="24"/>
        </w:rPr>
        <w:t>rt. 7 ust. 2  ww. rozporządzenia stanowi, iż  dokumenty powinny nosić nazwę „Karta pobytowa” lub „Karta stałego pobytu” oraz zawierać adnotację „członek rodziny obywatela UE, art. 10 dyrektywy 2004/38/WE” lub „członek rodziny obywatela UE, art. 20 dyrektywy 2004/38/WE”. Z uwagi na powyższe projekt ustawy zmienia nazwy wydawanych członkom rodziny obywateli UE dokumentów</w:t>
      </w:r>
      <w:r w:rsidR="00E75F8C"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„karta pobytu członka rodziny obywatela UE” na „karta pobytowa” i „karta stałego pobytu członka rodziny obywatela UE” na „karta stałego pobytu”. </w:t>
      </w:r>
    </w:p>
    <w:p w14:paraId="6DD62A30" w14:textId="0FC3EDFD"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Ponadto projekt ustawy przewiduje wprowadzenie uregulowań pozwalających na zamieszczanie w kartach pobytowych oraz kartach stałego pobytu stosownych adnotacji oraz obrazu linii papilarnych. Przepisy regulujące pobieranie oraz zamieszczanie odcisków linii papilarnych w kartach pobytowych oraz kartach stałego pobytu są wzorowane na rozwiązaniach ustawy z dnia 12 grudnia 2013 r. o cudzoziemcach (Dz. U. z 20</w:t>
      </w:r>
      <w:r w:rsidR="003E1953" w:rsidRPr="00774FA7">
        <w:rPr>
          <w:rFonts w:ascii="Times New Roman" w:eastAsia="Calibri" w:hAnsi="Times New Roman" w:cs="Times New Roman"/>
          <w:sz w:val="24"/>
          <w:szCs w:val="24"/>
        </w:rPr>
        <w:t>20</w:t>
      </w:r>
      <w:r w:rsidRPr="00774FA7">
        <w:rPr>
          <w:rFonts w:ascii="Times New Roman" w:eastAsia="Calibri" w:hAnsi="Times New Roman" w:cs="Times New Roman"/>
          <w:sz w:val="24"/>
          <w:szCs w:val="24"/>
        </w:rPr>
        <w:t xml:space="preserve"> r. poz. </w:t>
      </w:r>
      <w:r w:rsidR="003E1953" w:rsidRPr="00774FA7">
        <w:rPr>
          <w:rFonts w:ascii="Times New Roman" w:eastAsia="Calibri" w:hAnsi="Times New Roman" w:cs="Times New Roman"/>
          <w:sz w:val="24"/>
          <w:szCs w:val="24"/>
        </w:rPr>
        <w:t>35</w:t>
      </w:r>
      <w:r w:rsidR="00767BA9">
        <w:rPr>
          <w:rFonts w:ascii="Times New Roman" w:eastAsia="Calibri" w:hAnsi="Times New Roman" w:cs="Times New Roman"/>
          <w:sz w:val="24"/>
          <w:szCs w:val="24"/>
        </w:rPr>
        <w:t xml:space="preserve"> i</w:t>
      </w:r>
      <w:r w:rsidR="009E4306">
        <w:rPr>
          <w:rFonts w:ascii="Times New Roman" w:eastAsia="Calibri" w:hAnsi="Times New Roman" w:cs="Times New Roman"/>
          <w:sz w:val="24"/>
          <w:szCs w:val="24"/>
        </w:rPr>
        <w:t xml:space="preserve"> 2023</w:t>
      </w:r>
      <w:r w:rsidRPr="00774FA7">
        <w:rPr>
          <w:rFonts w:ascii="Times New Roman" w:eastAsia="Calibri" w:hAnsi="Times New Roman" w:cs="Times New Roman"/>
          <w:sz w:val="24"/>
          <w:szCs w:val="24"/>
        </w:rPr>
        <w:t xml:space="preserve">), zwanej dalej „ustawą o cudzoziemcach”, dotyczących wydawania kart pobytu, które również </w:t>
      </w:r>
      <w:r w:rsidR="00E75F8C" w:rsidRPr="00774FA7">
        <w:rPr>
          <w:rFonts w:ascii="Times New Roman" w:eastAsia="Calibri" w:hAnsi="Times New Roman" w:cs="Times New Roman"/>
          <w:sz w:val="24"/>
          <w:szCs w:val="24"/>
        </w:rPr>
        <w:t xml:space="preserve">są </w:t>
      </w:r>
      <w:r w:rsidRPr="00774FA7">
        <w:rPr>
          <w:rFonts w:ascii="Times New Roman" w:eastAsia="Calibri" w:hAnsi="Times New Roman" w:cs="Times New Roman"/>
          <w:sz w:val="24"/>
          <w:szCs w:val="24"/>
        </w:rPr>
        <w:t>wydawane w formacie przewidzianym w rozporządzeniu Rady (WE) nr 1030/2002.</w:t>
      </w:r>
    </w:p>
    <w:p w14:paraId="4C1D584A" w14:textId="6A8DC24C" w:rsidR="00076C40" w:rsidRPr="00774FA7" w:rsidRDefault="00D42B06"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Projektowana</w:t>
      </w:r>
      <w:r w:rsidR="006A0D21" w:rsidRPr="00774FA7">
        <w:t xml:space="preserve"> </w:t>
      </w:r>
      <w:r w:rsidR="006A0D21" w:rsidRPr="00774FA7">
        <w:rPr>
          <w:rFonts w:ascii="Times New Roman" w:hAnsi="Times New Roman" w:cs="Times New Roman"/>
          <w:sz w:val="24"/>
          <w:szCs w:val="24"/>
        </w:rPr>
        <w:t xml:space="preserve">zmiana </w:t>
      </w:r>
      <w:r w:rsidR="006A0D21" w:rsidRPr="00774FA7">
        <w:rPr>
          <w:rFonts w:ascii="Times New Roman" w:eastAsia="Calibri" w:hAnsi="Times New Roman" w:cs="Times New Roman"/>
          <w:sz w:val="24"/>
          <w:szCs w:val="24"/>
        </w:rPr>
        <w:t>ustawy z dnia 14 lipca 2006 r. o wjeździe na terytorium Rzeczypospolitej Polskiej, pobycie oraz wyjeździe z tego terytorium obywateli państw członkowskich Unii Europejskiej i członków ich rodzin (Dz. U. z 2019 r. poz. 293</w:t>
      </w:r>
      <w:r w:rsidR="009E4306">
        <w:rPr>
          <w:rFonts w:ascii="Times New Roman" w:eastAsia="Calibri" w:hAnsi="Times New Roman" w:cs="Times New Roman"/>
          <w:sz w:val="24"/>
          <w:szCs w:val="24"/>
        </w:rPr>
        <w:t xml:space="preserve"> oraz z 2020 r. poz. 2023</w:t>
      </w:r>
      <w:r w:rsidR="006A0D21" w:rsidRPr="00774FA7">
        <w:rPr>
          <w:rFonts w:ascii="Times New Roman" w:eastAsia="Calibri" w:hAnsi="Times New Roman" w:cs="Times New Roman"/>
          <w:sz w:val="24"/>
          <w:szCs w:val="24"/>
        </w:rPr>
        <w:t>), zwanej dalej „ustawą o wjeździe obywateli UE”</w:t>
      </w:r>
      <w:r w:rsidR="00076C40"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 zakresie swojej regulacji</w:t>
      </w:r>
      <w:r w:rsidR="00D038F4"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dokonuje także uzupełnienia wdrożenia</w:t>
      </w:r>
      <w:r w:rsidR="00076C40"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przepisów </w:t>
      </w:r>
      <w:r w:rsidR="00076C40" w:rsidRPr="00774FA7">
        <w:rPr>
          <w:rFonts w:ascii="Times New Roman" w:eastAsia="Calibri" w:hAnsi="Times New Roman" w:cs="Times New Roman"/>
          <w:sz w:val="24"/>
          <w:szCs w:val="24"/>
        </w:rPr>
        <w:t xml:space="preserve">dyrektywy 2004/38/WE, w szczególności w kwestii ograniczenia prawa do swobody przepływu osób z uwagi na zagrożenie dla bezpieczeństwa oraz nadużycie prawa.  </w:t>
      </w:r>
    </w:p>
    <w:p w14:paraId="1CD0FB9B" w14:textId="532FA2B1"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Projektowane zmiany pozwolą także Straży Granicznej, w przypadku podejrzenia zawarcia fikcyjnego małżeństwa z obywatelem UE, na przeprowadzanie wywiadu środowiskowego oraz dokonanie sprawdzenia w miejscu pobytu obywatela UE, czy podejrzenie to jest uzasadnione. </w:t>
      </w:r>
      <w:r w:rsidR="007A261A" w:rsidRPr="00774FA7">
        <w:rPr>
          <w:rFonts w:ascii="Times New Roman" w:eastAsia="Calibri" w:hAnsi="Times New Roman" w:cs="Times New Roman"/>
          <w:sz w:val="24"/>
          <w:szCs w:val="24"/>
        </w:rPr>
        <w:t>Nowo zaprojektowane</w:t>
      </w:r>
      <w:r w:rsidR="00C97114" w:rsidRPr="00774FA7">
        <w:rPr>
          <w:rFonts w:ascii="Times New Roman" w:eastAsia="Calibri" w:hAnsi="Times New Roman" w:cs="Times New Roman"/>
          <w:sz w:val="24"/>
          <w:szCs w:val="24"/>
        </w:rPr>
        <w:t xml:space="preserve"> </w:t>
      </w:r>
      <w:r w:rsidR="0085782B" w:rsidRPr="00774FA7">
        <w:rPr>
          <w:rFonts w:ascii="Times New Roman" w:eastAsia="Calibri" w:hAnsi="Times New Roman" w:cs="Times New Roman"/>
          <w:sz w:val="24"/>
          <w:szCs w:val="24"/>
        </w:rPr>
        <w:t>zmiany</w:t>
      </w:r>
      <w:r w:rsidRPr="00774FA7">
        <w:rPr>
          <w:rFonts w:ascii="Times New Roman" w:eastAsia="Calibri" w:hAnsi="Times New Roman" w:cs="Times New Roman"/>
          <w:sz w:val="24"/>
          <w:szCs w:val="24"/>
        </w:rPr>
        <w:t xml:space="preserve"> pozwolą również na wyłączenie stosownych przepisów Kodeksu postępowania administracyjnego w przypadku przeprowadzania tego typu działań.</w:t>
      </w:r>
    </w:p>
    <w:p w14:paraId="1851324B" w14:textId="777ED6AD"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projekcie ustawy zaproponowano również zmianę organu właściwego do wydawania decyzji o wydaleniu obywateli UE oraz członków rodziny niebędących </w:t>
      </w:r>
      <w:r w:rsidRPr="00774FA7">
        <w:rPr>
          <w:rFonts w:ascii="Times New Roman" w:eastAsia="Calibri" w:hAnsi="Times New Roman" w:cs="Times New Roman"/>
          <w:sz w:val="24"/>
          <w:szCs w:val="24"/>
        </w:rPr>
        <w:lastRenderedPageBreak/>
        <w:t xml:space="preserve">obywatelami UE. Podobnie jak przewiduje to ustawa o cudzoziemcach decyzja o wydaleniu obywateli UE oraz członków rodziny niebędących obywatelami UE będzie wydawana, z urzędu lub na wniosek, przez komendanta oddziału Straży Granicznej lub komendanta placówki Straży Granicznej. </w:t>
      </w:r>
    </w:p>
    <w:p w14:paraId="7E031792" w14:textId="2D16D68F" w:rsidR="00FC0D76" w:rsidRPr="00774FA7" w:rsidRDefault="00C97114"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Niniejsza ustawa dokonuje w zakresie swojej regulacji uzupełnienia wdrożenia </w:t>
      </w:r>
      <w:r w:rsidR="00FC0D76" w:rsidRPr="00774FA7">
        <w:rPr>
          <w:rFonts w:ascii="Times New Roman" w:eastAsia="Calibri" w:hAnsi="Times New Roman" w:cs="Times New Roman"/>
          <w:sz w:val="24"/>
          <w:szCs w:val="24"/>
        </w:rPr>
        <w:t>art. 11 dyrektywy Parlamentu Europejskiego i Rady 2011/36/UE z dnia 5 kwietnia 2011 r. w sprawie  zapobiegania handl</w:t>
      </w:r>
      <w:r w:rsidR="00A75DF1">
        <w:rPr>
          <w:rFonts w:ascii="Times New Roman" w:eastAsia="Calibri" w:hAnsi="Times New Roman" w:cs="Times New Roman"/>
          <w:sz w:val="24"/>
          <w:szCs w:val="24"/>
        </w:rPr>
        <w:t>owi</w:t>
      </w:r>
      <w:r w:rsidR="00FC0D76" w:rsidRPr="00774FA7">
        <w:rPr>
          <w:rFonts w:ascii="Times New Roman" w:eastAsia="Calibri" w:hAnsi="Times New Roman" w:cs="Times New Roman"/>
          <w:sz w:val="24"/>
          <w:szCs w:val="24"/>
        </w:rPr>
        <w:t xml:space="preserve"> ludźmi i zwalczania tego procederu oraz </w:t>
      </w:r>
      <w:r w:rsidR="007B4EC4">
        <w:rPr>
          <w:rFonts w:ascii="Times New Roman" w:eastAsia="Calibri" w:hAnsi="Times New Roman" w:cs="Times New Roman"/>
          <w:sz w:val="24"/>
          <w:szCs w:val="24"/>
        </w:rPr>
        <w:t>ochrony ofiar (Dz. Urz. U</w:t>
      </w:r>
      <w:r w:rsidR="00FC0D76" w:rsidRPr="00774FA7">
        <w:rPr>
          <w:rFonts w:ascii="Times New Roman" w:eastAsia="Calibri" w:hAnsi="Times New Roman" w:cs="Times New Roman"/>
          <w:sz w:val="24"/>
          <w:szCs w:val="24"/>
        </w:rPr>
        <w:t>E L 101 z 15.04.2011, str. 1)</w:t>
      </w:r>
      <w:r w:rsidR="00D2284E" w:rsidRPr="00774FA7">
        <w:rPr>
          <w:rFonts w:ascii="Times New Roman" w:eastAsia="Calibri" w:hAnsi="Times New Roman" w:cs="Times New Roman"/>
          <w:sz w:val="24"/>
          <w:szCs w:val="24"/>
        </w:rPr>
        <w:t xml:space="preserve"> w zakresie dotyczącym obywateli UE i członków ich rodzin</w:t>
      </w:r>
      <w:r w:rsidR="00FC0D76" w:rsidRPr="00774FA7">
        <w:rPr>
          <w:rFonts w:ascii="Times New Roman" w:eastAsia="Calibri" w:hAnsi="Times New Roman" w:cs="Times New Roman"/>
          <w:sz w:val="24"/>
          <w:szCs w:val="24"/>
        </w:rPr>
        <w:t>.</w:t>
      </w:r>
    </w:p>
    <w:p w14:paraId="57AC424F" w14:textId="0171FD1C"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Dodatkowo projektowane przepisy mają </w:t>
      </w:r>
      <w:r w:rsidR="00A4540B" w:rsidRPr="00774FA7">
        <w:rPr>
          <w:rFonts w:ascii="Times New Roman" w:eastAsia="Calibri" w:hAnsi="Times New Roman" w:cs="Times New Roman"/>
          <w:sz w:val="24"/>
          <w:szCs w:val="24"/>
        </w:rPr>
        <w:t>także</w:t>
      </w:r>
      <w:r w:rsidR="00FC0D76"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na celu zapewnienie stosowania przez Rzeczpospolitą Polską Umowy </w:t>
      </w:r>
      <w:r w:rsidR="008C7E61">
        <w:rPr>
          <w:rFonts w:ascii="Times New Roman" w:eastAsia="Calibri" w:hAnsi="Times New Roman" w:cs="Times New Roman"/>
          <w:sz w:val="24"/>
          <w:szCs w:val="24"/>
        </w:rPr>
        <w:t xml:space="preserve">o </w:t>
      </w:r>
      <w:r w:rsidRPr="00774FA7">
        <w:rPr>
          <w:rFonts w:ascii="Times New Roman" w:eastAsia="Calibri" w:hAnsi="Times New Roman" w:cs="Times New Roman"/>
          <w:sz w:val="24"/>
          <w:szCs w:val="24"/>
        </w:rPr>
        <w:t>wystąpieni</w:t>
      </w:r>
      <w:r w:rsidR="008C7E61">
        <w:rPr>
          <w:rFonts w:ascii="Times New Roman" w:eastAsia="Calibri" w:hAnsi="Times New Roman" w:cs="Times New Roman"/>
          <w:sz w:val="24"/>
          <w:szCs w:val="24"/>
        </w:rPr>
        <w:t>u</w:t>
      </w:r>
      <w:r w:rsidRPr="00774FA7">
        <w:rPr>
          <w:rFonts w:ascii="Times New Roman" w:eastAsia="Calibri" w:hAnsi="Times New Roman" w:cs="Times New Roman"/>
          <w:sz w:val="24"/>
          <w:szCs w:val="24"/>
        </w:rPr>
        <w:t xml:space="preserve"> Zjednoczonego Królestwa Wielkiej Brytanii i Irlandii Północnej z Unii Europejskiej i Europejskiej Wspólnoty</w:t>
      </w:r>
      <w:r w:rsidR="00A33FCD" w:rsidRPr="00774FA7">
        <w:rPr>
          <w:rFonts w:ascii="Times New Roman" w:eastAsia="Calibri" w:hAnsi="Times New Roman" w:cs="Times New Roman"/>
          <w:sz w:val="24"/>
          <w:szCs w:val="24"/>
        </w:rPr>
        <w:t xml:space="preserve"> Energii Atomowej, zwanej dalej</w:t>
      </w:r>
      <w:r w:rsidR="00562DE3" w:rsidRPr="00774FA7">
        <w:rPr>
          <w:rFonts w:ascii="Times New Roman" w:eastAsia="Calibri" w:hAnsi="Times New Roman" w:cs="Times New Roman"/>
          <w:sz w:val="24"/>
          <w:szCs w:val="24"/>
        </w:rPr>
        <w:t xml:space="preserve"> „Umową wystąpienia”</w:t>
      </w:r>
      <w:r w:rsidR="003C5030" w:rsidRPr="00774FA7">
        <w:rPr>
          <w:rFonts w:ascii="Times New Roman" w:eastAsia="Calibri" w:hAnsi="Times New Roman" w:cs="Times New Roman"/>
          <w:sz w:val="24"/>
          <w:szCs w:val="24"/>
        </w:rPr>
        <w:t>,</w:t>
      </w:r>
      <w:r w:rsidR="00562DE3" w:rsidRPr="00774FA7">
        <w:rPr>
          <w:rFonts w:ascii="Times New Roman" w:eastAsia="Calibri" w:hAnsi="Times New Roman" w:cs="Times New Roman"/>
          <w:sz w:val="24"/>
          <w:szCs w:val="24"/>
        </w:rPr>
        <w:t xml:space="preserve"> w </w:t>
      </w:r>
      <w:r w:rsidRPr="00774FA7">
        <w:rPr>
          <w:rFonts w:ascii="Times New Roman" w:eastAsia="Calibri" w:hAnsi="Times New Roman" w:cs="Times New Roman"/>
          <w:sz w:val="24"/>
          <w:szCs w:val="24"/>
        </w:rPr>
        <w:t>zakresie zasad wjazdu i pobytu obywateli tego państwa, członków ich rodzin oraz innych osób objętych zakresem stosowania tej umowy na terytorium Rzeczypospolitej Polskiej</w:t>
      </w:r>
      <w:r w:rsidR="00562DE3" w:rsidRPr="00774FA7">
        <w:rPr>
          <w:rFonts w:ascii="Times New Roman" w:eastAsia="Calibri" w:hAnsi="Times New Roman" w:cs="Times New Roman"/>
          <w:sz w:val="24"/>
          <w:szCs w:val="24"/>
        </w:rPr>
        <w:t xml:space="preserve">, po okresie przejściowym, który </w:t>
      </w:r>
      <w:r w:rsidR="003C5030" w:rsidRPr="00774FA7">
        <w:rPr>
          <w:rFonts w:ascii="Times New Roman" w:eastAsia="Calibri" w:hAnsi="Times New Roman" w:cs="Times New Roman"/>
          <w:sz w:val="24"/>
          <w:szCs w:val="24"/>
        </w:rPr>
        <w:t>za</w:t>
      </w:r>
      <w:r w:rsidR="00562DE3" w:rsidRPr="00774FA7">
        <w:rPr>
          <w:rFonts w:ascii="Times New Roman" w:eastAsia="Calibri" w:hAnsi="Times New Roman" w:cs="Times New Roman"/>
          <w:sz w:val="24"/>
          <w:szCs w:val="24"/>
        </w:rPr>
        <w:t xml:space="preserve">kończy </w:t>
      </w:r>
      <w:r w:rsidR="00E75F8C" w:rsidRPr="00774FA7">
        <w:rPr>
          <w:rFonts w:ascii="Times New Roman" w:eastAsia="Calibri" w:hAnsi="Times New Roman" w:cs="Times New Roman"/>
          <w:sz w:val="24"/>
          <w:szCs w:val="24"/>
        </w:rPr>
        <w:t xml:space="preserve">się </w:t>
      </w:r>
      <w:r w:rsidR="00562DE3" w:rsidRPr="00774FA7">
        <w:rPr>
          <w:rFonts w:ascii="Times New Roman" w:eastAsia="Calibri" w:hAnsi="Times New Roman" w:cs="Times New Roman"/>
          <w:sz w:val="24"/>
          <w:szCs w:val="24"/>
        </w:rPr>
        <w:t>z dniem 31 grudnia 2020 r.</w:t>
      </w:r>
      <w:r w:rsidRPr="00774FA7">
        <w:rPr>
          <w:rFonts w:ascii="Times New Roman" w:eastAsia="Calibri" w:hAnsi="Times New Roman" w:cs="Times New Roman"/>
          <w:sz w:val="24"/>
          <w:szCs w:val="24"/>
        </w:rPr>
        <w:t xml:space="preserve"> </w:t>
      </w:r>
    </w:p>
    <w:p w14:paraId="6143A87D" w14:textId="133F32DE" w:rsidR="003C503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126 </w:t>
      </w:r>
      <w:r w:rsidR="003C5030" w:rsidRPr="00774FA7">
        <w:rPr>
          <w:rFonts w:ascii="Times New Roman" w:eastAsia="Calibri" w:hAnsi="Times New Roman" w:cs="Times New Roman"/>
          <w:sz w:val="24"/>
          <w:szCs w:val="24"/>
        </w:rPr>
        <w:t xml:space="preserve">ww. </w:t>
      </w:r>
      <w:r w:rsidRPr="00774FA7">
        <w:rPr>
          <w:rFonts w:ascii="Times New Roman" w:eastAsia="Calibri" w:hAnsi="Times New Roman" w:cs="Times New Roman"/>
          <w:sz w:val="24"/>
          <w:szCs w:val="24"/>
        </w:rPr>
        <w:t xml:space="preserve">Umowy wystąpienia został przewidziany okres przejściowy lub okres wdrażania, który rozpoczyna się z dniem wejścia w życie umowy, a kończy z dniem 31 grudnia 2020 r. Co do zasady, zgodnie z art. 127 ust. 1 akapit 1 Umowy wystąpienia, w okresie przejściowym prawo Unii ma zastosowanie do Zjednoczonego Królestwa Wielkiej Brytanii i Irlandii Północnej, zwanego dalej „Zjednoczonym Królestwem”, i na jego terytorium. Wyjątki od tej zasady ustanawiają przepisy Umowy wystąpienia. </w:t>
      </w:r>
    </w:p>
    <w:p w14:paraId="0678BDB9" w14:textId="42687E06"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Zgodnie z art. 127 ust. 1 akapit 2 lit. a Umowy wystąpienia w okresie przejściowym do Zjednoczonego Królestwa i na jego terytorium nie będą miały zastosowania m. in.: postanowienia Traktatów i aktów, które</w:t>
      </w:r>
      <w:r w:rsidR="00D038F4"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zgodnie z Protokołem nr 19 w sprawie dorobku </w:t>
      </w:r>
      <w:proofErr w:type="spellStart"/>
      <w:r w:rsidRPr="00774FA7">
        <w:rPr>
          <w:rFonts w:ascii="Times New Roman" w:eastAsia="Calibri" w:hAnsi="Times New Roman" w:cs="Times New Roman"/>
          <w:sz w:val="24"/>
          <w:szCs w:val="24"/>
        </w:rPr>
        <w:t>Schengen</w:t>
      </w:r>
      <w:proofErr w:type="spellEnd"/>
      <w:r w:rsidRPr="00774FA7">
        <w:rPr>
          <w:rFonts w:ascii="Times New Roman" w:eastAsia="Calibri" w:hAnsi="Times New Roman" w:cs="Times New Roman"/>
          <w:sz w:val="24"/>
          <w:szCs w:val="24"/>
        </w:rPr>
        <w:t xml:space="preserve"> włączonego w ramy Unii Europejskiej oraz Protokołem nr 21 w sprawie stanowiska Zjednoczonego Królestwa i Irlandii w odniesieniu do przestrzeni wolności, bezpieczeństwa i sprawiedliwości</w:t>
      </w:r>
      <w:r w:rsidR="00D038F4"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nie były wiążące dla Zjednoczonego Królestwa ani na jego terytorium przed datą wejścia w życie Umowy wystąpienia, jak również akty zmieniające te akty. Stosownie zaś </w:t>
      </w:r>
      <w:r w:rsidR="00D038F4" w:rsidRPr="00774FA7">
        <w:rPr>
          <w:rFonts w:ascii="Times New Roman" w:eastAsia="Calibri" w:hAnsi="Times New Roman" w:cs="Times New Roman"/>
          <w:sz w:val="24"/>
          <w:szCs w:val="24"/>
        </w:rPr>
        <w:t xml:space="preserve">do </w:t>
      </w:r>
      <w:r w:rsidRPr="00774FA7">
        <w:rPr>
          <w:rFonts w:ascii="Times New Roman" w:eastAsia="Calibri" w:hAnsi="Times New Roman" w:cs="Times New Roman"/>
          <w:sz w:val="24"/>
          <w:szCs w:val="24"/>
        </w:rPr>
        <w:t>art. 127 ust. 3 Umowy wystąpienia w okresie przejściowym prawo Unii mające zastosowanie, zgodnie z ww. art. 127 ust. 1, wywołuje takie same skutki prawne w odniesieniu do Zjednoczonego Królestwa i w Zjednoczonym Królestwie, jakie wywołuje w Unii i w jej państwach członkowskich, oraz jest stosowane zgodnie z tymi metodami i ogólnymi zasadami, jak te mające zastosowanie w Unii. Ponadto, zgodnie z art. 127 ust. 6 Umowy wystąpienia, w okresie przejściowym wszelkie odniesienia do państw członkowskich w prawie Unii mającym zastosowanie zgodnie z ww. art. 127 ust. 1, w tym wdrażanym i stosowanym przez państwa członkowskie, rozumie się jako odniesienia obejmujące również Zjednoczone Królestwo. Z powyższego wynika, iż w stosunkach</w:t>
      </w:r>
      <w:r w:rsidR="00D038F4" w:rsidRPr="00774FA7">
        <w:rPr>
          <w:rFonts w:ascii="Times New Roman" w:eastAsia="Calibri" w:hAnsi="Times New Roman" w:cs="Times New Roman"/>
          <w:sz w:val="24"/>
          <w:szCs w:val="24"/>
        </w:rPr>
        <w:t xml:space="preserve"> </w:t>
      </w:r>
      <w:r w:rsidR="00A75DF1">
        <w:rPr>
          <w:rFonts w:ascii="Times New Roman" w:eastAsia="Calibri" w:hAnsi="Times New Roman" w:cs="Times New Roman"/>
          <w:sz w:val="24"/>
          <w:szCs w:val="24"/>
        </w:rPr>
        <w:t>między</w:t>
      </w:r>
      <w:r w:rsidRPr="00774FA7">
        <w:rPr>
          <w:rFonts w:ascii="Times New Roman" w:eastAsia="Calibri" w:hAnsi="Times New Roman" w:cs="Times New Roman"/>
          <w:sz w:val="24"/>
          <w:szCs w:val="24"/>
        </w:rPr>
        <w:t xml:space="preserve"> państw</w:t>
      </w:r>
      <w:r w:rsidR="00D038F4" w:rsidRPr="00774FA7">
        <w:rPr>
          <w:rFonts w:ascii="Times New Roman" w:eastAsia="Calibri" w:hAnsi="Times New Roman" w:cs="Times New Roman"/>
          <w:sz w:val="24"/>
          <w:szCs w:val="24"/>
        </w:rPr>
        <w:t>ami</w:t>
      </w:r>
      <w:r w:rsidRPr="00774FA7">
        <w:rPr>
          <w:rFonts w:ascii="Times New Roman" w:eastAsia="Calibri" w:hAnsi="Times New Roman" w:cs="Times New Roman"/>
          <w:sz w:val="24"/>
          <w:szCs w:val="24"/>
        </w:rPr>
        <w:t xml:space="preserve"> </w:t>
      </w:r>
      <w:r w:rsidR="00D038F4" w:rsidRPr="00774FA7">
        <w:rPr>
          <w:rFonts w:ascii="Times New Roman" w:eastAsia="Calibri" w:hAnsi="Times New Roman" w:cs="Times New Roman"/>
          <w:sz w:val="24"/>
          <w:szCs w:val="24"/>
        </w:rPr>
        <w:t xml:space="preserve">członkowskimi </w:t>
      </w:r>
      <w:r w:rsidR="00A75DF1">
        <w:rPr>
          <w:rFonts w:ascii="Times New Roman" w:eastAsia="Calibri" w:hAnsi="Times New Roman" w:cs="Times New Roman"/>
          <w:sz w:val="24"/>
          <w:szCs w:val="24"/>
        </w:rPr>
        <w:t>a Zjednoczonym Królestwem</w:t>
      </w:r>
      <w:r w:rsidRPr="00774FA7">
        <w:rPr>
          <w:rFonts w:ascii="Times New Roman" w:eastAsia="Calibri" w:hAnsi="Times New Roman" w:cs="Times New Roman"/>
          <w:sz w:val="24"/>
          <w:szCs w:val="24"/>
        </w:rPr>
        <w:t xml:space="preserve"> w okresie przejściowym </w:t>
      </w:r>
      <w:r w:rsidR="00A75DF1">
        <w:rPr>
          <w:rFonts w:ascii="Times New Roman" w:eastAsia="Calibri" w:hAnsi="Times New Roman" w:cs="Times New Roman"/>
          <w:sz w:val="24"/>
          <w:szCs w:val="24"/>
        </w:rPr>
        <w:t>mają</w:t>
      </w:r>
      <w:r w:rsidRPr="00774FA7">
        <w:rPr>
          <w:rFonts w:ascii="Times New Roman" w:eastAsia="Calibri" w:hAnsi="Times New Roman" w:cs="Times New Roman"/>
          <w:sz w:val="24"/>
          <w:szCs w:val="24"/>
        </w:rPr>
        <w:t xml:space="preserve"> zastosowanie postanowienia Traktatów i innych aktów prawa wtórnego Unii Europejskiej regulujących wjazd i pobyt osób, które są cudzoziemcami dla państwa przyjmującego (w zakresie niewyłączonym w samej Umowie wystąpienia). Kwestie prawa pobytu obywateli Zjednoczonego Królestwa w opisanym wyżej okresie przejściowym zostały uregulowane w </w:t>
      </w:r>
      <w:r w:rsidRPr="00774FA7">
        <w:rPr>
          <w:rFonts w:ascii="Times New Roman" w:eastAsia="Calibri" w:hAnsi="Times New Roman" w:cs="Times New Roman"/>
          <w:sz w:val="24"/>
          <w:szCs w:val="24"/>
        </w:rPr>
        <w:lastRenderedPageBreak/>
        <w:t xml:space="preserve">ustawie z dnia 19 lipca 2019 r. o okresie przejściowym, o którym mowa w Umowie </w:t>
      </w:r>
      <w:r w:rsidR="00A75DF1">
        <w:rPr>
          <w:rFonts w:ascii="Times New Roman" w:eastAsia="Calibri" w:hAnsi="Times New Roman" w:cs="Times New Roman"/>
          <w:sz w:val="24"/>
          <w:szCs w:val="24"/>
        </w:rPr>
        <w:t>o</w:t>
      </w:r>
      <w:r w:rsidRPr="00774FA7">
        <w:rPr>
          <w:rFonts w:ascii="Times New Roman" w:eastAsia="Calibri" w:hAnsi="Times New Roman" w:cs="Times New Roman"/>
          <w:sz w:val="24"/>
          <w:szCs w:val="24"/>
        </w:rPr>
        <w:t xml:space="preserve"> wystąpieni</w:t>
      </w:r>
      <w:r w:rsidR="00A75DF1">
        <w:rPr>
          <w:rFonts w:ascii="Times New Roman" w:eastAsia="Calibri" w:hAnsi="Times New Roman" w:cs="Times New Roman"/>
          <w:sz w:val="24"/>
          <w:szCs w:val="24"/>
        </w:rPr>
        <w:t>u</w:t>
      </w:r>
      <w:r w:rsidRPr="00774FA7">
        <w:rPr>
          <w:rFonts w:ascii="Times New Roman" w:eastAsia="Calibri" w:hAnsi="Times New Roman" w:cs="Times New Roman"/>
          <w:sz w:val="24"/>
          <w:szCs w:val="24"/>
        </w:rPr>
        <w:t xml:space="preserve"> Zjednoczonego Królestwa Wielkiej Brytanii i Irlandii Północnej z Unii Europejskiej i Europejskiej Wspólnoty Energii Atomowej (Dz. U. z 2019 r. poz. 1516).  </w:t>
      </w:r>
    </w:p>
    <w:p w14:paraId="611320B2" w14:textId="28D978A9"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Natomiast w okresie następującym po okresie przejściowym </w:t>
      </w:r>
      <w:r w:rsidR="00D038F4" w:rsidRPr="00774FA7">
        <w:rPr>
          <w:rFonts w:ascii="Times New Roman" w:eastAsia="Calibri" w:hAnsi="Times New Roman" w:cs="Times New Roman"/>
          <w:sz w:val="24"/>
          <w:szCs w:val="24"/>
        </w:rPr>
        <w:t xml:space="preserve">będą </w:t>
      </w:r>
      <w:r w:rsidRPr="00774FA7">
        <w:rPr>
          <w:rFonts w:ascii="Times New Roman" w:eastAsia="Calibri" w:hAnsi="Times New Roman" w:cs="Times New Roman"/>
          <w:sz w:val="24"/>
          <w:szCs w:val="24"/>
        </w:rPr>
        <w:t xml:space="preserve">miały </w:t>
      </w:r>
      <w:r w:rsidR="00D038F4" w:rsidRPr="00774FA7">
        <w:rPr>
          <w:rFonts w:ascii="Times New Roman" w:eastAsia="Calibri" w:hAnsi="Times New Roman" w:cs="Times New Roman"/>
          <w:sz w:val="24"/>
          <w:szCs w:val="24"/>
        </w:rPr>
        <w:t xml:space="preserve">zastosowanie </w:t>
      </w:r>
      <w:r w:rsidRPr="00774FA7">
        <w:rPr>
          <w:rFonts w:ascii="Times New Roman" w:eastAsia="Calibri" w:hAnsi="Times New Roman" w:cs="Times New Roman"/>
          <w:sz w:val="24"/>
          <w:szCs w:val="24"/>
        </w:rPr>
        <w:t xml:space="preserve">przepisy Części II Umowy wystąpienia, regulujące w stosunkach ze Zjednoczonym Królestwem utrzymanie (w kształcie określonym w tych przepisach) uprawnień w zakresie wjazdu i pobytu przez osoby, które dotąd były uprawnione do korzystania ze swobody przepływu osób, i które z tej swobody korzystały. W konsekwencji po zakończeniu okresu przejściowego z rozwiązań ustawowych dedykowanych swobodzie przepływu osób nie będą mogli korzystać wszyscy obywatele Zjednoczonego Królestwa, członkowie ich rodzin oraz inne osoby wywodzące swoje uprawnienia z dyrektywy 2004/38/WE, a tylko ci obywatele tego państwa, członkowie ich rodzin oraz inne osoby objęte zakresem Części II Umowy wystąpienia i </w:t>
      </w:r>
      <w:r w:rsidR="00D038F4" w:rsidRPr="00774FA7">
        <w:rPr>
          <w:rFonts w:ascii="Times New Roman" w:eastAsia="Calibri" w:hAnsi="Times New Roman" w:cs="Times New Roman"/>
          <w:sz w:val="24"/>
          <w:szCs w:val="24"/>
        </w:rPr>
        <w:t xml:space="preserve">spełniające </w:t>
      </w:r>
      <w:r w:rsidRPr="00774FA7">
        <w:rPr>
          <w:rFonts w:ascii="Times New Roman" w:eastAsia="Calibri" w:hAnsi="Times New Roman" w:cs="Times New Roman"/>
          <w:sz w:val="24"/>
          <w:szCs w:val="24"/>
        </w:rPr>
        <w:t xml:space="preserve">warunki w niej określone. Stąd też przewiduje się zmiany w przepisach ustawy o wjeździe obywateli UE oraz w ustawie o cudzoziemcach, które będą stanowiły wykonanie </w:t>
      </w:r>
      <w:r w:rsidR="00D038F4" w:rsidRPr="00774FA7">
        <w:rPr>
          <w:rFonts w:ascii="Times New Roman" w:eastAsia="Calibri" w:hAnsi="Times New Roman" w:cs="Times New Roman"/>
          <w:sz w:val="24"/>
          <w:szCs w:val="24"/>
        </w:rPr>
        <w:t xml:space="preserve">postanowień </w:t>
      </w:r>
      <w:r w:rsidRPr="00774FA7">
        <w:rPr>
          <w:rFonts w:ascii="Times New Roman" w:eastAsia="Calibri" w:hAnsi="Times New Roman" w:cs="Times New Roman"/>
          <w:sz w:val="24"/>
          <w:szCs w:val="24"/>
        </w:rPr>
        <w:t>Umowy wystąpienia w omawiany</w:t>
      </w:r>
      <w:r w:rsidR="00A75DF1">
        <w:rPr>
          <w:rFonts w:ascii="Times New Roman" w:eastAsia="Calibri" w:hAnsi="Times New Roman" w:cs="Times New Roman"/>
          <w:sz w:val="24"/>
          <w:szCs w:val="24"/>
        </w:rPr>
        <w:t>m</w:t>
      </w:r>
      <w:r w:rsidRPr="00774FA7">
        <w:rPr>
          <w:rFonts w:ascii="Times New Roman" w:eastAsia="Calibri" w:hAnsi="Times New Roman" w:cs="Times New Roman"/>
          <w:sz w:val="24"/>
          <w:szCs w:val="24"/>
        </w:rPr>
        <w:t xml:space="preserve"> wyżej zakresie. Te zmiany ustawowe powinny wejść w życie z dniem 1 stycznia 2021 r., a zatem z pierwszym dniem następującym po okresie przejściowym ustanowionym w art. 126 Umowy wystąpienia. </w:t>
      </w:r>
    </w:p>
    <w:p w14:paraId="35DA393C" w14:textId="448670E2" w:rsidR="00076C40" w:rsidRPr="00774FA7" w:rsidRDefault="00C25111"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Przepis a</w:t>
      </w:r>
      <w:r w:rsidR="00076C40" w:rsidRPr="00774FA7">
        <w:rPr>
          <w:rFonts w:ascii="Times New Roman" w:eastAsia="Calibri" w:hAnsi="Times New Roman" w:cs="Times New Roman"/>
          <w:sz w:val="24"/>
          <w:szCs w:val="24"/>
        </w:rPr>
        <w:t>rt. 18 Umowy wystąpienia przewiduje dla Zjednoczonego Królestwa i dla państw członkowskich Unii Europejskiej dwie możliwości związane z wydawaniem dokumentów w związku z utrzymaniem uprawnień w dalszym okresie. Art. 18 ust. 1 Umowy wystąpienia zezwala na to, aby państwo przyjmujące („</w:t>
      </w:r>
      <w:r w:rsidR="00076C40" w:rsidRPr="00774FA7">
        <w:rPr>
          <w:rFonts w:ascii="Times New Roman" w:eastAsia="Calibri" w:hAnsi="Times New Roman" w:cs="Times New Roman"/>
          <w:i/>
          <w:sz w:val="24"/>
          <w:szCs w:val="24"/>
        </w:rPr>
        <w:t xml:space="preserve">host </w:t>
      </w:r>
      <w:proofErr w:type="spellStart"/>
      <w:r w:rsidR="00076C40" w:rsidRPr="00774FA7">
        <w:rPr>
          <w:rFonts w:ascii="Times New Roman" w:eastAsia="Calibri" w:hAnsi="Times New Roman" w:cs="Times New Roman"/>
          <w:i/>
          <w:sz w:val="24"/>
          <w:szCs w:val="24"/>
        </w:rPr>
        <w:t>State</w:t>
      </w:r>
      <w:proofErr w:type="spellEnd"/>
      <w:r w:rsidR="00076C40" w:rsidRPr="00774FA7">
        <w:rPr>
          <w:rFonts w:ascii="Times New Roman" w:eastAsia="Calibri" w:hAnsi="Times New Roman" w:cs="Times New Roman"/>
          <w:sz w:val="24"/>
          <w:szCs w:val="24"/>
        </w:rPr>
        <w:t xml:space="preserve">”) przewidziało nowy status pobytowy dla obywateli Zjednoczonego Królestwa, członków ich rodzin i innych osób (odpowiednio w przypadku samego Zjednoczonego Królestwa jako państwa przyjmującego – dla obywateli Unii, członków ich rodzin i innych osób). Natomiast art. 18 ust. 4 Umowy wystąpienia zezwala na to, aby państwo przyjmujące wydawało osobom posiadającym uprawnienia wynikające z przepisów Tytułu II Części II Umowy wystąpienia dokumenty pobytu, zgodnie z warunkami określonymi w dyrektywie 2004/38/WE, z tym tylko zastrzeżeniem, że dokumenty te mają zawierać „oświadczenie” (adnotację), że zostały wydane zgodnie z Umową </w:t>
      </w:r>
      <w:r w:rsidR="00E75F8C" w:rsidRPr="00774FA7">
        <w:rPr>
          <w:rFonts w:ascii="Times New Roman" w:eastAsia="Calibri" w:hAnsi="Times New Roman" w:cs="Times New Roman"/>
          <w:sz w:val="24"/>
          <w:szCs w:val="24"/>
        </w:rPr>
        <w:t>wystąpienia</w:t>
      </w:r>
      <w:r w:rsidR="00076C40" w:rsidRPr="00774FA7">
        <w:rPr>
          <w:rFonts w:ascii="Times New Roman" w:eastAsia="Calibri" w:hAnsi="Times New Roman" w:cs="Times New Roman"/>
          <w:sz w:val="24"/>
          <w:szCs w:val="24"/>
        </w:rPr>
        <w:t>. Wzajemna relacja obu przepisów jest taka, że państwo przyjmujące musi zdecydować się na jeden z wariantów, tj. jeśli nie zdecyduje się na odrębny status pobytowy, to musi przewidzieć wydawanie dokumentów na warunkach określonych w dyrektywie 2004/38/WE („</w:t>
      </w:r>
      <w:proofErr w:type="spellStart"/>
      <w:r w:rsidR="00076C40" w:rsidRPr="00774FA7">
        <w:rPr>
          <w:rFonts w:ascii="Times New Roman" w:eastAsia="Calibri" w:hAnsi="Times New Roman" w:cs="Times New Roman"/>
          <w:i/>
          <w:sz w:val="24"/>
          <w:szCs w:val="24"/>
        </w:rPr>
        <w:t>shall</w:t>
      </w:r>
      <w:proofErr w:type="spellEnd"/>
      <w:r w:rsidR="00076C40" w:rsidRPr="00774FA7">
        <w:rPr>
          <w:rFonts w:ascii="Times New Roman" w:eastAsia="Calibri" w:hAnsi="Times New Roman" w:cs="Times New Roman"/>
          <w:i/>
          <w:sz w:val="24"/>
          <w:szCs w:val="24"/>
        </w:rPr>
        <w:t xml:space="preserve"> </w:t>
      </w:r>
      <w:proofErr w:type="spellStart"/>
      <w:r w:rsidR="00076C40" w:rsidRPr="00774FA7">
        <w:rPr>
          <w:rFonts w:ascii="Times New Roman" w:eastAsia="Calibri" w:hAnsi="Times New Roman" w:cs="Times New Roman"/>
          <w:i/>
          <w:sz w:val="24"/>
          <w:szCs w:val="24"/>
        </w:rPr>
        <w:t>have</w:t>
      </w:r>
      <w:proofErr w:type="spellEnd"/>
      <w:r w:rsidR="00076C40" w:rsidRPr="00774FA7">
        <w:rPr>
          <w:rFonts w:ascii="Times New Roman" w:eastAsia="Calibri" w:hAnsi="Times New Roman" w:cs="Times New Roman"/>
          <w:i/>
          <w:sz w:val="24"/>
          <w:szCs w:val="24"/>
        </w:rPr>
        <w:t xml:space="preserve"> the </w:t>
      </w:r>
      <w:proofErr w:type="spellStart"/>
      <w:r w:rsidR="00076C40" w:rsidRPr="00774FA7">
        <w:rPr>
          <w:rFonts w:ascii="Times New Roman" w:eastAsia="Calibri" w:hAnsi="Times New Roman" w:cs="Times New Roman"/>
          <w:i/>
          <w:sz w:val="24"/>
          <w:szCs w:val="24"/>
        </w:rPr>
        <w:t>right</w:t>
      </w:r>
      <w:proofErr w:type="spellEnd"/>
      <w:r w:rsidR="00076C40" w:rsidRPr="00774FA7">
        <w:rPr>
          <w:rFonts w:ascii="Times New Roman" w:eastAsia="Calibri" w:hAnsi="Times New Roman" w:cs="Times New Roman"/>
          <w:i/>
          <w:sz w:val="24"/>
          <w:szCs w:val="24"/>
        </w:rPr>
        <w:t xml:space="preserve"> to </w:t>
      </w:r>
      <w:proofErr w:type="spellStart"/>
      <w:r w:rsidR="00076C40" w:rsidRPr="00774FA7">
        <w:rPr>
          <w:rFonts w:ascii="Times New Roman" w:eastAsia="Calibri" w:hAnsi="Times New Roman" w:cs="Times New Roman"/>
          <w:i/>
          <w:sz w:val="24"/>
          <w:szCs w:val="24"/>
        </w:rPr>
        <w:t>receive</w:t>
      </w:r>
      <w:proofErr w:type="spellEnd"/>
      <w:r w:rsidR="00076C40" w:rsidRPr="00774FA7">
        <w:rPr>
          <w:rFonts w:ascii="Times New Roman" w:eastAsia="Calibri" w:hAnsi="Times New Roman" w:cs="Times New Roman"/>
          <w:sz w:val="24"/>
          <w:szCs w:val="24"/>
        </w:rPr>
        <w:t xml:space="preserve">”). </w:t>
      </w:r>
      <w:r w:rsidR="00396BF8" w:rsidRPr="00774FA7">
        <w:rPr>
          <w:rFonts w:ascii="Times New Roman" w:eastAsia="Calibri" w:hAnsi="Times New Roman" w:cs="Times New Roman"/>
          <w:sz w:val="24"/>
          <w:szCs w:val="24"/>
        </w:rPr>
        <w:t>Projektodawca nie zdecydował się nadawać  nowego status</w:t>
      </w:r>
      <w:r w:rsidRPr="00774FA7">
        <w:rPr>
          <w:rFonts w:ascii="Times New Roman" w:eastAsia="Calibri" w:hAnsi="Times New Roman" w:cs="Times New Roman"/>
          <w:sz w:val="24"/>
          <w:szCs w:val="24"/>
        </w:rPr>
        <w:t>u</w:t>
      </w:r>
      <w:r w:rsidR="00396BF8" w:rsidRPr="00774FA7">
        <w:rPr>
          <w:rFonts w:ascii="Times New Roman" w:eastAsia="Calibri" w:hAnsi="Times New Roman" w:cs="Times New Roman"/>
          <w:sz w:val="24"/>
          <w:szCs w:val="24"/>
        </w:rPr>
        <w:t xml:space="preserve"> pobytowego obywatelom Zjednoczonego Królestwa, członkom ich rodzin i innym</w:t>
      </w:r>
      <w:r w:rsidR="00BC6F19" w:rsidRPr="00774FA7">
        <w:rPr>
          <w:rFonts w:ascii="Times New Roman" w:eastAsia="Calibri" w:hAnsi="Times New Roman" w:cs="Times New Roman"/>
          <w:sz w:val="24"/>
          <w:szCs w:val="24"/>
        </w:rPr>
        <w:t xml:space="preserve"> os</w:t>
      </w:r>
      <w:r w:rsidR="002101B9">
        <w:rPr>
          <w:rFonts w:ascii="Times New Roman" w:eastAsia="Calibri" w:hAnsi="Times New Roman" w:cs="Times New Roman"/>
          <w:sz w:val="24"/>
          <w:szCs w:val="24"/>
        </w:rPr>
        <w:t>obom</w:t>
      </w:r>
      <w:r w:rsidR="00396BF8" w:rsidRPr="00774FA7">
        <w:rPr>
          <w:rFonts w:ascii="Times New Roman" w:eastAsia="Calibri" w:hAnsi="Times New Roman" w:cs="Times New Roman"/>
          <w:sz w:val="24"/>
          <w:szCs w:val="24"/>
        </w:rPr>
        <w:t>, o których mowa w Umowie wystąpienia</w:t>
      </w:r>
      <w:r w:rsidR="002101B9">
        <w:rPr>
          <w:rFonts w:ascii="Times New Roman" w:eastAsia="Calibri" w:hAnsi="Times New Roman" w:cs="Times New Roman"/>
          <w:sz w:val="24"/>
          <w:szCs w:val="24"/>
        </w:rPr>
        <w:t xml:space="preserve">. Zamiast tego postanowił </w:t>
      </w:r>
      <w:r w:rsidRPr="00774FA7">
        <w:rPr>
          <w:rFonts w:ascii="Times New Roman" w:eastAsia="Calibri" w:hAnsi="Times New Roman" w:cs="Times New Roman"/>
          <w:sz w:val="24"/>
          <w:szCs w:val="24"/>
        </w:rPr>
        <w:t>objąć</w:t>
      </w:r>
      <w:r w:rsidR="00396BF8" w:rsidRPr="00774FA7">
        <w:rPr>
          <w:rFonts w:ascii="Times New Roman" w:eastAsia="Calibri" w:hAnsi="Times New Roman" w:cs="Times New Roman"/>
          <w:sz w:val="24"/>
          <w:szCs w:val="24"/>
        </w:rPr>
        <w:t xml:space="preserve"> </w:t>
      </w:r>
      <w:r w:rsidR="00216D3C" w:rsidRPr="00774FA7">
        <w:rPr>
          <w:rFonts w:ascii="Times New Roman" w:eastAsia="Calibri" w:hAnsi="Times New Roman" w:cs="Times New Roman"/>
          <w:sz w:val="24"/>
          <w:szCs w:val="24"/>
        </w:rPr>
        <w:t>wyżej wymienione kategorie osób</w:t>
      </w:r>
      <w:r w:rsidR="002101B9" w:rsidRPr="002101B9">
        <w:rPr>
          <w:rFonts w:ascii="Times New Roman" w:eastAsia="Calibri" w:hAnsi="Times New Roman" w:cs="Times New Roman"/>
          <w:sz w:val="24"/>
          <w:szCs w:val="24"/>
        </w:rPr>
        <w:t xml:space="preserve"> </w:t>
      </w:r>
      <w:r w:rsidR="002101B9" w:rsidRPr="00774FA7">
        <w:rPr>
          <w:rFonts w:ascii="Times New Roman" w:eastAsia="Calibri" w:hAnsi="Times New Roman" w:cs="Times New Roman"/>
          <w:sz w:val="24"/>
          <w:szCs w:val="24"/>
        </w:rPr>
        <w:t>uregulowaniami ustawy o wjeździe obywateli UE</w:t>
      </w:r>
      <w:r w:rsidR="00396BF8" w:rsidRPr="00774FA7">
        <w:rPr>
          <w:rFonts w:ascii="Times New Roman" w:eastAsia="Calibri" w:hAnsi="Times New Roman" w:cs="Times New Roman"/>
          <w:sz w:val="24"/>
          <w:szCs w:val="24"/>
        </w:rPr>
        <w:t xml:space="preserve">. </w:t>
      </w:r>
    </w:p>
    <w:p w14:paraId="1C8C6DD4" w14:textId="0C1E9127"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ocenie projektodawcy korzystniejszym rozwiązaniem byłoby to, które </w:t>
      </w:r>
      <w:r w:rsidR="00D34A6C" w:rsidRPr="00774FA7">
        <w:rPr>
          <w:rFonts w:ascii="Times New Roman" w:eastAsia="Calibri" w:hAnsi="Times New Roman" w:cs="Times New Roman"/>
          <w:sz w:val="24"/>
          <w:szCs w:val="24"/>
        </w:rPr>
        <w:t xml:space="preserve">jest </w:t>
      </w:r>
      <w:r w:rsidRPr="00774FA7">
        <w:rPr>
          <w:rFonts w:ascii="Times New Roman" w:eastAsia="Calibri" w:hAnsi="Times New Roman" w:cs="Times New Roman"/>
          <w:sz w:val="24"/>
          <w:szCs w:val="24"/>
        </w:rPr>
        <w:t xml:space="preserve">przewidziane w art. 18 ust. 4 Umowy wystąpienia. W chwili obecnej, na podstawie przepisów ustawy o wjeździe obywateli UE, obywatelom UE wydawane są dwa rodzaje dokumentów, tj. zaświadczenie o zarejestrowaniu pobytu obywatela UE oraz dokument potwierdzający prawo stałego pobytu, zaś członkom ich rodzin dwa inne rodzaje dokumentów – karta pobytu członka rodziny obywatela UE i karta stałego pobytu członka rodziny obywatela UE. </w:t>
      </w:r>
      <w:r w:rsidRPr="00774FA7">
        <w:rPr>
          <w:rFonts w:ascii="Times New Roman" w:eastAsia="Calibri" w:hAnsi="Times New Roman" w:cs="Times New Roman"/>
          <w:sz w:val="24"/>
          <w:szCs w:val="24"/>
        </w:rPr>
        <w:lastRenderedPageBreak/>
        <w:t>Zaświadczenie o zarejestrowaniu pobytu obywatela UE jest dowodem realizacji administracyjnego obowiązku nałożonego przez państwo członkowskie na podstawie art. 8 ust. 1 dyrektywy 2004/38/WE na obywatela Unii posiadającego prawo pobytu. Jego odpowiednikiem w przypadku członka rodziny posiadającego prawo pobytu jest karta pobytu członka rodziny obywatela UE, która odpowiada karcie pobytowej członka rodziny obywatela Unii, o której mowa w art. 10 ust. 1 dyrektywy 2004/38/WE. Natomiast dokument potwierdzający prawo stałego pobytu odpowiada dokumentowi poświadczającemu stały pobyt obywatela Unii, o którym mowa w art. 19 ust. 1 dyrektywy 2004/38/WE, zaś jego odpowiednikiem w przypadku członka rodziny posiadającego prawo stałego pobytu jest karta stałego pobytu</w:t>
      </w:r>
      <w:r w:rsidR="00F156FD" w:rsidRPr="00774FA7">
        <w:rPr>
          <w:rFonts w:ascii="Times New Roman" w:eastAsia="Calibri" w:hAnsi="Times New Roman" w:cs="Times New Roman"/>
          <w:sz w:val="24"/>
          <w:szCs w:val="24"/>
        </w:rPr>
        <w:t xml:space="preserve"> członka rodziny obywatela UE</w:t>
      </w:r>
      <w:r w:rsidRPr="00774FA7">
        <w:rPr>
          <w:rFonts w:ascii="Times New Roman" w:eastAsia="Calibri" w:hAnsi="Times New Roman" w:cs="Times New Roman"/>
          <w:sz w:val="24"/>
          <w:szCs w:val="24"/>
        </w:rPr>
        <w:t xml:space="preserve"> odpowiadająca karcie stałego pobytu, o której mowa w art. 20 ust. 1 dyrektywy 2004/38/WE. W ocenie projektodawcy pojęcie „dokument pobytu” („</w:t>
      </w:r>
      <w:proofErr w:type="spellStart"/>
      <w:r w:rsidRPr="00774FA7">
        <w:rPr>
          <w:rFonts w:ascii="Times New Roman" w:eastAsia="Calibri" w:hAnsi="Times New Roman" w:cs="Times New Roman"/>
          <w:i/>
          <w:sz w:val="24"/>
          <w:szCs w:val="24"/>
        </w:rPr>
        <w:t>residence</w:t>
      </w:r>
      <w:proofErr w:type="spellEnd"/>
      <w:r w:rsidRPr="00774FA7">
        <w:rPr>
          <w:rFonts w:ascii="Times New Roman" w:eastAsia="Calibri" w:hAnsi="Times New Roman" w:cs="Times New Roman"/>
          <w:i/>
          <w:sz w:val="24"/>
          <w:szCs w:val="24"/>
        </w:rPr>
        <w:t xml:space="preserve"> </w:t>
      </w:r>
      <w:proofErr w:type="spellStart"/>
      <w:r w:rsidRPr="00774FA7">
        <w:rPr>
          <w:rFonts w:ascii="Times New Roman" w:eastAsia="Calibri" w:hAnsi="Times New Roman" w:cs="Times New Roman"/>
          <w:i/>
          <w:sz w:val="24"/>
          <w:szCs w:val="24"/>
        </w:rPr>
        <w:t>document</w:t>
      </w:r>
      <w:proofErr w:type="spellEnd"/>
      <w:r w:rsidRPr="00774FA7">
        <w:rPr>
          <w:rFonts w:ascii="Times New Roman" w:eastAsia="Calibri" w:hAnsi="Times New Roman" w:cs="Times New Roman"/>
          <w:sz w:val="24"/>
          <w:szCs w:val="24"/>
        </w:rPr>
        <w:t xml:space="preserve">”), </w:t>
      </w:r>
      <w:r w:rsidR="00D34A6C" w:rsidRPr="00774FA7">
        <w:rPr>
          <w:rFonts w:ascii="Times New Roman" w:eastAsia="Calibri" w:hAnsi="Times New Roman" w:cs="Times New Roman"/>
          <w:sz w:val="24"/>
          <w:szCs w:val="24"/>
        </w:rPr>
        <w:t xml:space="preserve">o którym mowa w </w:t>
      </w:r>
      <w:r w:rsidRPr="00774FA7">
        <w:rPr>
          <w:rFonts w:ascii="Times New Roman" w:eastAsia="Calibri" w:hAnsi="Times New Roman" w:cs="Times New Roman"/>
          <w:sz w:val="24"/>
          <w:szCs w:val="24"/>
        </w:rPr>
        <w:t>art. 18 ust. 4 Umowy wystąpienia, należy utożsamić z każdym dokumentem wydawanym obywatelom Unii i członkom ich rodzin na podstawie przepisów wdrażających dyrektywę 2004/38/WE. Oznacza to , że dla spełnienia zobowiązania wynikającego z tego przepisu Umowy wystąpienia wystarczy wydawanie ww</w:t>
      </w:r>
      <w:r w:rsidR="00D34A6C"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dokumentów z wyraźną adnotacją, z której </w:t>
      </w:r>
      <w:r w:rsidR="002101B9">
        <w:rPr>
          <w:rFonts w:ascii="Times New Roman" w:eastAsia="Calibri" w:hAnsi="Times New Roman" w:cs="Times New Roman"/>
          <w:sz w:val="24"/>
          <w:szCs w:val="24"/>
        </w:rPr>
        <w:t xml:space="preserve">będzie </w:t>
      </w:r>
      <w:r w:rsidRPr="00774FA7">
        <w:rPr>
          <w:rFonts w:ascii="Times New Roman" w:eastAsia="Calibri" w:hAnsi="Times New Roman" w:cs="Times New Roman"/>
          <w:sz w:val="24"/>
          <w:szCs w:val="24"/>
        </w:rPr>
        <w:t>wynika</w:t>
      </w:r>
      <w:r w:rsidR="002101B9">
        <w:rPr>
          <w:rFonts w:ascii="Times New Roman" w:eastAsia="Calibri" w:hAnsi="Times New Roman" w:cs="Times New Roman"/>
          <w:sz w:val="24"/>
          <w:szCs w:val="24"/>
        </w:rPr>
        <w:t>ć</w:t>
      </w:r>
      <w:r w:rsidRPr="00774FA7">
        <w:rPr>
          <w:rFonts w:ascii="Times New Roman" w:eastAsia="Calibri" w:hAnsi="Times New Roman" w:cs="Times New Roman"/>
          <w:sz w:val="24"/>
          <w:szCs w:val="24"/>
        </w:rPr>
        <w:t xml:space="preserve"> że wydanie dokumentu następuje zgodnie z Umową wystąpienia.</w:t>
      </w:r>
    </w:p>
    <w:p w14:paraId="525E16CF" w14:textId="2E3589DB" w:rsidR="00076C40" w:rsidRPr="00774FA7" w:rsidRDefault="000523F9"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Dodatkowo</w:t>
      </w:r>
      <w:r w:rsidR="00076C40" w:rsidRPr="00774FA7">
        <w:rPr>
          <w:rFonts w:ascii="Times New Roman" w:eastAsia="Calibri" w:hAnsi="Times New Roman" w:cs="Times New Roman"/>
          <w:sz w:val="24"/>
          <w:szCs w:val="24"/>
        </w:rPr>
        <w:t xml:space="preserve"> uprawnienia z Umowy wystąpienia, </w:t>
      </w:r>
      <w:r w:rsidR="00E8542A" w:rsidRPr="00774FA7">
        <w:rPr>
          <w:rFonts w:ascii="Times New Roman" w:eastAsia="Calibri" w:hAnsi="Times New Roman" w:cs="Times New Roman"/>
          <w:sz w:val="24"/>
          <w:szCs w:val="24"/>
        </w:rPr>
        <w:t>o których mowa w</w:t>
      </w:r>
      <w:r w:rsidR="00076C40" w:rsidRPr="00774FA7">
        <w:rPr>
          <w:rFonts w:ascii="Times New Roman" w:eastAsia="Calibri" w:hAnsi="Times New Roman" w:cs="Times New Roman"/>
          <w:sz w:val="24"/>
          <w:szCs w:val="24"/>
        </w:rPr>
        <w:t xml:space="preserve"> art. 9 ust. 2</w:t>
      </w:r>
      <w:r w:rsidR="00D42B06" w:rsidRPr="00774FA7">
        <w:rPr>
          <w:rFonts w:ascii="Times New Roman" w:eastAsia="Calibri" w:hAnsi="Times New Roman" w:cs="Times New Roman"/>
          <w:sz w:val="24"/>
          <w:szCs w:val="24"/>
        </w:rPr>
        <w:t>-</w:t>
      </w:r>
      <w:r w:rsidR="00076C40" w:rsidRPr="00774FA7">
        <w:rPr>
          <w:rFonts w:ascii="Times New Roman" w:eastAsia="Calibri" w:hAnsi="Times New Roman" w:cs="Times New Roman"/>
          <w:sz w:val="24"/>
          <w:szCs w:val="24"/>
        </w:rPr>
        <w:t>4, zostały rozciągnięte również na osoby, które nie mieszczą się</w:t>
      </w:r>
      <w:r w:rsidR="002513EB" w:rsidRPr="00774FA7">
        <w:rPr>
          <w:rFonts w:ascii="Times New Roman" w:eastAsia="Calibri" w:hAnsi="Times New Roman" w:cs="Times New Roman"/>
          <w:sz w:val="24"/>
          <w:szCs w:val="24"/>
        </w:rPr>
        <w:t xml:space="preserve"> w</w:t>
      </w:r>
      <w:r w:rsidR="00076C40" w:rsidRPr="00774FA7">
        <w:rPr>
          <w:rFonts w:ascii="Times New Roman" w:eastAsia="Calibri" w:hAnsi="Times New Roman" w:cs="Times New Roman"/>
          <w:sz w:val="24"/>
          <w:szCs w:val="24"/>
        </w:rPr>
        <w:t xml:space="preserve"> pojęciu członka rodziny w rozumieniu art. 2 pkt 2 dyrektywy 2004/38/WE, a zatem na osoby odpowiadające tym, o których mowa w art. 3 ust. 2 ww. dyrektywy (art. 18 ust. 4 Umowy wystąpienia posługuje się pojęciem „</w:t>
      </w:r>
      <w:proofErr w:type="spellStart"/>
      <w:r w:rsidR="00076C40" w:rsidRPr="00774FA7">
        <w:rPr>
          <w:rFonts w:ascii="Times New Roman" w:eastAsia="Calibri" w:hAnsi="Times New Roman" w:cs="Times New Roman"/>
          <w:i/>
          <w:sz w:val="24"/>
          <w:szCs w:val="24"/>
        </w:rPr>
        <w:t>other</w:t>
      </w:r>
      <w:proofErr w:type="spellEnd"/>
      <w:r w:rsidR="00076C40" w:rsidRPr="00774FA7">
        <w:rPr>
          <w:rFonts w:ascii="Times New Roman" w:eastAsia="Calibri" w:hAnsi="Times New Roman" w:cs="Times New Roman"/>
          <w:i/>
          <w:sz w:val="24"/>
          <w:szCs w:val="24"/>
        </w:rPr>
        <w:t xml:space="preserve"> </w:t>
      </w:r>
      <w:proofErr w:type="spellStart"/>
      <w:r w:rsidR="00076C40" w:rsidRPr="00774FA7">
        <w:rPr>
          <w:rFonts w:ascii="Times New Roman" w:eastAsia="Calibri" w:hAnsi="Times New Roman" w:cs="Times New Roman"/>
          <w:i/>
          <w:sz w:val="24"/>
          <w:szCs w:val="24"/>
        </w:rPr>
        <w:t>persons</w:t>
      </w:r>
      <w:proofErr w:type="spellEnd"/>
      <w:r w:rsidR="00076C40"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w:t>
      </w:r>
      <w:r w:rsidR="00076C40"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K</w:t>
      </w:r>
      <w:r w:rsidR="00076C40" w:rsidRPr="00774FA7">
        <w:rPr>
          <w:rFonts w:ascii="Times New Roman" w:eastAsia="Calibri" w:hAnsi="Times New Roman" w:cs="Times New Roman"/>
          <w:sz w:val="24"/>
          <w:szCs w:val="24"/>
        </w:rPr>
        <w:t>onieczne</w:t>
      </w:r>
      <w:r w:rsidRPr="00774FA7">
        <w:rPr>
          <w:rFonts w:ascii="Times New Roman" w:eastAsia="Calibri" w:hAnsi="Times New Roman" w:cs="Times New Roman"/>
          <w:sz w:val="24"/>
          <w:szCs w:val="24"/>
        </w:rPr>
        <w:t xml:space="preserve"> jest zatem</w:t>
      </w:r>
      <w:r w:rsidR="00076C40"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wprowadzenie rozwiązań prawnych pozwalających na</w:t>
      </w:r>
      <w:r w:rsidR="007A63B7" w:rsidRPr="00774FA7">
        <w:rPr>
          <w:rFonts w:ascii="Times New Roman" w:eastAsia="Calibri" w:hAnsi="Times New Roman" w:cs="Times New Roman"/>
          <w:sz w:val="24"/>
          <w:szCs w:val="24"/>
        </w:rPr>
        <w:t xml:space="preserve"> udzielanie ww. o</w:t>
      </w:r>
      <w:r w:rsidR="00C02B58" w:rsidRPr="00774FA7">
        <w:rPr>
          <w:rFonts w:ascii="Times New Roman" w:eastAsia="Calibri" w:hAnsi="Times New Roman" w:cs="Times New Roman"/>
          <w:sz w:val="24"/>
          <w:szCs w:val="24"/>
        </w:rPr>
        <w:t>sobom zezwolenia</w:t>
      </w:r>
      <w:r w:rsidR="007A63B7" w:rsidRPr="00774FA7">
        <w:rPr>
          <w:rFonts w:ascii="Times New Roman" w:eastAsia="Calibri" w:hAnsi="Times New Roman" w:cs="Times New Roman"/>
          <w:sz w:val="24"/>
          <w:szCs w:val="24"/>
        </w:rPr>
        <w:t xml:space="preserve"> na pobyt czasowy</w:t>
      </w:r>
      <w:r w:rsidR="00E8542A" w:rsidRPr="00774FA7">
        <w:rPr>
          <w:rFonts w:ascii="Times New Roman" w:eastAsia="Calibri" w:hAnsi="Times New Roman" w:cs="Times New Roman"/>
          <w:sz w:val="24"/>
          <w:szCs w:val="24"/>
        </w:rPr>
        <w:t xml:space="preserve"> </w:t>
      </w:r>
      <w:r w:rsidR="00076C40" w:rsidRPr="00774FA7">
        <w:rPr>
          <w:rFonts w:ascii="Times New Roman" w:eastAsia="Calibri" w:hAnsi="Times New Roman" w:cs="Times New Roman"/>
          <w:sz w:val="24"/>
          <w:szCs w:val="24"/>
        </w:rPr>
        <w:t>na podstawie odpowiedniego przepisu ustawy o cudzoziemcach (są to projektowane przepisy art. 160 pkt 4</w:t>
      </w:r>
      <w:r w:rsidR="009C7873" w:rsidRPr="00774FA7">
        <w:rPr>
          <w:rFonts w:ascii="Times New Roman" w:eastAsia="Calibri" w:hAnsi="Times New Roman" w:cs="Times New Roman"/>
          <w:sz w:val="24"/>
          <w:szCs w:val="24"/>
        </w:rPr>
        <w:t>-</w:t>
      </w:r>
      <w:r w:rsidR="00076C40" w:rsidRPr="00774FA7">
        <w:rPr>
          <w:rFonts w:ascii="Times New Roman" w:eastAsia="Calibri" w:hAnsi="Times New Roman" w:cs="Times New Roman"/>
          <w:sz w:val="24"/>
          <w:szCs w:val="24"/>
        </w:rPr>
        <w:t>6)</w:t>
      </w:r>
      <w:r w:rsidR="00E8542A" w:rsidRPr="00774FA7">
        <w:rPr>
          <w:rFonts w:ascii="Times New Roman" w:eastAsia="Calibri" w:hAnsi="Times New Roman" w:cs="Times New Roman"/>
          <w:sz w:val="24"/>
          <w:szCs w:val="24"/>
        </w:rPr>
        <w:t>.</w:t>
      </w:r>
      <w:r w:rsidR="00076C40" w:rsidRPr="00774FA7">
        <w:rPr>
          <w:rFonts w:ascii="Times New Roman" w:eastAsia="Calibri" w:hAnsi="Times New Roman" w:cs="Times New Roman"/>
          <w:sz w:val="24"/>
          <w:szCs w:val="24"/>
        </w:rPr>
        <w:t xml:space="preserve"> </w:t>
      </w:r>
      <w:r w:rsidR="00C02B58" w:rsidRPr="00774FA7">
        <w:rPr>
          <w:rFonts w:ascii="Times New Roman" w:eastAsia="Calibri" w:hAnsi="Times New Roman" w:cs="Times New Roman"/>
          <w:sz w:val="24"/>
          <w:szCs w:val="24"/>
        </w:rPr>
        <w:t>Z</w:t>
      </w:r>
      <w:r w:rsidR="00076C40" w:rsidRPr="00774FA7">
        <w:rPr>
          <w:rFonts w:ascii="Times New Roman" w:eastAsia="Calibri" w:hAnsi="Times New Roman" w:cs="Times New Roman"/>
          <w:sz w:val="24"/>
          <w:szCs w:val="24"/>
        </w:rPr>
        <w:t>ezwolenia</w:t>
      </w:r>
      <w:r w:rsidR="00C02B58" w:rsidRPr="00774FA7">
        <w:rPr>
          <w:rFonts w:ascii="Times New Roman" w:eastAsia="Calibri" w:hAnsi="Times New Roman" w:cs="Times New Roman"/>
          <w:sz w:val="24"/>
          <w:szCs w:val="24"/>
        </w:rPr>
        <w:t xml:space="preserve"> na pobyt czasowy udzielane na podstawie </w:t>
      </w:r>
      <w:r w:rsidR="00E8542A" w:rsidRPr="00774FA7">
        <w:rPr>
          <w:rFonts w:ascii="Times New Roman" w:eastAsia="Calibri" w:hAnsi="Times New Roman" w:cs="Times New Roman"/>
          <w:sz w:val="24"/>
          <w:szCs w:val="24"/>
        </w:rPr>
        <w:t xml:space="preserve">dodawanych niniejszą ustawą </w:t>
      </w:r>
      <w:r w:rsidR="002101B9">
        <w:rPr>
          <w:rFonts w:ascii="Times New Roman" w:eastAsia="Calibri" w:hAnsi="Times New Roman" w:cs="Times New Roman"/>
          <w:sz w:val="24"/>
          <w:szCs w:val="24"/>
        </w:rPr>
        <w:t xml:space="preserve">przepisów </w:t>
      </w:r>
      <w:r w:rsidR="00C02B58" w:rsidRPr="00774FA7">
        <w:rPr>
          <w:rFonts w:ascii="Times New Roman" w:eastAsia="Calibri" w:hAnsi="Times New Roman" w:cs="Times New Roman"/>
          <w:sz w:val="24"/>
          <w:szCs w:val="24"/>
        </w:rPr>
        <w:t xml:space="preserve">art. 160 pkt 1 </w:t>
      </w:r>
      <w:r w:rsidR="00066196" w:rsidRPr="00774FA7">
        <w:rPr>
          <w:rFonts w:ascii="Times New Roman" w:eastAsia="Calibri" w:hAnsi="Times New Roman" w:cs="Times New Roman"/>
          <w:sz w:val="24"/>
          <w:szCs w:val="24"/>
        </w:rPr>
        <w:t>i 3 ustawy o cudzoziemcach</w:t>
      </w:r>
      <w:r w:rsidR="00076C40" w:rsidRPr="00774FA7">
        <w:rPr>
          <w:rFonts w:ascii="Times New Roman" w:eastAsia="Calibri" w:hAnsi="Times New Roman" w:cs="Times New Roman"/>
          <w:sz w:val="24"/>
          <w:szCs w:val="24"/>
        </w:rPr>
        <w:t xml:space="preserve"> mają na celu m. in. wdrożenie art. 3 ust. 2 dyrektywy 2004/38/WE</w:t>
      </w:r>
      <w:r w:rsidR="00E8542A" w:rsidRPr="00774FA7">
        <w:rPr>
          <w:rFonts w:ascii="Times New Roman" w:eastAsia="Calibri" w:hAnsi="Times New Roman" w:cs="Times New Roman"/>
          <w:sz w:val="24"/>
          <w:szCs w:val="24"/>
        </w:rPr>
        <w:t xml:space="preserve">. </w:t>
      </w:r>
      <w:r w:rsidR="001A527C" w:rsidRPr="00774FA7">
        <w:rPr>
          <w:rFonts w:ascii="Times New Roman" w:eastAsia="Calibri" w:hAnsi="Times New Roman" w:cs="Times New Roman"/>
          <w:sz w:val="24"/>
          <w:szCs w:val="24"/>
        </w:rPr>
        <w:t>K</w:t>
      </w:r>
      <w:r w:rsidR="00076C40" w:rsidRPr="00774FA7">
        <w:rPr>
          <w:rFonts w:ascii="Times New Roman" w:eastAsia="Calibri" w:hAnsi="Times New Roman" w:cs="Times New Roman"/>
          <w:sz w:val="24"/>
          <w:szCs w:val="24"/>
        </w:rPr>
        <w:t>arta pobyt</w:t>
      </w:r>
      <w:r w:rsidR="00F156FD" w:rsidRPr="00774FA7">
        <w:rPr>
          <w:rFonts w:ascii="Times New Roman" w:eastAsia="Calibri" w:hAnsi="Times New Roman" w:cs="Times New Roman"/>
          <w:sz w:val="24"/>
          <w:szCs w:val="24"/>
        </w:rPr>
        <w:t>u</w:t>
      </w:r>
      <w:r w:rsidR="001A527C" w:rsidRPr="00774FA7">
        <w:rPr>
          <w:rFonts w:ascii="Times New Roman" w:eastAsia="Calibri" w:hAnsi="Times New Roman" w:cs="Times New Roman"/>
          <w:sz w:val="24"/>
          <w:szCs w:val="24"/>
        </w:rPr>
        <w:t xml:space="preserve"> wydawana ww. osobom</w:t>
      </w:r>
      <w:r w:rsidR="00076C40" w:rsidRPr="00774FA7">
        <w:rPr>
          <w:rFonts w:ascii="Times New Roman" w:eastAsia="Calibri" w:hAnsi="Times New Roman" w:cs="Times New Roman"/>
          <w:sz w:val="24"/>
          <w:szCs w:val="24"/>
        </w:rPr>
        <w:t xml:space="preserve"> również będzie zawierać </w:t>
      </w:r>
      <w:r w:rsidR="00E8542A" w:rsidRPr="00774FA7">
        <w:rPr>
          <w:rFonts w:ascii="Times New Roman" w:eastAsia="Calibri" w:hAnsi="Times New Roman" w:cs="Times New Roman"/>
          <w:sz w:val="24"/>
          <w:szCs w:val="24"/>
        </w:rPr>
        <w:t>stosowną</w:t>
      </w:r>
      <w:r w:rsidR="00076C40" w:rsidRPr="00774FA7">
        <w:rPr>
          <w:rFonts w:ascii="Times New Roman" w:eastAsia="Calibri" w:hAnsi="Times New Roman" w:cs="Times New Roman"/>
          <w:sz w:val="24"/>
          <w:szCs w:val="24"/>
        </w:rPr>
        <w:t xml:space="preserve"> adnotację</w:t>
      </w:r>
      <w:r w:rsidR="001A527C" w:rsidRPr="00774FA7">
        <w:rPr>
          <w:rFonts w:ascii="Times New Roman" w:eastAsia="Calibri" w:hAnsi="Times New Roman" w:cs="Times New Roman"/>
          <w:sz w:val="24"/>
          <w:szCs w:val="24"/>
        </w:rPr>
        <w:t>,</w:t>
      </w:r>
      <w:r w:rsidR="00E8542A" w:rsidRPr="00774FA7">
        <w:rPr>
          <w:rFonts w:ascii="Times New Roman" w:eastAsia="Calibri" w:hAnsi="Times New Roman" w:cs="Times New Roman"/>
          <w:sz w:val="24"/>
          <w:szCs w:val="24"/>
        </w:rPr>
        <w:t xml:space="preserve"> z której będzie wynikało,</w:t>
      </w:r>
      <w:r w:rsidR="001A527C" w:rsidRPr="00774FA7">
        <w:rPr>
          <w:rFonts w:ascii="Times New Roman" w:eastAsia="Calibri" w:hAnsi="Times New Roman" w:cs="Times New Roman"/>
          <w:sz w:val="24"/>
          <w:szCs w:val="24"/>
        </w:rPr>
        <w:t xml:space="preserve"> iż </w:t>
      </w:r>
      <w:r w:rsidR="00E8542A" w:rsidRPr="00774FA7">
        <w:rPr>
          <w:rFonts w:ascii="Times New Roman" w:eastAsia="Calibri" w:hAnsi="Times New Roman" w:cs="Times New Roman"/>
          <w:sz w:val="24"/>
          <w:szCs w:val="24"/>
        </w:rPr>
        <w:t xml:space="preserve">jest </w:t>
      </w:r>
      <w:r w:rsidR="001A527C" w:rsidRPr="00774FA7">
        <w:rPr>
          <w:rFonts w:ascii="Times New Roman" w:eastAsia="Calibri" w:hAnsi="Times New Roman" w:cs="Times New Roman"/>
          <w:sz w:val="24"/>
          <w:szCs w:val="24"/>
        </w:rPr>
        <w:t>wydawana beneficjentom Umowy wystąpienia</w:t>
      </w:r>
      <w:r w:rsidR="00076C40" w:rsidRPr="00774FA7">
        <w:rPr>
          <w:rFonts w:ascii="Times New Roman" w:eastAsia="Calibri" w:hAnsi="Times New Roman" w:cs="Times New Roman"/>
          <w:sz w:val="24"/>
          <w:szCs w:val="24"/>
        </w:rPr>
        <w:t>. Celem ustanowienia wymogu zawierania takiej adnotacji jest jednoznaczna identyfikacja beneficjentów Umowy wystąpienia</w:t>
      </w:r>
      <w:r w:rsidR="002101B9">
        <w:rPr>
          <w:rFonts w:ascii="Times New Roman" w:eastAsia="Calibri" w:hAnsi="Times New Roman" w:cs="Times New Roman"/>
          <w:sz w:val="24"/>
          <w:szCs w:val="24"/>
        </w:rPr>
        <w:t>, a opisane wyżej rozwiązanie realizuje ten cel.</w:t>
      </w:r>
    </w:p>
    <w:p w14:paraId="7E9DF742" w14:textId="56F65858" w:rsidR="00076C40" w:rsidRPr="00774FA7" w:rsidRDefault="00F01FD5" w:rsidP="004F6DC6">
      <w:pPr>
        <w:spacing w:after="0" w:line="288" w:lineRule="auto"/>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ab/>
      </w:r>
      <w:r w:rsidR="00BC6F19" w:rsidRPr="00774FA7">
        <w:rPr>
          <w:rFonts w:ascii="Times New Roman" w:eastAsia="Calibri" w:hAnsi="Times New Roman" w:cs="Times New Roman"/>
          <w:sz w:val="24"/>
          <w:szCs w:val="24"/>
        </w:rPr>
        <w:t>Projekt wprowadza również regulacje prawne, które pozwalają na wprowadzenie nowych formatów dokumentów dla obywateli Zjednoczonego Królestwa, członków ich rodzin i innych osób, o których mowa w Umowie wystąpienia</w:t>
      </w:r>
      <w:r w:rsidR="002101B9">
        <w:rPr>
          <w:rFonts w:ascii="Times New Roman" w:eastAsia="Calibri" w:hAnsi="Times New Roman" w:cs="Times New Roman"/>
          <w:sz w:val="24"/>
          <w:szCs w:val="24"/>
        </w:rPr>
        <w:t>,</w:t>
      </w:r>
      <w:r w:rsidR="00BC6F19" w:rsidRPr="00774FA7">
        <w:rPr>
          <w:rFonts w:ascii="Times New Roman" w:eastAsia="Calibri" w:hAnsi="Times New Roman" w:cs="Times New Roman"/>
          <w:sz w:val="24"/>
          <w:szCs w:val="24"/>
        </w:rPr>
        <w:t xml:space="preserve"> zgodnie z Decyzją Wykonawczą Komisji</w:t>
      </w:r>
      <w:r w:rsidR="00E86665" w:rsidRPr="00774FA7">
        <w:rPr>
          <w:rFonts w:ascii="Times New Roman" w:eastAsia="Calibri" w:hAnsi="Times New Roman" w:cs="Times New Roman"/>
          <w:sz w:val="24"/>
          <w:szCs w:val="24"/>
        </w:rPr>
        <w:t xml:space="preserve"> z dnia 21 lutego 2020</w:t>
      </w:r>
      <w:r w:rsidR="005F09C0" w:rsidRPr="00774FA7">
        <w:rPr>
          <w:rFonts w:ascii="Times New Roman" w:eastAsia="Calibri" w:hAnsi="Times New Roman" w:cs="Times New Roman"/>
          <w:sz w:val="24"/>
          <w:szCs w:val="24"/>
        </w:rPr>
        <w:t xml:space="preserve"> </w:t>
      </w:r>
      <w:r w:rsidR="00E86665" w:rsidRPr="00774FA7">
        <w:rPr>
          <w:rFonts w:ascii="Times New Roman" w:eastAsia="Calibri" w:hAnsi="Times New Roman" w:cs="Times New Roman"/>
          <w:sz w:val="24"/>
          <w:szCs w:val="24"/>
        </w:rPr>
        <w:t>r. nr</w:t>
      </w:r>
      <w:r w:rsidR="00BC6F19" w:rsidRPr="00774FA7">
        <w:rPr>
          <w:rFonts w:ascii="Times New Roman" w:eastAsia="Calibri" w:hAnsi="Times New Roman" w:cs="Times New Roman"/>
          <w:sz w:val="24"/>
          <w:szCs w:val="24"/>
        </w:rPr>
        <w:t xml:space="preserve"> C(2020) 1114 </w:t>
      </w:r>
      <w:r w:rsidR="00E86665" w:rsidRPr="00774FA7">
        <w:rPr>
          <w:rFonts w:ascii="Times New Roman" w:eastAsia="Calibri" w:hAnsi="Times New Roman" w:cs="Times New Roman"/>
          <w:sz w:val="24"/>
          <w:szCs w:val="24"/>
        </w:rPr>
        <w:t>w sprawie dokumentów wydawanych przez państwa członkowskie zgodnie z art. 18 ust. 1 i 4 oraz art. 26</w:t>
      </w:r>
      <w:r w:rsidR="00E86665" w:rsidRPr="00774FA7">
        <w:t xml:space="preserve"> </w:t>
      </w:r>
      <w:r w:rsidR="00E86665" w:rsidRPr="00774FA7">
        <w:rPr>
          <w:rFonts w:ascii="Times New Roman" w:eastAsia="Calibri" w:hAnsi="Times New Roman" w:cs="Times New Roman"/>
          <w:sz w:val="24"/>
          <w:szCs w:val="24"/>
        </w:rPr>
        <w:t>Umowy o wystąpieni</w:t>
      </w:r>
      <w:r w:rsidR="002101B9">
        <w:rPr>
          <w:rFonts w:ascii="Times New Roman" w:eastAsia="Calibri" w:hAnsi="Times New Roman" w:cs="Times New Roman"/>
          <w:sz w:val="24"/>
          <w:szCs w:val="24"/>
        </w:rPr>
        <w:t>u</w:t>
      </w:r>
      <w:r w:rsidR="00E86665" w:rsidRPr="00774FA7">
        <w:rPr>
          <w:rFonts w:ascii="Times New Roman" w:eastAsia="Calibri" w:hAnsi="Times New Roman" w:cs="Times New Roman"/>
          <w:sz w:val="24"/>
          <w:szCs w:val="24"/>
        </w:rPr>
        <w:t xml:space="preserve"> Zjednoczonego Królestwa Wielkiej Brytanii i Irlandii Północnej z Unii Europejskiej i Europejskiej Wspólnoty Energii Atomowej</w:t>
      </w:r>
      <w:r w:rsidR="00034037" w:rsidRPr="00774FA7">
        <w:rPr>
          <w:rFonts w:ascii="Times New Roman" w:eastAsia="Calibri" w:hAnsi="Times New Roman" w:cs="Times New Roman"/>
          <w:sz w:val="24"/>
          <w:szCs w:val="24"/>
        </w:rPr>
        <w:t>, zwanej dalej „Decyzją wykonawczą nr C(2020) 1114”</w:t>
      </w:r>
      <w:r w:rsidR="00BC6F19" w:rsidRPr="00774FA7">
        <w:rPr>
          <w:rFonts w:ascii="Times New Roman" w:eastAsia="Calibri" w:hAnsi="Times New Roman" w:cs="Times New Roman"/>
          <w:sz w:val="24"/>
          <w:szCs w:val="24"/>
        </w:rPr>
        <w:t xml:space="preserve">. </w:t>
      </w:r>
      <w:r w:rsidR="00107FFD" w:rsidRPr="00774FA7">
        <w:rPr>
          <w:rFonts w:ascii="Times New Roman" w:eastAsia="Calibri" w:hAnsi="Times New Roman" w:cs="Times New Roman"/>
          <w:sz w:val="24"/>
          <w:szCs w:val="24"/>
        </w:rPr>
        <w:t>Zgodnie z art. 1</w:t>
      </w:r>
      <w:r w:rsidR="006F6CA9" w:rsidRPr="00774FA7">
        <w:rPr>
          <w:rFonts w:ascii="Times New Roman" w:eastAsia="Calibri" w:hAnsi="Times New Roman" w:cs="Times New Roman"/>
          <w:sz w:val="24"/>
          <w:szCs w:val="24"/>
        </w:rPr>
        <w:t xml:space="preserve"> akapit pierwszy</w:t>
      </w:r>
      <w:r w:rsidR="00107FFD" w:rsidRPr="00774FA7">
        <w:rPr>
          <w:rFonts w:ascii="Times New Roman" w:eastAsia="Calibri" w:hAnsi="Times New Roman" w:cs="Times New Roman"/>
          <w:sz w:val="24"/>
          <w:szCs w:val="24"/>
        </w:rPr>
        <w:t xml:space="preserve"> wskazanej wyżej decyzji w stosunku do dokumentów wydawanych beneficjentom Umowy wystąpienia s</w:t>
      </w:r>
      <w:r w:rsidR="00BC6F19" w:rsidRPr="00774FA7">
        <w:rPr>
          <w:rFonts w:ascii="Times New Roman" w:eastAsia="Calibri" w:hAnsi="Times New Roman" w:cs="Times New Roman"/>
          <w:sz w:val="24"/>
          <w:szCs w:val="24"/>
        </w:rPr>
        <w:t>tosu</w:t>
      </w:r>
      <w:r w:rsidR="00107FFD" w:rsidRPr="00774FA7">
        <w:rPr>
          <w:rFonts w:ascii="Times New Roman" w:eastAsia="Calibri" w:hAnsi="Times New Roman" w:cs="Times New Roman"/>
          <w:sz w:val="24"/>
          <w:szCs w:val="24"/>
        </w:rPr>
        <w:t xml:space="preserve">je </w:t>
      </w:r>
      <w:r w:rsidR="00DB5DCF" w:rsidRPr="00774FA7">
        <w:rPr>
          <w:rFonts w:ascii="Times New Roman" w:eastAsia="Calibri" w:hAnsi="Times New Roman" w:cs="Times New Roman"/>
          <w:sz w:val="24"/>
          <w:szCs w:val="24"/>
        </w:rPr>
        <w:t xml:space="preserve">się </w:t>
      </w:r>
      <w:r w:rsidR="00107FFD" w:rsidRPr="00774FA7">
        <w:rPr>
          <w:rFonts w:ascii="Times New Roman" w:eastAsia="Calibri" w:hAnsi="Times New Roman" w:cs="Times New Roman"/>
          <w:sz w:val="24"/>
          <w:szCs w:val="24"/>
        </w:rPr>
        <w:t xml:space="preserve">format określony </w:t>
      </w:r>
      <w:r w:rsidR="00BC6F19" w:rsidRPr="00774FA7">
        <w:rPr>
          <w:rFonts w:ascii="Times New Roman" w:eastAsia="Calibri" w:hAnsi="Times New Roman" w:cs="Times New Roman"/>
          <w:sz w:val="24"/>
          <w:szCs w:val="24"/>
        </w:rPr>
        <w:t>rozporzą</w:t>
      </w:r>
      <w:r w:rsidR="00175C44" w:rsidRPr="00774FA7">
        <w:rPr>
          <w:rFonts w:ascii="Times New Roman" w:eastAsia="Calibri" w:hAnsi="Times New Roman" w:cs="Times New Roman"/>
          <w:sz w:val="24"/>
          <w:szCs w:val="24"/>
        </w:rPr>
        <w:t>dzeniem Rady (WE) nr 1030/2002. W</w:t>
      </w:r>
      <w:r w:rsidR="00BC6F19" w:rsidRPr="00774FA7">
        <w:rPr>
          <w:rFonts w:ascii="Times New Roman" w:eastAsia="Calibri" w:hAnsi="Times New Roman" w:cs="Times New Roman"/>
          <w:sz w:val="24"/>
          <w:szCs w:val="24"/>
        </w:rPr>
        <w:t xml:space="preserve"> zaświadczeniach o zarejestrowaniu pobytu i dokumentach potwierdzających prawo stałego pobytu dla obywat</w:t>
      </w:r>
      <w:r w:rsidR="00175C44" w:rsidRPr="00774FA7">
        <w:rPr>
          <w:rFonts w:ascii="Times New Roman" w:eastAsia="Calibri" w:hAnsi="Times New Roman" w:cs="Times New Roman"/>
          <w:sz w:val="24"/>
          <w:szCs w:val="24"/>
        </w:rPr>
        <w:t xml:space="preserve">eli Zjednoczonego </w:t>
      </w:r>
      <w:r w:rsidR="00175C44" w:rsidRPr="00774FA7">
        <w:rPr>
          <w:rFonts w:ascii="Times New Roman" w:eastAsia="Calibri" w:hAnsi="Times New Roman" w:cs="Times New Roman"/>
          <w:sz w:val="24"/>
          <w:szCs w:val="24"/>
        </w:rPr>
        <w:lastRenderedPageBreak/>
        <w:t xml:space="preserve">Królestwa, w przeciwieństwie do tych samych dokumentów wydawanych obywatelom UE, będą </w:t>
      </w:r>
      <w:r w:rsidR="00BC6F19" w:rsidRPr="00774FA7">
        <w:rPr>
          <w:rFonts w:ascii="Times New Roman" w:eastAsia="Calibri" w:hAnsi="Times New Roman" w:cs="Times New Roman"/>
          <w:sz w:val="24"/>
          <w:szCs w:val="24"/>
        </w:rPr>
        <w:t>zamie</w:t>
      </w:r>
      <w:r w:rsidR="00175C44" w:rsidRPr="00774FA7">
        <w:rPr>
          <w:rFonts w:ascii="Times New Roman" w:eastAsia="Calibri" w:hAnsi="Times New Roman" w:cs="Times New Roman"/>
          <w:sz w:val="24"/>
          <w:szCs w:val="24"/>
        </w:rPr>
        <w:t>sz</w:t>
      </w:r>
      <w:r w:rsidR="00204935" w:rsidRPr="00774FA7">
        <w:rPr>
          <w:rFonts w:ascii="Times New Roman" w:eastAsia="Calibri" w:hAnsi="Times New Roman" w:cs="Times New Roman"/>
          <w:sz w:val="24"/>
          <w:szCs w:val="24"/>
        </w:rPr>
        <w:t>cz</w:t>
      </w:r>
      <w:r w:rsidR="00175C44" w:rsidRPr="00774FA7">
        <w:rPr>
          <w:rFonts w:ascii="Times New Roman" w:eastAsia="Calibri" w:hAnsi="Times New Roman" w:cs="Times New Roman"/>
          <w:sz w:val="24"/>
          <w:szCs w:val="24"/>
        </w:rPr>
        <w:t>ane odciski linii papilarnych.</w:t>
      </w:r>
      <w:r w:rsidR="00BC6F19" w:rsidRPr="00774FA7">
        <w:rPr>
          <w:rFonts w:ascii="Times New Roman" w:eastAsia="Calibri" w:hAnsi="Times New Roman" w:cs="Times New Roman"/>
          <w:sz w:val="24"/>
          <w:szCs w:val="24"/>
        </w:rPr>
        <w:t xml:space="preserve"> </w:t>
      </w:r>
      <w:r w:rsidR="00175C44" w:rsidRPr="00774FA7">
        <w:rPr>
          <w:rFonts w:ascii="Times New Roman" w:eastAsia="Calibri" w:hAnsi="Times New Roman" w:cs="Times New Roman"/>
          <w:sz w:val="24"/>
          <w:szCs w:val="24"/>
        </w:rPr>
        <w:t>Dodatkowo wyżej wymienione dokumenty w miejscu przeznaczonym na wskazanie „r</w:t>
      </w:r>
      <w:r w:rsidR="00BC6F19" w:rsidRPr="00774FA7">
        <w:rPr>
          <w:rFonts w:ascii="Times New Roman" w:eastAsia="Calibri" w:hAnsi="Times New Roman" w:cs="Times New Roman"/>
          <w:sz w:val="24"/>
          <w:szCs w:val="24"/>
        </w:rPr>
        <w:t>odzaj</w:t>
      </w:r>
      <w:r w:rsidR="00175C44" w:rsidRPr="00774FA7">
        <w:rPr>
          <w:rFonts w:ascii="Times New Roman" w:eastAsia="Calibri" w:hAnsi="Times New Roman" w:cs="Times New Roman"/>
          <w:sz w:val="24"/>
          <w:szCs w:val="24"/>
        </w:rPr>
        <w:t>u</w:t>
      </w:r>
      <w:r w:rsidR="00BC6F19" w:rsidRPr="00774FA7">
        <w:rPr>
          <w:rFonts w:ascii="Times New Roman" w:eastAsia="Calibri" w:hAnsi="Times New Roman" w:cs="Times New Roman"/>
          <w:sz w:val="24"/>
          <w:szCs w:val="24"/>
        </w:rPr>
        <w:t xml:space="preserve"> zezwolenia” </w:t>
      </w:r>
      <w:r w:rsidR="00175C44" w:rsidRPr="00774FA7">
        <w:rPr>
          <w:rFonts w:ascii="Times New Roman" w:eastAsia="Calibri" w:hAnsi="Times New Roman" w:cs="Times New Roman"/>
          <w:sz w:val="24"/>
          <w:szCs w:val="24"/>
        </w:rPr>
        <w:t>będ</w:t>
      </w:r>
      <w:r w:rsidR="005F09C0" w:rsidRPr="00774FA7">
        <w:rPr>
          <w:rFonts w:ascii="Times New Roman" w:eastAsia="Calibri" w:hAnsi="Times New Roman" w:cs="Times New Roman"/>
          <w:sz w:val="24"/>
          <w:szCs w:val="24"/>
        </w:rPr>
        <w:t>ą miały</w:t>
      </w:r>
      <w:r w:rsidR="00175C44" w:rsidRPr="00774FA7">
        <w:rPr>
          <w:rFonts w:ascii="Times New Roman" w:eastAsia="Calibri" w:hAnsi="Times New Roman" w:cs="Times New Roman"/>
          <w:sz w:val="24"/>
          <w:szCs w:val="24"/>
        </w:rPr>
        <w:t xml:space="preserve"> </w:t>
      </w:r>
      <w:r w:rsidR="00BC6F19" w:rsidRPr="00774FA7">
        <w:rPr>
          <w:rFonts w:ascii="Times New Roman" w:eastAsia="Calibri" w:hAnsi="Times New Roman" w:cs="Times New Roman"/>
          <w:sz w:val="24"/>
          <w:szCs w:val="24"/>
        </w:rPr>
        <w:t>wpisan</w:t>
      </w:r>
      <w:r w:rsidR="006F30B4" w:rsidRPr="00774FA7">
        <w:rPr>
          <w:rFonts w:ascii="Times New Roman" w:eastAsia="Calibri" w:hAnsi="Times New Roman" w:cs="Times New Roman"/>
          <w:sz w:val="24"/>
          <w:szCs w:val="24"/>
        </w:rPr>
        <w:t xml:space="preserve">ą następującą informację: </w:t>
      </w:r>
      <w:r w:rsidR="00BC6F19" w:rsidRPr="00774FA7">
        <w:rPr>
          <w:rFonts w:ascii="Times New Roman" w:eastAsia="Calibri" w:hAnsi="Times New Roman" w:cs="Times New Roman"/>
          <w:sz w:val="24"/>
          <w:szCs w:val="24"/>
        </w:rPr>
        <w:t xml:space="preserve">„Art. 50 TUE”. </w:t>
      </w:r>
      <w:r w:rsidR="00175C44" w:rsidRPr="00774FA7">
        <w:rPr>
          <w:rFonts w:ascii="Times New Roman" w:eastAsia="Calibri" w:hAnsi="Times New Roman" w:cs="Times New Roman"/>
          <w:sz w:val="24"/>
          <w:szCs w:val="24"/>
        </w:rPr>
        <w:t xml:space="preserve">Dodatkowo na </w:t>
      </w:r>
      <w:r w:rsidR="00BC6F19" w:rsidRPr="00774FA7">
        <w:rPr>
          <w:rFonts w:ascii="Times New Roman" w:eastAsia="Calibri" w:hAnsi="Times New Roman" w:cs="Times New Roman"/>
          <w:sz w:val="24"/>
          <w:szCs w:val="24"/>
        </w:rPr>
        <w:t xml:space="preserve">awersie </w:t>
      </w:r>
      <w:r w:rsidR="00175C44" w:rsidRPr="00774FA7">
        <w:rPr>
          <w:rFonts w:ascii="Times New Roman" w:eastAsia="Calibri" w:hAnsi="Times New Roman" w:cs="Times New Roman"/>
          <w:sz w:val="24"/>
          <w:szCs w:val="24"/>
        </w:rPr>
        <w:t xml:space="preserve">będzie zamieszczana </w:t>
      </w:r>
      <w:r w:rsidR="00BC6F19" w:rsidRPr="00774FA7">
        <w:rPr>
          <w:rFonts w:ascii="Times New Roman" w:eastAsia="Calibri" w:hAnsi="Times New Roman" w:cs="Times New Roman"/>
          <w:sz w:val="24"/>
          <w:szCs w:val="24"/>
        </w:rPr>
        <w:t>adnotacja „art. 18 ust. 1 Umo</w:t>
      </w:r>
      <w:r w:rsidR="00175C44" w:rsidRPr="00774FA7">
        <w:rPr>
          <w:rFonts w:ascii="Times New Roman" w:eastAsia="Calibri" w:hAnsi="Times New Roman" w:cs="Times New Roman"/>
          <w:sz w:val="24"/>
          <w:szCs w:val="24"/>
        </w:rPr>
        <w:t xml:space="preserve">wy” lub „art. 18 ust. 4 Umowy”. </w:t>
      </w:r>
      <w:r w:rsidR="006F30B4" w:rsidRPr="00774FA7">
        <w:rPr>
          <w:rFonts w:ascii="Times New Roman" w:eastAsia="Calibri" w:hAnsi="Times New Roman" w:cs="Times New Roman"/>
          <w:sz w:val="24"/>
          <w:szCs w:val="24"/>
        </w:rPr>
        <w:t xml:space="preserve">Zgodnie z </w:t>
      </w:r>
      <w:r w:rsidR="00175C44" w:rsidRPr="00774FA7">
        <w:rPr>
          <w:rFonts w:ascii="Times New Roman" w:eastAsia="Calibri" w:hAnsi="Times New Roman" w:cs="Times New Roman"/>
          <w:sz w:val="24"/>
          <w:szCs w:val="24"/>
        </w:rPr>
        <w:t>art. 2</w:t>
      </w:r>
      <w:r w:rsidR="00034037" w:rsidRPr="00774FA7">
        <w:rPr>
          <w:rFonts w:ascii="Times New Roman" w:eastAsia="Calibri" w:hAnsi="Times New Roman" w:cs="Times New Roman"/>
          <w:sz w:val="24"/>
          <w:szCs w:val="24"/>
        </w:rPr>
        <w:t xml:space="preserve"> Decyzji</w:t>
      </w:r>
      <w:r w:rsidR="00034037" w:rsidRPr="00774FA7">
        <w:t xml:space="preserve"> </w:t>
      </w:r>
      <w:r w:rsidR="00034037" w:rsidRPr="00774FA7">
        <w:rPr>
          <w:rFonts w:ascii="Times New Roman" w:eastAsia="Calibri" w:hAnsi="Times New Roman" w:cs="Times New Roman"/>
          <w:sz w:val="24"/>
          <w:szCs w:val="24"/>
        </w:rPr>
        <w:t xml:space="preserve">wykonawczej nr C(2020) 1114 </w:t>
      </w:r>
      <w:r w:rsidR="00175C44" w:rsidRPr="00774FA7">
        <w:rPr>
          <w:rFonts w:ascii="Times New Roman" w:eastAsia="Calibri" w:hAnsi="Times New Roman" w:cs="Times New Roman"/>
          <w:sz w:val="24"/>
          <w:szCs w:val="24"/>
        </w:rPr>
        <w:t>d</w:t>
      </w:r>
      <w:r w:rsidR="00BC6F19" w:rsidRPr="00774FA7">
        <w:rPr>
          <w:rFonts w:ascii="Times New Roman" w:eastAsia="Calibri" w:hAnsi="Times New Roman" w:cs="Times New Roman"/>
          <w:sz w:val="24"/>
          <w:szCs w:val="24"/>
        </w:rPr>
        <w:t xml:space="preserve">okumenty dla pracowników przygranicznych będących obywatelami </w:t>
      </w:r>
      <w:r w:rsidR="00175C44" w:rsidRPr="00774FA7">
        <w:rPr>
          <w:rFonts w:ascii="Times New Roman" w:eastAsia="Calibri" w:hAnsi="Times New Roman" w:cs="Times New Roman"/>
          <w:sz w:val="24"/>
          <w:szCs w:val="24"/>
        </w:rPr>
        <w:t xml:space="preserve">Zjednoczonego Królestwa </w:t>
      </w:r>
      <w:r w:rsidR="00BC6F19" w:rsidRPr="00774FA7">
        <w:rPr>
          <w:rFonts w:ascii="Times New Roman" w:eastAsia="Calibri" w:hAnsi="Times New Roman" w:cs="Times New Roman"/>
          <w:sz w:val="24"/>
          <w:szCs w:val="24"/>
        </w:rPr>
        <w:t xml:space="preserve">powinny być wydawane zgodnie z wzorem przewidzianym dla zezwoleń </w:t>
      </w:r>
      <w:r w:rsidR="00034037" w:rsidRPr="00774FA7">
        <w:rPr>
          <w:rFonts w:ascii="Times New Roman" w:eastAsia="Calibri" w:hAnsi="Times New Roman" w:cs="Times New Roman"/>
          <w:sz w:val="24"/>
          <w:szCs w:val="24"/>
        </w:rPr>
        <w:t>na przekraczanie granicy w ramach małego ruchu granicznego</w:t>
      </w:r>
      <w:r w:rsidR="00BC6F19" w:rsidRPr="00774FA7">
        <w:rPr>
          <w:rFonts w:ascii="Times New Roman" w:eastAsia="Calibri" w:hAnsi="Times New Roman" w:cs="Times New Roman"/>
          <w:sz w:val="24"/>
          <w:szCs w:val="24"/>
        </w:rPr>
        <w:t xml:space="preserve">. </w:t>
      </w:r>
      <w:r w:rsidR="006F30B4" w:rsidRPr="00774FA7">
        <w:rPr>
          <w:rFonts w:ascii="Times New Roman" w:eastAsia="Calibri" w:hAnsi="Times New Roman" w:cs="Times New Roman"/>
          <w:sz w:val="24"/>
          <w:szCs w:val="24"/>
        </w:rPr>
        <w:t>Stąd też w</w:t>
      </w:r>
      <w:r w:rsidR="00BC6F19" w:rsidRPr="00774FA7">
        <w:rPr>
          <w:rFonts w:ascii="Times New Roman" w:eastAsia="Calibri" w:hAnsi="Times New Roman" w:cs="Times New Roman"/>
          <w:sz w:val="24"/>
          <w:szCs w:val="24"/>
        </w:rPr>
        <w:t xml:space="preserve"> p</w:t>
      </w:r>
      <w:r w:rsidR="00034037" w:rsidRPr="00774FA7">
        <w:rPr>
          <w:rFonts w:ascii="Times New Roman" w:eastAsia="Calibri" w:hAnsi="Times New Roman" w:cs="Times New Roman"/>
          <w:sz w:val="24"/>
          <w:szCs w:val="24"/>
        </w:rPr>
        <w:t>olu</w:t>
      </w:r>
      <w:r w:rsidR="00BC6F19" w:rsidRPr="00774FA7">
        <w:rPr>
          <w:rFonts w:ascii="Times New Roman" w:eastAsia="Calibri" w:hAnsi="Times New Roman" w:cs="Times New Roman"/>
          <w:sz w:val="24"/>
          <w:szCs w:val="24"/>
        </w:rPr>
        <w:t xml:space="preserve"> „Rodzaj zezwolenia” </w:t>
      </w:r>
      <w:r w:rsidR="00034037" w:rsidRPr="00774FA7">
        <w:rPr>
          <w:rFonts w:ascii="Times New Roman" w:eastAsia="Calibri" w:hAnsi="Times New Roman" w:cs="Times New Roman"/>
          <w:sz w:val="24"/>
          <w:szCs w:val="24"/>
        </w:rPr>
        <w:t>powinn</w:t>
      </w:r>
      <w:r w:rsidR="006F30B4" w:rsidRPr="00774FA7">
        <w:rPr>
          <w:rFonts w:ascii="Times New Roman" w:eastAsia="Calibri" w:hAnsi="Times New Roman" w:cs="Times New Roman"/>
          <w:sz w:val="24"/>
          <w:szCs w:val="24"/>
        </w:rPr>
        <w:t>a</w:t>
      </w:r>
      <w:r w:rsidR="00034037" w:rsidRPr="00774FA7">
        <w:rPr>
          <w:rFonts w:ascii="Times New Roman" w:eastAsia="Calibri" w:hAnsi="Times New Roman" w:cs="Times New Roman"/>
          <w:sz w:val="24"/>
          <w:szCs w:val="24"/>
        </w:rPr>
        <w:t xml:space="preserve"> być </w:t>
      </w:r>
      <w:r w:rsidR="00BC6F19" w:rsidRPr="00774FA7">
        <w:rPr>
          <w:rFonts w:ascii="Times New Roman" w:eastAsia="Calibri" w:hAnsi="Times New Roman" w:cs="Times New Roman"/>
          <w:sz w:val="24"/>
          <w:szCs w:val="24"/>
        </w:rPr>
        <w:t>wpisan</w:t>
      </w:r>
      <w:r w:rsidR="006F30B4" w:rsidRPr="00774FA7">
        <w:rPr>
          <w:rFonts w:ascii="Times New Roman" w:eastAsia="Calibri" w:hAnsi="Times New Roman" w:cs="Times New Roman"/>
          <w:sz w:val="24"/>
          <w:szCs w:val="24"/>
        </w:rPr>
        <w:t>a informacja:</w:t>
      </w:r>
      <w:r w:rsidR="00BC6F19" w:rsidRPr="00774FA7">
        <w:rPr>
          <w:rFonts w:ascii="Times New Roman" w:eastAsia="Calibri" w:hAnsi="Times New Roman" w:cs="Times New Roman"/>
          <w:sz w:val="24"/>
          <w:szCs w:val="24"/>
        </w:rPr>
        <w:t xml:space="preserve"> „Art. 50 TUE – pracownik przygraniczny”.</w:t>
      </w:r>
    </w:p>
    <w:p w14:paraId="1A1EE42E" w14:textId="77777777" w:rsidR="00C12AB3" w:rsidRPr="00774FA7" w:rsidRDefault="00C12AB3" w:rsidP="004F6DC6">
      <w:pPr>
        <w:spacing w:after="0" w:line="288" w:lineRule="auto"/>
        <w:jc w:val="both"/>
        <w:rPr>
          <w:rFonts w:ascii="Times New Roman" w:eastAsia="Calibri" w:hAnsi="Times New Roman" w:cs="Times New Roman"/>
          <w:sz w:val="24"/>
          <w:szCs w:val="24"/>
        </w:rPr>
      </w:pPr>
    </w:p>
    <w:p w14:paraId="0D23AD0B" w14:textId="43A8143D" w:rsidR="00076C40" w:rsidRPr="00774FA7" w:rsidRDefault="00076C40" w:rsidP="004F6DC6">
      <w:pPr>
        <w:numPr>
          <w:ilvl w:val="0"/>
          <w:numId w:val="6"/>
        </w:numPr>
        <w:spacing w:after="0" w:line="288" w:lineRule="auto"/>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Charakterystyka projektu ustawy – rzeczywisty stan oraz wskazanie różnic między dotychczasowym a projektowanym stanem prawnym</w:t>
      </w:r>
    </w:p>
    <w:p w14:paraId="2CB24176" w14:textId="77777777" w:rsidR="00076C40" w:rsidRPr="00774FA7" w:rsidRDefault="00076C40" w:rsidP="004F6DC6">
      <w:pPr>
        <w:spacing w:after="0" w:line="288" w:lineRule="auto"/>
        <w:rPr>
          <w:rFonts w:ascii="Times New Roman" w:eastAsia="Calibri" w:hAnsi="Times New Roman" w:cs="Times New Roman"/>
          <w:sz w:val="24"/>
          <w:szCs w:val="24"/>
        </w:rPr>
      </w:pPr>
    </w:p>
    <w:p w14:paraId="4D8603C3" w14:textId="641F4CAE"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1 projektu ustawy dokonuje się zmian w ustawie o wjeździe obywateli UE. Zmiany te mają na celu dostosowanie jej przepisów do orzeczeń Trybunału Sprawiedliwości Unii Europejskiej z zakresu stosowania dyrektywy 2004/38/WE, zmianę formatu wydawanych obywatelom UE i członkom ich rodzin dokumentów oraz wdrożenie przepisów Umowy wystąpienia. </w:t>
      </w:r>
    </w:p>
    <w:p w14:paraId="294B3D03" w14:textId="664EB371"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1 ustawy o wjeździe obywateli UE dodaje się pkt 3a, który przewiduje rozszerzenie zakresu podmiotowego tej ustawy o obywateli Zjednoczonego Królestwa, o których mowa w art. 10 ust. 1 lit b i d Umowy wystąpienia. Podobnie </w:t>
      </w:r>
      <w:r w:rsidR="00095E95">
        <w:rPr>
          <w:rFonts w:ascii="Times New Roman" w:eastAsia="Calibri" w:hAnsi="Times New Roman" w:cs="Times New Roman"/>
          <w:sz w:val="24"/>
          <w:szCs w:val="24"/>
        </w:rPr>
        <w:t>dodanie</w:t>
      </w:r>
      <w:r w:rsidR="00095E95"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w art. 1 pkt 6 ustawy o wjeździe obywateli UE, któr</w:t>
      </w:r>
      <w:r w:rsidR="00095E95">
        <w:rPr>
          <w:rFonts w:ascii="Times New Roman" w:eastAsia="Calibri" w:hAnsi="Times New Roman" w:cs="Times New Roman"/>
          <w:sz w:val="24"/>
          <w:szCs w:val="24"/>
        </w:rPr>
        <w:t>y</w:t>
      </w:r>
      <w:r w:rsidRPr="00774FA7">
        <w:rPr>
          <w:rFonts w:ascii="Times New Roman" w:eastAsia="Calibri" w:hAnsi="Times New Roman" w:cs="Times New Roman"/>
          <w:sz w:val="24"/>
          <w:szCs w:val="24"/>
        </w:rPr>
        <w:t xml:space="preserve"> ma na celu objęcie jej przepisami członków rodziny obywateli Zjednoczonego Królestwa, o których mowa w art. 10 ust. 1 lit. e i f Umowy wystąpienia. Z kolei </w:t>
      </w:r>
      <w:r w:rsidR="00095E95">
        <w:rPr>
          <w:rFonts w:ascii="Times New Roman" w:eastAsia="Calibri" w:hAnsi="Times New Roman" w:cs="Times New Roman"/>
          <w:sz w:val="24"/>
          <w:szCs w:val="24"/>
        </w:rPr>
        <w:t>dodanie</w:t>
      </w:r>
      <w:r w:rsidR="00095E95" w:rsidRPr="00774FA7">
        <w:rPr>
          <w:rFonts w:ascii="Times New Roman" w:eastAsia="Calibri" w:hAnsi="Times New Roman" w:cs="Times New Roman"/>
          <w:sz w:val="24"/>
          <w:szCs w:val="24"/>
        </w:rPr>
        <w:t xml:space="preserve"> pkt 5 </w:t>
      </w:r>
      <w:r w:rsidRPr="00774FA7">
        <w:rPr>
          <w:rFonts w:ascii="Times New Roman" w:eastAsia="Calibri" w:hAnsi="Times New Roman" w:cs="Times New Roman"/>
          <w:sz w:val="24"/>
          <w:szCs w:val="24"/>
        </w:rPr>
        <w:t>w art. 1 ustawy o wjeździe obywateli UE jest konsekwencją rozszerzenia definicji członka rodziny zaproponowanej w art. 2 pkt 4 lit</w:t>
      </w:r>
      <w:r w:rsidR="00095E95">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C3683D">
        <w:rPr>
          <w:rFonts w:ascii="Times New Roman" w:eastAsia="Calibri" w:hAnsi="Times New Roman" w:cs="Times New Roman"/>
          <w:sz w:val="24"/>
          <w:szCs w:val="24"/>
        </w:rPr>
        <w:t>c</w:t>
      </w:r>
      <w:r w:rsidRPr="00774FA7">
        <w:rPr>
          <w:rFonts w:ascii="Times New Roman" w:eastAsia="Calibri" w:hAnsi="Times New Roman" w:cs="Times New Roman"/>
          <w:sz w:val="24"/>
          <w:szCs w:val="24"/>
        </w:rPr>
        <w:t xml:space="preserve"> tej ustawy. </w:t>
      </w:r>
    </w:p>
    <w:p w14:paraId="46706884" w14:textId="221D540F"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2 </w:t>
      </w:r>
      <w:r w:rsidR="00095E95">
        <w:rPr>
          <w:rFonts w:ascii="Times New Roman" w:eastAsia="Calibri" w:hAnsi="Times New Roman" w:cs="Times New Roman"/>
          <w:sz w:val="24"/>
          <w:szCs w:val="24"/>
        </w:rPr>
        <w:t xml:space="preserve">w </w:t>
      </w:r>
      <w:r w:rsidRPr="00774FA7">
        <w:rPr>
          <w:rFonts w:ascii="Times New Roman" w:eastAsia="Calibri" w:hAnsi="Times New Roman" w:cs="Times New Roman"/>
          <w:sz w:val="24"/>
          <w:szCs w:val="24"/>
        </w:rPr>
        <w:t xml:space="preserve">pkt 3 ustawy o wjeździe obywateli UE dodaje się lit. d rozszerzając </w:t>
      </w:r>
      <w:r w:rsidR="00BD416D" w:rsidRPr="00774FA7">
        <w:rPr>
          <w:rFonts w:ascii="Times New Roman" w:eastAsia="Calibri" w:hAnsi="Times New Roman" w:cs="Times New Roman"/>
          <w:sz w:val="24"/>
          <w:szCs w:val="24"/>
        </w:rPr>
        <w:t xml:space="preserve">w ten sposób </w:t>
      </w:r>
      <w:r w:rsidRPr="00774FA7">
        <w:rPr>
          <w:rFonts w:ascii="Times New Roman" w:eastAsia="Calibri" w:hAnsi="Times New Roman" w:cs="Times New Roman"/>
          <w:sz w:val="24"/>
          <w:szCs w:val="24"/>
        </w:rPr>
        <w:t xml:space="preserve">definicję obywatela UE – o obywatela Zjednoczonego Królestwa Wielkiej Brytanii i Irlandii Północnej, o którym mowa w art. 10 ust. 1 lit. b i d Umowy </w:t>
      </w:r>
      <w:r w:rsidR="008C7E61">
        <w:rPr>
          <w:rFonts w:ascii="Times New Roman" w:eastAsia="Calibri" w:hAnsi="Times New Roman" w:cs="Times New Roman"/>
          <w:sz w:val="24"/>
          <w:szCs w:val="24"/>
        </w:rPr>
        <w:t>w</w:t>
      </w:r>
      <w:r w:rsidRPr="00774FA7">
        <w:rPr>
          <w:rFonts w:ascii="Times New Roman" w:eastAsia="Calibri" w:hAnsi="Times New Roman" w:cs="Times New Roman"/>
          <w:sz w:val="24"/>
          <w:szCs w:val="24"/>
        </w:rPr>
        <w:t>ystąpienia.</w:t>
      </w:r>
      <w:r w:rsidRPr="00774FA7" w:rsidDel="007316F0">
        <w:rPr>
          <w:rFonts w:ascii="Times New Roman" w:eastAsia="Calibri" w:hAnsi="Times New Roman" w:cs="Times New Roman"/>
          <w:sz w:val="24"/>
          <w:szCs w:val="24"/>
        </w:rPr>
        <w:t xml:space="preserve"> </w:t>
      </w:r>
    </w:p>
    <w:p w14:paraId="61667448" w14:textId="26A4E97F"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Powyższe zmiany </w:t>
      </w:r>
      <w:r w:rsidR="00095E95">
        <w:rPr>
          <w:rFonts w:ascii="Times New Roman" w:eastAsia="Calibri" w:hAnsi="Times New Roman" w:cs="Times New Roman"/>
          <w:sz w:val="24"/>
          <w:szCs w:val="24"/>
        </w:rPr>
        <w:t xml:space="preserve">mają na celu </w:t>
      </w:r>
      <w:r w:rsidRPr="00774FA7">
        <w:rPr>
          <w:rFonts w:ascii="Times New Roman" w:eastAsia="Calibri" w:hAnsi="Times New Roman" w:cs="Times New Roman"/>
          <w:sz w:val="24"/>
          <w:szCs w:val="24"/>
        </w:rPr>
        <w:t>dostosowani</w:t>
      </w:r>
      <w:r w:rsidR="00095E95">
        <w:rPr>
          <w:rFonts w:ascii="Times New Roman" w:eastAsia="Calibri" w:hAnsi="Times New Roman" w:cs="Times New Roman"/>
          <w:sz w:val="24"/>
          <w:szCs w:val="24"/>
        </w:rPr>
        <w:t>e</w:t>
      </w:r>
      <w:r w:rsidRPr="00774FA7">
        <w:rPr>
          <w:rFonts w:ascii="Times New Roman" w:eastAsia="Calibri" w:hAnsi="Times New Roman" w:cs="Times New Roman"/>
          <w:sz w:val="24"/>
          <w:szCs w:val="24"/>
        </w:rPr>
        <w:t xml:space="preserve"> polskiego prawa do Umowy wystąpienia.</w:t>
      </w:r>
    </w:p>
    <w:p w14:paraId="3287D050" w14:textId="436F6F68"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2 w pkt 4 zaproponowano zmianę zakresu podmiotowego ustawy o wjeździe obywateli UE poprzez zmianę definicji „członka rodziny” w celu dostosowania jej do orzeczeń Trybunału Sprawiedliwości Unii Europejskiej w sprawach C-456/12 O i B, C-200/02 </w:t>
      </w:r>
      <w:proofErr w:type="spellStart"/>
      <w:r w:rsidRPr="00774FA7">
        <w:rPr>
          <w:rFonts w:ascii="Times New Roman" w:eastAsia="Calibri" w:hAnsi="Times New Roman" w:cs="Times New Roman"/>
          <w:sz w:val="24"/>
          <w:szCs w:val="24"/>
        </w:rPr>
        <w:t>Zhu</w:t>
      </w:r>
      <w:proofErr w:type="spellEnd"/>
      <w:r w:rsidRPr="00774FA7">
        <w:rPr>
          <w:rFonts w:ascii="Times New Roman" w:eastAsia="Calibri" w:hAnsi="Times New Roman" w:cs="Times New Roman"/>
          <w:sz w:val="24"/>
          <w:szCs w:val="24"/>
        </w:rPr>
        <w:t xml:space="preserve"> i Chen, </w:t>
      </w:r>
      <w:r w:rsidRPr="00774FA7">
        <w:rPr>
          <w:rFonts w:ascii="Times New Roman" w:eastAsia="Calibri" w:hAnsi="Times New Roman" w:cs="Times New Roman"/>
          <w:bCs/>
          <w:sz w:val="24"/>
          <w:szCs w:val="24"/>
        </w:rPr>
        <w:t xml:space="preserve">C-165/14 </w:t>
      </w:r>
      <w:proofErr w:type="spellStart"/>
      <w:r w:rsidRPr="00774FA7">
        <w:rPr>
          <w:rFonts w:ascii="Times New Roman" w:eastAsia="Calibri" w:hAnsi="Times New Roman" w:cs="Times New Roman"/>
          <w:bCs/>
          <w:sz w:val="24"/>
          <w:szCs w:val="24"/>
        </w:rPr>
        <w:t>Rendón</w:t>
      </w:r>
      <w:proofErr w:type="spellEnd"/>
      <w:r w:rsidRPr="00774FA7">
        <w:rPr>
          <w:rFonts w:ascii="Times New Roman" w:eastAsia="Calibri" w:hAnsi="Times New Roman" w:cs="Times New Roman"/>
          <w:bCs/>
          <w:sz w:val="24"/>
          <w:szCs w:val="24"/>
        </w:rPr>
        <w:t xml:space="preserve"> </w:t>
      </w:r>
      <w:proofErr w:type="spellStart"/>
      <w:r w:rsidRPr="00774FA7">
        <w:rPr>
          <w:rFonts w:ascii="Times New Roman" w:eastAsia="Calibri" w:hAnsi="Times New Roman" w:cs="Times New Roman"/>
          <w:bCs/>
          <w:sz w:val="24"/>
          <w:szCs w:val="24"/>
        </w:rPr>
        <w:t>Marín</w:t>
      </w:r>
      <w:proofErr w:type="spellEnd"/>
      <w:r w:rsidRPr="00774FA7">
        <w:rPr>
          <w:rFonts w:ascii="Times New Roman" w:eastAsia="Calibri" w:hAnsi="Times New Roman" w:cs="Times New Roman"/>
          <w:bCs/>
          <w:sz w:val="24"/>
          <w:szCs w:val="24"/>
        </w:rPr>
        <w:t xml:space="preserve">, C-86/12 </w:t>
      </w:r>
      <w:proofErr w:type="spellStart"/>
      <w:r w:rsidRPr="00774FA7">
        <w:rPr>
          <w:rFonts w:ascii="Times New Roman" w:eastAsia="Calibri" w:hAnsi="Times New Roman" w:cs="Times New Roman"/>
          <w:bCs/>
          <w:sz w:val="24"/>
          <w:szCs w:val="24"/>
        </w:rPr>
        <w:t>Alokpa</w:t>
      </w:r>
      <w:proofErr w:type="spellEnd"/>
      <w:r w:rsidRPr="00774FA7">
        <w:rPr>
          <w:rFonts w:ascii="Times New Roman" w:eastAsia="Calibri" w:hAnsi="Times New Roman" w:cs="Times New Roman"/>
          <w:bCs/>
          <w:sz w:val="24"/>
          <w:szCs w:val="24"/>
        </w:rPr>
        <w:t xml:space="preserve"> i </w:t>
      </w:r>
      <w:proofErr w:type="spellStart"/>
      <w:r w:rsidRPr="00774FA7">
        <w:rPr>
          <w:rFonts w:ascii="Times New Roman" w:eastAsia="Calibri" w:hAnsi="Times New Roman" w:cs="Times New Roman"/>
          <w:bCs/>
          <w:sz w:val="24"/>
          <w:szCs w:val="24"/>
        </w:rPr>
        <w:t>Moudoulou</w:t>
      </w:r>
      <w:proofErr w:type="spellEnd"/>
      <w:r w:rsidRPr="00774FA7">
        <w:rPr>
          <w:rFonts w:ascii="Times New Roman" w:eastAsia="Calibri" w:hAnsi="Times New Roman" w:cs="Times New Roman"/>
          <w:bCs/>
          <w:sz w:val="24"/>
          <w:szCs w:val="24"/>
        </w:rPr>
        <w:t>,</w:t>
      </w:r>
      <w:r w:rsidRPr="00774FA7">
        <w:rPr>
          <w:rFonts w:ascii="Times New Roman" w:eastAsia="Calibri" w:hAnsi="Times New Roman" w:cs="Times New Roman"/>
          <w:sz w:val="24"/>
          <w:szCs w:val="24"/>
        </w:rPr>
        <w:t xml:space="preserve"> C-133/15 </w:t>
      </w:r>
      <w:proofErr w:type="spellStart"/>
      <w:r w:rsidRPr="00774FA7">
        <w:rPr>
          <w:rFonts w:ascii="Times New Roman" w:eastAsia="Calibri" w:hAnsi="Times New Roman" w:cs="Times New Roman"/>
          <w:sz w:val="24"/>
          <w:szCs w:val="24"/>
        </w:rPr>
        <w:t>Chavez-Vilchez</w:t>
      </w:r>
      <w:proofErr w:type="spellEnd"/>
      <w:r w:rsidRPr="00774FA7">
        <w:rPr>
          <w:rFonts w:ascii="Times New Roman" w:eastAsia="Calibri" w:hAnsi="Times New Roman" w:cs="Times New Roman"/>
          <w:sz w:val="24"/>
          <w:szCs w:val="24"/>
        </w:rPr>
        <w:t xml:space="preserve"> oraz C-165/16 </w:t>
      </w:r>
      <w:proofErr w:type="spellStart"/>
      <w:r w:rsidRPr="00774FA7">
        <w:rPr>
          <w:rFonts w:ascii="Times New Roman" w:eastAsia="Calibri" w:hAnsi="Times New Roman" w:cs="Times New Roman"/>
          <w:bCs/>
          <w:sz w:val="24"/>
          <w:szCs w:val="24"/>
        </w:rPr>
        <w:t>Toufik</w:t>
      </w:r>
      <w:proofErr w:type="spellEnd"/>
      <w:r w:rsidRPr="00774FA7">
        <w:rPr>
          <w:rFonts w:ascii="Times New Roman" w:eastAsia="Calibri" w:hAnsi="Times New Roman" w:cs="Times New Roman"/>
          <w:bCs/>
          <w:sz w:val="24"/>
          <w:szCs w:val="24"/>
        </w:rPr>
        <w:t xml:space="preserve"> </w:t>
      </w:r>
      <w:proofErr w:type="spellStart"/>
      <w:r w:rsidRPr="00774FA7">
        <w:rPr>
          <w:rFonts w:ascii="Times New Roman" w:eastAsia="Calibri" w:hAnsi="Times New Roman" w:cs="Times New Roman"/>
          <w:bCs/>
          <w:sz w:val="24"/>
          <w:szCs w:val="24"/>
        </w:rPr>
        <w:t>Lounes</w:t>
      </w:r>
      <w:proofErr w:type="spellEnd"/>
      <w:r w:rsidRPr="00774FA7">
        <w:rPr>
          <w:rFonts w:ascii="Times New Roman" w:eastAsia="Calibri" w:hAnsi="Times New Roman" w:cs="Times New Roman"/>
          <w:sz w:val="24"/>
          <w:szCs w:val="24"/>
        </w:rPr>
        <w:t xml:space="preserve">. </w:t>
      </w:r>
    </w:p>
    <w:p w14:paraId="1F4F64F5" w14:textId="7A6CD018"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bCs/>
          <w:sz w:val="24"/>
          <w:szCs w:val="24"/>
        </w:rPr>
        <w:t xml:space="preserve">Zmiana w art. 2 pkt 4 lit. a </w:t>
      </w:r>
      <w:proofErr w:type="spellStart"/>
      <w:r w:rsidRPr="00774FA7">
        <w:rPr>
          <w:rFonts w:ascii="Times New Roman" w:eastAsia="Calibri" w:hAnsi="Times New Roman" w:cs="Times New Roman"/>
          <w:bCs/>
          <w:sz w:val="24"/>
          <w:szCs w:val="24"/>
        </w:rPr>
        <w:t>tiret</w:t>
      </w:r>
      <w:proofErr w:type="spellEnd"/>
      <w:r w:rsidRPr="00774FA7">
        <w:rPr>
          <w:rFonts w:ascii="Times New Roman" w:eastAsia="Calibri" w:hAnsi="Times New Roman" w:cs="Times New Roman"/>
          <w:bCs/>
          <w:sz w:val="24"/>
          <w:szCs w:val="24"/>
        </w:rPr>
        <w:t xml:space="preserve"> czwart</w:t>
      </w:r>
      <w:r w:rsidR="00E75F8C" w:rsidRPr="00774FA7">
        <w:rPr>
          <w:rFonts w:ascii="Times New Roman" w:eastAsia="Calibri" w:hAnsi="Times New Roman" w:cs="Times New Roman"/>
          <w:bCs/>
          <w:sz w:val="24"/>
          <w:szCs w:val="24"/>
        </w:rPr>
        <w:t>e</w:t>
      </w:r>
      <w:r w:rsidRPr="00774FA7">
        <w:rPr>
          <w:rFonts w:ascii="Times New Roman" w:eastAsia="Calibri" w:hAnsi="Times New Roman" w:cs="Times New Roman"/>
          <w:bCs/>
          <w:sz w:val="24"/>
          <w:szCs w:val="24"/>
        </w:rPr>
        <w:t xml:space="preserve"> ustawy o wjeździe obywateli UE ma na celu dostosowanie przepisów tej ustawy do orzeczeń </w:t>
      </w:r>
      <w:r w:rsidRPr="00774FA7">
        <w:rPr>
          <w:rFonts w:ascii="Times New Roman" w:eastAsia="Calibri" w:hAnsi="Times New Roman" w:cs="Times New Roman"/>
          <w:sz w:val="24"/>
          <w:szCs w:val="24"/>
        </w:rPr>
        <w:t xml:space="preserve">Trybunału Sprawiedliwości Unii Europejskiej w sprawach </w:t>
      </w:r>
      <w:r w:rsidRPr="00774FA7">
        <w:rPr>
          <w:rFonts w:ascii="Times New Roman" w:eastAsia="Calibri" w:hAnsi="Times New Roman" w:cs="Times New Roman"/>
          <w:bCs/>
          <w:sz w:val="24"/>
          <w:szCs w:val="24"/>
        </w:rPr>
        <w:t>C-200/02, C-165/14 oraz C-86/12.</w:t>
      </w:r>
      <w:r w:rsidRPr="00774FA7">
        <w:rPr>
          <w:rFonts w:ascii="Times New Roman" w:eastAsia="Calibri" w:hAnsi="Times New Roman" w:cs="Times New Roman"/>
          <w:sz w:val="24"/>
          <w:szCs w:val="24"/>
        </w:rPr>
        <w:t xml:space="preserve"> W</w:t>
      </w:r>
      <w:r w:rsidR="00E75F8C" w:rsidRPr="00774FA7">
        <w:rPr>
          <w:rFonts w:ascii="Times New Roman" w:eastAsia="Calibri" w:hAnsi="Times New Roman" w:cs="Times New Roman"/>
          <w:sz w:val="24"/>
          <w:szCs w:val="24"/>
        </w:rPr>
        <w:t>w</w:t>
      </w:r>
      <w:r w:rsidRPr="00774FA7">
        <w:rPr>
          <w:rFonts w:ascii="Times New Roman" w:eastAsia="Calibri" w:hAnsi="Times New Roman" w:cs="Times New Roman"/>
          <w:sz w:val="24"/>
          <w:szCs w:val="24"/>
        </w:rPr>
        <w:t xml:space="preserve">. orzeczenia odnoszą się do kwestii prawa pobytu rodziców małoletniego obywatela UE będących obywatelami państwa trzeciego. Trybunał </w:t>
      </w:r>
      <w:r w:rsidRPr="00774FA7">
        <w:rPr>
          <w:rFonts w:ascii="Times New Roman" w:eastAsia="Calibri" w:hAnsi="Times New Roman" w:cs="Times New Roman"/>
          <w:bCs/>
          <w:sz w:val="24"/>
          <w:szCs w:val="24"/>
        </w:rPr>
        <w:t xml:space="preserve">Sprawiedliwości UE </w:t>
      </w:r>
      <w:r w:rsidRPr="00774FA7">
        <w:rPr>
          <w:rFonts w:ascii="Times New Roman" w:eastAsia="Calibri" w:hAnsi="Times New Roman" w:cs="Times New Roman"/>
          <w:sz w:val="24"/>
          <w:szCs w:val="24"/>
        </w:rPr>
        <w:t xml:space="preserve">wskazuje, iż w sytuacji, kiedy małoletni obywatel UE będzie spełniał przesłanki prawa pobytu z art. 7 ust. 1 lit. b dyrektywy 2004/38 (warunek </w:t>
      </w:r>
      <w:r w:rsidRPr="00774FA7">
        <w:rPr>
          <w:rFonts w:ascii="Times New Roman" w:eastAsia="Calibri" w:hAnsi="Times New Roman" w:cs="Times New Roman"/>
          <w:sz w:val="24"/>
          <w:szCs w:val="24"/>
        </w:rPr>
        <w:lastRenderedPageBreak/>
        <w:t xml:space="preserve">posiadania środków na utrzymanie, które mogą pochodzić od jego rodzica), to prawo pobytu rozciąga się na jego rodzica, który jest obywatelem państwa trzeciego, pomimo że nie jest on wymieniony wprost w art. 2 pkt 2 dyrektywy 2004/38/WE. W pkt  52 orzeczenia C-165/14 Trybunał </w:t>
      </w:r>
      <w:r w:rsidRPr="00774FA7">
        <w:rPr>
          <w:rFonts w:ascii="Times New Roman" w:eastAsia="Calibri" w:hAnsi="Times New Roman" w:cs="Times New Roman"/>
          <w:bCs/>
          <w:sz w:val="24"/>
          <w:szCs w:val="24"/>
        </w:rPr>
        <w:t xml:space="preserve">Sprawiedliwości UE </w:t>
      </w:r>
      <w:r w:rsidRPr="00774FA7">
        <w:rPr>
          <w:rFonts w:ascii="Times New Roman" w:eastAsia="Calibri" w:hAnsi="Times New Roman" w:cs="Times New Roman"/>
          <w:sz w:val="24"/>
          <w:szCs w:val="24"/>
        </w:rPr>
        <w:t xml:space="preserve">wyraźnie wskazuje, </w:t>
      </w:r>
      <w:r w:rsidRPr="00C3683D">
        <w:rPr>
          <w:rFonts w:ascii="Times New Roman" w:eastAsia="Calibri" w:hAnsi="Times New Roman" w:cs="Times New Roman"/>
          <w:sz w:val="24"/>
          <w:szCs w:val="24"/>
        </w:rPr>
        <w:t>iż</w:t>
      </w:r>
      <w:r w:rsidRPr="00774FA7">
        <w:rPr>
          <w:rFonts w:ascii="Times New Roman" w:eastAsia="Calibri" w:hAnsi="Times New Roman" w:cs="Times New Roman"/>
          <w:i/>
          <w:sz w:val="24"/>
          <w:szCs w:val="24"/>
        </w:rPr>
        <w:t xml:space="preserve"> „skoro art. 21 TFUE oraz dyrektywa 2004/38 przyznają prawo pobytu w przyjmującym państwie członkowskim małoletniemu obywatelowi innego państwa członkowskiego, które spełnia wymogi z art. 7 ust. 1 lit. b) tej dyrektywy, te same przepisy umożliwiają rodzicowi, który sprawuje faktyczną pieczę nad tym obywatelem, przebywanie z nim w przyjmującym państwie członkowskim (zob. wyroki: z dnia 19 października 2004 r., </w:t>
      </w:r>
      <w:proofErr w:type="spellStart"/>
      <w:r w:rsidRPr="00774FA7">
        <w:rPr>
          <w:rFonts w:ascii="Times New Roman" w:eastAsia="Calibri" w:hAnsi="Times New Roman" w:cs="Times New Roman"/>
          <w:i/>
          <w:sz w:val="24"/>
          <w:szCs w:val="24"/>
        </w:rPr>
        <w:t>Zhu</w:t>
      </w:r>
      <w:proofErr w:type="spellEnd"/>
      <w:r w:rsidRPr="00774FA7">
        <w:rPr>
          <w:rFonts w:ascii="Times New Roman" w:eastAsia="Calibri" w:hAnsi="Times New Roman" w:cs="Times New Roman"/>
          <w:i/>
          <w:sz w:val="24"/>
          <w:szCs w:val="24"/>
        </w:rPr>
        <w:t xml:space="preserve"> i Chen, C</w:t>
      </w:r>
      <w:r w:rsidRPr="00774FA7">
        <w:rPr>
          <w:rFonts w:ascii="Times New Roman" w:eastAsia="Calibri" w:hAnsi="Times New Roman" w:cs="Times New Roman"/>
          <w:i/>
          <w:sz w:val="24"/>
          <w:szCs w:val="24"/>
        </w:rPr>
        <w:noBreakHyphen/>
        <w:t xml:space="preserve">200/02, EU:C:2004:639, pkt 46, 47; a także z dnia 10 października 2013 r., </w:t>
      </w:r>
      <w:proofErr w:type="spellStart"/>
      <w:r w:rsidRPr="00774FA7">
        <w:rPr>
          <w:rFonts w:ascii="Times New Roman" w:eastAsia="Calibri" w:hAnsi="Times New Roman" w:cs="Times New Roman"/>
          <w:i/>
          <w:sz w:val="24"/>
          <w:szCs w:val="24"/>
        </w:rPr>
        <w:t>Alokpa</w:t>
      </w:r>
      <w:proofErr w:type="spellEnd"/>
      <w:r w:rsidRPr="00774FA7">
        <w:rPr>
          <w:rFonts w:ascii="Times New Roman" w:eastAsia="Calibri" w:hAnsi="Times New Roman" w:cs="Times New Roman"/>
          <w:i/>
          <w:sz w:val="24"/>
          <w:szCs w:val="24"/>
        </w:rPr>
        <w:t xml:space="preserve"> i </w:t>
      </w:r>
      <w:proofErr w:type="spellStart"/>
      <w:r w:rsidRPr="00774FA7">
        <w:rPr>
          <w:rFonts w:ascii="Times New Roman" w:eastAsia="Calibri" w:hAnsi="Times New Roman" w:cs="Times New Roman"/>
          <w:i/>
          <w:sz w:val="24"/>
          <w:szCs w:val="24"/>
        </w:rPr>
        <w:t>Moudoulou</w:t>
      </w:r>
      <w:proofErr w:type="spellEnd"/>
      <w:r w:rsidRPr="00774FA7">
        <w:rPr>
          <w:rFonts w:ascii="Times New Roman" w:eastAsia="Calibri" w:hAnsi="Times New Roman" w:cs="Times New Roman"/>
          <w:i/>
          <w:sz w:val="24"/>
          <w:szCs w:val="24"/>
        </w:rPr>
        <w:t>, C</w:t>
      </w:r>
      <w:r w:rsidRPr="00774FA7">
        <w:rPr>
          <w:rFonts w:ascii="Times New Roman" w:eastAsia="Calibri" w:hAnsi="Times New Roman" w:cs="Times New Roman"/>
          <w:i/>
          <w:sz w:val="24"/>
          <w:szCs w:val="24"/>
        </w:rPr>
        <w:noBreakHyphen/>
        <w:t>86/12, EU:C:2013:645, pkt 29).”</w:t>
      </w:r>
      <w:r w:rsidR="00E75F8C" w:rsidRPr="00774FA7">
        <w:rPr>
          <w:rFonts w:ascii="Times New Roman" w:eastAsia="Calibri" w:hAnsi="Times New Roman" w:cs="Times New Roman"/>
          <w:i/>
          <w:sz w:val="24"/>
          <w:szCs w:val="24"/>
        </w:rPr>
        <w:t>.</w:t>
      </w:r>
      <w:r w:rsidRPr="00774FA7">
        <w:rPr>
          <w:rFonts w:ascii="Times New Roman" w:eastAsia="Calibri" w:hAnsi="Times New Roman" w:cs="Times New Roman"/>
          <w:i/>
          <w:sz w:val="24"/>
          <w:szCs w:val="24"/>
        </w:rPr>
        <w:t xml:space="preserve"> </w:t>
      </w:r>
      <w:r w:rsidRPr="00774FA7">
        <w:rPr>
          <w:rFonts w:ascii="Times New Roman" w:eastAsia="Calibri" w:hAnsi="Times New Roman" w:cs="Times New Roman"/>
          <w:sz w:val="24"/>
          <w:szCs w:val="24"/>
        </w:rPr>
        <w:t xml:space="preserve">Ponadto Trybunał stwierdził, iż nieprzyznanie rodzicom małoletniego obywatela UE prawa pobytu może doprowadzić do sytuacji, w której będą oni zmuszeni do opuszczenia terytorium Unii Europejskiej, a wraz z nimi terytorium to będzie musiał opuścić małoletni obywatel UE. Powyższe może więc doprowadzić do sytuacji, w której małoletni obywatel UE zostanie pozbawiony możliwości skutecznego korzystania z istoty praw przysługujących mu w związku z posiadaniem statusu obywatela UE. </w:t>
      </w:r>
    </w:p>
    <w:p w14:paraId="43E0C0F4" w14:textId="2BC3D410" w:rsidR="00076C40"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projektowanej ustawie definicja członka rodziny obywatela UE została rozszerzona o bezpośredniego wstępnego małoletniego obywatela UE sprawującego </w:t>
      </w:r>
      <w:r w:rsidR="00952675" w:rsidRPr="00952675">
        <w:rPr>
          <w:rFonts w:ascii="Times New Roman" w:eastAsia="Calibri" w:hAnsi="Times New Roman" w:cs="Times New Roman"/>
          <w:sz w:val="24"/>
          <w:szCs w:val="24"/>
        </w:rPr>
        <w:t xml:space="preserve">faktyczną </w:t>
      </w:r>
      <w:r w:rsidRPr="00774FA7">
        <w:rPr>
          <w:rFonts w:ascii="Times New Roman" w:eastAsia="Calibri" w:hAnsi="Times New Roman" w:cs="Times New Roman"/>
          <w:sz w:val="24"/>
          <w:szCs w:val="24"/>
        </w:rPr>
        <w:t>opiekę nad tym małoletnim obywatelem UE i zapewniającego mu utrzymanie.</w:t>
      </w:r>
    </w:p>
    <w:p w14:paraId="24CDE8E8" w14:textId="77777777" w:rsidR="00095E95" w:rsidRPr="00774FA7" w:rsidRDefault="00095E95" w:rsidP="004F6DC6">
      <w:pPr>
        <w:spacing w:after="0" w:line="288" w:lineRule="auto"/>
        <w:ind w:firstLine="708"/>
        <w:jc w:val="both"/>
        <w:rPr>
          <w:rFonts w:ascii="Times New Roman" w:eastAsia="Calibri" w:hAnsi="Times New Roman" w:cs="Times New Roman"/>
          <w:bCs/>
          <w:sz w:val="24"/>
          <w:szCs w:val="24"/>
        </w:rPr>
      </w:pPr>
    </w:p>
    <w:p w14:paraId="20572217" w14:textId="1A9C9490" w:rsidR="00BD416D"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Aktualnie</w:t>
      </w:r>
      <w:r w:rsidR="00BD416D"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zgodnie z przepisami ustawy o wjeździe obywateli UE</w:t>
      </w:r>
      <w:r w:rsidR="00BD416D"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za członka rodziny obywatela UE nie jest uważany członek rodziny obywatela Rzeczypospolitej Polski</w:t>
      </w:r>
      <w:r w:rsidR="00E75F8C" w:rsidRPr="00774FA7">
        <w:rPr>
          <w:rFonts w:ascii="Times New Roman" w:eastAsia="Calibri" w:hAnsi="Times New Roman" w:cs="Times New Roman"/>
          <w:sz w:val="24"/>
          <w:szCs w:val="24"/>
        </w:rPr>
        <w:t>ej</w:t>
      </w:r>
      <w:r w:rsidRPr="00774FA7">
        <w:rPr>
          <w:rFonts w:ascii="Times New Roman" w:eastAsia="Calibri" w:hAnsi="Times New Roman" w:cs="Times New Roman"/>
          <w:sz w:val="24"/>
          <w:szCs w:val="24"/>
        </w:rPr>
        <w:t xml:space="preserve">, zaś kwestie legalizacji pobytu członków rodziny obywateli Polski są uregulowane w ustawie o cudzoziemcach. </w:t>
      </w:r>
      <w:r w:rsidR="00BD416D" w:rsidRPr="00774FA7">
        <w:rPr>
          <w:rFonts w:ascii="Times New Roman" w:eastAsia="Calibri" w:hAnsi="Times New Roman" w:cs="Times New Roman"/>
          <w:sz w:val="24"/>
          <w:szCs w:val="24"/>
        </w:rPr>
        <w:t>To rozwiązanie</w:t>
      </w:r>
      <w:r w:rsidRPr="00774FA7">
        <w:rPr>
          <w:rFonts w:ascii="Times New Roman" w:eastAsia="Calibri" w:hAnsi="Times New Roman" w:cs="Times New Roman"/>
          <w:sz w:val="24"/>
          <w:szCs w:val="24"/>
        </w:rPr>
        <w:t xml:space="preserve"> jest zgodne z art. 3 dyrektywy 2004/38/WE, któr</w:t>
      </w:r>
      <w:r w:rsidR="00204935" w:rsidRPr="00774FA7">
        <w:rPr>
          <w:rFonts w:ascii="Times New Roman" w:eastAsia="Calibri" w:hAnsi="Times New Roman" w:cs="Times New Roman"/>
          <w:sz w:val="24"/>
          <w:szCs w:val="24"/>
        </w:rPr>
        <w:t>y</w:t>
      </w:r>
      <w:r w:rsidRPr="00774FA7">
        <w:rPr>
          <w:rFonts w:ascii="Times New Roman" w:eastAsia="Calibri" w:hAnsi="Times New Roman" w:cs="Times New Roman"/>
          <w:sz w:val="24"/>
          <w:szCs w:val="24"/>
        </w:rPr>
        <w:t xml:space="preserve"> </w:t>
      </w:r>
      <w:r w:rsidR="00095E95">
        <w:rPr>
          <w:rFonts w:ascii="Times New Roman" w:eastAsia="Calibri" w:hAnsi="Times New Roman" w:cs="Times New Roman"/>
          <w:sz w:val="24"/>
          <w:szCs w:val="24"/>
        </w:rPr>
        <w:t xml:space="preserve">stanowi, że </w:t>
      </w:r>
      <w:r w:rsidRPr="00774FA7">
        <w:rPr>
          <w:rFonts w:ascii="Times New Roman" w:eastAsia="Calibri" w:hAnsi="Times New Roman" w:cs="Times New Roman"/>
          <w:sz w:val="24"/>
          <w:szCs w:val="24"/>
        </w:rPr>
        <w:t xml:space="preserve">przepisy dyrektywy stosuje się w odniesieniu do wszystkich obywateli UE, którzy przemieszczają się do innego państwa członkowskiego lub przebywają w innym państwie członkowskim niż państwo członkowskie, którego są obywatelami, oraz do członków ich rodziny, którzy im towarzyszą lub do nich dołączają. W konsekwencji powyższego przepisów ww. dyrektywy nie stosuje się do członków rodziny obywateli UE, którzy przebywają w kraju, którego przynależność państwową posiadają, gdyż te rozwiązania mają charakter czysto wewnętrzny. </w:t>
      </w:r>
    </w:p>
    <w:p w14:paraId="49C390D7" w14:textId="1CBA584B"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Jednakże w wyroku w sprawie C-456/12 O i B Trybunał Sprawiedliwości Unii Europejskiej wypowiedział się w kwestii sytuacji członków rodziny obywateli UE, którzy po skorzystaniu ze swobody przepływu osób powracają do swojego kraju pochodzenia. Trybunał wskazał, że art. 21 ust. 1 TFUE należy interpretować w ten sposób, że w sytuacji, w której obywatel UE rozwinął lub umocnił życie rodzinne z obywatelem państwa trzeciego przy okazji efektywnego pobytu ‒ na podstawie art. 7 ust. 1 i 2 lub art. 16 ust. 1 i 2 dyrektywy 2004/38/WE oraz w poszanowaniu określonych w tych przepisach warunków ‒ w państwie członkowskim innym niż państwo członkowskie jego przynależności państwowej, przepisy tej dyrektywy znajdują zastosowanie przez analogię także wówczas, gdy wspomniany obywatel UE powraca wraz z zainteresowanym członkiem swej rodziny do państwa członkowskiego swojego pochodzenia. W rezultacie warunki przyznania pochodnego prawa </w:t>
      </w:r>
      <w:r w:rsidRPr="00774FA7">
        <w:rPr>
          <w:rFonts w:ascii="Times New Roman" w:eastAsia="Calibri" w:hAnsi="Times New Roman" w:cs="Times New Roman"/>
          <w:sz w:val="24"/>
          <w:szCs w:val="24"/>
        </w:rPr>
        <w:lastRenderedPageBreak/>
        <w:t xml:space="preserve">pobytu obywatelowi państwa trzeciego będącemu członkiem rodziny tego obywatela UE w państwie członkowskim pochodzenia tego ostatniego nie powinny być co do zasady bardziej rygorystyczne niż te przewidziane przez ww. dyrektywę dla przyznania pochodnego prawa pobytu obywatelowi państwa trzeciego będącemu członkiem rodziny obywatela UE, który skorzystał z przysługującego mu prawa do swobodnego przemieszczania się, osiedlając się w państwie członkowskim innym niż państwo, którego obywatelstwo posiada. </w:t>
      </w:r>
    </w:p>
    <w:p w14:paraId="6E9862B1" w14:textId="16275AD1"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 uwagi na powyższe definicję członka rodziny należało rozszerzyć </w:t>
      </w:r>
      <w:r w:rsidR="000776A2" w:rsidRPr="00774FA7">
        <w:rPr>
          <w:rFonts w:ascii="Times New Roman" w:eastAsia="Calibri" w:hAnsi="Times New Roman" w:cs="Times New Roman"/>
          <w:sz w:val="24"/>
          <w:szCs w:val="24"/>
        </w:rPr>
        <w:t xml:space="preserve">o </w:t>
      </w:r>
      <w:r w:rsidRPr="00774FA7">
        <w:rPr>
          <w:rFonts w:ascii="Times New Roman" w:eastAsia="Calibri" w:hAnsi="Times New Roman" w:cs="Times New Roman"/>
          <w:sz w:val="24"/>
          <w:szCs w:val="24"/>
        </w:rPr>
        <w:t xml:space="preserve">członka rodziny obywatela Rzeczypospolitej Polskiej, który bezpośrednio przed przyjazdem na terytorium </w:t>
      </w:r>
      <w:r w:rsidR="000776A2" w:rsidRPr="00774FA7">
        <w:rPr>
          <w:rFonts w:ascii="Times New Roman" w:eastAsia="Calibri" w:hAnsi="Times New Roman" w:cs="Times New Roman"/>
          <w:sz w:val="24"/>
          <w:szCs w:val="24"/>
        </w:rPr>
        <w:t xml:space="preserve">Polski </w:t>
      </w:r>
      <w:r w:rsidRPr="00774FA7">
        <w:rPr>
          <w:rFonts w:ascii="Times New Roman" w:eastAsia="Calibri" w:hAnsi="Times New Roman" w:cs="Times New Roman"/>
          <w:sz w:val="24"/>
          <w:szCs w:val="24"/>
        </w:rPr>
        <w:t xml:space="preserve">posiadał prawo pobytu powyżej 3 miesięcy lub prawo stałego pobytu w innym państwie członkowskim Unii Europejskiej, państwie członkowskim Europejskiego Stowarzyszenia Wolnego Handlu (EFTA) – strony umowy o Europejskim Obszarze Gospodarczym, Konfederacji Szwajcarskiej lub Zjednoczonym Królestwie oraz który zamierza przenieść swoje centrum życiowe do Rzeczypospolitej Polskiej. Powyższa zmiana została uwzględniona w art. 2 pkt 4 lit. b </w:t>
      </w:r>
      <w:proofErr w:type="spellStart"/>
      <w:r w:rsidRPr="00774FA7">
        <w:rPr>
          <w:rFonts w:ascii="Times New Roman" w:eastAsia="Calibri" w:hAnsi="Times New Roman" w:cs="Times New Roman"/>
          <w:sz w:val="24"/>
          <w:szCs w:val="24"/>
        </w:rPr>
        <w:t>tiret</w:t>
      </w:r>
      <w:proofErr w:type="spellEnd"/>
      <w:r w:rsidRPr="00774FA7">
        <w:rPr>
          <w:rFonts w:ascii="Times New Roman" w:eastAsia="Calibri" w:hAnsi="Times New Roman" w:cs="Times New Roman"/>
          <w:sz w:val="24"/>
          <w:szCs w:val="24"/>
        </w:rPr>
        <w:t xml:space="preserve"> pierwsze, trzecie i czwarte ustawy o wjeździe obywateli UE. </w:t>
      </w:r>
    </w:p>
    <w:p w14:paraId="670F114A" w14:textId="65ED62B9" w:rsidR="00076C40" w:rsidRPr="00774FA7" w:rsidRDefault="00076C40" w:rsidP="004F6DC6">
      <w:pPr>
        <w:spacing w:after="0" w:line="288" w:lineRule="auto"/>
        <w:ind w:firstLine="708"/>
        <w:jc w:val="both"/>
        <w:rPr>
          <w:rFonts w:ascii="Times New Roman" w:eastAsia="Times New Roman" w:hAnsi="Times New Roman" w:cs="Times New Roman"/>
          <w:bCs/>
          <w:sz w:val="24"/>
          <w:szCs w:val="24"/>
          <w:lang w:eastAsia="pl-PL"/>
        </w:rPr>
      </w:pPr>
      <w:r w:rsidRPr="00774FA7">
        <w:rPr>
          <w:rFonts w:ascii="Times New Roman" w:eastAsia="Calibri" w:hAnsi="Times New Roman" w:cs="Times New Roman"/>
          <w:sz w:val="24"/>
          <w:szCs w:val="24"/>
        </w:rPr>
        <w:t xml:space="preserve">Zmiana w art. 2 pkt 4 lit. b </w:t>
      </w:r>
      <w:proofErr w:type="spellStart"/>
      <w:r w:rsidRPr="00774FA7">
        <w:rPr>
          <w:rFonts w:ascii="Times New Roman" w:eastAsia="Calibri" w:hAnsi="Times New Roman" w:cs="Times New Roman"/>
          <w:sz w:val="24"/>
          <w:szCs w:val="24"/>
        </w:rPr>
        <w:t>tiret</w:t>
      </w:r>
      <w:proofErr w:type="spellEnd"/>
      <w:r w:rsidRPr="00774FA7">
        <w:rPr>
          <w:rFonts w:ascii="Times New Roman" w:eastAsia="Calibri" w:hAnsi="Times New Roman" w:cs="Times New Roman"/>
          <w:sz w:val="24"/>
          <w:szCs w:val="24"/>
        </w:rPr>
        <w:t xml:space="preserve"> drugie ustawy o wjeździe obywateli UE wynika z konieczności dostosowania polskiego prawa do wyroku </w:t>
      </w:r>
      <w:r w:rsidR="00095E95">
        <w:rPr>
          <w:rFonts w:ascii="Times New Roman" w:eastAsia="Calibri" w:hAnsi="Times New Roman" w:cs="Times New Roman"/>
          <w:sz w:val="24"/>
          <w:szCs w:val="24"/>
        </w:rPr>
        <w:t xml:space="preserve">w </w:t>
      </w:r>
      <w:r w:rsidRPr="00774FA7">
        <w:rPr>
          <w:rFonts w:ascii="Times New Roman" w:eastAsia="Calibri" w:hAnsi="Times New Roman" w:cs="Times New Roman"/>
          <w:sz w:val="24"/>
          <w:szCs w:val="24"/>
        </w:rPr>
        <w:t xml:space="preserve">sprawie C-165/16 </w:t>
      </w:r>
      <w:proofErr w:type="spellStart"/>
      <w:r w:rsidRPr="00774FA7">
        <w:rPr>
          <w:rFonts w:ascii="Times New Roman" w:eastAsia="Calibri" w:hAnsi="Times New Roman" w:cs="Times New Roman"/>
          <w:bCs/>
          <w:sz w:val="24"/>
          <w:szCs w:val="24"/>
        </w:rPr>
        <w:t>Toufik</w:t>
      </w:r>
      <w:proofErr w:type="spellEnd"/>
      <w:r w:rsidRPr="00774FA7">
        <w:rPr>
          <w:rFonts w:ascii="Times New Roman" w:eastAsia="Calibri" w:hAnsi="Times New Roman" w:cs="Times New Roman"/>
          <w:bCs/>
          <w:sz w:val="24"/>
          <w:szCs w:val="24"/>
        </w:rPr>
        <w:t xml:space="preserve"> </w:t>
      </w:r>
      <w:proofErr w:type="spellStart"/>
      <w:r w:rsidRPr="00774FA7">
        <w:rPr>
          <w:rFonts w:ascii="Times New Roman" w:eastAsia="Calibri" w:hAnsi="Times New Roman" w:cs="Times New Roman"/>
          <w:bCs/>
          <w:sz w:val="24"/>
          <w:szCs w:val="24"/>
        </w:rPr>
        <w:t>Lounes</w:t>
      </w:r>
      <w:proofErr w:type="spellEnd"/>
      <w:r w:rsidRPr="00774FA7">
        <w:rPr>
          <w:rFonts w:ascii="Times New Roman" w:eastAsia="Calibri" w:hAnsi="Times New Roman" w:cs="Times New Roman"/>
          <w:bCs/>
          <w:sz w:val="24"/>
          <w:szCs w:val="24"/>
        </w:rPr>
        <w:t xml:space="preserve">. W ww. orzeczeniu Trybunał Sprawiedliwości UE odniósł się do </w:t>
      </w:r>
      <w:r w:rsidRPr="00774FA7">
        <w:rPr>
          <w:rFonts w:ascii="Times New Roman" w:eastAsia="Calibri" w:hAnsi="Times New Roman" w:cs="Times New Roman"/>
          <w:sz w:val="24"/>
          <w:szCs w:val="24"/>
        </w:rPr>
        <w:t xml:space="preserve">kwestii prawa pobytu małżonka obywatela UE przebywającego w państwie członkowskim, którego jest obywatelem oraz który jednocześnie posiadał wcześniej obywatelstwo innego państwa UE. </w:t>
      </w:r>
      <w:r w:rsidRPr="00774FA7">
        <w:rPr>
          <w:rFonts w:ascii="Times New Roman" w:eastAsia="Calibri" w:hAnsi="Times New Roman" w:cs="Times New Roman"/>
          <w:bCs/>
          <w:sz w:val="24"/>
          <w:szCs w:val="24"/>
        </w:rPr>
        <w:t xml:space="preserve">Orzeczenie w ww. </w:t>
      </w:r>
      <w:r w:rsidRPr="00774FA7">
        <w:rPr>
          <w:rFonts w:ascii="Times New Roman" w:eastAsia="Calibri" w:hAnsi="Times New Roman" w:cs="Times New Roman"/>
          <w:sz w:val="24"/>
          <w:szCs w:val="24"/>
        </w:rPr>
        <w:t xml:space="preserve">sprawie </w:t>
      </w:r>
      <w:r w:rsidRPr="00774FA7">
        <w:rPr>
          <w:rFonts w:ascii="Times New Roman" w:eastAsia="Calibri" w:hAnsi="Times New Roman" w:cs="Times New Roman"/>
          <w:bCs/>
          <w:sz w:val="24"/>
          <w:szCs w:val="24"/>
        </w:rPr>
        <w:t>ma zbliżony wydźwięk</w:t>
      </w:r>
      <w:r w:rsidR="000776A2" w:rsidRPr="00774FA7">
        <w:rPr>
          <w:rFonts w:ascii="Times New Roman" w:eastAsia="Calibri" w:hAnsi="Times New Roman" w:cs="Times New Roman"/>
          <w:bCs/>
          <w:sz w:val="24"/>
          <w:szCs w:val="24"/>
        </w:rPr>
        <w:t>,</w:t>
      </w:r>
      <w:r w:rsidRPr="00774FA7">
        <w:rPr>
          <w:rFonts w:ascii="Times New Roman" w:eastAsia="Calibri" w:hAnsi="Times New Roman" w:cs="Times New Roman"/>
          <w:bCs/>
          <w:sz w:val="24"/>
          <w:szCs w:val="24"/>
        </w:rPr>
        <w:t xml:space="preserve"> co orzeczenie w </w:t>
      </w:r>
      <w:r w:rsidRPr="00774FA7">
        <w:rPr>
          <w:rFonts w:ascii="Times New Roman" w:eastAsia="Calibri" w:hAnsi="Times New Roman" w:cs="Times New Roman"/>
          <w:sz w:val="24"/>
          <w:szCs w:val="24"/>
        </w:rPr>
        <w:t xml:space="preserve">sprawie C-456/12 O i B i wskazuje, iż obywatel UE, który korzystał wcześniej z prawa do swobodnego przepływu osób w państwie członkowskim UE, a następnie nabył obywatelstwo tego państwa, nie powinien być w gorszej sytuacji prawnej niż przed nabyciem tego obywatelstwa. W wyroku w sprawie C-165/16 </w:t>
      </w:r>
      <w:proofErr w:type="spellStart"/>
      <w:r w:rsidRPr="00774FA7">
        <w:rPr>
          <w:rFonts w:ascii="Times New Roman" w:eastAsia="Calibri" w:hAnsi="Times New Roman" w:cs="Times New Roman"/>
          <w:bCs/>
          <w:sz w:val="24"/>
          <w:szCs w:val="24"/>
        </w:rPr>
        <w:t>Toufik</w:t>
      </w:r>
      <w:proofErr w:type="spellEnd"/>
      <w:r w:rsidRPr="00774FA7">
        <w:rPr>
          <w:rFonts w:ascii="Times New Roman" w:eastAsia="Calibri" w:hAnsi="Times New Roman" w:cs="Times New Roman"/>
          <w:bCs/>
          <w:sz w:val="24"/>
          <w:szCs w:val="24"/>
        </w:rPr>
        <w:t xml:space="preserve"> </w:t>
      </w:r>
      <w:proofErr w:type="spellStart"/>
      <w:r w:rsidRPr="00774FA7">
        <w:rPr>
          <w:rFonts w:ascii="Times New Roman" w:eastAsia="Calibri" w:hAnsi="Times New Roman" w:cs="Times New Roman"/>
          <w:bCs/>
          <w:sz w:val="24"/>
          <w:szCs w:val="24"/>
        </w:rPr>
        <w:t>Lounes</w:t>
      </w:r>
      <w:proofErr w:type="spellEnd"/>
      <w:r w:rsidRPr="00774FA7">
        <w:rPr>
          <w:rFonts w:ascii="Times New Roman" w:eastAsia="Calibri" w:hAnsi="Times New Roman" w:cs="Times New Roman"/>
          <w:bCs/>
          <w:sz w:val="24"/>
          <w:szCs w:val="24"/>
        </w:rPr>
        <w:t xml:space="preserve"> Trybunał Sprawiedliwości UE orzekł, iż </w:t>
      </w:r>
      <w:r w:rsidRPr="00774FA7">
        <w:rPr>
          <w:rFonts w:ascii="Times New Roman" w:eastAsia="Calibri" w:hAnsi="Times New Roman" w:cs="Times New Roman"/>
          <w:bCs/>
          <w:i/>
          <w:sz w:val="24"/>
          <w:szCs w:val="24"/>
        </w:rPr>
        <w:t>„</w:t>
      </w:r>
      <w:r w:rsidRPr="00774FA7">
        <w:rPr>
          <w:rFonts w:ascii="Times New Roman" w:eastAsia="Times New Roman" w:hAnsi="Times New Roman" w:cs="Times New Roman"/>
          <w:bCs/>
          <w:i/>
          <w:sz w:val="24"/>
          <w:szCs w:val="24"/>
          <w:lang w:eastAsia="pl-PL"/>
        </w:rPr>
        <w:t xml:space="preserve">w sytuacji, w której obywatel Unii Europejskiej skorzystał z przysługującego mu prawa do swobodnego przemieszczania się i udał się do państwa członkowskiego innego niż państwo, którego obywatelstwo posiada, przebywał w tym państwie na podstawie art. 7 ust. 1 lub art. 16 ust. 1 dyrektywy, a następnie nabył obywatelstwo tego państwa członkowskiego, zachowując przy tym obywatelstwo państwa członkowskiego pochodzenia, zaś kilka lat później zawarł związek małżeński z obywatelem państwa trzeciego, z którym nadal przebywa na terytorium tego państwa członkowskiego, owemu obywatelowi państwa trzeciego nie przysługuje pochodne prawo pobytu w tym państwie członkowskim na podstawie przepisów tej dyrektywy. Prawo takie może mu jednak przysługiwać na podstawie art. 21 ust. 1 TFUE, na warunkach, które nie mogą być bardziej rygorystyczne niż warunki przewidziane w dyrektywie 2004/38 dla przyznania takiego prawa obywatelowi państwa trzeciego będącemu członkiem rodziny obywatela Unii, który skorzystał z przysługującego mu prawa do swobodnego przemieszczania się, osiedlając się w państwie członkowskim innym niż państwo, którego obywatelstwo posiada.”. </w:t>
      </w:r>
      <w:r w:rsidRPr="00774FA7">
        <w:rPr>
          <w:rFonts w:ascii="Times New Roman" w:eastAsia="Times New Roman" w:hAnsi="Times New Roman" w:cs="Times New Roman"/>
          <w:bCs/>
          <w:sz w:val="24"/>
          <w:szCs w:val="24"/>
          <w:lang w:eastAsia="pl-PL"/>
        </w:rPr>
        <w:t xml:space="preserve">Z uwagi na powyższe w art. 2 pkt 4 lit. b </w:t>
      </w:r>
      <w:proofErr w:type="spellStart"/>
      <w:r w:rsidRPr="00774FA7">
        <w:rPr>
          <w:rFonts w:ascii="Times New Roman" w:eastAsia="Times New Roman" w:hAnsi="Times New Roman" w:cs="Times New Roman"/>
          <w:bCs/>
          <w:sz w:val="24"/>
          <w:szCs w:val="24"/>
          <w:lang w:eastAsia="pl-PL"/>
        </w:rPr>
        <w:t>tiret</w:t>
      </w:r>
      <w:proofErr w:type="spellEnd"/>
      <w:r w:rsidRPr="00774FA7">
        <w:rPr>
          <w:rFonts w:ascii="Times New Roman" w:eastAsia="Times New Roman" w:hAnsi="Times New Roman" w:cs="Times New Roman"/>
          <w:bCs/>
          <w:sz w:val="24"/>
          <w:szCs w:val="24"/>
          <w:lang w:eastAsia="pl-PL"/>
        </w:rPr>
        <w:t xml:space="preserve"> drugie </w:t>
      </w:r>
      <w:r w:rsidRPr="00774FA7">
        <w:rPr>
          <w:rFonts w:ascii="Times New Roman" w:eastAsia="Times New Roman" w:hAnsi="Times New Roman" w:cs="Times New Roman"/>
          <w:sz w:val="24"/>
          <w:szCs w:val="24"/>
          <w:lang w:eastAsia="pl-PL"/>
        </w:rPr>
        <w:t xml:space="preserve">katalog członków rodziny obywatela UE został rozszerzony o </w:t>
      </w:r>
      <w:r w:rsidRPr="00774FA7">
        <w:rPr>
          <w:rFonts w:ascii="Times New Roman" w:eastAsia="Calibri" w:hAnsi="Times New Roman" w:cs="Times New Roman"/>
          <w:bCs/>
          <w:sz w:val="24"/>
          <w:szCs w:val="24"/>
        </w:rPr>
        <w:t xml:space="preserve">małżonka obywatela Rzeczypospolitej Polskiej posiadającego wcześniej obywatelstwo innego państwa członkowskiego Unii Europejskiej, państwa członkowskiego Europejskiego Stowarzyszenia Wolnego Handlu </w:t>
      </w:r>
      <w:r w:rsidRPr="00774FA7">
        <w:rPr>
          <w:rFonts w:ascii="Times New Roman" w:eastAsia="Calibri" w:hAnsi="Times New Roman" w:cs="Times New Roman"/>
          <w:bCs/>
          <w:sz w:val="24"/>
          <w:szCs w:val="24"/>
        </w:rPr>
        <w:lastRenderedPageBreak/>
        <w:t xml:space="preserve">(EFTA) - strony umowy o Europejskim Obszarze Gospodarczym, Konfederacji Szwajcarskiej lub </w:t>
      </w:r>
      <w:r w:rsidR="00095E95" w:rsidRPr="00774FA7">
        <w:rPr>
          <w:rFonts w:ascii="Times New Roman" w:eastAsia="Calibri" w:hAnsi="Times New Roman" w:cs="Times New Roman"/>
          <w:bCs/>
          <w:sz w:val="24"/>
          <w:szCs w:val="24"/>
        </w:rPr>
        <w:t>Zjednoczon</w:t>
      </w:r>
      <w:r w:rsidR="00095E95">
        <w:rPr>
          <w:rFonts w:ascii="Times New Roman" w:eastAsia="Calibri" w:hAnsi="Times New Roman" w:cs="Times New Roman"/>
          <w:bCs/>
          <w:sz w:val="24"/>
          <w:szCs w:val="24"/>
        </w:rPr>
        <w:t>ego</w:t>
      </w:r>
      <w:r w:rsidR="00095E95" w:rsidRPr="00774FA7">
        <w:rPr>
          <w:rFonts w:ascii="Times New Roman" w:eastAsia="Calibri" w:hAnsi="Times New Roman" w:cs="Times New Roman"/>
          <w:bCs/>
          <w:sz w:val="24"/>
          <w:szCs w:val="24"/>
        </w:rPr>
        <w:t xml:space="preserve"> </w:t>
      </w:r>
      <w:r w:rsidRPr="00774FA7">
        <w:rPr>
          <w:rFonts w:ascii="Times New Roman" w:eastAsia="Calibri" w:hAnsi="Times New Roman" w:cs="Times New Roman"/>
          <w:bCs/>
          <w:sz w:val="24"/>
          <w:szCs w:val="24"/>
        </w:rPr>
        <w:t>Królestw</w:t>
      </w:r>
      <w:r w:rsidR="00095E95">
        <w:rPr>
          <w:rFonts w:ascii="Times New Roman" w:eastAsia="Calibri" w:hAnsi="Times New Roman" w:cs="Times New Roman"/>
          <w:bCs/>
          <w:sz w:val="24"/>
          <w:szCs w:val="24"/>
        </w:rPr>
        <w:t>a</w:t>
      </w:r>
      <w:r w:rsidRPr="00774FA7">
        <w:rPr>
          <w:rFonts w:ascii="Times New Roman" w:eastAsia="Calibri" w:hAnsi="Times New Roman" w:cs="Times New Roman"/>
          <w:bCs/>
          <w:sz w:val="24"/>
          <w:szCs w:val="24"/>
        </w:rPr>
        <w:t>.</w:t>
      </w:r>
      <w:r w:rsidRPr="00774FA7">
        <w:rPr>
          <w:rFonts w:ascii="Times New Roman" w:eastAsia="Times New Roman" w:hAnsi="Times New Roman" w:cs="Times New Roman"/>
          <w:sz w:val="24"/>
          <w:szCs w:val="24"/>
          <w:lang w:eastAsia="pl-PL"/>
        </w:rPr>
        <w:t xml:space="preserve"> </w:t>
      </w:r>
    </w:p>
    <w:p w14:paraId="481740CA" w14:textId="40AE9479" w:rsidR="00076C40" w:rsidRPr="00774FA7" w:rsidRDefault="00076C40" w:rsidP="004F6DC6">
      <w:pPr>
        <w:spacing w:after="0" w:line="288" w:lineRule="auto"/>
        <w:ind w:firstLine="708"/>
        <w:contextualSpacing/>
        <w:jc w:val="both"/>
        <w:rPr>
          <w:rFonts w:ascii="Times New Roman" w:eastAsia="Calibri" w:hAnsi="Times New Roman" w:cs="Times New Roman"/>
          <w:sz w:val="24"/>
          <w:szCs w:val="24"/>
        </w:rPr>
      </w:pPr>
      <w:proofErr w:type="spellStart"/>
      <w:r w:rsidRPr="00774FA7">
        <w:rPr>
          <w:rFonts w:ascii="Times New Roman" w:eastAsia="Calibri" w:hAnsi="Times New Roman" w:cs="Times New Roman"/>
          <w:sz w:val="24"/>
          <w:szCs w:val="24"/>
        </w:rPr>
        <w:t>Nowozaprojektowane</w:t>
      </w:r>
      <w:proofErr w:type="spellEnd"/>
      <w:r w:rsidRPr="00774FA7">
        <w:rPr>
          <w:rFonts w:ascii="Times New Roman" w:eastAsia="Calibri" w:hAnsi="Times New Roman" w:cs="Times New Roman"/>
          <w:sz w:val="24"/>
          <w:szCs w:val="24"/>
        </w:rPr>
        <w:t xml:space="preserve"> brzmienie art. 2 pkt 4 lit. b </w:t>
      </w:r>
      <w:proofErr w:type="spellStart"/>
      <w:r w:rsidRPr="00774FA7">
        <w:rPr>
          <w:rFonts w:ascii="Times New Roman" w:eastAsia="Calibri" w:hAnsi="Times New Roman" w:cs="Times New Roman"/>
          <w:sz w:val="24"/>
          <w:szCs w:val="24"/>
        </w:rPr>
        <w:t>tiret</w:t>
      </w:r>
      <w:proofErr w:type="spellEnd"/>
      <w:r w:rsidRPr="00774FA7">
        <w:rPr>
          <w:rFonts w:ascii="Times New Roman" w:eastAsia="Calibri" w:hAnsi="Times New Roman" w:cs="Times New Roman"/>
          <w:sz w:val="24"/>
          <w:szCs w:val="24"/>
        </w:rPr>
        <w:t xml:space="preserve"> piąte ustawy o wjeździe obywateli UE uwzględnia tezy orzeczenia</w:t>
      </w:r>
      <w:r w:rsidRPr="00774FA7">
        <w:rPr>
          <w:rFonts w:ascii="Times New Roman" w:eastAsia="Calibri" w:hAnsi="Times New Roman" w:cs="Times New Roman"/>
          <w:bCs/>
          <w:sz w:val="24"/>
          <w:szCs w:val="24"/>
        </w:rPr>
        <w:t xml:space="preserve"> </w:t>
      </w:r>
      <w:r w:rsidRPr="00774FA7">
        <w:rPr>
          <w:rFonts w:ascii="Times New Roman" w:eastAsia="Calibri" w:hAnsi="Times New Roman" w:cs="Times New Roman"/>
          <w:sz w:val="24"/>
          <w:szCs w:val="24"/>
        </w:rPr>
        <w:t xml:space="preserve">Trybunału Sprawiedliwości UE w sprawie C-133/15 </w:t>
      </w:r>
      <w:proofErr w:type="spellStart"/>
      <w:r w:rsidRPr="00774FA7">
        <w:rPr>
          <w:rFonts w:ascii="Times New Roman" w:eastAsia="Calibri" w:hAnsi="Times New Roman" w:cs="Times New Roman"/>
          <w:sz w:val="24"/>
          <w:szCs w:val="24"/>
        </w:rPr>
        <w:t>Chavez-Vilchez</w:t>
      </w:r>
      <w:proofErr w:type="spellEnd"/>
      <w:r w:rsidRPr="00774FA7">
        <w:rPr>
          <w:rFonts w:ascii="Times New Roman" w:eastAsia="Calibri" w:hAnsi="Times New Roman" w:cs="Times New Roman"/>
          <w:sz w:val="24"/>
          <w:szCs w:val="24"/>
        </w:rPr>
        <w:t>, w którym Trybunał odniósł się do sytuacji obywatela państwa trzeciego będącego rodzicem małoletniego obywatela UE powracającego po skorzystaniu ze swobody przepływu osób do kraju swojego pochodzenia wraz z tym rodzicem. W sprawie tej Trybunał wypowiedział się analogicznie</w:t>
      </w:r>
      <w:r w:rsidR="000776A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jak w sprawie C-456/12 O i B</w:t>
      </w:r>
      <w:r w:rsidR="00A153B8"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i/>
          <w:sz w:val="24"/>
          <w:szCs w:val="24"/>
        </w:rPr>
        <w:t>„po powrocie obywatela Unii do państwa członkowskiego, którego obywatelstwo on posiada, warunki przyznania pochodnego prawa pobytu na podstawie art. 21 ust. 1 TFUE obywatelowi państwa trzeciego będącemu członkiem rodziny owego obywatela Unii, z którym ten ostatni przebywał, korzystając ze swojego statusu obywatela Unii, w przyjmującym państwie członkowskim, nie powinny być co do zasady bardziej rygorystyczne niż te przewidziane przez dyrektywę 2004/38.</w:t>
      </w:r>
      <w:r w:rsidRPr="00774FA7">
        <w:rPr>
          <w:rFonts w:ascii="Times New Roman" w:eastAsia="Calibri" w:hAnsi="Times New Roman" w:cs="Times New Roman"/>
          <w:sz w:val="24"/>
          <w:szCs w:val="24"/>
        </w:rPr>
        <w:t xml:space="preserve">”.  </w:t>
      </w:r>
    </w:p>
    <w:p w14:paraId="33674372" w14:textId="6D131A2A" w:rsidR="00095E95" w:rsidRDefault="00076C40" w:rsidP="004F6DC6">
      <w:pPr>
        <w:spacing w:after="0" w:line="288" w:lineRule="auto"/>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ab/>
        <w:t xml:space="preserve">Zmiana w art. 2 pkt 4 lit. c ustawy o wjeździe obywateli UE ma na celu dostosowanie polskiego prawa do Umowy wystąpienia. Ww. przepis </w:t>
      </w:r>
      <w:r w:rsidR="007F1F33" w:rsidRPr="00774FA7">
        <w:rPr>
          <w:rFonts w:ascii="Times New Roman" w:eastAsia="Calibri" w:hAnsi="Times New Roman" w:cs="Times New Roman"/>
          <w:sz w:val="24"/>
          <w:szCs w:val="24"/>
        </w:rPr>
        <w:t xml:space="preserve">wprowadza definicję </w:t>
      </w:r>
      <w:r w:rsidRPr="00774FA7">
        <w:rPr>
          <w:rFonts w:ascii="Times New Roman" w:eastAsia="Calibri" w:hAnsi="Times New Roman" w:cs="Times New Roman"/>
          <w:sz w:val="24"/>
          <w:szCs w:val="24"/>
        </w:rPr>
        <w:t>członków rodziny obywateli Zjednoczonego Królestwa, o których mowa w art. 9 lit. a Umowy wystąpienia</w:t>
      </w:r>
    </w:p>
    <w:p w14:paraId="3AF8FE59" w14:textId="6C6C283F" w:rsidR="00244704" w:rsidRPr="00774FA7" w:rsidRDefault="00076C40" w:rsidP="00406FEB">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Przepis art. 2a ust. 1, określający jakie przepisy ustawy o cudzoziemcach będą miały zastosowanie do obywatel</w:t>
      </w:r>
      <w:r w:rsidR="006A19D0">
        <w:rPr>
          <w:rFonts w:ascii="Times New Roman" w:eastAsia="Calibri" w:hAnsi="Times New Roman" w:cs="Times New Roman"/>
          <w:sz w:val="24"/>
          <w:szCs w:val="24"/>
        </w:rPr>
        <w:t xml:space="preserve">i UE oraz członków ich rodzin, </w:t>
      </w:r>
      <w:r w:rsidRPr="00774FA7">
        <w:rPr>
          <w:rFonts w:ascii="Times New Roman" w:eastAsia="Calibri" w:hAnsi="Times New Roman" w:cs="Times New Roman"/>
          <w:sz w:val="24"/>
          <w:szCs w:val="24"/>
        </w:rPr>
        <w:t>został uzupełniony o art. 11 oraz przepisy wykonawcze wydane n</w:t>
      </w:r>
      <w:r w:rsidR="006A19D0">
        <w:rPr>
          <w:rFonts w:ascii="Times New Roman" w:eastAsia="Calibri" w:hAnsi="Times New Roman" w:cs="Times New Roman"/>
          <w:sz w:val="24"/>
          <w:szCs w:val="24"/>
        </w:rPr>
        <w:t xml:space="preserve">a podstawie art. 12 ust. 1 i 3 </w:t>
      </w:r>
      <w:r w:rsidRPr="00774FA7">
        <w:rPr>
          <w:rFonts w:ascii="Times New Roman" w:eastAsia="Calibri" w:hAnsi="Times New Roman" w:cs="Times New Roman"/>
          <w:sz w:val="24"/>
          <w:szCs w:val="24"/>
        </w:rPr>
        <w:t>ustawy o cudzoziemcach. Powyższa zmiana pozwoli na przeprowadzanie przez Straż Graniczną wywiadów środowiskowych oraz ustalanie miejsca pobytu małżonków lub innych członków rodziny obywatela UE, w celu stwierdzenia, m.in.</w:t>
      </w:r>
      <w:r w:rsidR="00A153B8"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czy obywatele UE oraz członkowie ich rodzin nie nadużywają prawa poprzez zawieranie fikcyjnych małżeństw. Obowiązujące przepisy  art. 31 ust. 2 oraz art. 56 ust. 2 ustawy o wjeździe obywateli UE pozwalają na odmowę wydania karty pobytowej oraz karty stałego pobytu, w przypadku gdy związek małżeński został zawarty dla pozoru. Równocześnie jednak należy zauważyć, że brak jest przepisów, które ustalałyby mechanizmy weryfikacji powyższego faktu. Zaproponowana zmiana pozwoli Straży Granicznej na wykrywanie ewentualnych nadużyć prawa w tym zakresie. </w:t>
      </w:r>
    </w:p>
    <w:p w14:paraId="00D6F71D" w14:textId="644B8E0F" w:rsidR="00076C40" w:rsidRPr="00774FA7" w:rsidRDefault="00244704" w:rsidP="004F6DC6">
      <w:pPr>
        <w:spacing w:after="0" w:line="288" w:lineRule="auto"/>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ab/>
      </w:r>
      <w:r w:rsidR="00076C40" w:rsidRPr="00774FA7">
        <w:rPr>
          <w:rFonts w:ascii="Times New Roman" w:eastAsia="Calibri" w:hAnsi="Times New Roman" w:cs="Times New Roman"/>
          <w:sz w:val="24"/>
          <w:szCs w:val="24"/>
        </w:rPr>
        <w:t xml:space="preserve">Ponadto w art. 2a ust. 1 zaproponowano odesłanie do przepisów regulujących kwestię wydawania polskiego dokumentu tożsamości cudzoziemca, czyli do art. 260 – 266 ustawy o cudzoziemcach. Doświadczenie w stosowaniu </w:t>
      </w:r>
      <w:r w:rsidR="00A153B8" w:rsidRPr="00774FA7">
        <w:rPr>
          <w:rFonts w:ascii="Times New Roman" w:eastAsia="Calibri" w:hAnsi="Times New Roman" w:cs="Times New Roman"/>
          <w:sz w:val="24"/>
          <w:szCs w:val="24"/>
        </w:rPr>
        <w:t xml:space="preserve">przepisów </w:t>
      </w:r>
      <w:r w:rsidR="00076C40" w:rsidRPr="00774FA7">
        <w:rPr>
          <w:rFonts w:ascii="Times New Roman" w:eastAsia="Calibri" w:hAnsi="Times New Roman" w:cs="Times New Roman"/>
          <w:sz w:val="24"/>
          <w:szCs w:val="24"/>
        </w:rPr>
        <w:t>ustawy o wjeździe obywateli UE wskazuje na potrzebę wprowadzenia tego typu rozwiązań</w:t>
      </w:r>
      <w:r w:rsidR="00A153B8" w:rsidRPr="00774FA7">
        <w:rPr>
          <w:rFonts w:ascii="Times New Roman" w:eastAsia="Calibri" w:hAnsi="Times New Roman" w:cs="Times New Roman"/>
          <w:sz w:val="24"/>
          <w:szCs w:val="24"/>
        </w:rPr>
        <w:t>,</w:t>
      </w:r>
      <w:r w:rsidR="00076C40" w:rsidRPr="00774FA7">
        <w:rPr>
          <w:rFonts w:ascii="Times New Roman" w:eastAsia="Calibri" w:hAnsi="Times New Roman" w:cs="Times New Roman"/>
          <w:sz w:val="24"/>
          <w:szCs w:val="24"/>
        </w:rPr>
        <w:t xml:space="preserve"> w szczególności, jeżeli chodzi o małoletnich obywateli UE urodzonych w Polsce i przebywających tu bez opieki. </w:t>
      </w:r>
    </w:p>
    <w:p w14:paraId="51D2BA6C" w14:textId="4FEBB5B1"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w:t>
      </w:r>
      <w:r w:rsidR="008C7E61">
        <w:rPr>
          <w:rFonts w:ascii="Times New Roman" w:eastAsia="Calibri" w:hAnsi="Times New Roman" w:cs="Times New Roman"/>
          <w:sz w:val="24"/>
          <w:szCs w:val="24"/>
        </w:rPr>
        <w:t xml:space="preserve">ww. </w:t>
      </w:r>
      <w:r w:rsidRPr="00774FA7">
        <w:rPr>
          <w:rFonts w:ascii="Times New Roman" w:eastAsia="Calibri" w:hAnsi="Times New Roman" w:cs="Times New Roman"/>
          <w:sz w:val="24"/>
          <w:szCs w:val="24"/>
        </w:rPr>
        <w:t>projektowanym art. 2a ust. 1 przewiduje się  również, iż do obywateli UE oraz członków ich rodzin zastosowanie będą miały przepisy art. 288</w:t>
      </w:r>
      <w:r w:rsidR="00294979">
        <w:rPr>
          <w:rFonts w:ascii="Times New Roman" w:eastAsia="Calibri" w:hAnsi="Times New Roman" w:cs="Times New Roman"/>
          <w:sz w:val="24"/>
          <w:szCs w:val="24"/>
        </w:rPr>
        <w:t>-</w:t>
      </w:r>
      <w:r w:rsidRPr="00774FA7">
        <w:rPr>
          <w:rFonts w:ascii="Times New Roman" w:eastAsia="Calibri" w:hAnsi="Times New Roman" w:cs="Times New Roman"/>
          <w:sz w:val="24"/>
          <w:szCs w:val="24"/>
        </w:rPr>
        <w:t>292 ustawy o cudzoziemcach. Wprowadzenie powyższego rozwiązania pozwoli na stosowanie przepisów ustawy o cudzoziemcach w zakresie kontroli legalności pobytu w stosunku do obywateli UE oraz członków ich rodzin tak, aby zapewnić skuteczną kontrolę prawidłowego realizowania prawa do swobody przepływu osób oraz realizowania obowiązków zaprojektowanych w art. 37c oraz art. 61</w:t>
      </w:r>
      <w:r w:rsidR="0041641A" w:rsidRPr="00774FA7">
        <w:rPr>
          <w:rFonts w:ascii="Times New Roman" w:eastAsia="Calibri" w:hAnsi="Times New Roman" w:cs="Times New Roman"/>
          <w:sz w:val="24"/>
          <w:szCs w:val="24"/>
        </w:rPr>
        <w:t>b</w:t>
      </w:r>
      <w:r w:rsidR="00DE1B66">
        <w:rPr>
          <w:rFonts w:ascii="Times New Roman" w:eastAsia="Calibri" w:hAnsi="Times New Roman" w:cs="Times New Roman"/>
          <w:sz w:val="24"/>
          <w:szCs w:val="24"/>
        </w:rPr>
        <w:t xml:space="preserve"> ustawy o wjeździe obywateli UE</w:t>
      </w:r>
      <w:r w:rsidRPr="00774FA7">
        <w:rPr>
          <w:rFonts w:ascii="Times New Roman" w:eastAsia="Calibri" w:hAnsi="Times New Roman" w:cs="Times New Roman"/>
          <w:sz w:val="24"/>
          <w:szCs w:val="24"/>
        </w:rPr>
        <w:t xml:space="preserve">. </w:t>
      </w:r>
    </w:p>
    <w:p w14:paraId="1C46A57E" w14:textId="06587970" w:rsidR="00076C40" w:rsidRPr="00774FA7" w:rsidRDefault="00076C40" w:rsidP="004F6DC6">
      <w:pPr>
        <w:spacing w:after="0" w:line="288" w:lineRule="auto"/>
        <w:jc w:val="both"/>
        <w:rPr>
          <w:rFonts w:ascii="Times New Roman" w:eastAsia="Calibri" w:hAnsi="Times New Roman" w:cs="Times New Roman"/>
          <w:bCs/>
          <w:sz w:val="24"/>
          <w:szCs w:val="24"/>
        </w:rPr>
      </w:pPr>
      <w:r w:rsidRPr="00774FA7">
        <w:rPr>
          <w:rFonts w:ascii="Times New Roman" w:eastAsia="Calibri" w:hAnsi="Times New Roman" w:cs="Times New Roman"/>
          <w:sz w:val="24"/>
          <w:szCs w:val="24"/>
        </w:rPr>
        <w:lastRenderedPageBreak/>
        <w:tab/>
        <w:t xml:space="preserve">Dodatkowe zmiany w art. 2a ust. 1 wynikają z rezygnacji z </w:t>
      </w:r>
      <w:r w:rsidR="008E009E" w:rsidRPr="00774FA7">
        <w:rPr>
          <w:rFonts w:ascii="Times New Roman" w:eastAsia="Calibri" w:hAnsi="Times New Roman" w:cs="Times New Roman"/>
          <w:sz w:val="24"/>
          <w:szCs w:val="24"/>
        </w:rPr>
        <w:t xml:space="preserve">niektórych </w:t>
      </w:r>
      <w:r w:rsidRPr="00774FA7">
        <w:rPr>
          <w:rFonts w:ascii="Times New Roman" w:eastAsia="Calibri" w:hAnsi="Times New Roman" w:cs="Times New Roman"/>
          <w:sz w:val="24"/>
          <w:szCs w:val="24"/>
        </w:rPr>
        <w:t>odesłań do przepisów ustawy o cudzoziemcach i wprowadzenia w ustawie o wjeździe obywateli UE regulacji dotyczących wydalania obywateli UE i członków rodziny nie</w:t>
      </w:r>
      <w:r w:rsidRPr="00774FA7">
        <w:rPr>
          <w:rFonts w:ascii="Times New Roman" w:eastAsia="Times New Roman" w:hAnsi="Times New Roman" w:cs="Times New Roman"/>
          <w:bCs/>
          <w:sz w:val="24"/>
          <w:szCs w:val="24"/>
          <w:lang w:eastAsia="pl-PL"/>
        </w:rPr>
        <w:t xml:space="preserve">będących </w:t>
      </w:r>
      <w:r w:rsidRPr="00774FA7">
        <w:rPr>
          <w:rFonts w:ascii="Times New Roman" w:eastAsia="Calibri" w:hAnsi="Times New Roman" w:cs="Times New Roman"/>
          <w:sz w:val="24"/>
          <w:szCs w:val="24"/>
        </w:rPr>
        <w:t xml:space="preserve">obywatelami UE oraz wprowadzenia odrębnego rozdziału 5a regulującego kwestie </w:t>
      </w:r>
      <w:r w:rsidRPr="00774FA7">
        <w:rPr>
          <w:rFonts w:ascii="Times New Roman" w:eastAsia="Calibri" w:hAnsi="Times New Roman" w:cs="Times New Roman"/>
          <w:bCs/>
          <w:sz w:val="24"/>
          <w:szCs w:val="24"/>
        </w:rPr>
        <w:t>postępowania w sprawie zatrzymania</w:t>
      </w:r>
      <w:r w:rsidRPr="00774FA7">
        <w:rPr>
          <w:rFonts w:ascii="Times New Roman" w:eastAsia="Calibri" w:hAnsi="Times New Roman" w:cs="Times New Roman"/>
          <w:sz w:val="24"/>
          <w:szCs w:val="24"/>
        </w:rPr>
        <w:t xml:space="preserve"> obywatela UE lub członka rodziny niebędącego obywatelem UE</w:t>
      </w:r>
      <w:r w:rsidR="00222AB2" w:rsidRPr="00774FA7">
        <w:rPr>
          <w:rFonts w:ascii="Times New Roman" w:eastAsia="Calibri" w:hAnsi="Times New Roman" w:cs="Times New Roman"/>
          <w:bCs/>
          <w:sz w:val="24"/>
          <w:szCs w:val="24"/>
        </w:rPr>
        <w:t xml:space="preserve"> i umieszczenia </w:t>
      </w:r>
      <w:r w:rsidRPr="00774FA7">
        <w:rPr>
          <w:rFonts w:ascii="Times New Roman" w:eastAsia="Calibri" w:hAnsi="Times New Roman" w:cs="Times New Roman"/>
          <w:bCs/>
          <w:sz w:val="24"/>
          <w:szCs w:val="24"/>
        </w:rPr>
        <w:t xml:space="preserve">go w strzeżonym ośrodku lub </w:t>
      </w:r>
      <w:r w:rsidR="00222AB2" w:rsidRPr="00774FA7">
        <w:rPr>
          <w:rFonts w:ascii="Times New Roman" w:eastAsia="Calibri" w:hAnsi="Times New Roman" w:cs="Times New Roman"/>
          <w:bCs/>
          <w:sz w:val="24"/>
          <w:szCs w:val="24"/>
        </w:rPr>
        <w:t xml:space="preserve">zastosowania </w:t>
      </w:r>
      <w:r w:rsidRPr="00774FA7">
        <w:rPr>
          <w:rFonts w:ascii="Times New Roman" w:eastAsia="Calibri" w:hAnsi="Times New Roman" w:cs="Times New Roman"/>
          <w:bCs/>
          <w:sz w:val="24"/>
          <w:szCs w:val="24"/>
        </w:rPr>
        <w:t xml:space="preserve">wobec niego aresztu dla cudzoziemców. Znajdujące się w obecnie obowiązującym art. 2a ust. 1 odesłanie do art. 336 ust. 3, art. 337 ust. 1, art. 340 oraz art. 341 ustawy o cudzoziemcach zostało zastąpione zaprojektowanymi w ustawie o wjeździe obywateli UE przepisami: art. 74a ust. 5, art. 74aa, art. 74ab ust. 1 </w:t>
      </w:r>
      <w:r w:rsidR="00BF2192" w:rsidRPr="00774FA7">
        <w:rPr>
          <w:rFonts w:ascii="Times New Roman" w:eastAsia="Calibri" w:hAnsi="Times New Roman" w:cs="Times New Roman"/>
          <w:bCs/>
          <w:sz w:val="24"/>
          <w:szCs w:val="24"/>
        </w:rPr>
        <w:t>i</w:t>
      </w:r>
      <w:r w:rsidRPr="00774FA7">
        <w:rPr>
          <w:rFonts w:ascii="Times New Roman" w:eastAsia="Calibri" w:hAnsi="Times New Roman" w:cs="Times New Roman"/>
          <w:bCs/>
          <w:sz w:val="24"/>
          <w:szCs w:val="24"/>
        </w:rPr>
        <w:t xml:space="preserve"> 2. </w:t>
      </w:r>
    </w:p>
    <w:p w14:paraId="5D47930F" w14:textId="0A936048" w:rsidR="00076C40" w:rsidRPr="00774FA7" w:rsidRDefault="00076C40" w:rsidP="004F6DC6">
      <w:pPr>
        <w:spacing w:after="0" w:line="288" w:lineRule="auto"/>
        <w:ind w:firstLine="708"/>
        <w:jc w:val="both"/>
        <w:rPr>
          <w:rFonts w:ascii="Times New Roman" w:eastAsia="Calibri" w:hAnsi="Times New Roman" w:cs="Times New Roman"/>
          <w:bCs/>
          <w:strike/>
          <w:sz w:val="24"/>
          <w:szCs w:val="24"/>
        </w:rPr>
      </w:pPr>
      <w:r w:rsidRPr="000D4862">
        <w:rPr>
          <w:rFonts w:ascii="Times New Roman" w:eastAsia="Calibri" w:hAnsi="Times New Roman" w:cs="Times New Roman"/>
          <w:bCs/>
          <w:sz w:val="24"/>
          <w:szCs w:val="24"/>
        </w:rPr>
        <w:t>Rezygnacja z odesłania do art. 346 ustawy o cudzoziemcach wynika z faktu, iż został on uchylony</w:t>
      </w:r>
      <w:r w:rsidRPr="000D4862">
        <w:rPr>
          <w:rFonts w:ascii="Times New Roman" w:eastAsia="Times New Roman" w:hAnsi="Times New Roman" w:cs="Times New Roman"/>
          <w:sz w:val="24"/>
          <w:szCs w:val="24"/>
          <w:lang w:eastAsia="pl-PL"/>
        </w:rPr>
        <w:t xml:space="preserve"> </w:t>
      </w:r>
      <w:r w:rsidRPr="000D4862">
        <w:rPr>
          <w:rFonts w:ascii="Times New Roman" w:eastAsia="Calibri" w:hAnsi="Times New Roman" w:cs="Times New Roman"/>
          <w:bCs/>
          <w:sz w:val="24"/>
          <w:szCs w:val="24"/>
        </w:rPr>
        <w:t>ustawą z dnia 24 listopada 2017 r. o zmianie ustawy o cudzoziemcach oraz niektórych innych ustaw (Dz. U. z 2018 r. poz. 107). Z kolei rezygnac</w:t>
      </w:r>
      <w:r w:rsidR="00294979" w:rsidRPr="000D4862">
        <w:rPr>
          <w:rFonts w:ascii="Times New Roman" w:eastAsia="Calibri" w:hAnsi="Times New Roman" w:cs="Times New Roman"/>
          <w:bCs/>
          <w:sz w:val="24"/>
          <w:szCs w:val="24"/>
        </w:rPr>
        <w:t>ja z odesłań do art. 394 ust. 1-5, art. 395 ust. 2, art. 398-</w:t>
      </w:r>
      <w:r w:rsidRPr="000D4862">
        <w:rPr>
          <w:rFonts w:ascii="Times New Roman" w:eastAsia="Calibri" w:hAnsi="Times New Roman" w:cs="Times New Roman"/>
          <w:bCs/>
          <w:sz w:val="24"/>
          <w:szCs w:val="24"/>
        </w:rPr>
        <w:t>400d, art. 401 oraz art. 403 ustawy o cudzoziemcach jest związana z dodaniem w ustawie o wjeździe obywateli UE nowego rozdziału 5a</w:t>
      </w:r>
      <w:r w:rsidR="00222AB2" w:rsidRPr="000D4862">
        <w:rPr>
          <w:rFonts w:ascii="Times New Roman" w:eastAsia="Calibri" w:hAnsi="Times New Roman" w:cs="Times New Roman"/>
          <w:bCs/>
          <w:sz w:val="24"/>
          <w:szCs w:val="24"/>
        </w:rPr>
        <w:t>, o którym mowa wyżej.</w:t>
      </w:r>
      <w:r w:rsidRPr="00774FA7">
        <w:rPr>
          <w:rFonts w:ascii="Times New Roman" w:eastAsia="Calibri" w:hAnsi="Times New Roman" w:cs="Times New Roman"/>
          <w:bCs/>
          <w:sz w:val="24"/>
          <w:szCs w:val="24"/>
        </w:rPr>
        <w:t xml:space="preserve"> </w:t>
      </w:r>
    </w:p>
    <w:p w14:paraId="1DE1A0CF" w14:textId="2A664E09" w:rsidR="00076C40" w:rsidRPr="00774FA7" w:rsidRDefault="00076C40" w:rsidP="004F6DC6">
      <w:pPr>
        <w:spacing w:after="0" w:line="288" w:lineRule="auto"/>
        <w:ind w:firstLine="708"/>
        <w:jc w:val="both"/>
        <w:rPr>
          <w:rFonts w:ascii="Times New Roman" w:eastAsia="Calibri" w:hAnsi="Times New Roman" w:cs="Times New Roman"/>
          <w:bCs/>
          <w:sz w:val="24"/>
          <w:szCs w:val="24"/>
        </w:rPr>
      </w:pPr>
      <w:r w:rsidRPr="00774FA7">
        <w:rPr>
          <w:rFonts w:ascii="Times New Roman" w:eastAsia="Calibri" w:hAnsi="Times New Roman" w:cs="Times New Roman"/>
          <w:bCs/>
          <w:sz w:val="24"/>
          <w:szCs w:val="24"/>
        </w:rPr>
        <w:t xml:space="preserve">Projektowane zmiany art. 2a ust. 1 wynikają również z pominięcia odesłań do przepisów ustawy o cudzoziemcach, które nie powinny mieć zastosowania do obywateli UE oraz członków rodziny niebędących obywatelami UE – wykreślono odesłania art. 395 ust. 2, art. 398, art. 400 pkt 2 oraz art. 400a-400c ustawy o cudzoziemcach. Ostatnią zmianą w art. 2a ust. 1 jest wprowadzenia odesłania do projektowanego nowego </w:t>
      </w:r>
      <w:r w:rsidRPr="00774FA7">
        <w:rPr>
          <w:rFonts w:ascii="Times New Roman" w:eastAsia="Calibri" w:hAnsi="Times New Roman" w:cs="Times New Roman"/>
          <w:sz w:val="24"/>
          <w:szCs w:val="24"/>
        </w:rPr>
        <w:t>art. 429 ust. 1 pkt 9a ustawy o cudzoziemcach.</w:t>
      </w:r>
    </w:p>
    <w:p w14:paraId="752D097A" w14:textId="0FDD4D57" w:rsidR="006A19D0" w:rsidRDefault="00076C40" w:rsidP="006A19D0">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w art. 2a ust. 2 w ustawie o wjeździe obywateli UE polega na modyfikacji zdania wstępnego poprzez wskazanie, że do członków rodziny wymienionych w art. 2 pkt 4 – 6 ustawy o wjeździe obywateli UE będą miały zastosowanie  określone przepisy ustawy o cudzoziemcach. Dodatkowo wyliczenie, o którym mowa w art. 2a ust. 2 pkt 1 zostało uzupełnione </w:t>
      </w:r>
      <w:r w:rsidR="006A19D0">
        <w:rPr>
          <w:rFonts w:ascii="Times New Roman" w:eastAsia="Calibri" w:hAnsi="Times New Roman" w:cs="Times New Roman"/>
          <w:sz w:val="24"/>
          <w:szCs w:val="24"/>
        </w:rPr>
        <w:t xml:space="preserve">o art. 60 ust. 1 pkt 17a - </w:t>
      </w:r>
      <w:r w:rsidR="006A19D0" w:rsidRPr="006A19D0">
        <w:rPr>
          <w:rFonts w:ascii="Times New Roman" w:eastAsia="Calibri" w:hAnsi="Times New Roman" w:cs="Times New Roman"/>
          <w:sz w:val="24"/>
          <w:szCs w:val="24"/>
        </w:rPr>
        <w:t xml:space="preserve">to jest </w:t>
      </w:r>
      <w:r w:rsidR="006A19D0">
        <w:rPr>
          <w:rFonts w:ascii="Times New Roman" w:eastAsia="Calibri" w:hAnsi="Times New Roman" w:cs="Times New Roman"/>
          <w:sz w:val="24"/>
          <w:szCs w:val="24"/>
        </w:rPr>
        <w:t xml:space="preserve">o </w:t>
      </w:r>
      <w:r w:rsidR="006A19D0" w:rsidRPr="006A19D0">
        <w:rPr>
          <w:rFonts w:ascii="Times New Roman" w:eastAsia="Calibri" w:hAnsi="Times New Roman" w:cs="Times New Roman"/>
          <w:sz w:val="24"/>
          <w:szCs w:val="24"/>
        </w:rPr>
        <w:t xml:space="preserve">nowy cel wizy dla członków rodziny obywateli </w:t>
      </w:r>
      <w:r w:rsidR="006A19D0">
        <w:rPr>
          <w:rFonts w:ascii="Times New Roman" w:eastAsia="Calibri" w:hAnsi="Times New Roman" w:cs="Times New Roman"/>
          <w:sz w:val="24"/>
          <w:szCs w:val="24"/>
        </w:rPr>
        <w:t xml:space="preserve">Zjednoczonego Królestwa, który to przepis został dodany na mocy ustawy z </w:t>
      </w:r>
      <w:r w:rsidR="006A19D0" w:rsidRPr="006A19D0">
        <w:rPr>
          <w:rFonts w:ascii="Times New Roman" w:eastAsia="Calibri" w:hAnsi="Times New Roman" w:cs="Times New Roman"/>
          <w:sz w:val="24"/>
          <w:szCs w:val="24"/>
        </w:rPr>
        <w:t>dnia 28 października 2020 r.</w:t>
      </w:r>
      <w:r w:rsidR="006A19D0">
        <w:rPr>
          <w:rFonts w:ascii="Times New Roman" w:eastAsia="Calibri" w:hAnsi="Times New Roman" w:cs="Times New Roman"/>
          <w:sz w:val="24"/>
          <w:szCs w:val="24"/>
        </w:rPr>
        <w:t xml:space="preserve"> </w:t>
      </w:r>
      <w:r w:rsidR="006A19D0" w:rsidRPr="006A19D0">
        <w:rPr>
          <w:rFonts w:ascii="Times New Roman" w:eastAsia="Calibri" w:hAnsi="Times New Roman" w:cs="Times New Roman"/>
          <w:sz w:val="24"/>
          <w:szCs w:val="24"/>
        </w:rPr>
        <w:t>o zmianie ustawy o cudzoziemcach oraz niektórych innych ustaw ogłoszonej w Dz.</w:t>
      </w:r>
      <w:r w:rsidR="006A19D0">
        <w:rPr>
          <w:rFonts w:ascii="Times New Roman" w:eastAsia="Calibri" w:hAnsi="Times New Roman" w:cs="Times New Roman"/>
          <w:sz w:val="24"/>
          <w:szCs w:val="24"/>
        </w:rPr>
        <w:t xml:space="preserve"> </w:t>
      </w:r>
      <w:r w:rsidR="006A19D0" w:rsidRPr="006A19D0">
        <w:rPr>
          <w:rFonts w:ascii="Times New Roman" w:eastAsia="Calibri" w:hAnsi="Times New Roman" w:cs="Times New Roman"/>
          <w:sz w:val="24"/>
          <w:szCs w:val="24"/>
        </w:rPr>
        <w:t>U. z 2020 r. poz. 2023</w:t>
      </w:r>
      <w:r w:rsidR="006A19D0">
        <w:rPr>
          <w:rFonts w:ascii="Times New Roman" w:eastAsia="Calibri" w:hAnsi="Times New Roman" w:cs="Times New Roman"/>
          <w:sz w:val="24"/>
          <w:szCs w:val="24"/>
        </w:rPr>
        <w:t xml:space="preserve">. Ponadto wprowadzono odesłanie do </w:t>
      </w:r>
      <w:r w:rsidR="006A19D0" w:rsidRPr="006A19D0">
        <w:rPr>
          <w:rFonts w:ascii="Times New Roman" w:eastAsia="Calibri" w:hAnsi="Times New Roman" w:cs="Times New Roman"/>
          <w:sz w:val="24"/>
          <w:szCs w:val="24"/>
        </w:rPr>
        <w:t xml:space="preserve">nowego art. 74a </w:t>
      </w:r>
      <w:r w:rsidR="006A19D0">
        <w:rPr>
          <w:rFonts w:ascii="Times New Roman" w:eastAsia="Calibri" w:hAnsi="Times New Roman" w:cs="Times New Roman"/>
          <w:sz w:val="24"/>
          <w:szCs w:val="24"/>
        </w:rPr>
        <w:t>–</w:t>
      </w:r>
      <w:r w:rsidR="006A19D0" w:rsidRPr="006A19D0">
        <w:rPr>
          <w:rFonts w:ascii="Times New Roman" w:eastAsia="Calibri" w:hAnsi="Times New Roman" w:cs="Times New Roman"/>
          <w:sz w:val="24"/>
          <w:szCs w:val="24"/>
        </w:rPr>
        <w:t xml:space="preserve"> </w:t>
      </w:r>
      <w:r w:rsidR="006A19D0">
        <w:rPr>
          <w:rFonts w:ascii="Times New Roman" w:eastAsia="Calibri" w:hAnsi="Times New Roman" w:cs="Times New Roman"/>
          <w:sz w:val="24"/>
          <w:szCs w:val="24"/>
        </w:rPr>
        <w:t xml:space="preserve">określającego </w:t>
      </w:r>
      <w:r w:rsidR="006A19D0" w:rsidRPr="006A19D0">
        <w:rPr>
          <w:rFonts w:ascii="Times New Roman" w:eastAsia="Calibri" w:hAnsi="Times New Roman" w:cs="Times New Roman"/>
          <w:sz w:val="24"/>
          <w:szCs w:val="24"/>
        </w:rPr>
        <w:t>termin wydania wizy krajowej</w:t>
      </w:r>
      <w:r w:rsidR="006A19D0">
        <w:rPr>
          <w:rFonts w:ascii="Times New Roman" w:eastAsia="Calibri" w:hAnsi="Times New Roman" w:cs="Times New Roman"/>
          <w:sz w:val="24"/>
          <w:szCs w:val="24"/>
        </w:rPr>
        <w:t xml:space="preserve"> przez konsula.</w:t>
      </w:r>
      <w:r w:rsidR="006A19D0" w:rsidRPr="006A19D0">
        <w:rPr>
          <w:rFonts w:ascii="Times New Roman" w:eastAsia="Calibri" w:hAnsi="Times New Roman" w:cs="Times New Roman"/>
          <w:sz w:val="24"/>
          <w:szCs w:val="24"/>
        </w:rPr>
        <w:t xml:space="preserve"> </w:t>
      </w:r>
      <w:r w:rsidR="006A19D0">
        <w:rPr>
          <w:rFonts w:ascii="Times New Roman" w:eastAsia="Calibri" w:hAnsi="Times New Roman" w:cs="Times New Roman"/>
          <w:sz w:val="24"/>
          <w:szCs w:val="24"/>
        </w:rPr>
        <w:t>Dotychczas</w:t>
      </w:r>
      <w:r w:rsidR="006A19D0" w:rsidRPr="006A19D0">
        <w:rPr>
          <w:rFonts w:ascii="Times New Roman" w:eastAsia="Calibri" w:hAnsi="Times New Roman" w:cs="Times New Roman"/>
          <w:sz w:val="24"/>
          <w:szCs w:val="24"/>
        </w:rPr>
        <w:t xml:space="preserve"> zgodnie z art. 5 ust. 2 ustawy o cudzoziemcach</w:t>
      </w:r>
      <w:r w:rsidR="006A19D0">
        <w:rPr>
          <w:rFonts w:ascii="Times New Roman" w:eastAsia="Calibri" w:hAnsi="Times New Roman" w:cs="Times New Roman"/>
          <w:sz w:val="24"/>
          <w:szCs w:val="24"/>
        </w:rPr>
        <w:t>,</w:t>
      </w:r>
      <w:r w:rsidR="006A19D0" w:rsidRPr="006A19D0">
        <w:rPr>
          <w:rFonts w:ascii="Times New Roman" w:eastAsia="Calibri" w:hAnsi="Times New Roman" w:cs="Times New Roman"/>
          <w:sz w:val="24"/>
          <w:szCs w:val="24"/>
        </w:rPr>
        <w:t xml:space="preserve"> w zakresie nieuregulowanym przepisami działu IV do wydawania, cofania lub unieważniania wiz krajowych lub przedłużania okresu ich ważności lub okresu pobytu cudzoziemca na terytorium Rzeczypospolitej Polskiej objętego tymi wizami stos</w:t>
      </w:r>
      <w:r w:rsidR="006A19D0">
        <w:rPr>
          <w:rFonts w:ascii="Times New Roman" w:eastAsia="Calibri" w:hAnsi="Times New Roman" w:cs="Times New Roman"/>
          <w:sz w:val="24"/>
          <w:szCs w:val="24"/>
        </w:rPr>
        <w:t xml:space="preserve">owane były bezpośrednio </w:t>
      </w:r>
      <w:r w:rsidR="006A19D0" w:rsidRPr="006A19D0">
        <w:rPr>
          <w:rFonts w:ascii="Times New Roman" w:eastAsia="Calibri" w:hAnsi="Times New Roman" w:cs="Times New Roman"/>
          <w:sz w:val="24"/>
          <w:szCs w:val="24"/>
        </w:rPr>
        <w:t>przepisy kodeksu wizowego</w:t>
      </w:r>
      <w:r w:rsidR="006A19D0">
        <w:rPr>
          <w:rFonts w:ascii="Times New Roman" w:eastAsia="Calibri" w:hAnsi="Times New Roman" w:cs="Times New Roman"/>
          <w:sz w:val="24"/>
          <w:szCs w:val="24"/>
        </w:rPr>
        <w:t xml:space="preserve">. Powyższa zmiana jest także wynikiem ww. nowelizacji ustawy o cudzoziemcach, za pośrednictwem której </w:t>
      </w:r>
      <w:r w:rsidR="006A19D0" w:rsidRPr="006A19D0">
        <w:rPr>
          <w:rFonts w:ascii="Times New Roman" w:eastAsia="Calibri" w:hAnsi="Times New Roman" w:cs="Times New Roman"/>
          <w:sz w:val="24"/>
          <w:szCs w:val="24"/>
        </w:rPr>
        <w:t>wprowadz</w:t>
      </w:r>
      <w:r w:rsidR="006A19D0">
        <w:rPr>
          <w:rFonts w:ascii="Times New Roman" w:eastAsia="Calibri" w:hAnsi="Times New Roman" w:cs="Times New Roman"/>
          <w:sz w:val="24"/>
          <w:szCs w:val="24"/>
        </w:rPr>
        <w:t xml:space="preserve">ono </w:t>
      </w:r>
      <w:r w:rsidR="006A19D0" w:rsidRPr="006A19D0">
        <w:rPr>
          <w:rFonts w:ascii="Times New Roman" w:eastAsia="Calibri" w:hAnsi="Times New Roman" w:cs="Times New Roman"/>
          <w:sz w:val="24"/>
          <w:szCs w:val="24"/>
        </w:rPr>
        <w:t>szczególn</w:t>
      </w:r>
      <w:r w:rsidR="006A19D0">
        <w:rPr>
          <w:rFonts w:ascii="Times New Roman" w:eastAsia="Calibri" w:hAnsi="Times New Roman" w:cs="Times New Roman"/>
          <w:sz w:val="24"/>
          <w:szCs w:val="24"/>
        </w:rPr>
        <w:t xml:space="preserve">e </w:t>
      </w:r>
      <w:r w:rsidR="006A19D0" w:rsidRPr="006A19D0">
        <w:rPr>
          <w:rFonts w:ascii="Times New Roman" w:eastAsia="Calibri" w:hAnsi="Times New Roman" w:cs="Times New Roman"/>
          <w:sz w:val="24"/>
          <w:szCs w:val="24"/>
        </w:rPr>
        <w:t>termin</w:t>
      </w:r>
      <w:r w:rsidR="006A19D0">
        <w:rPr>
          <w:rFonts w:ascii="Times New Roman" w:eastAsia="Calibri" w:hAnsi="Times New Roman" w:cs="Times New Roman"/>
          <w:sz w:val="24"/>
          <w:szCs w:val="24"/>
        </w:rPr>
        <w:t>y</w:t>
      </w:r>
      <w:r w:rsidR="006A19D0" w:rsidRPr="006A19D0">
        <w:rPr>
          <w:rFonts w:ascii="Times New Roman" w:eastAsia="Calibri" w:hAnsi="Times New Roman" w:cs="Times New Roman"/>
          <w:sz w:val="24"/>
          <w:szCs w:val="24"/>
        </w:rPr>
        <w:t xml:space="preserve"> rozpatrywania spraw o wydanie wizy krajowej – 15 dni z możliwością wydłużenia do 60 dni, z uwagi na konieczność przeprowadzenia bardziej rozbudowanej weryfikacji ryzyka migracyjnego przez konsula, zarówno w stosunku do cudzoziemca wnioskującego o wizę krajową, jak i też częstokroć uzyskania dodatkowych informacji o prawidłowości działań podmiotu przyjmującego w kraju (pracodawcy, jednostki </w:t>
      </w:r>
      <w:r w:rsidR="006A19D0" w:rsidRPr="006A19D0">
        <w:rPr>
          <w:rFonts w:ascii="Times New Roman" w:eastAsia="Calibri" w:hAnsi="Times New Roman" w:cs="Times New Roman"/>
          <w:sz w:val="24"/>
          <w:szCs w:val="24"/>
        </w:rPr>
        <w:lastRenderedPageBreak/>
        <w:t>prowadzącej studia pierwszego lub drugiego stopnia) z uwagi na fakt, iż wiza krajowa uprawnia do pobytu długoterminowego na terytorium Rzeczypospolitej Polskiej</w:t>
      </w:r>
      <w:r w:rsidR="006A19D0">
        <w:rPr>
          <w:rFonts w:ascii="Times New Roman" w:eastAsia="Calibri" w:hAnsi="Times New Roman" w:cs="Times New Roman"/>
          <w:sz w:val="24"/>
          <w:szCs w:val="24"/>
        </w:rPr>
        <w:t>.</w:t>
      </w:r>
    </w:p>
    <w:p w14:paraId="73E2F06D" w14:textId="47D6C1EE" w:rsidR="00076C40" w:rsidRDefault="006A19D0" w:rsidP="004F6DC6">
      <w:pPr>
        <w:spacing w:after="0" w:line="288"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Wyliczenie</w:t>
      </w:r>
      <w:r w:rsidRPr="006A19D0">
        <w:t xml:space="preserve"> </w:t>
      </w:r>
      <w:r w:rsidRPr="006A19D0">
        <w:rPr>
          <w:rFonts w:ascii="Times New Roman" w:hAnsi="Times New Roman" w:cs="Times New Roman"/>
          <w:sz w:val="24"/>
          <w:szCs w:val="24"/>
        </w:rPr>
        <w:t>przewidziane</w:t>
      </w:r>
      <w:r>
        <w:t xml:space="preserve"> </w:t>
      </w:r>
      <w:r w:rsidRPr="006A19D0">
        <w:rPr>
          <w:rFonts w:ascii="Times New Roman" w:eastAsia="Calibri" w:hAnsi="Times New Roman" w:cs="Times New Roman"/>
          <w:sz w:val="24"/>
          <w:szCs w:val="24"/>
        </w:rPr>
        <w:t xml:space="preserve">w </w:t>
      </w:r>
      <w:r>
        <w:rPr>
          <w:rFonts w:ascii="Times New Roman" w:eastAsia="Calibri" w:hAnsi="Times New Roman" w:cs="Times New Roman"/>
          <w:sz w:val="24"/>
          <w:szCs w:val="24"/>
        </w:rPr>
        <w:t xml:space="preserve">ww. </w:t>
      </w:r>
      <w:r w:rsidRPr="006A19D0">
        <w:rPr>
          <w:rFonts w:ascii="Times New Roman" w:eastAsia="Calibri" w:hAnsi="Times New Roman" w:cs="Times New Roman"/>
          <w:sz w:val="24"/>
          <w:szCs w:val="24"/>
        </w:rPr>
        <w:t>art. 2a ust. 2</w:t>
      </w:r>
      <w:r>
        <w:rPr>
          <w:rFonts w:ascii="Times New Roman" w:eastAsia="Calibri" w:hAnsi="Times New Roman" w:cs="Times New Roman"/>
          <w:sz w:val="24"/>
          <w:szCs w:val="24"/>
        </w:rPr>
        <w:t xml:space="preserve"> zostało także uzupełnione o</w:t>
      </w:r>
      <w:r w:rsidR="00076C40" w:rsidRPr="00774FA7">
        <w:rPr>
          <w:rFonts w:ascii="Times New Roman" w:eastAsia="Calibri" w:hAnsi="Times New Roman" w:cs="Times New Roman"/>
          <w:sz w:val="24"/>
          <w:szCs w:val="24"/>
        </w:rPr>
        <w:t xml:space="preserve"> art. 443 ust. 2 ustawy o cudzoziemcach. Przepis ten przewiduje, że dane członków rodziny obywateli UE niebędących obywatelami UE umieszczone w Systemie Informacyjnym </w:t>
      </w:r>
      <w:proofErr w:type="spellStart"/>
      <w:r w:rsidR="00076C40" w:rsidRPr="00774FA7">
        <w:rPr>
          <w:rFonts w:ascii="Times New Roman" w:eastAsia="Calibri" w:hAnsi="Times New Roman" w:cs="Times New Roman"/>
          <w:sz w:val="24"/>
          <w:szCs w:val="24"/>
        </w:rPr>
        <w:t>Schengen</w:t>
      </w:r>
      <w:proofErr w:type="spellEnd"/>
      <w:r w:rsidR="00076C40" w:rsidRPr="00774FA7">
        <w:rPr>
          <w:rFonts w:ascii="Times New Roman" w:eastAsia="Calibri" w:hAnsi="Times New Roman" w:cs="Times New Roman"/>
          <w:sz w:val="24"/>
          <w:szCs w:val="24"/>
        </w:rPr>
        <w:t xml:space="preserve"> usuwa się w przypadku zawieszenia obowiązywania wpisu do wykazu, o którym mowa w art. 77a ustawy o wjeździe obywateli UE, do czasu ustania okoliczności uzasadniających to zawieszenie. W związku z powyższym  konieczne stało się uwzględnienie go w ww. wyliczeniu.</w:t>
      </w:r>
    </w:p>
    <w:p w14:paraId="7132DBF4" w14:textId="76F5E5EB" w:rsidR="00240B50" w:rsidRPr="00774FA7" w:rsidRDefault="00240B50" w:rsidP="00903513">
      <w:pPr>
        <w:spacing w:after="0" w:line="288"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Po ust. 2 dodano nowy ust. 3</w:t>
      </w:r>
      <w:r w:rsidR="00A77C52">
        <w:rPr>
          <w:rFonts w:ascii="Times New Roman" w:eastAsia="Calibri" w:hAnsi="Times New Roman" w:cs="Times New Roman"/>
          <w:sz w:val="24"/>
          <w:szCs w:val="24"/>
        </w:rPr>
        <w:t>, który</w:t>
      </w:r>
      <w:r>
        <w:rPr>
          <w:rFonts w:ascii="Times New Roman" w:eastAsia="Calibri" w:hAnsi="Times New Roman" w:cs="Times New Roman"/>
          <w:sz w:val="24"/>
          <w:szCs w:val="24"/>
        </w:rPr>
        <w:t xml:space="preserve"> </w:t>
      </w:r>
      <w:r w:rsidRPr="00240B50">
        <w:rPr>
          <w:rFonts w:ascii="Times New Roman" w:eastAsia="Calibri" w:hAnsi="Times New Roman" w:cs="Times New Roman"/>
          <w:sz w:val="24"/>
          <w:szCs w:val="24"/>
        </w:rPr>
        <w:t>przewid</w:t>
      </w:r>
      <w:r w:rsidR="00A77C52">
        <w:rPr>
          <w:rFonts w:ascii="Times New Roman" w:eastAsia="Calibri" w:hAnsi="Times New Roman" w:cs="Times New Roman"/>
          <w:sz w:val="24"/>
          <w:szCs w:val="24"/>
        </w:rPr>
        <w:t xml:space="preserve">uje </w:t>
      </w:r>
      <w:r w:rsidRPr="00240B50">
        <w:rPr>
          <w:rFonts w:ascii="Times New Roman" w:eastAsia="Calibri" w:hAnsi="Times New Roman" w:cs="Times New Roman"/>
          <w:sz w:val="24"/>
          <w:szCs w:val="24"/>
        </w:rPr>
        <w:t>stosowanie</w:t>
      </w:r>
      <w:r w:rsidR="00A77C52">
        <w:rPr>
          <w:rFonts w:ascii="Times New Roman" w:eastAsia="Calibri" w:hAnsi="Times New Roman" w:cs="Times New Roman"/>
          <w:sz w:val="24"/>
          <w:szCs w:val="24"/>
        </w:rPr>
        <w:t xml:space="preserve"> przepisów </w:t>
      </w:r>
      <w:r w:rsidR="00903513">
        <w:rPr>
          <w:rFonts w:ascii="Times New Roman" w:eastAsia="Calibri" w:hAnsi="Times New Roman" w:cs="Times New Roman"/>
          <w:sz w:val="24"/>
          <w:szCs w:val="24"/>
        </w:rPr>
        <w:t>r</w:t>
      </w:r>
      <w:r w:rsidRPr="00240B50">
        <w:rPr>
          <w:rFonts w:ascii="Times New Roman" w:eastAsia="Calibri" w:hAnsi="Times New Roman" w:cs="Times New Roman"/>
          <w:sz w:val="24"/>
          <w:szCs w:val="24"/>
        </w:rPr>
        <w:t>ozdziału 3</w:t>
      </w:r>
      <w:r w:rsidR="00903513">
        <w:rPr>
          <w:rFonts w:ascii="Times New Roman" w:eastAsia="Calibri" w:hAnsi="Times New Roman" w:cs="Times New Roman"/>
          <w:sz w:val="24"/>
          <w:szCs w:val="24"/>
        </w:rPr>
        <w:t xml:space="preserve"> d</w:t>
      </w:r>
      <w:r w:rsidRPr="00240B50">
        <w:rPr>
          <w:rFonts w:ascii="Times New Roman" w:eastAsia="Calibri" w:hAnsi="Times New Roman" w:cs="Times New Roman"/>
          <w:sz w:val="24"/>
          <w:szCs w:val="24"/>
        </w:rPr>
        <w:t>ziału V ustawy o cudzoziemcach do obywateli Zjednoczonego Królestwa oraz członków ich rodzin będących beneficjentami Umowy wystąpienia, aby umożliwić uzyskanie przez ww. osoby zezwolenia na pobyt czasowy w celu wykonywania pracy w zawodzie wymagającym wysokich kwalifikacji, co umożliwi im korzystanie z uprawnień związanych z posiadaniem tego zezwolenia pobytowego w innych państwach członkowskich UE, zgodnie z dyrektywą Rady 2009/50/WE z dnia 25 maja 2009 r. w sprawie warunków wjazdu i pobytu obywateli państw trzecich w celu podjęcia pracy w zawodzie wymagającym wysokich kwalifikacji (Dz. Urz. UE L 155 z dnia 18.06.2009, str. 17).</w:t>
      </w:r>
      <w:r w:rsidR="000D4862">
        <w:rPr>
          <w:rFonts w:ascii="Times New Roman" w:eastAsia="Calibri" w:hAnsi="Times New Roman" w:cs="Times New Roman"/>
          <w:sz w:val="24"/>
          <w:szCs w:val="24"/>
        </w:rPr>
        <w:t xml:space="preserve"> </w:t>
      </w:r>
      <w:r w:rsidR="00903513">
        <w:rPr>
          <w:rFonts w:ascii="Times New Roman" w:eastAsia="Calibri" w:hAnsi="Times New Roman" w:cs="Times New Roman"/>
          <w:sz w:val="24"/>
          <w:szCs w:val="24"/>
        </w:rPr>
        <w:t xml:space="preserve">Dodatkowo </w:t>
      </w:r>
      <w:r w:rsidRPr="00240B50">
        <w:rPr>
          <w:rFonts w:ascii="Times New Roman" w:eastAsia="Calibri" w:hAnsi="Times New Roman" w:cs="Times New Roman"/>
          <w:sz w:val="24"/>
          <w:szCs w:val="24"/>
        </w:rPr>
        <w:t>przewidziano stosowanie</w:t>
      </w:r>
      <w:r w:rsidR="00903513">
        <w:rPr>
          <w:rFonts w:ascii="Times New Roman" w:eastAsia="Calibri" w:hAnsi="Times New Roman" w:cs="Times New Roman"/>
          <w:sz w:val="24"/>
          <w:szCs w:val="24"/>
        </w:rPr>
        <w:t xml:space="preserve"> do ww. osób</w:t>
      </w:r>
      <w:r w:rsidR="000D4862">
        <w:rPr>
          <w:rFonts w:ascii="Times New Roman" w:eastAsia="Calibri" w:hAnsi="Times New Roman" w:cs="Times New Roman"/>
          <w:sz w:val="24"/>
          <w:szCs w:val="24"/>
        </w:rPr>
        <w:t xml:space="preserve"> przepisów</w:t>
      </w:r>
      <w:r w:rsidRPr="00240B50">
        <w:rPr>
          <w:rFonts w:ascii="Times New Roman" w:eastAsia="Calibri" w:hAnsi="Times New Roman" w:cs="Times New Roman"/>
          <w:sz w:val="24"/>
          <w:szCs w:val="24"/>
        </w:rPr>
        <w:t xml:space="preserve"> </w:t>
      </w:r>
      <w:r w:rsidR="00903513">
        <w:rPr>
          <w:rFonts w:ascii="Times New Roman" w:eastAsia="Calibri" w:hAnsi="Times New Roman" w:cs="Times New Roman"/>
          <w:sz w:val="24"/>
          <w:szCs w:val="24"/>
        </w:rPr>
        <w:t>r</w:t>
      </w:r>
      <w:r w:rsidRPr="00240B50">
        <w:rPr>
          <w:rFonts w:ascii="Times New Roman" w:eastAsia="Calibri" w:hAnsi="Times New Roman" w:cs="Times New Roman"/>
          <w:sz w:val="24"/>
          <w:szCs w:val="24"/>
        </w:rPr>
        <w:t xml:space="preserve">ozdziału 3a </w:t>
      </w:r>
      <w:r w:rsidR="00903513">
        <w:rPr>
          <w:rFonts w:ascii="Times New Roman" w:eastAsia="Calibri" w:hAnsi="Times New Roman" w:cs="Times New Roman"/>
          <w:sz w:val="24"/>
          <w:szCs w:val="24"/>
        </w:rPr>
        <w:t>d</w:t>
      </w:r>
      <w:r w:rsidRPr="00240B50">
        <w:rPr>
          <w:rFonts w:ascii="Times New Roman" w:eastAsia="Calibri" w:hAnsi="Times New Roman" w:cs="Times New Roman"/>
          <w:sz w:val="24"/>
          <w:szCs w:val="24"/>
        </w:rPr>
        <w:t xml:space="preserve">ziału V ustawy o cudzoziemcach, </w:t>
      </w:r>
      <w:r w:rsidR="000D4862">
        <w:rPr>
          <w:rFonts w:ascii="Times New Roman" w:eastAsia="Calibri" w:hAnsi="Times New Roman" w:cs="Times New Roman"/>
          <w:sz w:val="24"/>
          <w:szCs w:val="24"/>
        </w:rPr>
        <w:t>po to,</w:t>
      </w:r>
      <w:r w:rsidRPr="00240B50">
        <w:rPr>
          <w:rFonts w:ascii="Times New Roman" w:eastAsia="Calibri" w:hAnsi="Times New Roman" w:cs="Times New Roman"/>
          <w:sz w:val="24"/>
          <w:szCs w:val="24"/>
        </w:rPr>
        <w:t xml:space="preserve"> aby umożliwić </w:t>
      </w:r>
      <w:r w:rsidR="00903513">
        <w:rPr>
          <w:rFonts w:ascii="Times New Roman" w:eastAsia="Calibri" w:hAnsi="Times New Roman" w:cs="Times New Roman"/>
          <w:sz w:val="24"/>
          <w:szCs w:val="24"/>
        </w:rPr>
        <w:t xml:space="preserve">im </w:t>
      </w:r>
      <w:r w:rsidRPr="00240B50">
        <w:rPr>
          <w:rFonts w:ascii="Times New Roman" w:eastAsia="Calibri" w:hAnsi="Times New Roman" w:cs="Times New Roman"/>
          <w:sz w:val="24"/>
          <w:szCs w:val="24"/>
        </w:rPr>
        <w:t>uzyskanie zezwolenia na pobyt czasowy w celu wykonywania pracy w ramach przeniesienia wewnątrz przedsiębiorstwa</w:t>
      </w:r>
      <w:r w:rsidR="000D4862">
        <w:rPr>
          <w:rFonts w:ascii="Times New Roman" w:eastAsia="Calibri" w:hAnsi="Times New Roman" w:cs="Times New Roman"/>
          <w:sz w:val="24"/>
          <w:szCs w:val="24"/>
        </w:rPr>
        <w:t>.</w:t>
      </w:r>
      <w:r w:rsidRPr="00240B50">
        <w:rPr>
          <w:rFonts w:ascii="Times New Roman" w:eastAsia="Calibri" w:hAnsi="Times New Roman" w:cs="Times New Roman"/>
          <w:sz w:val="24"/>
          <w:szCs w:val="24"/>
        </w:rPr>
        <w:t xml:space="preserve"> </w:t>
      </w:r>
      <w:r w:rsidR="000D4862">
        <w:rPr>
          <w:rFonts w:ascii="Times New Roman" w:eastAsia="Calibri" w:hAnsi="Times New Roman" w:cs="Times New Roman"/>
          <w:sz w:val="24"/>
          <w:szCs w:val="24"/>
        </w:rPr>
        <w:t xml:space="preserve">powyższe </w:t>
      </w:r>
      <w:r w:rsidR="00903513">
        <w:rPr>
          <w:rFonts w:ascii="Times New Roman" w:eastAsia="Calibri" w:hAnsi="Times New Roman" w:cs="Times New Roman"/>
          <w:sz w:val="24"/>
          <w:szCs w:val="24"/>
        </w:rPr>
        <w:t xml:space="preserve">pozwoli </w:t>
      </w:r>
      <w:r w:rsidR="000D4862">
        <w:rPr>
          <w:rFonts w:ascii="Times New Roman" w:eastAsia="Calibri" w:hAnsi="Times New Roman" w:cs="Times New Roman"/>
          <w:sz w:val="24"/>
          <w:szCs w:val="24"/>
        </w:rPr>
        <w:t xml:space="preserve">tym osobom na </w:t>
      </w:r>
      <w:r w:rsidRPr="00240B50">
        <w:rPr>
          <w:rFonts w:ascii="Times New Roman" w:eastAsia="Calibri" w:hAnsi="Times New Roman" w:cs="Times New Roman"/>
          <w:sz w:val="24"/>
          <w:szCs w:val="24"/>
        </w:rPr>
        <w:t>korzystanie z uprawnień związanych z posiadaniem tego zezwolenia pobytowego w innych państwach członkowskich UE, zgodnie z dyrektywą Parlamentu Europejskiego i Rady 2014/66/UE z dnia 15 maja 2014 r. w sprawie warunków wjazdu i pobytu obywateli państw trzecich w ramach przeniesienia wewnątrz przedsiębiorstwa (Dz. Urz. UE L 157 z 27.05.2014r., str. 1-22) przewidującą uprawnienia do  korzystania z wewnątrzunijnej mobilności krótkoterminowej i długoterminowej pracownika kadry kierowniczej, specjalisty lub pracownika odbywającego staż, w ramach przeniesienia wewnątrz przedsiębiorstwa.</w:t>
      </w:r>
      <w:r w:rsidR="00903513">
        <w:rPr>
          <w:rFonts w:ascii="Times New Roman" w:eastAsia="Calibri" w:hAnsi="Times New Roman" w:cs="Times New Roman"/>
          <w:sz w:val="24"/>
          <w:szCs w:val="24"/>
        </w:rPr>
        <w:t xml:space="preserve"> Ponadto przepis art. 2a ust. 3 przewiduje stosowanie </w:t>
      </w:r>
      <w:r w:rsidR="00903513" w:rsidRPr="00903513">
        <w:rPr>
          <w:rFonts w:ascii="Times New Roman" w:eastAsia="Calibri" w:hAnsi="Times New Roman" w:cs="Times New Roman"/>
          <w:sz w:val="24"/>
          <w:szCs w:val="24"/>
        </w:rPr>
        <w:t>do obywateli Zjednoczonego Królestwa oraz członków ich rodzin będących beneficjentami Umowy wystąpienia</w:t>
      </w:r>
      <w:r w:rsidR="00903513">
        <w:rPr>
          <w:rFonts w:ascii="Times New Roman" w:eastAsia="Calibri" w:hAnsi="Times New Roman" w:cs="Times New Roman"/>
          <w:sz w:val="24"/>
          <w:szCs w:val="24"/>
        </w:rPr>
        <w:t xml:space="preserve"> </w:t>
      </w:r>
      <w:r w:rsidR="000D4862">
        <w:rPr>
          <w:rFonts w:ascii="Times New Roman" w:eastAsia="Calibri" w:hAnsi="Times New Roman" w:cs="Times New Roman"/>
          <w:sz w:val="24"/>
          <w:szCs w:val="24"/>
        </w:rPr>
        <w:t xml:space="preserve">przepisów </w:t>
      </w:r>
      <w:r w:rsidR="00903513">
        <w:rPr>
          <w:rFonts w:ascii="Times New Roman" w:eastAsia="Calibri" w:hAnsi="Times New Roman" w:cs="Times New Roman"/>
          <w:sz w:val="24"/>
          <w:szCs w:val="24"/>
        </w:rPr>
        <w:t>rozdziału 2 d</w:t>
      </w:r>
      <w:r w:rsidR="00903513" w:rsidRPr="00903513">
        <w:rPr>
          <w:rFonts w:ascii="Times New Roman" w:eastAsia="Calibri" w:hAnsi="Times New Roman" w:cs="Times New Roman"/>
          <w:sz w:val="24"/>
          <w:szCs w:val="24"/>
        </w:rPr>
        <w:t>ziału VI ustawy o cudzoziemcach, tak aby umożliwić uzyskanie przez ww. osoby zezwolenia na pobyt rezydenta długoterminowego UE, co umożliwi im korzystanie z uprawnień związa</w:t>
      </w:r>
      <w:r w:rsidR="00903513">
        <w:rPr>
          <w:rFonts w:ascii="Times New Roman" w:eastAsia="Calibri" w:hAnsi="Times New Roman" w:cs="Times New Roman"/>
          <w:sz w:val="24"/>
          <w:szCs w:val="24"/>
        </w:rPr>
        <w:t xml:space="preserve">nych </w:t>
      </w:r>
      <w:r w:rsidR="00903513" w:rsidRPr="00903513">
        <w:rPr>
          <w:rFonts w:ascii="Times New Roman" w:eastAsia="Calibri" w:hAnsi="Times New Roman" w:cs="Times New Roman"/>
          <w:sz w:val="24"/>
          <w:szCs w:val="24"/>
        </w:rPr>
        <w:t xml:space="preserve">z posiadaniem tego zezwolenia pobytowego w innych państwach członkowskich UE, zgodnie z dyrektywą Rady 2003/109/WE z dnia 25 listopada 2003 r. dotyczącą statusu obywateli państw trzecich będących rezydentami długoterminowymi (Dz. Urz. UE L 16 z 23.01.2004, str. 44, z </w:t>
      </w:r>
      <w:proofErr w:type="spellStart"/>
      <w:r w:rsidR="00903513" w:rsidRPr="00903513">
        <w:rPr>
          <w:rFonts w:ascii="Times New Roman" w:eastAsia="Calibri" w:hAnsi="Times New Roman" w:cs="Times New Roman"/>
          <w:sz w:val="24"/>
          <w:szCs w:val="24"/>
        </w:rPr>
        <w:t>późn</w:t>
      </w:r>
      <w:proofErr w:type="spellEnd"/>
      <w:r w:rsidR="00903513" w:rsidRPr="00903513">
        <w:rPr>
          <w:rFonts w:ascii="Times New Roman" w:eastAsia="Calibri" w:hAnsi="Times New Roman" w:cs="Times New Roman"/>
          <w:sz w:val="24"/>
          <w:szCs w:val="24"/>
        </w:rPr>
        <w:t xml:space="preserve">. zm.).  </w:t>
      </w:r>
    </w:p>
    <w:p w14:paraId="642C851E" w14:textId="5DAA1168"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Zmiana brzmienia art. 3 ust. 3 ustawy o wjeździe obywateli UE ma charakter porządkujący. W miejsce odesłania do nieobowiązującej już ustawy z dnia 5 czerwca 1998 r. o administracji rządowej w województwie wprowadzono odesłanie do ustawy z dnia 23 stycznia 2009 r. o wojewodzie i administracji rządowej w województwie (Dz. U. z 2019 r. poz. 1464) .</w:t>
      </w:r>
    </w:p>
    <w:p w14:paraId="1AFBCF21" w14:textId="09F7BF6C"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W art. 6 pkt 3 ustawy o wjeździe obywateli UE, który reguluje kwestie obowiązku pouczenia obywatela UE i członka jego rodziny w języku dla nich zrozumiałym o treści decyzji</w:t>
      </w:r>
      <w:r w:rsidR="00BF219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na podstawie których zostanie ograniczone ich prawo do swobody przepływu osób</w:t>
      </w:r>
      <w:r w:rsidR="00BF219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095E95">
        <w:rPr>
          <w:rFonts w:ascii="Times New Roman" w:eastAsia="Calibri" w:hAnsi="Times New Roman" w:cs="Times New Roman"/>
          <w:sz w:val="24"/>
          <w:szCs w:val="24"/>
        </w:rPr>
        <w:t>dodano</w:t>
      </w:r>
      <w:r w:rsidR="00095E95"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obowiązek pouczenia o treści decyzji w sprawie odmowy wjazdu, cofnięcia i unieważnienia wizy.  </w:t>
      </w:r>
    </w:p>
    <w:p w14:paraId="4945E8CC" w14:textId="00775201"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7 </w:t>
      </w:r>
      <w:r w:rsidR="00095E95" w:rsidRPr="00774FA7">
        <w:rPr>
          <w:rFonts w:ascii="Times New Roman" w:eastAsia="Calibri" w:hAnsi="Times New Roman" w:cs="Times New Roman"/>
          <w:sz w:val="24"/>
          <w:szCs w:val="24"/>
        </w:rPr>
        <w:t xml:space="preserve">ustawy o wjeździe obywateli UE </w:t>
      </w:r>
      <w:r w:rsidRPr="00774FA7">
        <w:rPr>
          <w:rFonts w:ascii="Times New Roman" w:eastAsia="Calibri" w:hAnsi="Times New Roman" w:cs="Times New Roman"/>
          <w:sz w:val="24"/>
          <w:szCs w:val="24"/>
        </w:rPr>
        <w:t xml:space="preserve">dodano ust. 3, który stanowi, iż wnioski oraz dokumenty składane w postępowaniu prowadzonym przed konsulem, na podstawie przepisów ustawy o wjeździe obywateli UE, </w:t>
      </w:r>
      <w:r w:rsidR="00222AB2" w:rsidRPr="00774FA7">
        <w:rPr>
          <w:rFonts w:ascii="Times New Roman" w:eastAsia="Calibri" w:hAnsi="Times New Roman" w:cs="Times New Roman"/>
          <w:sz w:val="24"/>
          <w:szCs w:val="24"/>
        </w:rPr>
        <w:t xml:space="preserve">składa się </w:t>
      </w:r>
      <w:r w:rsidRPr="00774FA7">
        <w:rPr>
          <w:rFonts w:ascii="Times New Roman" w:eastAsia="Calibri" w:hAnsi="Times New Roman" w:cs="Times New Roman"/>
          <w:sz w:val="24"/>
          <w:szCs w:val="24"/>
        </w:rPr>
        <w:t xml:space="preserve">w języku polskim lub języku wyznaczonym przez konsula. Powyższa zmiana ma na celu  ujednolicenie przepisów ww. ustawy z analogicznym przepisem  ustawy o cudzoziemcach (art. 8 ust. 3) oraz wyeliminowanie rozbieżności w postępowaniach w sprawie wydania wiz prowadzonych na podstawie ustawy o cudzoziemcach oraz ustawy o wjeździe obywateli UE. </w:t>
      </w:r>
    </w:p>
    <w:p w14:paraId="1A00C2B6" w14:textId="448C6311"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w art. 8 </w:t>
      </w:r>
      <w:r w:rsidR="000D4862">
        <w:rPr>
          <w:rFonts w:ascii="Times New Roman" w:eastAsia="Calibri" w:hAnsi="Times New Roman" w:cs="Times New Roman"/>
          <w:sz w:val="24"/>
          <w:szCs w:val="24"/>
        </w:rPr>
        <w:t xml:space="preserve">w </w:t>
      </w:r>
      <w:r w:rsidRPr="00774FA7">
        <w:rPr>
          <w:rFonts w:ascii="Times New Roman" w:eastAsia="Calibri" w:hAnsi="Times New Roman" w:cs="Times New Roman"/>
          <w:sz w:val="24"/>
          <w:szCs w:val="24"/>
        </w:rPr>
        <w:t xml:space="preserve">pkt 14 ustawy o wjeździe obywateli UE ma na celu  ujednolicenie przepisów ww. ustawy z brzmieniem analogicznych przepisów ustawy o cudzoziemcach (np. art. 13 pkt 24, art. 15, </w:t>
      </w:r>
      <w:r w:rsidR="005B6873" w:rsidRPr="00774FA7">
        <w:rPr>
          <w:rFonts w:ascii="Times New Roman" w:eastAsia="Calibri" w:hAnsi="Times New Roman" w:cs="Times New Roman"/>
          <w:sz w:val="24"/>
          <w:szCs w:val="24"/>
        </w:rPr>
        <w:t xml:space="preserve">czy </w:t>
      </w:r>
      <w:r w:rsidRPr="00774FA7">
        <w:rPr>
          <w:rFonts w:ascii="Times New Roman" w:eastAsia="Calibri" w:hAnsi="Times New Roman" w:cs="Times New Roman"/>
          <w:sz w:val="24"/>
          <w:szCs w:val="24"/>
        </w:rPr>
        <w:t>art. 241) oraz wyeliminowanie rozbieżności co do zakresu przechowywanych danych obywateli UE oraz członków ich rodzin.</w:t>
      </w:r>
    </w:p>
    <w:p w14:paraId="2A3A8979" w14:textId="14DAADAB"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przepisach ogólnych ustawy o wjeździe obywateli UE dodano również art. </w:t>
      </w:r>
      <w:r w:rsidR="00552F95" w:rsidRPr="00774FA7">
        <w:rPr>
          <w:rFonts w:ascii="Times New Roman" w:eastAsia="Calibri" w:hAnsi="Times New Roman" w:cs="Times New Roman"/>
          <w:sz w:val="24"/>
          <w:szCs w:val="24"/>
        </w:rPr>
        <w:t>8</w:t>
      </w:r>
      <w:r w:rsidR="00552F95">
        <w:rPr>
          <w:rFonts w:ascii="Times New Roman" w:eastAsia="Calibri" w:hAnsi="Times New Roman" w:cs="Times New Roman"/>
          <w:sz w:val="24"/>
          <w:szCs w:val="24"/>
        </w:rPr>
        <w:t>b</w:t>
      </w:r>
      <w:r w:rsidR="00552F95"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określający</w:t>
      </w:r>
      <w:r w:rsidR="004756C5" w:rsidRPr="00774FA7">
        <w:rPr>
          <w:rFonts w:ascii="Times New Roman" w:eastAsia="Calibri" w:hAnsi="Times New Roman" w:cs="Times New Roman"/>
          <w:sz w:val="24"/>
          <w:szCs w:val="24"/>
        </w:rPr>
        <w:t xml:space="preserve"> wiek osoby</w:t>
      </w:r>
      <w:r w:rsidR="00E04133" w:rsidRPr="00774FA7">
        <w:rPr>
          <w:rFonts w:ascii="Times New Roman" w:eastAsia="Calibri" w:hAnsi="Times New Roman" w:cs="Times New Roman"/>
          <w:sz w:val="24"/>
          <w:szCs w:val="24"/>
        </w:rPr>
        <w:t>,</w:t>
      </w:r>
      <w:r w:rsidR="004756C5" w:rsidRPr="00774FA7">
        <w:rPr>
          <w:rFonts w:ascii="Times New Roman" w:eastAsia="Calibri" w:hAnsi="Times New Roman" w:cs="Times New Roman"/>
          <w:sz w:val="24"/>
          <w:szCs w:val="24"/>
        </w:rPr>
        <w:t xml:space="preserve"> od której są pobierane odcisków linii papilarnych oraz</w:t>
      </w:r>
      <w:r w:rsidRPr="00774FA7">
        <w:rPr>
          <w:rFonts w:ascii="Times New Roman" w:eastAsia="Calibri" w:hAnsi="Times New Roman" w:cs="Times New Roman"/>
          <w:sz w:val="24"/>
          <w:szCs w:val="24"/>
        </w:rPr>
        <w:t xml:space="preserve"> sposób </w:t>
      </w:r>
      <w:r w:rsidR="004756C5" w:rsidRPr="00774FA7">
        <w:rPr>
          <w:rFonts w:ascii="Times New Roman" w:eastAsia="Calibri" w:hAnsi="Times New Roman" w:cs="Times New Roman"/>
          <w:sz w:val="24"/>
          <w:szCs w:val="24"/>
        </w:rPr>
        <w:t xml:space="preserve">ich </w:t>
      </w:r>
      <w:r w:rsidRPr="00774FA7">
        <w:rPr>
          <w:rFonts w:ascii="Times New Roman" w:eastAsia="Calibri" w:hAnsi="Times New Roman" w:cs="Times New Roman"/>
          <w:sz w:val="24"/>
          <w:szCs w:val="24"/>
        </w:rPr>
        <w:t>pobierania</w:t>
      </w:r>
      <w:r w:rsidR="00E04133" w:rsidRPr="00774FA7">
        <w:rPr>
          <w:rFonts w:ascii="Times New Roman" w:eastAsia="Calibri" w:hAnsi="Times New Roman" w:cs="Times New Roman"/>
          <w:sz w:val="24"/>
          <w:szCs w:val="24"/>
        </w:rPr>
        <w:t xml:space="preserve">. Powyższe jest efektem </w:t>
      </w:r>
      <w:r w:rsidRPr="00774FA7">
        <w:rPr>
          <w:rFonts w:ascii="Times New Roman" w:eastAsia="Calibri" w:hAnsi="Times New Roman" w:cs="Times New Roman"/>
          <w:sz w:val="24"/>
          <w:szCs w:val="24"/>
        </w:rPr>
        <w:t>wprowadzeni</w:t>
      </w:r>
      <w:r w:rsidR="00E04133" w:rsidRPr="00774FA7">
        <w:rPr>
          <w:rFonts w:ascii="Times New Roman" w:eastAsia="Calibri" w:hAnsi="Times New Roman" w:cs="Times New Roman"/>
          <w:sz w:val="24"/>
          <w:szCs w:val="24"/>
        </w:rPr>
        <w:t>a</w:t>
      </w:r>
      <w:r w:rsidRPr="00774FA7">
        <w:rPr>
          <w:rFonts w:ascii="Times New Roman" w:eastAsia="Calibri" w:hAnsi="Times New Roman" w:cs="Times New Roman"/>
          <w:sz w:val="24"/>
          <w:szCs w:val="24"/>
        </w:rPr>
        <w:t xml:space="preserve"> uregulowań pozwalających na zamieszczanie obrazu linii papilarnych w karcie pobytowej i w karcie stałego pobytu</w:t>
      </w:r>
      <w:r w:rsidR="00502A01" w:rsidRPr="00774FA7">
        <w:rPr>
          <w:rFonts w:ascii="Times New Roman" w:eastAsia="Calibri" w:hAnsi="Times New Roman" w:cs="Times New Roman"/>
          <w:sz w:val="24"/>
          <w:szCs w:val="24"/>
        </w:rPr>
        <w:t xml:space="preserve"> oraz w dokumentach, które będą wydawane obywatelom </w:t>
      </w:r>
      <w:r w:rsidR="003941D1" w:rsidRPr="00774FA7">
        <w:rPr>
          <w:rFonts w:ascii="Times New Roman" w:eastAsia="Calibri" w:hAnsi="Times New Roman" w:cs="Times New Roman"/>
          <w:sz w:val="24"/>
          <w:szCs w:val="24"/>
        </w:rPr>
        <w:t xml:space="preserve">Zjednoczonego Królestwa </w:t>
      </w:r>
      <w:r w:rsidR="00502A01" w:rsidRPr="00774FA7">
        <w:rPr>
          <w:rFonts w:ascii="Times New Roman" w:eastAsia="Calibri" w:hAnsi="Times New Roman" w:cs="Times New Roman"/>
          <w:sz w:val="24"/>
          <w:szCs w:val="24"/>
        </w:rPr>
        <w:t>oraz członkom ich rodzin</w:t>
      </w:r>
      <w:r w:rsidR="00E04133" w:rsidRPr="00774FA7">
        <w:rPr>
          <w:rFonts w:ascii="Times New Roman" w:eastAsia="Calibri" w:hAnsi="Times New Roman" w:cs="Times New Roman"/>
          <w:sz w:val="24"/>
          <w:szCs w:val="24"/>
        </w:rPr>
        <w:t xml:space="preserve">, a mianowicie: </w:t>
      </w:r>
      <w:r w:rsidRPr="00774FA7">
        <w:rPr>
          <w:rFonts w:ascii="Times New Roman" w:eastAsia="Calibri" w:hAnsi="Times New Roman" w:cs="Times New Roman"/>
          <w:sz w:val="24"/>
          <w:szCs w:val="24"/>
        </w:rPr>
        <w:t>art. 21 ust. 3a i art. 49 ust 6</w:t>
      </w:r>
      <w:r w:rsidR="00502A01" w:rsidRPr="00774FA7">
        <w:rPr>
          <w:rFonts w:ascii="Times New Roman" w:eastAsia="Calibri" w:hAnsi="Times New Roman" w:cs="Times New Roman"/>
          <w:sz w:val="24"/>
          <w:szCs w:val="24"/>
        </w:rPr>
        <w:t xml:space="preserve"> oraz </w:t>
      </w:r>
      <w:r w:rsidR="00A153B8" w:rsidRPr="00774FA7">
        <w:rPr>
          <w:rFonts w:ascii="Times New Roman" w:eastAsia="Calibri" w:hAnsi="Times New Roman" w:cs="Times New Roman"/>
          <w:sz w:val="24"/>
          <w:szCs w:val="24"/>
        </w:rPr>
        <w:t xml:space="preserve">przepisów </w:t>
      </w:r>
      <w:r w:rsidR="008C644A" w:rsidRPr="00774FA7">
        <w:rPr>
          <w:rFonts w:ascii="Times New Roman" w:eastAsia="Calibri" w:hAnsi="Times New Roman" w:cs="Times New Roman"/>
          <w:sz w:val="24"/>
          <w:szCs w:val="24"/>
        </w:rPr>
        <w:t>rozdział</w:t>
      </w:r>
      <w:r w:rsidR="00A153B8" w:rsidRPr="00774FA7">
        <w:rPr>
          <w:rFonts w:ascii="Times New Roman" w:eastAsia="Calibri" w:hAnsi="Times New Roman" w:cs="Times New Roman"/>
          <w:sz w:val="24"/>
          <w:szCs w:val="24"/>
        </w:rPr>
        <w:t>u</w:t>
      </w:r>
      <w:r w:rsidR="008C644A" w:rsidRPr="00774FA7">
        <w:rPr>
          <w:rFonts w:ascii="Times New Roman" w:eastAsia="Calibri" w:hAnsi="Times New Roman" w:cs="Times New Roman"/>
          <w:sz w:val="24"/>
          <w:szCs w:val="24"/>
        </w:rPr>
        <w:t xml:space="preserve"> 4a</w:t>
      </w:r>
      <w:r w:rsidRPr="00774FA7">
        <w:rPr>
          <w:rFonts w:ascii="Times New Roman" w:eastAsia="Calibri" w:hAnsi="Times New Roman" w:cs="Times New Roman"/>
          <w:sz w:val="24"/>
          <w:szCs w:val="24"/>
        </w:rPr>
        <w:t xml:space="preserve">. Powyższa regulacja prawna wynika z konieczności wprowadzenia rozwiązań prawnych pozwalających na wydawanie ww. dokumentów zgodnie </w:t>
      </w:r>
      <w:r w:rsidR="00262298" w:rsidRPr="00774FA7">
        <w:rPr>
          <w:rFonts w:ascii="Times New Roman" w:eastAsia="Calibri" w:hAnsi="Times New Roman" w:cs="Times New Roman"/>
          <w:sz w:val="24"/>
          <w:szCs w:val="24"/>
        </w:rPr>
        <w:t xml:space="preserve">z </w:t>
      </w:r>
      <w:r w:rsidRPr="00774FA7">
        <w:rPr>
          <w:rFonts w:ascii="Times New Roman" w:eastAsia="Calibri" w:hAnsi="Times New Roman" w:cs="Times New Roman"/>
          <w:sz w:val="24"/>
          <w:szCs w:val="24"/>
        </w:rPr>
        <w:t>formatem przewidzianym w rozporządzeniu Rady (WE) nr 1030/2002, jak stanowi art. 7 ust. 1 rozporządzenia Rady (UE) 2019/1157</w:t>
      </w:r>
      <w:r w:rsidR="00095E95">
        <w:rPr>
          <w:rFonts w:ascii="Times New Roman" w:eastAsia="Calibri" w:hAnsi="Times New Roman" w:cs="Times New Roman"/>
          <w:sz w:val="24"/>
          <w:szCs w:val="24"/>
        </w:rPr>
        <w:t>,</w:t>
      </w:r>
      <w:r w:rsidR="008C644A" w:rsidRPr="00774FA7">
        <w:rPr>
          <w:rFonts w:ascii="Times New Roman" w:eastAsia="Calibri" w:hAnsi="Times New Roman" w:cs="Times New Roman"/>
          <w:sz w:val="24"/>
          <w:szCs w:val="24"/>
        </w:rPr>
        <w:t xml:space="preserve"> oraz art. 1</w:t>
      </w:r>
      <w:r w:rsidR="008C644A" w:rsidRPr="00774FA7">
        <w:t xml:space="preserve"> </w:t>
      </w:r>
      <w:r w:rsidR="008C644A" w:rsidRPr="00774FA7">
        <w:rPr>
          <w:rFonts w:ascii="Times New Roman" w:eastAsia="Calibri" w:hAnsi="Times New Roman" w:cs="Times New Roman"/>
          <w:sz w:val="24"/>
          <w:szCs w:val="24"/>
        </w:rPr>
        <w:t>Decyzji wykonawczej nr C(2020)</w:t>
      </w:r>
      <w:r w:rsidR="00A153B8" w:rsidRPr="00774FA7">
        <w:rPr>
          <w:rFonts w:ascii="Times New Roman" w:eastAsia="Calibri" w:hAnsi="Times New Roman" w:cs="Times New Roman"/>
          <w:sz w:val="24"/>
          <w:szCs w:val="24"/>
        </w:rPr>
        <w:t xml:space="preserve"> </w:t>
      </w:r>
      <w:r w:rsidR="008C644A" w:rsidRPr="00774FA7">
        <w:rPr>
          <w:rFonts w:ascii="Times New Roman" w:eastAsia="Calibri" w:hAnsi="Times New Roman" w:cs="Times New Roman"/>
          <w:sz w:val="24"/>
          <w:szCs w:val="24"/>
        </w:rPr>
        <w:t>1114</w:t>
      </w:r>
      <w:r w:rsidR="00A153B8"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Przepis wzorowany jest na art. 14 ustawy o cudzoziemcach, który  przewiduje, iż odciski linii papilarnych pobiera się za pomocą kart daktyloskopijnych lub urządzenia elektronicznego do pobierania odcisków</w:t>
      </w:r>
      <w:r w:rsidR="00107605" w:rsidRPr="00774FA7">
        <w:t xml:space="preserve"> </w:t>
      </w:r>
      <w:r w:rsidR="00107605" w:rsidRPr="00774FA7">
        <w:rPr>
          <w:rFonts w:ascii="Times New Roman" w:eastAsia="Calibri" w:hAnsi="Times New Roman" w:cs="Times New Roman"/>
          <w:sz w:val="24"/>
          <w:szCs w:val="24"/>
        </w:rPr>
        <w:t>od osoby, która do dnia złożenia wniosku o wyd</w:t>
      </w:r>
      <w:r w:rsidR="005B6873" w:rsidRPr="00774FA7">
        <w:rPr>
          <w:rFonts w:ascii="Times New Roman" w:eastAsia="Calibri" w:hAnsi="Times New Roman" w:cs="Times New Roman"/>
          <w:sz w:val="24"/>
          <w:szCs w:val="24"/>
        </w:rPr>
        <w:t>anie tej karty ukończyła 6. rok</w:t>
      </w:r>
      <w:r w:rsidR="00107605" w:rsidRPr="00774FA7">
        <w:rPr>
          <w:rFonts w:ascii="Times New Roman" w:eastAsia="Calibri" w:hAnsi="Times New Roman" w:cs="Times New Roman"/>
          <w:sz w:val="24"/>
          <w:szCs w:val="24"/>
        </w:rPr>
        <w:t xml:space="preserve"> życia</w:t>
      </w:r>
      <w:r w:rsidRPr="00774FA7">
        <w:rPr>
          <w:rFonts w:ascii="Times New Roman" w:eastAsia="Calibri" w:hAnsi="Times New Roman" w:cs="Times New Roman"/>
          <w:sz w:val="24"/>
          <w:szCs w:val="24"/>
        </w:rPr>
        <w:t xml:space="preserve">.  </w:t>
      </w:r>
    </w:p>
    <w:p w14:paraId="22B8BA21" w14:textId="2670C9AC"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Zmiana w art. 9 ust. 3</w:t>
      </w:r>
      <w:r w:rsidR="00A72999" w:rsidRPr="00774FA7">
        <w:rPr>
          <w:rFonts w:ascii="Times New Roman" w:eastAsia="Calibri" w:hAnsi="Times New Roman" w:cs="Times New Roman"/>
          <w:sz w:val="24"/>
          <w:szCs w:val="24"/>
        </w:rPr>
        <w:t xml:space="preserve"> pkt 1</w:t>
      </w:r>
      <w:r w:rsidRPr="00774FA7">
        <w:rPr>
          <w:rFonts w:ascii="Times New Roman" w:eastAsia="Calibri" w:hAnsi="Times New Roman" w:cs="Times New Roman"/>
          <w:sz w:val="24"/>
          <w:szCs w:val="24"/>
        </w:rPr>
        <w:t xml:space="preserve"> ma charakter porządkujący. W miejsce odesłania </w:t>
      </w:r>
      <w:r w:rsidR="00262298" w:rsidRPr="00774FA7">
        <w:rPr>
          <w:rFonts w:ascii="Times New Roman" w:eastAsia="Calibri" w:hAnsi="Times New Roman" w:cs="Times New Roman"/>
          <w:sz w:val="24"/>
          <w:szCs w:val="24"/>
        </w:rPr>
        <w:t xml:space="preserve">do </w:t>
      </w:r>
      <w:r w:rsidRPr="00774FA7">
        <w:rPr>
          <w:rFonts w:ascii="Times New Roman" w:eastAsia="Calibri" w:hAnsi="Times New Roman" w:cs="Times New Roman"/>
          <w:sz w:val="24"/>
          <w:szCs w:val="24"/>
        </w:rPr>
        <w:t xml:space="preserve">nieobowiązującego już rozporządzenia Rady (WE) nr 539/2001 z dnia 15 marca 2001 r. </w:t>
      </w:r>
      <w:r w:rsidR="00262298" w:rsidRPr="00774FA7">
        <w:rPr>
          <w:rFonts w:ascii="Times New Roman" w:eastAsia="Calibri" w:hAnsi="Times New Roman" w:cs="Times New Roman"/>
          <w:sz w:val="24"/>
          <w:szCs w:val="24"/>
        </w:rPr>
        <w:t xml:space="preserve">wymieniającego </w:t>
      </w:r>
      <w:r w:rsidRPr="00774FA7">
        <w:rPr>
          <w:rFonts w:ascii="Times New Roman" w:eastAsia="Calibri" w:hAnsi="Times New Roman" w:cs="Times New Roman"/>
          <w:sz w:val="24"/>
          <w:szCs w:val="24"/>
        </w:rPr>
        <w:t xml:space="preserve">państwa trzecie, których obywatele muszą posiadać wizy podczas przekraczania granic zewnętrznych, oraz te, których obywatele są zwolnieni z tego wymogu (Dz. Urz. WE L 81 z 21.03.2001, str. 1) wprowadzono </w:t>
      </w:r>
      <w:r w:rsidR="00262298" w:rsidRPr="00774FA7">
        <w:rPr>
          <w:rFonts w:ascii="Times New Roman" w:eastAsia="Calibri" w:hAnsi="Times New Roman" w:cs="Times New Roman"/>
          <w:sz w:val="24"/>
          <w:szCs w:val="24"/>
        </w:rPr>
        <w:t xml:space="preserve">odesłanie do </w:t>
      </w:r>
      <w:r w:rsidRPr="00774FA7">
        <w:rPr>
          <w:rFonts w:ascii="Times New Roman" w:eastAsia="Calibri" w:hAnsi="Times New Roman" w:cs="Times New Roman"/>
          <w:sz w:val="24"/>
          <w:szCs w:val="24"/>
        </w:rPr>
        <w:t>rozporządzeni</w:t>
      </w:r>
      <w:r w:rsidR="00262298" w:rsidRPr="00774FA7">
        <w:rPr>
          <w:rFonts w:ascii="Times New Roman" w:eastAsia="Calibri" w:hAnsi="Times New Roman" w:cs="Times New Roman"/>
          <w:sz w:val="24"/>
          <w:szCs w:val="24"/>
        </w:rPr>
        <w:t>a</w:t>
      </w:r>
      <w:r w:rsidRPr="00774FA7">
        <w:rPr>
          <w:rFonts w:ascii="Times New Roman" w:eastAsia="Calibri" w:hAnsi="Times New Roman" w:cs="Times New Roman"/>
          <w:sz w:val="24"/>
          <w:szCs w:val="24"/>
        </w:rPr>
        <w:t xml:space="preserve"> Parlamentu Europejskiego i Rady (UE) 2018/1806 z dnia 14 listopada 2018 r. wymieniając</w:t>
      </w:r>
      <w:r w:rsidR="00095E95">
        <w:rPr>
          <w:rFonts w:ascii="Times New Roman" w:eastAsia="Calibri" w:hAnsi="Times New Roman" w:cs="Times New Roman"/>
          <w:sz w:val="24"/>
          <w:szCs w:val="24"/>
        </w:rPr>
        <w:t>ego</w:t>
      </w:r>
      <w:r w:rsidRPr="00774FA7">
        <w:rPr>
          <w:rFonts w:ascii="Times New Roman" w:eastAsia="Calibri" w:hAnsi="Times New Roman" w:cs="Times New Roman"/>
          <w:sz w:val="24"/>
          <w:szCs w:val="24"/>
        </w:rPr>
        <w:t xml:space="preserve"> państwa trzecie, których obywatele muszą posiadać wizy podczas przekraczania granic zewnętrznych, oraz te, których obywatele są zwolnieni z tego wymogu (Dz. Urz. UE L 303 z 28.11.2018, str. 39)</w:t>
      </w:r>
      <w:r w:rsidR="00095E95">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5F1DAE">
        <w:rPr>
          <w:rFonts w:ascii="Times New Roman" w:eastAsia="Calibri" w:hAnsi="Times New Roman" w:cs="Times New Roman"/>
          <w:sz w:val="24"/>
          <w:szCs w:val="24"/>
        </w:rPr>
        <w:t>W pkt 2 ww. przepisu uwzględniono natomiast</w:t>
      </w:r>
      <w:r w:rsidR="005F1DAE" w:rsidRPr="005F1DAE">
        <w:rPr>
          <w:rFonts w:ascii="Times New Roman" w:eastAsia="Calibri" w:hAnsi="Times New Roman" w:cs="Times New Roman"/>
          <w:sz w:val="24"/>
          <w:szCs w:val="24"/>
        </w:rPr>
        <w:t xml:space="preserve"> </w:t>
      </w:r>
      <w:r w:rsidR="005F1DAE" w:rsidRPr="00774FA7">
        <w:rPr>
          <w:rFonts w:ascii="Times New Roman" w:eastAsia="Calibri" w:hAnsi="Times New Roman" w:cs="Times New Roman"/>
          <w:sz w:val="24"/>
          <w:szCs w:val="24"/>
        </w:rPr>
        <w:t>członków rodziny obywateli Zjednoczonego Królestwa</w:t>
      </w:r>
      <w:r w:rsidR="005F1DAE">
        <w:rPr>
          <w:rFonts w:ascii="Times New Roman" w:eastAsia="Calibri" w:hAnsi="Times New Roman" w:cs="Times New Roman"/>
          <w:sz w:val="24"/>
          <w:szCs w:val="24"/>
        </w:rPr>
        <w:t xml:space="preserve"> oraz zmieniono odesłanie wskazując,</w:t>
      </w:r>
      <w:r w:rsidR="005F1DAE"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w miejsce ustawy z dnia 13 czerwca 2003 r. o cudzoziemcach - ustawę z dnia 12 grudnia 2013 r. o cudzoziemcach</w:t>
      </w:r>
      <w:r w:rsidR="000B7281" w:rsidRPr="00774FA7">
        <w:rPr>
          <w:rFonts w:ascii="Times New Roman" w:eastAsia="Calibri" w:hAnsi="Times New Roman" w:cs="Times New Roman"/>
          <w:sz w:val="24"/>
          <w:szCs w:val="24"/>
        </w:rPr>
        <w:t>.</w:t>
      </w:r>
      <w:r w:rsidR="00A72999" w:rsidRPr="00774FA7">
        <w:rPr>
          <w:rFonts w:ascii="Times New Roman" w:eastAsia="Calibri" w:hAnsi="Times New Roman" w:cs="Times New Roman"/>
          <w:sz w:val="24"/>
          <w:szCs w:val="24"/>
        </w:rPr>
        <w:t xml:space="preserve"> </w:t>
      </w:r>
      <w:r w:rsidR="008E26E5" w:rsidRPr="00774FA7">
        <w:rPr>
          <w:rFonts w:ascii="Times New Roman" w:eastAsia="Calibri" w:hAnsi="Times New Roman" w:cs="Times New Roman"/>
          <w:sz w:val="24"/>
          <w:szCs w:val="24"/>
        </w:rPr>
        <w:t xml:space="preserve"> </w:t>
      </w:r>
    </w:p>
    <w:p w14:paraId="23C94F4B" w14:textId="4D421CBA"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 xml:space="preserve">Niniejszy projekt dokonuje zmiany </w:t>
      </w:r>
      <w:r w:rsidR="005F1DAE">
        <w:rPr>
          <w:rFonts w:ascii="Times New Roman" w:eastAsia="Calibri" w:hAnsi="Times New Roman" w:cs="Times New Roman"/>
          <w:sz w:val="24"/>
          <w:szCs w:val="24"/>
        </w:rPr>
        <w:t xml:space="preserve">brzmienia </w:t>
      </w:r>
      <w:r w:rsidRPr="00774FA7">
        <w:rPr>
          <w:rFonts w:ascii="Times New Roman" w:eastAsia="Calibri" w:hAnsi="Times New Roman" w:cs="Times New Roman"/>
          <w:sz w:val="24"/>
          <w:szCs w:val="24"/>
        </w:rPr>
        <w:t>art. 10 ust. 2 ustawy o wjeździe obywateli UE</w:t>
      </w:r>
      <w:r w:rsidR="00E04133"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wprowadz</w:t>
      </w:r>
      <w:r w:rsidR="00E04133" w:rsidRPr="00774FA7">
        <w:rPr>
          <w:rFonts w:ascii="Times New Roman" w:eastAsia="Calibri" w:hAnsi="Times New Roman" w:cs="Times New Roman"/>
          <w:sz w:val="24"/>
          <w:szCs w:val="24"/>
        </w:rPr>
        <w:t>a</w:t>
      </w:r>
      <w:r w:rsidR="005F1DAE">
        <w:rPr>
          <w:rFonts w:ascii="Times New Roman" w:eastAsia="Calibri" w:hAnsi="Times New Roman" w:cs="Times New Roman"/>
          <w:sz w:val="24"/>
          <w:szCs w:val="24"/>
        </w:rPr>
        <w:t>jąc</w:t>
      </w:r>
      <w:r w:rsidR="00E04133" w:rsidRPr="00774FA7">
        <w:rPr>
          <w:rFonts w:ascii="Times New Roman" w:eastAsia="Calibri" w:hAnsi="Times New Roman" w:cs="Times New Roman"/>
          <w:sz w:val="24"/>
          <w:szCs w:val="24"/>
        </w:rPr>
        <w:t xml:space="preserve">  w pkt 1 oraz 3-5  </w:t>
      </w:r>
      <w:r w:rsidRPr="00774FA7">
        <w:rPr>
          <w:rFonts w:ascii="Times New Roman" w:eastAsia="Calibri" w:hAnsi="Times New Roman" w:cs="Times New Roman"/>
          <w:sz w:val="24"/>
          <w:szCs w:val="24"/>
        </w:rPr>
        <w:t>nowe przesłanki odmowy wydania wizy przez konsula:</w:t>
      </w:r>
    </w:p>
    <w:p w14:paraId="7CF3B8C6" w14:textId="2E3A4A61" w:rsidR="00076C40" w:rsidRPr="00774FA7" w:rsidRDefault="00076C40" w:rsidP="004F6DC6">
      <w:pPr>
        <w:numPr>
          <w:ilvl w:val="0"/>
          <w:numId w:val="17"/>
        </w:numPr>
        <w:spacing w:after="0" w:line="288" w:lineRule="auto"/>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pkt 1 określono, iż odmowa wydania wizy będzie następować, jeżeli członek rodziny niebędący obywatelem UE w postępowaniu o wydanie tej wizy nie wykaże, iż spełnił przesłanki uzasadniające jej wydanie. Zaproponowany przepis pozwoli na wydanie decyzji o odmowie wydania wizy w przypadku, kiedy osoba wnioskująca o wydanie wizy nie będzie uprawniona do korzystania ze swobody przepływu osób. Jak </w:t>
      </w:r>
      <w:r w:rsidR="00222AB2" w:rsidRPr="00774FA7">
        <w:rPr>
          <w:rFonts w:ascii="Times New Roman" w:eastAsia="Calibri" w:hAnsi="Times New Roman" w:cs="Times New Roman"/>
          <w:sz w:val="24"/>
          <w:szCs w:val="24"/>
        </w:rPr>
        <w:t xml:space="preserve">wynika </w:t>
      </w:r>
      <w:r w:rsidRPr="00774FA7">
        <w:rPr>
          <w:rFonts w:ascii="Times New Roman" w:eastAsia="Calibri" w:hAnsi="Times New Roman" w:cs="Times New Roman"/>
          <w:sz w:val="24"/>
          <w:szCs w:val="24"/>
        </w:rPr>
        <w:t xml:space="preserve">bowiem </w:t>
      </w:r>
      <w:r w:rsidR="00DE54F5" w:rsidRPr="00774FA7">
        <w:rPr>
          <w:rFonts w:ascii="Times New Roman" w:eastAsia="Calibri" w:hAnsi="Times New Roman" w:cs="Times New Roman"/>
          <w:sz w:val="24"/>
          <w:szCs w:val="24"/>
        </w:rPr>
        <w:t>z</w:t>
      </w:r>
      <w:r w:rsidRPr="00774FA7">
        <w:rPr>
          <w:rFonts w:ascii="Times New Roman" w:eastAsia="Calibri" w:hAnsi="Times New Roman" w:cs="Times New Roman"/>
          <w:sz w:val="24"/>
          <w:szCs w:val="24"/>
        </w:rPr>
        <w:t xml:space="preserve"> art. 5 ust. 2 dyrektywy 2004/38/WE, państwa członkowskie mogą wymagać, aby członkowie rodziny towarzyszący obywatelowi UE lub dołączający do niego posiadali wizy wjazdowe. Tacy członkowie rodziny mają nie tylko prawo wjazdu na terytorium tego państwa członkowskiego, lecz również prawo uzyskania wizy wjazdowej. To odróżnia ich od innych obywateli krajów trzecich, którzy nie mają takiego prawa. Jako że prawo do wizy wjazdowej wynika z relacji rodzinnej z obywatelem UE, państwa członkowskie mogą wymagać jedynie przedstawienia ważnego paszportu i dowodu potwierdzającego istnienie relacji rodzinnej</w:t>
      </w:r>
      <w:r w:rsidR="00262298"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p>
    <w:p w14:paraId="2D047D8A" w14:textId="422525D3" w:rsidR="00076C40" w:rsidRPr="00774FA7" w:rsidRDefault="00076C40" w:rsidP="004F6DC6">
      <w:pPr>
        <w:numPr>
          <w:ilvl w:val="0"/>
          <w:numId w:val="17"/>
        </w:numPr>
        <w:spacing w:after="0" w:line="288" w:lineRule="auto"/>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pkt 2 wskazano, iż odmowa wydania wizy nastąpi również w przypadku, gdy wjazd członka rodziny niebędącego obywatelem UE następuje w okresie obowiązywania wpisu jego danych do wykazu cudzoziemców, których pobyt na terytorium Rzeczypospolitej Polskiej jest niepożądany, prowadzonego na podstawie art. 434 ustawy o cudzoziemcach.  </w:t>
      </w:r>
      <w:r w:rsidR="00222AB2" w:rsidRPr="00774FA7">
        <w:rPr>
          <w:rFonts w:ascii="Times New Roman" w:eastAsia="Calibri" w:hAnsi="Times New Roman" w:cs="Times New Roman"/>
          <w:sz w:val="24"/>
          <w:szCs w:val="24"/>
        </w:rPr>
        <w:t>Ww. podstawa odmowy wydania wizy posiada brzmienie identycznej jak przewidziane w art. 10 ust. 2 pkt 1</w:t>
      </w:r>
      <w:r w:rsidRPr="00774FA7">
        <w:rPr>
          <w:rFonts w:ascii="Times New Roman" w:eastAsia="Calibri" w:hAnsi="Times New Roman" w:cs="Times New Roman"/>
          <w:sz w:val="24"/>
          <w:szCs w:val="24"/>
        </w:rPr>
        <w:t xml:space="preserve">obecnie </w:t>
      </w:r>
      <w:r w:rsidR="00222AB2" w:rsidRPr="00774FA7">
        <w:rPr>
          <w:rFonts w:ascii="Times New Roman" w:eastAsia="Calibri" w:hAnsi="Times New Roman" w:cs="Times New Roman"/>
          <w:sz w:val="24"/>
          <w:szCs w:val="24"/>
        </w:rPr>
        <w:t>obowiązującej ustawy</w:t>
      </w:r>
      <w:r w:rsidR="00262298" w:rsidRPr="00774FA7">
        <w:rPr>
          <w:rFonts w:ascii="Times New Roman" w:eastAsia="Calibri" w:hAnsi="Times New Roman" w:cs="Times New Roman"/>
          <w:sz w:val="24"/>
          <w:szCs w:val="24"/>
        </w:rPr>
        <w:t>,</w:t>
      </w:r>
    </w:p>
    <w:p w14:paraId="2050E97B" w14:textId="7C54F045" w:rsidR="00076C40" w:rsidRPr="00774FA7" w:rsidRDefault="00076C40" w:rsidP="004F6DC6">
      <w:pPr>
        <w:numPr>
          <w:ilvl w:val="0"/>
          <w:numId w:val="17"/>
        </w:numPr>
        <w:spacing w:after="0" w:line="288" w:lineRule="auto"/>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pkt 3 określono, iż wizy dla członka rodziny niebędącego obywatelem UE nie wydaje się, jeżeli w postępowaniu w sprawie o wydania wizy członek rodziny obywatela UE złożył wniosek zawierający nieprawdziwe dane osobowe lub fałszywe informacje lub dołączył do niego dokumenty zawierające takie dane lub informacje lub zeznał nieprawdę lub zataił prawdę albo podrobił lub przerobił dokument w celu jego użycia jako autentycznego lub takiego dokumentu używał jako autentycznego</w:t>
      </w:r>
      <w:r w:rsidR="005F1DAE">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p>
    <w:p w14:paraId="5B19DF0F" w14:textId="4E142B89" w:rsidR="00076C40" w:rsidRPr="00774FA7" w:rsidRDefault="00076C40" w:rsidP="004F6DC6">
      <w:pPr>
        <w:spacing w:after="0" w:line="288" w:lineRule="auto"/>
        <w:ind w:left="360"/>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Brzmienie przepisu pozostaje w zgodzie z art. 35 dyrektywy 2004/38/WE i jest  wzorowane na rozwiązaniach prawnych </w:t>
      </w:r>
      <w:r w:rsidR="005F1DAE">
        <w:rPr>
          <w:rFonts w:ascii="Times New Roman" w:eastAsia="Calibri" w:hAnsi="Times New Roman" w:cs="Times New Roman"/>
          <w:sz w:val="24"/>
          <w:szCs w:val="24"/>
        </w:rPr>
        <w:t>zawartych w</w:t>
      </w:r>
      <w:r w:rsidRPr="00774FA7">
        <w:rPr>
          <w:rFonts w:ascii="Times New Roman" w:eastAsia="Calibri" w:hAnsi="Times New Roman" w:cs="Times New Roman"/>
          <w:sz w:val="24"/>
          <w:szCs w:val="24"/>
        </w:rPr>
        <w:t xml:space="preserve"> art. 65 ust. 1 pkt 7 ustawy o cudzoziemcach</w:t>
      </w:r>
      <w:r w:rsidR="005F1DAE">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p>
    <w:p w14:paraId="0A8F3851" w14:textId="76D70BEB" w:rsidR="00076C40" w:rsidRPr="00774FA7" w:rsidRDefault="00076C40" w:rsidP="004F6DC6">
      <w:pPr>
        <w:numPr>
          <w:ilvl w:val="0"/>
          <w:numId w:val="17"/>
        </w:numPr>
        <w:spacing w:after="0" w:line="288" w:lineRule="auto"/>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pkt 4 wskazano, iż odmowa wydania wizy będzie następowała, w przypadku kiedy członek rodziny niebędący obywatelem UE ubiega się on o wydanie wizy w celu obejścia przepisów prawa obowiązujących w innym państwie członkowskim Unii Europejskiej, państwie członkowskim Europejskiego Porozumienia o Wolnym Handlu (EFTA) - strony umowy o Europejskim Obszarze Gospodarczym, Konfederacji Szwajcarskiej regulujących zasady wjazdu na terytorium UE, pobytu oraz wyjazd z tego terytorium</w:t>
      </w:r>
      <w:r w:rsidR="005F1DAE">
        <w:rPr>
          <w:rFonts w:ascii="Times New Roman" w:eastAsia="Times New Roman" w:hAnsi="Times New Roman" w:cs="Times New Roman"/>
          <w:sz w:val="24"/>
          <w:szCs w:val="24"/>
        </w:rPr>
        <w:t>.</w:t>
      </w:r>
      <w:r w:rsidRPr="00774FA7">
        <w:rPr>
          <w:rFonts w:ascii="Times New Roman" w:eastAsia="Times New Roman" w:hAnsi="Times New Roman" w:cs="Times New Roman"/>
          <w:sz w:val="24"/>
          <w:szCs w:val="24"/>
        </w:rPr>
        <w:t xml:space="preserve"> </w:t>
      </w:r>
    </w:p>
    <w:p w14:paraId="33702430" w14:textId="6EC88C55" w:rsidR="00E04133" w:rsidRPr="00774FA7" w:rsidRDefault="00076C40" w:rsidP="004F6DC6">
      <w:pPr>
        <w:spacing w:after="0" w:line="288" w:lineRule="auto"/>
        <w:ind w:left="360"/>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Na wprowadzenie tego typu rozwiązań pozwala art. 35 dyrektywy 2004/38/WE, zgodnie z któr</w:t>
      </w:r>
      <w:r w:rsidR="00DE54F5" w:rsidRPr="00774FA7">
        <w:rPr>
          <w:rFonts w:ascii="Times New Roman" w:eastAsia="Calibri" w:hAnsi="Times New Roman" w:cs="Times New Roman"/>
          <w:sz w:val="24"/>
          <w:szCs w:val="24"/>
        </w:rPr>
        <w:t>ym</w:t>
      </w:r>
      <w:r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i/>
          <w:sz w:val="24"/>
          <w:szCs w:val="24"/>
        </w:rPr>
        <w:t>„Państwa Członkowskie mogą przyjąć niezbędne środki w celu odmowy, zniesienia lub wycofania jakiegokolwiek prawa przyznanego niniejszą dyrektywą w przypadku nadużycia praw lub oszustw”.</w:t>
      </w:r>
      <w:r w:rsidRPr="00774FA7">
        <w:rPr>
          <w:rFonts w:ascii="Times New Roman" w:eastAsia="Calibri" w:hAnsi="Times New Roman" w:cs="Times New Roman"/>
          <w:sz w:val="24"/>
          <w:szCs w:val="24"/>
        </w:rPr>
        <w:t xml:space="preserve"> </w:t>
      </w:r>
    </w:p>
    <w:p w14:paraId="70291815" w14:textId="05BAD28D" w:rsidR="00076C40" w:rsidRPr="00774FA7" w:rsidRDefault="00076C40" w:rsidP="004F6DC6">
      <w:pPr>
        <w:spacing w:after="0" w:line="288" w:lineRule="auto"/>
        <w:ind w:left="360"/>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 xml:space="preserve">Projektowana regulacja jest także zgodna ze stanowiskiem zaprezentowanym przez Komisję Europejską w </w:t>
      </w:r>
      <w:r w:rsidR="00E04133" w:rsidRPr="00774FA7">
        <w:rPr>
          <w:rFonts w:ascii="Times New Roman" w:eastAsia="Calibri" w:hAnsi="Times New Roman" w:cs="Times New Roman"/>
          <w:i/>
          <w:sz w:val="24"/>
          <w:szCs w:val="24"/>
        </w:rPr>
        <w:t>K</w:t>
      </w:r>
      <w:r w:rsidRPr="00774FA7">
        <w:rPr>
          <w:rFonts w:ascii="Times New Roman" w:eastAsia="Calibri" w:hAnsi="Times New Roman" w:cs="Times New Roman"/>
          <w:i/>
          <w:sz w:val="24"/>
          <w:szCs w:val="24"/>
        </w:rPr>
        <w:t>omunikacie Komisji do Parlamentu Europejskiego i Rady wytyczne w celu skuteczniejszej transpozycji i stosowania dyrektywy 2004/38/WE w sprawie prawa obywateli Unii i członków ich rodzin do swobodnego przemieszczania się i pobytu na terytorium państw członkowskich z dnia 2 lipca 2009 r.</w:t>
      </w:r>
      <w:r w:rsidRPr="00774FA7">
        <w:rPr>
          <w:rFonts w:ascii="Times New Roman" w:eastAsia="Calibri" w:hAnsi="Times New Roman" w:cs="Times New Roman"/>
          <w:sz w:val="24"/>
          <w:szCs w:val="24"/>
        </w:rPr>
        <w:t xml:space="preserve"> (KOM (2009) 313). W ww. dokumencie Komisja Europejska wskazała, iż pod pojęciem </w:t>
      </w:r>
      <w:r w:rsidR="00E04133"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oszustwa</w:t>
      </w:r>
      <w:r w:rsidR="00E04133"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należy rozumieć wszelkie manipulacje, wprowadzenie w błąd oraz fałszowanie dokumentów. Pojęcie nadużycia zostało natomiast zdefiniowane jako: </w:t>
      </w:r>
      <w:r w:rsidRPr="00774FA7">
        <w:rPr>
          <w:rFonts w:ascii="Times New Roman" w:eastAsia="Calibri" w:hAnsi="Times New Roman" w:cs="Times New Roman"/>
          <w:i/>
          <w:sz w:val="24"/>
          <w:szCs w:val="24"/>
        </w:rPr>
        <w:t>„zachowanie, którego celem jest wyłącznie uzyskanie wynikającego z dyrektywy prawa do swobodnego przemieszczania się i pobytu, które, mimo że formalnie spełnia kryteria określone w prawie wspólnotowym, nie jest jednak zgodne z celem tego prawa”</w:t>
      </w:r>
      <w:r w:rsidR="00262298" w:rsidRPr="00774FA7">
        <w:rPr>
          <w:rFonts w:ascii="Times New Roman" w:eastAsia="Calibri" w:hAnsi="Times New Roman" w:cs="Times New Roman"/>
          <w:sz w:val="24"/>
          <w:szCs w:val="24"/>
        </w:rPr>
        <w:t>,</w:t>
      </w:r>
    </w:p>
    <w:p w14:paraId="738DC4E1" w14:textId="038E8CD0" w:rsidR="00076C40" w:rsidRPr="00774FA7" w:rsidRDefault="00076C40" w:rsidP="00746BE3">
      <w:pPr>
        <w:numPr>
          <w:ilvl w:val="0"/>
          <w:numId w:val="17"/>
        </w:numPr>
        <w:spacing w:after="0" w:line="288" w:lineRule="auto"/>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pkt 5 wskazano, iż wizy nie wydaje się, jeżeli w postępowaniu w sprawie jej wydania wykazano, że</w:t>
      </w:r>
      <w:r w:rsidRPr="00774FA7">
        <w:rPr>
          <w:rFonts w:ascii="Times New Roman" w:eastAsia="Times New Roman" w:hAnsi="Times New Roman" w:cs="Times New Roman"/>
          <w:sz w:val="24"/>
          <w:szCs w:val="24"/>
          <w:lang w:eastAsia="pl-PL"/>
        </w:rPr>
        <w:t xml:space="preserve"> </w:t>
      </w:r>
      <w:r w:rsidRPr="00774FA7">
        <w:rPr>
          <w:rFonts w:ascii="Times New Roman" w:eastAsia="Calibri" w:hAnsi="Times New Roman" w:cs="Times New Roman"/>
          <w:sz w:val="24"/>
          <w:szCs w:val="24"/>
        </w:rPr>
        <w:t>związek małżeński</w:t>
      </w:r>
      <w:r w:rsidR="00D04C80" w:rsidRPr="00774FA7">
        <w:rPr>
          <w:rFonts w:ascii="Times New Roman" w:eastAsia="Calibri" w:hAnsi="Times New Roman" w:cs="Times New Roman"/>
          <w:sz w:val="24"/>
          <w:szCs w:val="24"/>
        </w:rPr>
        <w:t xml:space="preserve"> z obywatelem UE lub obywatelem Rzeczypospolitej Polskiej</w:t>
      </w:r>
      <w:r w:rsidRPr="00774FA7">
        <w:rPr>
          <w:rFonts w:ascii="Times New Roman" w:eastAsia="Calibri" w:hAnsi="Times New Roman" w:cs="Times New Roman"/>
          <w:sz w:val="24"/>
          <w:szCs w:val="24"/>
        </w:rPr>
        <w:t xml:space="preserve"> został zawarty w celu obejścia przepisów określających zasady i warunki wjazdu obywateli UE i członków ich rodzin na terytorium Rzeczypospolitej Polskiej, ich przejazdu przez to terytorium, pobytu na nim i wyjazdu z niego. Zmiana redakcji przepisu i dodanie nowych przesłanek służy realizacji celu określonego w motywie 28 preambuły, a także uwzględnia art. 35 dyrektywy 2004/38/WE, który pozwala na wprowadzenie niezbędnych środków w celu odmowy, zniesienia lub wycofania prawa przyznanego ww. dyrektywą w przypadku nadużycia praw lub oszustw, na przykład małżeństw fikcyjnych. Brzmienie tego przepisu jest wzorowane na uregulowaniach ustawy o cudzoziemcach. </w:t>
      </w:r>
      <w:r w:rsidR="00746BE3" w:rsidRPr="00746BE3">
        <w:rPr>
          <w:rFonts w:ascii="Times New Roman" w:eastAsia="Calibri" w:hAnsi="Times New Roman" w:cs="Times New Roman"/>
          <w:sz w:val="24"/>
          <w:szCs w:val="24"/>
        </w:rPr>
        <w:t>Należy</w:t>
      </w:r>
      <w:r w:rsidR="00746BE3">
        <w:rPr>
          <w:rFonts w:ascii="Times New Roman" w:eastAsia="Calibri" w:hAnsi="Times New Roman" w:cs="Times New Roman"/>
          <w:sz w:val="24"/>
          <w:szCs w:val="24"/>
        </w:rPr>
        <w:t xml:space="preserve"> </w:t>
      </w:r>
      <w:r w:rsidR="00746BE3" w:rsidRPr="00746BE3">
        <w:rPr>
          <w:rFonts w:ascii="Times New Roman" w:eastAsia="Calibri" w:hAnsi="Times New Roman" w:cs="Times New Roman"/>
          <w:sz w:val="24"/>
          <w:szCs w:val="24"/>
        </w:rPr>
        <w:t xml:space="preserve"> </w:t>
      </w:r>
      <w:r w:rsidR="00746BE3">
        <w:rPr>
          <w:rFonts w:ascii="Times New Roman" w:eastAsia="Calibri" w:hAnsi="Times New Roman" w:cs="Times New Roman"/>
          <w:sz w:val="24"/>
          <w:szCs w:val="24"/>
        </w:rPr>
        <w:t xml:space="preserve"> </w:t>
      </w:r>
      <w:r w:rsidR="00746BE3" w:rsidRPr="00746BE3">
        <w:rPr>
          <w:rFonts w:ascii="Times New Roman" w:eastAsia="Calibri" w:hAnsi="Times New Roman" w:cs="Times New Roman"/>
          <w:sz w:val="24"/>
          <w:szCs w:val="24"/>
        </w:rPr>
        <w:t>podkreślić, iż</w:t>
      </w:r>
      <w:r w:rsidR="00746BE3">
        <w:rPr>
          <w:rFonts w:ascii="Times New Roman" w:eastAsia="Calibri" w:hAnsi="Times New Roman" w:cs="Times New Roman"/>
          <w:sz w:val="24"/>
          <w:szCs w:val="24"/>
        </w:rPr>
        <w:t xml:space="preserve"> prowadzenie postępowań wyjaśniających w celu wyeliminowania nadużyć prawa </w:t>
      </w:r>
      <w:r w:rsidR="000D4862">
        <w:rPr>
          <w:rFonts w:ascii="Times New Roman" w:eastAsia="Calibri" w:hAnsi="Times New Roman" w:cs="Times New Roman"/>
          <w:sz w:val="24"/>
          <w:szCs w:val="24"/>
        </w:rPr>
        <w:t xml:space="preserve">polegających na zawieraniu </w:t>
      </w:r>
      <w:r w:rsidR="00746BE3">
        <w:rPr>
          <w:rFonts w:ascii="Times New Roman" w:eastAsia="Calibri" w:hAnsi="Times New Roman" w:cs="Times New Roman"/>
          <w:sz w:val="24"/>
          <w:szCs w:val="24"/>
        </w:rPr>
        <w:t xml:space="preserve">fikcyjnych małżeństw jest </w:t>
      </w:r>
      <w:r w:rsidR="00746BE3" w:rsidRPr="00746BE3">
        <w:rPr>
          <w:rFonts w:ascii="Times New Roman" w:eastAsia="Calibri" w:hAnsi="Times New Roman" w:cs="Times New Roman"/>
          <w:sz w:val="24"/>
          <w:szCs w:val="24"/>
        </w:rPr>
        <w:t>dopuszczalne w świetle Załącznik</w:t>
      </w:r>
      <w:r w:rsidR="000D4862">
        <w:rPr>
          <w:rFonts w:ascii="Times New Roman" w:eastAsia="Calibri" w:hAnsi="Times New Roman" w:cs="Times New Roman"/>
          <w:sz w:val="24"/>
          <w:szCs w:val="24"/>
        </w:rPr>
        <w:t>a</w:t>
      </w:r>
      <w:r w:rsidR="00746BE3" w:rsidRPr="00746BE3">
        <w:rPr>
          <w:rFonts w:ascii="Times New Roman" w:eastAsia="Calibri" w:hAnsi="Times New Roman" w:cs="Times New Roman"/>
          <w:sz w:val="24"/>
          <w:szCs w:val="24"/>
        </w:rPr>
        <w:t xml:space="preserve"> do decyzji wykonawczej Komisji zmieniającej decyzję Komisji nr C(2010) 1620 </w:t>
      </w:r>
      <w:proofErr w:type="spellStart"/>
      <w:r w:rsidR="00746BE3" w:rsidRPr="00746BE3">
        <w:rPr>
          <w:rFonts w:ascii="Times New Roman" w:eastAsia="Calibri" w:hAnsi="Times New Roman" w:cs="Times New Roman"/>
          <w:sz w:val="24"/>
          <w:szCs w:val="24"/>
        </w:rPr>
        <w:t>final</w:t>
      </w:r>
      <w:proofErr w:type="spellEnd"/>
      <w:r w:rsidR="00746BE3" w:rsidRPr="00746BE3">
        <w:rPr>
          <w:rFonts w:ascii="Times New Roman" w:eastAsia="Calibri" w:hAnsi="Times New Roman" w:cs="Times New Roman"/>
          <w:sz w:val="24"/>
          <w:szCs w:val="24"/>
        </w:rPr>
        <w:t xml:space="preserve"> z dnia 19 marca 2010 r. ustanawiając</w:t>
      </w:r>
      <w:r w:rsidR="000D4862">
        <w:rPr>
          <w:rFonts w:ascii="Times New Roman" w:eastAsia="Calibri" w:hAnsi="Times New Roman" w:cs="Times New Roman"/>
          <w:sz w:val="24"/>
          <w:szCs w:val="24"/>
        </w:rPr>
        <w:t>ej</w:t>
      </w:r>
      <w:r w:rsidR="00746BE3" w:rsidRPr="00746BE3">
        <w:rPr>
          <w:rFonts w:ascii="Times New Roman" w:eastAsia="Calibri" w:hAnsi="Times New Roman" w:cs="Times New Roman"/>
          <w:sz w:val="24"/>
          <w:szCs w:val="24"/>
        </w:rPr>
        <w:t xml:space="preserve"> podręcznik do rozpatrywania wniosków wizowych i zmieniania wydanych wiz</w:t>
      </w:r>
      <w:r w:rsidR="00746BE3">
        <w:rPr>
          <w:rFonts w:ascii="Times New Roman" w:eastAsia="Calibri" w:hAnsi="Times New Roman" w:cs="Times New Roman"/>
          <w:sz w:val="24"/>
          <w:szCs w:val="24"/>
        </w:rPr>
        <w:t>,</w:t>
      </w:r>
      <w:r w:rsidR="00746BE3" w:rsidRPr="00746BE3">
        <w:t xml:space="preserve"> </w:t>
      </w:r>
      <w:r w:rsidR="00746BE3" w:rsidRPr="00746BE3">
        <w:rPr>
          <w:rFonts w:ascii="Times New Roman" w:eastAsia="Calibri" w:hAnsi="Times New Roman" w:cs="Times New Roman"/>
          <w:sz w:val="24"/>
          <w:szCs w:val="24"/>
        </w:rPr>
        <w:t xml:space="preserve">zwany dalej „Podręcznikiem wizowym”. </w:t>
      </w:r>
      <w:r w:rsidR="00746BE3">
        <w:rPr>
          <w:rFonts w:ascii="Times New Roman" w:eastAsia="Calibri" w:hAnsi="Times New Roman" w:cs="Times New Roman"/>
          <w:sz w:val="24"/>
          <w:szCs w:val="24"/>
        </w:rPr>
        <w:t xml:space="preserve">Podręcznik wizowy </w:t>
      </w:r>
      <w:r w:rsidR="00746BE3" w:rsidRPr="00746BE3">
        <w:rPr>
          <w:rFonts w:ascii="Times New Roman" w:eastAsia="Calibri" w:hAnsi="Times New Roman" w:cs="Times New Roman"/>
          <w:sz w:val="24"/>
          <w:szCs w:val="24"/>
        </w:rPr>
        <w:t>wskazuje na możliwość badania w postępowaniu wizowym</w:t>
      </w:r>
      <w:r w:rsidR="000D4862">
        <w:rPr>
          <w:rFonts w:ascii="Times New Roman" w:eastAsia="Calibri" w:hAnsi="Times New Roman" w:cs="Times New Roman"/>
          <w:sz w:val="24"/>
          <w:szCs w:val="24"/>
        </w:rPr>
        <w:t>,</w:t>
      </w:r>
      <w:r w:rsidR="00746BE3" w:rsidRPr="00746BE3">
        <w:rPr>
          <w:rFonts w:ascii="Times New Roman" w:eastAsia="Calibri" w:hAnsi="Times New Roman" w:cs="Times New Roman"/>
          <w:sz w:val="24"/>
          <w:szCs w:val="24"/>
        </w:rPr>
        <w:t xml:space="preserve"> czy między innymi małżeństwo nie zostało zawarte dla pozoru, wyłącznie w celu uzyskania wizy. W ww. dokumencie wskazano, iż </w:t>
      </w:r>
      <w:r w:rsidR="00746BE3" w:rsidRPr="00406FEB">
        <w:rPr>
          <w:rFonts w:ascii="Times New Roman" w:eastAsia="Calibri" w:hAnsi="Times New Roman" w:cs="Times New Roman"/>
          <w:i/>
          <w:sz w:val="24"/>
          <w:szCs w:val="24"/>
        </w:rPr>
        <w:t>„Jeżeli jednak organy państw członkowskich mają uzasadnione podejrzenia co do autentyczności konkretnego związku małżeńskiego, które to podejrzenia są poparte dowodami (takimi jak sprzeczne informacje udzielone przez małżonków), mogą zwrócić się do pary o przedstawienie dalszych istotnych dokumentów lub dowodów, bądź przeprowadzić rozmowę z obojgiem małżonków w tym samym czasie.”</w:t>
      </w:r>
      <w:r w:rsidR="00746BE3" w:rsidRPr="00746BE3">
        <w:rPr>
          <w:rFonts w:ascii="Times New Roman" w:eastAsia="Calibri" w:hAnsi="Times New Roman" w:cs="Times New Roman"/>
          <w:sz w:val="24"/>
          <w:szCs w:val="24"/>
        </w:rPr>
        <w:t xml:space="preserve"> Dodatkowo odnośnie czynności operacyjnych</w:t>
      </w:r>
      <w:r w:rsidR="000D4862">
        <w:rPr>
          <w:rFonts w:ascii="Times New Roman" w:eastAsia="Calibri" w:hAnsi="Times New Roman" w:cs="Times New Roman"/>
          <w:sz w:val="24"/>
          <w:szCs w:val="24"/>
        </w:rPr>
        <w:t>,</w:t>
      </w:r>
      <w:r w:rsidR="00746BE3" w:rsidRPr="00746BE3">
        <w:rPr>
          <w:rFonts w:ascii="Times New Roman" w:eastAsia="Calibri" w:hAnsi="Times New Roman" w:cs="Times New Roman"/>
          <w:sz w:val="24"/>
          <w:szCs w:val="24"/>
        </w:rPr>
        <w:t xml:space="preserve"> jakie może przeprowadzić konsul w postępowaniu o wydanie wizy</w:t>
      </w:r>
      <w:r w:rsidR="000D4862">
        <w:rPr>
          <w:rFonts w:ascii="Times New Roman" w:eastAsia="Calibri" w:hAnsi="Times New Roman" w:cs="Times New Roman"/>
          <w:sz w:val="24"/>
          <w:szCs w:val="24"/>
        </w:rPr>
        <w:t>,</w:t>
      </w:r>
      <w:r w:rsidR="00746BE3" w:rsidRPr="00746BE3">
        <w:rPr>
          <w:rFonts w:ascii="Times New Roman" w:eastAsia="Calibri" w:hAnsi="Times New Roman" w:cs="Times New Roman"/>
          <w:sz w:val="24"/>
          <w:szCs w:val="24"/>
        </w:rPr>
        <w:t xml:space="preserve"> </w:t>
      </w:r>
      <w:r w:rsidR="00051258">
        <w:rPr>
          <w:rFonts w:ascii="Times New Roman" w:eastAsia="Calibri" w:hAnsi="Times New Roman" w:cs="Times New Roman"/>
          <w:sz w:val="24"/>
          <w:szCs w:val="24"/>
        </w:rPr>
        <w:t>P</w:t>
      </w:r>
      <w:r w:rsidR="00746BE3" w:rsidRPr="00746BE3">
        <w:rPr>
          <w:rFonts w:ascii="Times New Roman" w:eastAsia="Calibri" w:hAnsi="Times New Roman" w:cs="Times New Roman"/>
          <w:sz w:val="24"/>
          <w:szCs w:val="24"/>
        </w:rPr>
        <w:t>odręcznik wiz</w:t>
      </w:r>
      <w:r w:rsidR="00051258">
        <w:rPr>
          <w:rFonts w:ascii="Times New Roman" w:eastAsia="Calibri" w:hAnsi="Times New Roman" w:cs="Times New Roman"/>
          <w:sz w:val="24"/>
          <w:szCs w:val="24"/>
        </w:rPr>
        <w:t>owy</w:t>
      </w:r>
      <w:r w:rsidR="00746BE3" w:rsidRPr="00746BE3">
        <w:rPr>
          <w:rFonts w:ascii="Times New Roman" w:eastAsia="Calibri" w:hAnsi="Times New Roman" w:cs="Times New Roman"/>
          <w:sz w:val="24"/>
          <w:szCs w:val="24"/>
        </w:rPr>
        <w:t xml:space="preserve"> odsyła do Dokumentu Robocz</w:t>
      </w:r>
      <w:r w:rsidR="00051258">
        <w:rPr>
          <w:rFonts w:ascii="Times New Roman" w:eastAsia="Calibri" w:hAnsi="Times New Roman" w:cs="Times New Roman"/>
          <w:sz w:val="24"/>
          <w:szCs w:val="24"/>
        </w:rPr>
        <w:t>ego</w:t>
      </w:r>
      <w:r w:rsidR="00746BE3" w:rsidRPr="00746BE3">
        <w:rPr>
          <w:rFonts w:ascii="Times New Roman" w:eastAsia="Calibri" w:hAnsi="Times New Roman" w:cs="Times New Roman"/>
          <w:sz w:val="24"/>
          <w:szCs w:val="24"/>
        </w:rPr>
        <w:t xml:space="preserve"> Służb Komisji </w:t>
      </w:r>
      <w:r w:rsidR="00051258">
        <w:rPr>
          <w:rFonts w:ascii="Times New Roman" w:eastAsia="Calibri" w:hAnsi="Times New Roman" w:cs="Times New Roman"/>
          <w:sz w:val="24"/>
          <w:szCs w:val="24"/>
        </w:rPr>
        <w:t xml:space="preserve">– </w:t>
      </w:r>
      <w:r w:rsidR="00746BE3" w:rsidRPr="00746BE3">
        <w:rPr>
          <w:rFonts w:ascii="Times New Roman" w:eastAsia="Calibri" w:hAnsi="Times New Roman" w:cs="Times New Roman"/>
          <w:sz w:val="24"/>
          <w:szCs w:val="24"/>
        </w:rPr>
        <w:t>Podręcznik dotyczący działań w związku z domniemanymi małżeństwami dla pozoru zawieranymi przez obywateli UE i obywatelami spoza UE w kontekście unijnych przepisów dotyczących prawa do swobodnego przemieszczania się obywateli UE.  Sekcja 4 ww. podręcznika ma służyć jako zestaw rozwiązań umożliwiających przeprowadzenie postępowania wyjaśniającego w celu ustalenia czy konsul ma do czynienia z małżeństwem zawarty dla pozoru.</w:t>
      </w:r>
    </w:p>
    <w:p w14:paraId="20C6D145" w14:textId="37246CA4" w:rsidR="00076C40" w:rsidRPr="00774FA7" w:rsidRDefault="00076C40" w:rsidP="004F6DC6">
      <w:pPr>
        <w:spacing w:after="0" w:line="288" w:lineRule="auto"/>
        <w:ind w:left="360"/>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Zaproponowane w pkt 3</w:t>
      </w:r>
      <w:r w:rsidR="00547799"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5 zmiany mają na celu określenie mechanizmów eliminacji nadużyć w korzystaniu z prawa do swobody przemieszczania się, które do tej pory było możliwe dopiero na etapie postępowania w sprawie wydania członkowi rodziny niebędącemu obywatelem UE karty pobytowej. Mając na uwadze dotychczasowy brak przepisów powalających na wyeliminowanie procederu nielegalnej migracji już na etapie wydawania wiz przez konsula, oraz liczne przypadki nadużyć, przejawiających się m. in. w przedkładaniu w postępowaniu o wydanie wizy dokumentów noszących znamiona podrobienia, przerobienia lub wprowadzenia innych zmian, jak również podawania fałszywych i niezgodnych ze stanem faktycznym informacji, wyłącznie w celu uzyskania wizy, zasadnym jest wprowadzenie do ustawy o wjeździe obywateli UE zmian legislacyjnych rozszerzających katalog przesłanek negatywnych, których spełnienie będzie skutkowało odmową wydania wizy dla członka rodziny niebędącego obywatelem UE</w:t>
      </w:r>
      <w:r w:rsidR="00262298" w:rsidRPr="00774FA7">
        <w:rPr>
          <w:rFonts w:ascii="Times New Roman" w:eastAsia="Calibri" w:hAnsi="Times New Roman" w:cs="Times New Roman"/>
          <w:sz w:val="24"/>
          <w:szCs w:val="24"/>
        </w:rPr>
        <w:t>,</w:t>
      </w:r>
    </w:p>
    <w:p w14:paraId="0656FC57" w14:textId="32F13ED1" w:rsidR="00076C40" w:rsidRPr="00774FA7" w:rsidRDefault="00076C40" w:rsidP="004F6DC6">
      <w:pPr>
        <w:numPr>
          <w:ilvl w:val="0"/>
          <w:numId w:val="18"/>
        </w:numPr>
        <w:spacing w:after="0" w:line="288" w:lineRule="auto"/>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pkt 6 przewiduje, iż członkowi rodziny obywatela UE odmawia się wydania wizy, jeżeli wymagają tego względy obronności lub bezpieczeństwa państwa lub ochrony bezpieczeństwa i porządku publicznego. </w:t>
      </w:r>
    </w:p>
    <w:p w14:paraId="521B58E4" w14:textId="4B86BD4F" w:rsidR="00076C40" w:rsidRPr="00774FA7" w:rsidRDefault="00076C40" w:rsidP="004F6DC6">
      <w:pPr>
        <w:spacing w:after="0" w:line="288" w:lineRule="auto"/>
        <w:ind w:left="360"/>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Przepis ten jest wzorowany na uregulowaniach ustawy o cudzoziemcach. </w:t>
      </w:r>
      <w:r w:rsidR="00B84693" w:rsidRPr="00774FA7">
        <w:rPr>
          <w:rFonts w:ascii="Times New Roman" w:eastAsia="Calibri" w:hAnsi="Times New Roman" w:cs="Times New Roman"/>
          <w:sz w:val="24"/>
          <w:szCs w:val="24"/>
        </w:rPr>
        <w:t>W stosunku do przesłanki znajdującej się obecnie w art.</w:t>
      </w:r>
      <w:r w:rsidR="0094150E" w:rsidRPr="00774FA7">
        <w:rPr>
          <w:rFonts w:ascii="Times New Roman" w:eastAsia="Calibri" w:hAnsi="Times New Roman" w:cs="Times New Roman"/>
          <w:sz w:val="24"/>
          <w:szCs w:val="24"/>
        </w:rPr>
        <w:t xml:space="preserve"> 10 ust. 2 pkt 2</w:t>
      </w:r>
      <w:r w:rsidR="005F1DAE">
        <w:rPr>
          <w:rFonts w:ascii="Times New Roman" w:eastAsia="Calibri" w:hAnsi="Times New Roman" w:cs="Times New Roman"/>
          <w:sz w:val="24"/>
          <w:szCs w:val="24"/>
        </w:rPr>
        <w:t>,</w:t>
      </w:r>
      <w:r w:rsidR="00B84693" w:rsidRPr="00774FA7">
        <w:rPr>
          <w:rFonts w:ascii="Times New Roman" w:eastAsia="Calibri" w:hAnsi="Times New Roman" w:cs="Times New Roman"/>
          <w:sz w:val="24"/>
          <w:szCs w:val="24"/>
        </w:rPr>
        <w:t xml:space="preserve"> </w:t>
      </w:r>
      <w:r w:rsidR="0094150E" w:rsidRPr="00774FA7">
        <w:rPr>
          <w:rFonts w:ascii="Times New Roman" w:eastAsia="Calibri" w:hAnsi="Times New Roman" w:cs="Times New Roman"/>
          <w:sz w:val="24"/>
          <w:szCs w:val="24"/>
        </w:rPr>
        <w:t xml:space="preserve">jego </w:t>
      </w:r>
      <w:proofErr w:type="spellStart"/>
      <w:r w:rsidR="0094150E" w:rsidRPr="00774FA7">
        <w:rPr>
          <w:rFonts w:ascii="Times New Roman" w:eastAsia="Calibri" w:hAnsi="Times New Roman" w:cs="Times New Roman"/>
          <w:sz w:val="24"/>
          <w:szCs w:val="24"/>
        </w:rPr>
        <w:t>nowozaprojektowana</w:t>
      </w:r>
      <w:proofErr w:type="spellEnd"/>
      <w:r w:rsidR="0094150E" w:rsidRPr="00774FA7">
        <w:rPr>
          <w:rFonts w:ascii="Times New Roman" w:eastAsia="Calibri" w:hAnsi="Times New Roman" w:cs="Times New Roman"/>
          <w:sz w:val="24"/>
          <w:szCs w:val="24"/>
        </w:rPr>
        <w:t xml:space="preserve"> </w:t>
      </w:r>
      <w:r w:rsidR="009A730B" w:rsidRPr="00774FA7">
        <w:rPr>
          <w:rFonts w:ascii="Times New Roman" w:eastAsia="Calibri" w:hAnsi="Times New Roman" w:cs="Times New Roman"/>
          <w:sz w:val="24"/>
          <w:szCs w:val="24"/>
        </w:rPr>
        <w:t xml:space="preserve">w pkt 6 </w:t>
      </w:r>
      <w:r w:rsidR="0094150E" w:rsidRPr="00774FA7">
        <w:rPr>
          <w:rFonts w:ascii="Times New Roman" w:eastAsia="Calibri" w:hAnsi="Times New Roman" w:cs="Times New Roman"/>
          <w:sz w:val="24"/>
          <w:szCs w:val="24"/>
        </w:rPr>
        <w:t xml:space="preserve">wersja </w:t>
      </w:r>
      <w:r w:rsidRPr="00774FA7">
        <w:rPr>
          <w:rFonts w:ascii="Times New Roman" w:eastAsia="Calibri" w:hAnsi="Times New Roman" w:cs="Times New Roman"/>
          <w:sz w:val="24"/>
          <w:szCs w:val="24"/>
        </w:rPr>
        <w:t xml:space="preserve">w pełni odzwierciedla art. 27 ust. 1 dyrektywy 2004/38/WE, zgodnie z którym państwa członkowskie mogą ograniczyć swobodę przemieszczania się i pobytu obywateli UE i członków ich rodziny bez względu na przynależność państwową, kierując się względami porządku publicznego, bezpieczeństwa publicznego lub zdrowia publicznego. </w:t>
      </w:r>
    </w:p>
    <w:p w14:paraId="7E2E0102" w14:textId="6594E810" w:rsidR="00076C40" w:rsidRPr="00774FA7" w:rsidRDefault="00076C40" w:rsidP="004F6DC6">
      <w:pPr>
        <w:spacing w:after="0" w:line="288" w:lineRule="auto"/>
        <w:ind w:left="360"/>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Projektowana regulacja jest także zgodna ze stanowiskiem zaprezentowanym w</w:t>
      </w:r>
      <w:r w:rsidR="00547799" w:rsidRPr="00774FA7">
        <w:rPr>
          <w:rFonts w:ascii="Times New Roman" w:eastAsia="Calibri" w:hAnsi="Times New Roman" w:cs="Times New Roman"/>
          <w:sz w:val="24"/>
          <w:szCs w:val="24"/>
        </w:rPr>
        <w:t xml:space="preserve"> przywołanym wyżej </w:t>
      </w:r>
      <w:r w:rsidR="00547799" w:rsidRPr="00774FA7">
        <w:rPr>
          <w:rFonts w:ascii="Times New Roman" w:eastAsia="Calibri" w:hAnsi="Times New Roman" w:cs="Times New Roman"/>
          <w:i/>
          <w:sz w:val="24"/>
          <w:szCs w:val="24"/>
        </w:rPr>
        <w:t>K</w:t>
      </w:r>
      <w:r w:rsidRPr="00774FA7">
        <w:rPr>
          <w:rFonts w:ascii="Times New Roman" w:eastAsia="Calibri" w:hAnsi="Times New Roman" w:cs="Times New Roman"/>
          <w:i/>
          <w:sz w:val="24"/>
          <w:szCs w:val="24"/>
        </w:rPr>
        <w:t>omunikacie Komisji</w:t>
      </w:r>
      <w:r w:rsidR="00547799" w:rsidRPr="00774FA7">
        <w:rPr>
          <w:rFonts w:ascii="Times New Roman" w:eastAsia="Calibri" w:hAnsi="Times New Roman" w:cs="Times New Roman"/>
          <w:sz w:val="24"/>
          <w:szCs w:val="24"/>
        </w:rPr>
        <w:t xml:space="preserve">, w którym </w:t>
      </w:r>
      <w:r w:rsidRPr="00774FA7">
        <w:rPr>
          <w:rFonts w:ascii="Times New Roman" w:eastAsia="Calibri" w:hAnsi="Times New Roman" w:cs="Times New Roman"/>
          <w:sz w:val="24"/>
          <w:szCs w:val="24"/>
        </w:rPr>
        <w:t xml:space="preserve">Komisja Europejska </w:t>
      </w:r>
      <w:r w:rsidR="00BA019C" w:rsidRPr="00774FA7">
        <w:rPr>
          <w:rFonts w:ascii="Times New Roman" w:eastAsia="Calibri" w:hAnsi="Times New Roman" w:cs="Times New Roman"/>
          <w:sz w:val="24"/>
          <w:szCs w:val="24"/>
        </w:rPr>
        <w:t>wskazuje, iż p</w:t>
      </w:r>
      <w:r w:rsidR="00547799" w:rsidRPr="00774FA7">
        <w:rPr>
          <w:rFonts w:ascii="Times New Roman" w:eastAsia="Calibri" w:hAnsi="Times New Roman" w:cs="Times New Roman"/>
          <w:sz w:val="24"/>
          <w:szCs w:val="24"/>
        </w:rPr>
        <w:t>aństwa członkowskie mogą ograniczyć swobodę przemieszczania się obywateli UE ze względów porządku publicznego lub bezpieczeństwa publicznego. Jeśli organy stwierdz</w:t>
      </w:r>
      <w:r w:rsidR="00DE54F5" w:rsidRPr="00774FA7">
        <w:rPr>
          <w:rFonts w:ascii="Times New Roman" w:eastAsia="Calibri" w:hAnsi="Times New Roman" w:cs="Times New Roman"/>
          <w:sz w:val="24"/>
          <w:szCs w:val="24"/>
        </w:rPr>
        <w:t>ą</w:t>
      </w:r>
      <w:r w:rsidR="00547799" w:rsidRPr="00774FA7">
        <w:rPr>
          <w:rFonts w:ascii="Times New Roman" w:eastAsia="Calibri" w:hAnsi="Times New Roman" w:cs="Times New Roman"/>
          <w:sz w:val="24"/>
          <w:szCs w:val="24"/>
        </w:rPr>
        <w:t>, że indywidualne zachowanie danej osoby stanowi zagrożenie dostatecznie poważne, aby uzasadniało zastosowanie środka ograniczającego, muszą następnie przeprowadzić ocenę proporcjonalności, aby zadecydować, czy danej osobie można ze względów porządku publicznego lub bezpieczeństwa publicznego odmówić wjazdu lub ją wydalić</w:t>
      </w:r>
      <w:r w:rsidR="00262298"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p>
    <w:p w14:paraId="45E9B64B" w14:textId="128EA767" w:rsidR="00076C40" w:rsidRPr="00774FA7" w:rsidRDefault="00076C40" w:rsidP="004F6DC6">
      <w:pPr>
        <w:numPr>
          <w:ilvl w:val="0"/>
          <w:numId w:val="18"/>
        </w:numPr>
        <w:spacing w:after="0" w:line="288" w:lineRule="auto"/>
        <w:contextualSpacing/>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pkt 7 została przewidziana przesłanka odmowy wydania wizy członkowi rodziny niebędącemu obywatelem UE w sytuacji, kiedy wymagają tego względy zdrowia publicznego. Obecnie powyższa przesłanka znajduje się w tym samym punkcie co przesłanka odmowy wydania wizy związan</w:t>
      </w:r>
      <w:r w:rsidR="00262298" w:rsidRPr="00774FA7">
        <w:rPr>
          <w:rFonts w:ascii="Times New Roman" w:eastAsia="Calibri" w:hAnsi="Times New Roman" w:cs="Times New Roman"/>
          <w:sz w:val="24"/>
          <w:szCs w:val="24"/>
        </w:rPr>
        <w:t>a</w:t>
      </w:r>
      <w:r w:rsidRPr="00774FA7">
        <w:rPr>
          <w:rFonts w:ascii="Times New Roman" w:eastAsia="Calibri" w:hAnsi="Times New Roman" w:cs="Times New Roman"/>
          <w:sz w:val="24"/>
          <w:szCs w:val="24"/>
        </w:rPr>
        <w:t xml:space="preserve"> z zagrożeniem dla bezpieczeństwa i porządku publicznego</w:t>
      </w:r>
      <w:r w:rsidR="009A730B" w:rsidRPr="00774FA7">
        <w:rPr>
          <w:rFonts w:ascii="Times New Roman" w:eastAsia="Calibri" w:hAnsi="Times New Roman" w:cs="Times New Roman"/>
          <w:sz w:val="24"/>
          <w:szCs w:val="24"/>
        </w:rPr>
        <w:t>, czyli w art. 10 ust. 2 pkt 2</w:t>
      </w:r>
      <w:r w:rsidRPr="00774FA7">
        <w:rPr>
          <w:rFonts w:ascii="Times New Roman" w:eastAsia="Calibri" w:hAnsi="Times New Roman" w:cs="Times New Roman"/>
          <w:sz w:val="24"/>
          <w:szCs w:val="24"/>
        </w:rPr>
        <w:t xml:space="preserve">. W ocenie projektodawcy obie przesłanki powinny być </w:t>
      </w:r>
      <w:r w:rsidR="009A730B" w:rsidRPr="00774FA7">
        <w:rPr>
          <w:rFonts w:ascii="Times New Roman" w:eastAsia="Calibri" w:hAnsi="Times New Roman" w:cs="Times New Roman"/>
          <w:sz w:val="24"/>
          <w:szCs w:val="24"/>
        </w:rPr>
        <w:t>rozdzielone</w:t>
      </w:r>
      <w:r w:rsidRPr="00774FA7">
        <w:rPr>
          <w:rFonts w:ascii="Times New Roman" w:eastAsia="Calibri" w:hAnsi="Times New Roman" w:cs="Times New Roman"/>
          <w:sz w:val="24"/>
          <w:szCs w:val="24"/>
        </w:rPr>
        <w:t xml:space="preserve">, ponieważ mają </w:t>
      </w:r>
      <w:r w:rsidR="00020F55" w:rsidRPr="00774FA7">
        <w:rPr>
          <w:rFonts w:ascii="Times New Roman" w:eastAsia="Calibri" w:hAnsi="Times New Roman" w:cs="Times New Roman"/>
          <w:sz w:val="24"/>
          <w:szCs w:val="24"/>
        </w:rPr>
        <w:t xml:space="preserve">odmienny </w:t>
      </w:r>
      <w:r w:rsidRPr="00774FA7">
        <w:rPr>
          <w:rFonts w:ascii="Times New Roman" w:eastAsia="Calibri" w:hAnsi="Times New Roman" w:cs="Times New Roman"/>
          <w:sz w:val="24"/>
          <w:szCs w:val="24"/>
        </w:rPr>
        <w:t>charakter. Brzmienie przepisu również jest wzorowane na uregulowaniach ustawy o cudzoziemcach.</w:t>
      </w:r>
    </w:p>
    <w:p w14:paraId="32032BCC" w14:textId="383B0653" w:rsidR="00965D9F"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Projekt</w:t>
      </w:r>
      <w:r w:rsidR="009A730B" w:rsidRPr="00774FA7">
        <w:rPr>
          <w:rFonts w:ascii="Times New Roman" w:eastAsia="Calibri" w:hAnsi="Times New Roman" w:cs="Times New Roman"/>
          <w:sz w:val="24"/>
          <w:szCs w:val="24"/>
        </w:rPr>
        <w:t xml:space="preserve"> ustawy o wjeździe obywateli UE</w:t>
      </w:r>
      <w:r w:rsidRPr="00774FA7">
        <w:rPr>
          <w:rFonts w:ascii="Times New Roman" w:eastAsia="Calibri" w:hAnsi="Times New Roman" w:cs="Times New Roman"/>
          <w:sz w:val="24"/>
          <w:szCs w:val="24"/>
        </w:rPr>
        <w:t xml:space="preserve"> przewiduje wprowadzenie </w:t>
      </w:r>
      <w:r w:rsidR="009A730B" w:rsidRPr="00774FA7">
        <w:rPr>
          <w:rFonts w:ascii="Times New Roman" w:eastAsia="Calibri" w:hAnsi="Times New Roman" w:cs="Times New Roman"/>
          <w:sz w:val="24"/>
          <w:szCs w:val="24"/>
        </w:rPr>
        <w:t xml:space="preserve">nowych </w:t>
      </w:r>
      <w:r w:rsidRPr="00774FA7">
        <w:rPr>
          <w:rFonts w:ascii="Times New Roman" w:eastAsia="Calibri" w:hAnsi="Times New Roman" w:cs="Times New Roman"/>
          <w:sz w:val="24"/>
          <w:szCs w:val="24"/>
        </w:rPr>
        <w:t>podstaw</w:t>
      </w:r>
      <w:r w:rsidR="00965D9F" w:rsidRPr="00774FA7">
        <w:rPr>
          <w:rFonts w:ascii="Times New Roman" w:eastAsia="Calibri" w:hAnsi="Times New Roman" w:cs="Times New Roman"/>
          <w:sz w:val="24"/>
          <w:szCs w:val="24"/>
        </w:rPr>
        <w:t xml:space="preserve"> prawnych</w:t>
      </w:r>
      <w:r w:rsidRPr="00774FA7">
        <w:rPr>
          <w:rFonts w:ascii="Times New Roman" w:eastAsia="Calibri" w:hAnsi="Times New Roman" w:cs="Times New Roman"/>
          <w:sz w:val="24"/>
          <w:szCs w:val="24"/>
        </w:rPr>
        <w:t xml:space="preserve"> do cofnięcia wizy wydanej członkowi rodziny niebędącemu obywatel</w:t>
      </w:r>
      <w:r w:rsidR="005F1DAE">
        <w:rPr>
          <w:rFonts w:ascii="Times New Roman" w:eastAsia="Calibri" w:hAnsi="Times New Roman" w:cs="Times New Roman"/>
          <w:sz w:val="24"/>
          <w:szCs w:val="24"/>
        </w:rPr>
        <w:t>em</w:t>
      </w:r>
      <w:r w:rsidRPr="00774FA7">
        <w:rPr>
          <w:rFonts w:ascii="Times New Roman" w:eastAsia="Calibri" w:hAnsi="Times New Roman" w:cs="Times New Roman"/>
          <w:sz w:val="24"/>
          <w:szCs w:val="24"/>
        </w:rPr>
        <w:t xml:space="preserve"> UE w sytuacji, gdy po wydaniu wizy zaszły</w:t>
      </w:r>
      <w:r w:rsidR="00D04C80" w:rsidRPr="00774FA7">
        <w:rPr>
          <w:rFonts w:ascii="Times New Roman" w:eastAsia="Calibri" w:hAnsi="Times New Roman" w:cs="Times New Roman"/>
          <w:sz w:val="24"/>
          <w:szCs w:val="24"/>
        </w:rPr>
        <w:t xml:space="preserve"> niektóre z przesłanek przemawiających </w:t>
      </w:r>
      <w:r w:rsidRPr="00774FA7">
        <w:rPr>
          <w:rFonts w:ascii="Times New Roman" w:eastAsia="Calibri" w:hAnsi="Times New Roman" w:cs="Times New Roman"/>
          <w:sz w:val="24"/>
          <w:szCs w:val="24"/>
        </w:rPr>
        <w:t xml:space="preserve">za odmową jej wydania. </w:t>
      </w:r>
      <w:r w:rsidR="00D04C80" w:rsidRPr="00774FA7">
        <w:rPr>
          <w:rFonts w:ascii="Times New Roman" w:eastAsia="Calibri" w:hAnsi="Times New Roman" w:cs="Times New Roman"/>
          <w:sz w:val="24"/>
          <w:szCs w:val="24"/>
        </w:rPr>
        <w:t xml:space="preserve">Wiza będzie cofana w sytuacji, kiedy członek rodziny niebędący obywatelem UE wjechał na terytorium Polski w okresie obowiązywania wpisu do wykazu lub wymagają tego </w:t>
      </w:r>
      <w:r w:rsidR="00D04C80" w:rsidRPr="00774FA7">
        <w:rPr>
          <w:rFonts w:ascii="Times New Roman" w:eastAsia="Calibri" w:hAnsi="Times New Roman" w:cs="Times New Roman"/>
          <w:sz w:val="24"/>
          <w:szCs w:val="24"/>
        </w:rPr>
        <w:lastRenderedPageBreak/>
        <w:t>względy obronności lub bezpieczeństwa państwa lub ochrony bezpieczeństwa i porządku publicznego, lub względy zdrowia publicznego</w:t>
      </w:r>
      <w:r w:rsidR="009A730B" w:rsidRPr="00774FA7">
        <w:rPr>
          <w:rFonts w:ascii="Times New Roman" w:eastAsia="Calibri" w:hAnsi="Times New Roman" w:cs="Times New Roman"/>
          <w:sz w:val="24"/>
          <w:szCs w:val="24"/>
        </w:rPr>
        <w:t xml:space="preserve"> (art. 10a ust. 1)</w:t>
      </w:r>
      <w:r w:rsidR="00D04C80"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Wprowadzono także możliwość cofnięcia wizy na wniosek jej posiadacza (art. 10a</w:t>
      </w:r>
      <w:r w:rsidR="00D04C80" w:rsidRPr="00774FA7">
        <w:rPr>
          <w:rFonts w:ascii="Times New Roman" w:eastAsia="Calibri" w:hAnsi="Times New Roman" w:cs="Times New Roman"/>
          <w:sz w:val="24"/>
          <w:szCs w:val="24"/>
        </w:rPr>
        <w:t xml:space="preserve"> ust. </w:t>
      </w:r>
      <w:r w:rsidR="002634ED" w:rsidRPr="00774FA7">
        <w:rPr>
          <w:rFonts w:ascii="Times New Roman" w:eastAsia="Calibri" w:hAnsi="Times New Roman" w:cs="Times New Roman"/>
          <w:sz w:val="24"/>
          <w:szCs w:val="24"/>
        </w:rPr>
        <w:t>3</w:t>
      </w:r>
      <w:r w:rsidRPr="00774FA7">
        <w:rPr>
          <w:rFonts w:ascii="Times New Roman" w:eastAsia="Calibri" w:hAnsi="Times New Roman" w:cs="Times New Roman"/>
          <w:sz w:val="24"/>
          <w:szCs w:val="24"/>
        </w:rPr>
        <w:t xml:space="preserve">). </w:t>
      </w:r>
    </w:p>
    <w:p w14:paraId="3EB3EEB3" w14:textId="0D7829F7" w:rsidR="00965D9F"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art. 10b wprowadzono podstaw</w:t>
      </w:r>
      <w:r w:rsidR="00BA019C" w:rsidRPr="00774FA7">
        <w:rPr>
          <w:rFonts w:ascii="Times New Roman" w:eastAsia="Calibri" w:hAnsi="Times New Roman" w:cs="Times New Roman"/>
          <w:sz w:val="24"/>
          <w:szCs w:val="24"/>
        </w:rPr>
        <w:t>y</w:t>
      </w:r>
      <w:r w:rsidRPr="00774FA7">
        <w:rPr>
          <w:rFonts w:ascii="Times New Roman" w:eastAsia="Calibri" w:hAnsi="Times New Roman" w:cs="Times New Roman"/>
          <w:sz w:val="24"/>
          <w:szCs w:val="24"/>
        </w:rPr>
        <w:t xml:space="preserve"> do unieważnienia wizy wydanej członkowi rodziny niebędącemu obywatel</w:t>
      </w:r>
      <w:r w:rsidR="00C00510">
        <w:rPr>
          <w:rFonts w:ascii="Times New Roman" w:eastAsia="Calibri" w:hAnsi="Times New Roman" w:cs="Times New Roman"/>
          <w:sz w:val="24"/>
          <w:szCs w:val="24"/>
        </w:rPr>
        <w:t>em</w:t>
      </w:r>
      <w:r w:rsidRPr="00774FA7">
        <w:rPr>
          <w:rFonts w:ascii="Times New Roman" w:eastAsia="Calibri" w:hAnsi="Times New Roman" w:cs="Times New Roman"/>
          <w:sz w:val="24"/>
          <w:szCs w:val="24"/>
        </w:rPr>
        <w:t xml:space="preserve"> UE</w:t>
      </w:r>
      <w:r w:rsidR="00BA019C"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 </w:t>
      </w:r>
      <w:r w:rsidR="00BA019C" w:rsidRPr="00774FA7">
        <w:rPr>
          <w:rFonts w:ascii="Times New Roman" w:eastAsia="Calibri" w:hAnsi="Times New Roman" w:cs="Times New Roman"/>
          <w:sz w:val="24"/>
          <w:szCs w:val="24"/>
        </w:rPr>
        <w:t xml:space="preserve">Podstawy unieważnienia wizy są analogiczne z podstawami </w:t>
      </w:r>
      <w:r w:rsidR="009A730B" w:rsidRPr="00774FA7">
        <w:rPr>
          <w:rFonts w:ascii="Times New Roman" w:eastAsia="Calibri" w:hAnsi="Times New Roman" w:cs="Times New Roman"/>
          <w:sz w:val="24"/>
          <w:szCs w:val="24"/>
        </w:rPr>
        <w:t xml:space="preserve">do </w:t>
      </w:r>
      <w:r w:rsidR="00BA019C" w:rsidRPr="00774FA7">
        <w:rPr>
          <w:rFonts w:ascii="Times New Roman" w:eastAsia="Calibri" w:hAnsi="Times New Roman" w:cs="Times New Roman"/>
          <w:sz w:val="24"/>
          <w:szCs w:val="24"/>
        </w:rPr>
        <w:t xml:space="preserve">odmowy jej wydania, zgodnie z zasadą przewidzianą w </w:t>
      </w:r>
      <w:r w:rsidR="00137D7F" w:rsidRPr="00774FA7">
        <w:rPr>
          <w:rFonts w:ascii="Times New Roman" w:eastAsia="Calibri" w:hAnsi="Times New Roman" w:cs="Times New Roman"/>
          <w:sz w:val="24"/>
          <w:szCs w:val="24"/>
        </w:rPr>
        <w:t xml:space="preserve">rozporządzeniu Parlamentu Europejskiego i Rady (WE) nr 810/2009 z dnia 13 lipca 2009 r. </w:t>
      </w:r>
      <w:r w:rsidR="00C00510" w:rsidRPr="00774FA7">
        <w:rPr>
          <w:rFonts w:ascii="Times New Roman" w:eastAsia="Calibri" w:hAnsi="Times New Roman" w:cs="Times New Roman"/>
          <w:sz w:val="24"/>
          <w:szCs w:val="24"/>
        </w:rPr>
        <w:t>ustanawiając</w:t>
      </w:r>
      <w:r w:rsidR="00C00510">
        <w:rPr>
          <w:rFonts w:ascii="Times New Roman" w:eastAsia="Calibri" w:hAnsi="Times New Roman" w:cs="Times New Roman"/>
          <w:sz w:val="24"/>
          <w:szCs w:val="24"/>
        </w:rPr>
        <w:t>ym</w:t>
      </w:r>
      <w:r w:rsidR="00C00510" w:rsidRPr="00774FA7">
        <w:rPr>
          <w:rFonts w:ascii="Times New Roman" w:eastAsia="Calibri" w:hAnsi="Times New Roman" w:cs="Times New Roman"/>
          <w:sz w:val="24"/>
          <w:szCs w:val="24"/>
        </w:rPr>
        <w:t xml:space="preserve"> </w:t>
      </w:r>
      <w:r w:rsidR="00137D7F" w:rsidRPr="00774FA7">
        <w:rPr>
          <w:rFonts w:ascii="Times New Roman" w:eastAsia="Calibri" w:hAnsi="Times New Roman" w:cs="Times New Roman"/>
          <w:sz w:val="24"/>
          <w:szCs w:val="24"/>
        </w:rPr>
        <w:t>Wspólnotowy Kodeks Wizowy (kodeks wizowy) (Dz.</w:t>
      </w:r>
      <w:r w:rsidR="009A730B" w:rsidRPr="00774FA7">
        <w:rPr>
          <w:rFonts w:ascii="Times New Roman" w:eastAsia="Calibri" w:hAnsi="Times New Roman" w:cs="Times New Roman"/>
          <w:sz w:val="24"/>
          <w:szCs w:val="24"/>
        </w:rPr>
        <w:t xml:space="preserve"> </w:t>
      </w:r>
      <w:r w:rsidR="00137D7F" w:rsidRPr="00774FA7">
        <w:rPr>
          <w:rFonts w:ascii="Times New Roman" w:eastAsia="Calibri" w:hAnsi="Times New Roman" w:cs="Times New Roman"/>
          <w:sz w:val="24"/>
          <w:szCs w:val="24"/>
        </w:rPr>
        <w:t xml:space="preserve">Urz. UE L 243 z 15.09.2009, str. 1, z </w:t>
      </w:r>
      <w:proofErr w:type="spellStart"/>
      <w:r w:rsidR="00137D7F" w:rsidRPr="00774FA7">
        <w:rPr>
          <w:rFonts w:ascii="Times New Roman" w:eastAsia="Calibri" w:hAnsi="Times New Roman" w:cs="Times New Roman"/>
          <w:sz w:val="24"/>
          <w:szCs w:val="24"/>
        </w:rPr>
        <w:t>późn</w:t>
      </w:r>
      <w:proofErr w:type="spellEnd"/>
      <w:r w:rsidR="00137D7F" w:rsidRPr="00774FA7">
        <w:rPr>
          <w:rFonts w:ascii="Times New Roman" w:eastAsia="Calibri" w:hAnsi="Times New Roman" w:cs="Times New Roman"/>
          <w:sz w:val="24"/>
          <w:szCs w:val="24"/>
        </w:rPr>
        <w:t>. zm.)</w:t>
      </w:r>
      <w:r w:rsidR="009A730B" w:rsidRPr="00774FA7">
        <w:rPr>
          <w:rFonts w:ascii="Times New Roman" w:eastAsia="Calibri" w:hAnsi="Times New Roman" w:cs="Times New Roman"/>
          <w:sz w:val="24"/>
          <w:szCs w:val="24"/>
        </w:rPr>
        <w:t xml:space="preserve"> oraz w ustawie o cudzoziemcach, w myśl której</w:t>
      </w:r>
      <w:r w:rsidR="00137D7F" w:rsidRPr="00774FA7">
        <w:rPr>
          <w:rFonts w:ascii="Times New Roman" w:eastAsia="Calibri" w:hAnsi="Times New Roman" w:cs="Times New Roman"/>
          <w:sz w:val="24"/>
          <w:szCs w:val="24"/>
        </w:rPr>
        <w:t xml:space="preserve"> wiza powinna być unieważniona w sytuacji, kiedy w chwili jej wydania zachodziły przesłanki do wydania decyzji w sprawie odmowy wydania wizy.</w:t>
      </w:r>
    </w:p>
    <w:p w14:paraId="17D92EB5" w14:textId="2BD4EA0D" w:rsidR="00965D9F"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10c i art. 10d określono organy odpowiedzialne w I </w:t>
      </w:r>
      <w:proofErr w:type="spellStart"/>
      <w:r w:rsidRPr="00774FA7">
        <w:rPr>
          <w:rFonts w:ascii="Times New Roman" w:eastAsia="Calibri" w:hAnsi="Times New Roman" w:cs="Times New Roman"/>
          <w:sz w:val="24"/>
          <w:szCs w:val="24"/>
        </w:rPr>
        <w:t>i</w:t>
      </w:r>
      <w:proofErr w:type="spellEnd"/>
      <w:r w:rsidRPr="00774FA7">
        <w:rPr>
          <w:rFonts w:ascii="Times New Roman" w:eastAsia="Calibri" w:hAnsi="Times New Roman" w:cs="Times New Roman"/>
          <w:sz w:val="24"/>
          <w:szCs w:val="24"/>
        </w:rPr>
        <w:t xml:space="preserve"> II instancji za cofanie i unieważnianie wiz. </w:t>
      </w:r>
    </w:p>
    <w:p w14:paraId="70F6F24C" w14:textId="617C2B76" w:rsidR="009A730B" w:rsidRPr="00774FA7" w:rsidRDefault="00965D9F"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 kolei w</w:t>
      </w:r>
      <w:r w:rsidR="00076C40" w:rsidRPr="00774FA7">
        <w:rPr>
          <w:rFonts w:ascii="Times New Roman" w:eastAsia="Calibri" w:hAnsi="Times New Roman" w:cs="Times New Roman"/>
          <w:sz w:val="24"/>
          <w:szCs w:val="24"/>
        </w:rPr>
        <w:t xml:space="preserve"> art. 10e określono, iż wydanie decyzji o cofnięciu lub unieważnieniu wizy odnotowuje się w dokumencie podróży jej posiadacza. </w:t>
      </w:r>
    </w:p>
    <w:p w14:paraId="01E19BE4" w14:textId="137E57B2" w:rsidR="00965D9F"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Nowoprojektowane przepisy art. 10a-10e są wzorowane na analogicznych uregulowaniach ustawy o cudzoziemcach. W ocenie projektodawcy rozwiązania prawne dotyczące cofania lub unieważniania wiz powinny być spójne we wszystkich obowiązujących w Polsce aktach prawnych. </w:t>
      </w:r>
    </w:p>
    <w:p w14:paraId="47262DE7" w14:textId="4160C718" w:rsidR="00965D9F" w:rsidRPr="00774FA7" w:rsidRDefault="00965D9F"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Projektodawca uznał za zasadne skorzystać z możliwości przewidzianej w art. 35 dyrektywy 2004/38/WE, który to przepis daje </w:t>
      </w:r>
      <w:r w:rsidR="00A75DF1">
        <w:rPr>
          <w:rFonts w:ascii="Times New Roman" w:eastAsia="Calibri" w:hAnsi="Times New Roman" w:cs="Times New Roman"/>
          <w:sz w:val="24"/>
          <w:szCs w:val="24"/>
        </w:rPr>
        <w:t>p</w:t>
      </w:r>
      <w:r w:rsidRPr="00774FA7">
        <w:rPr>
          <w:rFonts w:ascii="Times New Roman" w:eastAsia="Calibri" w:hAnsi="Times New Roman" w:cs="Times New Roman"/>
          <w:sz w:val="24"/>
          <w:szCs w:val="24"/>
        </w:rPr>
        <w:t xml:space="preserve">aństwom </w:t>
      </w:r>
      <w:r w:rsidR="00A75DF1">
        <w:rPr>
          <w:rFonts w:ascii="Times New Roman" w:eastAsia="Calibri" w:hAnsi="Times New Roman" w:cs="Times New Roman"/>
          <w:sz w:val="24"/>
          <w:szCs w:val="24"/>
        </w:rPr>
        <w:t>c</w:t>
      </w:r>
      <w:r w:rsidRPr="00774FA7">
        <w:rPr>
          <w:rFonts w:ascii="Times New Roman" w:eastAsia="Calibri" w:hAnsi="Times New Roman" w:cs="Times New Roman"/>
          <w:sz w:val="24"/>
          <w:szCs w:val="24"/>
        </w:rPr>
        <w:t>złonkowskim możliwość wprowadzenia rozwiązań, które pozwalają na wprowadzenie niezbędnych środków w celu odmowy, zniesienia lub wycofania prawa przyznanego ww. dyrektywą w przypadku nadużycia praw lub oszustw, na przykład małżeństw fikcyjnych.</w:t>
      </w:r>
      <w:r w:rsidR="009A730B" w:rsidRPr="00774FA7">
        <w:rPr>
          <w:rFonts w:ascii="Times New Roman" w:eastAsia="Calibri" w:hAnsi="Times New Roman" w:cs="Times New Roman"/>
          <w:sz w:val="24"/>
          <w:szCs w:val="24"/>
        </w:rPr>
        <w:t xml:space="preserve"> Powyższe znalazło odzwierciedlenie w </w:t>
      </w:r>
      <w:r w:rsidR="00C665F2" w:rsidRPr="00774FA7">
        <w:rPr>
          <w:rFonts w:ascii="Times New Roman" w:eastAsia="Calibri" w:hAnsi="Times New Roman" w:cs="Times New Roman"/>
          <w:sz w:val="24"/>
          <w:szCs w:val="24"/>
        </w:rPr>
        <w:t xml:space="preserve">zmienianym </w:t>
      </w:r>
      <w:r w:rsidR="009A730B" w:rsidRPr="00774FA7">
        <w:rPr>
          <w:rFonts w:ascii="Times New Roman" w:eastAsia="Calibri" w:hAnsi="Times New Roman" w:cs="Times New Roman"/>
          <w:sz w:val="24"/>
          <w:szCs w:val="24"/>
        </w:rPr>
        <w:t>art. 10 ust. 2 pkt 4 i 5</w:t>
      </w:r>
      <w:r w:rsidR="00C665F2" w:rsidRPr="00774FA7">
        <w:rPr>
          <w:rFonts w:ascii="Times New Roman" w:eastAsia="Calibri" w:hAnsi="Times New Roman" w:cs="Times New Roman"/>
          <w:sz w:val="24"/>
          <w:szCs w:val="24"/>
        </w:rPr>
        <w:t xml:space="preserve"> oraz w dodawanym </w:t>
      </w:r>
      <w:r w:rsidR="009A730B" w:rsidRPr="00774FA7">
        <w:rPr>
          <w:rFonts w:ascii="Times New Roman" w:eastAsia="Calibri" w:hAnsi="Times New Roman" w:cs="Times New Roman"/>
          <w:sz w:val="24"/>
          <w:szCs w:val="24"/>
        </w:rPr>
        <w:t xml:space="preserve">art. 10b </w:t>
      </w:r>
      <w:r w:rsidR="00C665F2" w:rsidRPr="00774FA7">
        <w:rPr>
          <w:rFonts w:ascii="Times New Roman" w:eastAsia="Calibri" w:hAnsi="Times New Roman" w:cs="Times New Roman"/>
          <w:sz w:val="24"/>
          <w:szCs w:val="24"/>
        </w:rPr>
        <w:t>ust. 3-5.</w:t>
      </w:r>
      <w:r w:rsidR="009A730B" w:rsidRPr="00774FA7">
        <w:rPr>
          <w:rFonts w:ascii="Times New Roman" w:eastAsia="Calibri" w:hAnsi="Times New Roman" w:cs="Times New Roman"/>
          <w:sz w:val="24"/>
          <w:szCs w:val="24"/>
        </w:rPr>
        <w:t xml:space="preserve"> </w:t>
      </w:r>
    </w:p>
    <w:p w14:paraId="27A61B3F" w14:textId="2DDAD553"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11 </w:t>
      </w:r>
      <w:r w:rsidR="00C00510">
        <w:rPr>
          <w:rFonts w:ascii="Times New Roman" w:eastAsia="Calibri" w:hAnsi="Times New Roman" w:cs="Times New Roman"/>
          <w:sz w:val="24"/>
          <w:szCs w:val="24"/>
        </w:rPr>
        <w:t xml:space="preserve">w </w:t>
      </w:r>
      <w:r w:rsidRPr="00774FA7">
        <w:rPr>
          <w:rFonts w:ascii="Times New Roman" w:eastAsia="Calibri" w:hAnsi="Times New Roman" w:cs="Times New Roman"/>
          <w:sz w:val="24"/>
          <w:szCs w:val="24"/>
        </w:rPr>
        <w:t xml:space="preserve">ust. 1 </w:t>
      </w:r>
      <w:r w:rsidR="00C00510">
        <w:rPr>
          <w:rFonts w:ascii="Times New Roman" w:eastAsia="Calibri" w:hAnsi="Times New Roman" w:cs="Times New Roman"/>
          <w:sz w:val="24"/>
          <w:szCs w:val="24"/>
        </w:rPr>
        <w:t>projektowane brzmienie</w:t>
      </w:r>
      <w:r w:rsidR="00C00510"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pkt 2 </w:t>
      </w:r>
      <w:r w:rsidR="00C00510">
        <w:rPr>
          <w:rFonts w:ascii="Times New Roman" w:eastAsia="Calibri" w:hAnsi="Times New Roman" w:cs="Times New Roman"/>
          <w:sz w:val="24"/>
          <w:szCs w:val="24"/>
        </w:rPr>
        <w:t>jest</w:t>
      </w:r>
      <w:r w:rsidRPr="00774FA7">
        <w:rPr>
          <w:rFonts w:ascii="Times New Roman" w:eastAsia="Calibri" w:hAnsi="Times New Roman" w:cs="Times New Roman"/>
          <w:sz w:val="24"/>
          <w:szCs w:val="24"/>
        </w:rPr>
        <w:t xml:space="preserve"> </w:t>
      </w:r>
      <w:r w:rsidR="00C665F2" w:rsidRPr="00774FA7">
        <w:rPr>
          <w:rFonts w:ascii="Times New Roman" w:eastAsia="Calibri" w:hAnsi="Times New Roman" w:cs="Times New Roman"/>
          <w:sz w:val="24"/>
          <w:szCs w:val="24"/>
        </w:rPr>
        <w:t>analogiczne jak</w:t>
      </w:r>
      <w:r w:rsidRPr="00774FA7">
        <w:rPr>
          <w:rFonts w:ascii="Times New Roman" w:eastAsia="Calibri" w:hAnsi="Times New Roman" w:cs="Times New Roman"/>
          <w:sz w:val="24"/>
          <w:szCs w:val="24"/>
        </w:rPr>
        <w:t xml:space="preserve"> ww. art. 10 ust. 2 pkt 6, stanowiący</w:t>
      </w:r>
      <w:r w:rsidR="00C00510">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iż odmowa wydania wizy członkowi rodziny niebędącemu obywatelem UE może nastąpić, jeżeli wymagają tego względy obronności lub bezpieczeństwa państwa lub ochrony bezpieczeństwa i porządku publicznego. Brzmienie przepisu jest zgodne </w:t>
      </w:r>
      <w:r w:rsidR="00262298" w:rsidRPr="00774FA7">
        <w:rPr>
          <w:rFonts w:ascii="Times New Roman" w:eastAsia="Calibri" w:hAnsi="Times New Roman" w:cs="Times New Roman"/>
          <w:sz w:val="24"/>
          <w:szCs w:val="24"/>
        </w:rPr>
        <w:t xml:space="preserve">z </w:t>
      </w:r>
      <w:r w:rsidRPr="00774FA7">
        <w:rPr>
          <w:rFonts w:ascii="Times New Roman" w:eastAsia="Calibri" w:hAnsi="Times New Roman" w:cs="Times New Roman"/>
          <w:sz w:val="24"/>
          <w:szCs w:val="24"/>
        </w:rPr>
        <w:t xml:space="preserve">art. 27 ust. 1 dyrektywy 2004/38/WE i również jest wzorowane na uregulowaniach ustawy o cudzoziemcach. </w:t>
      </w:r>
      <w:r w:rsidR="00A119C8" w:rsidRPr="00774FA7">
        <w:rPr>
          <w:rFonts w:ascii="Times New Roman" w:eastAsia="Calibri" w:hAnsi="Times New Roman" w:cs="Times New Roman"/>
          <w:sz w:val="24"/>
          <w:szCs w:val="24"/>
        </w:rPr>
        <w:t xml:space="preserve">Z kolei przesłanka </w:t>
      </w:r>
      <w:r w:rsidR="0048030B" w:rsidRPr="00774FA7">
        <w:rPr>
          <w:rFonts w:ascii="Times New Roman" w:eastAsia="Calibri" w:hAnsi="Times New Roman" w:cs="Times New Roman"/>
          <w:sz w:val="24"/>
          <w:szCs w:val="24"/>
        </w:rPr>
        <w:t>przewidując</w:t>
      </w:r>
      <w:r w:rsidR="00A119C8" w:rsidRPr="00774FA7">
        <w:rPr>
          <w:rFonts w:ascii="Times New Roman" w:eastAsia="Calibri" w:hAnsi="Times New Roman" w:cs="Times New Roman"/>
          <w:sz w:val="24"/>
          <w:szCs w:val="24"/>
        </w:rPr>
        <w:t>a</w:t>
      </w:r>
      <w:r w:rsidR="0048030B" w:rsidRPr="00774FA7">
        <w:rPr>
          <w:rFonts w:ascii="Times New Roman" w:eastAsia="Calibri" w:hAnsi="Times New Roman" w:cs="Times New Roman"/>
          <w:sz w:val="24"/>
          <w:szCs w:val="24"/>
        </w:rPr>
        <w:t xml:space="preserve"> odmow</w:t>
      </w:r>
      <w:r w:rsidR="00A119C8" w:rsidRPr="00774FA7">
        <w:rPr>
          <w:rFonts w:ascii="Times New Roman" w:eastAsia="Calibri" w:hAnsi="Times New Roman" w:cs="Times New Roman"/>
          <w:sz w:val="24"/>
          <w:szCs w:val="24"/>
        </w:rPr>
        <w:t>ę</w:t>
      </w:r>
      <w:r w:rsidR="0048030B" w:rsidRPr="00774FA7">
        <w:rPr>
          <w:rFonts w:ascii="Times New Roman" w:eastAsia="Calibri" w:hAnsi="Times New Roman" w:cs="Times New Roman"/>
          <w:sz w:val="24"/>
          <w:szCs w:val="24"/>
        </w:rPr>
        <w:t xml:space="preserve"> </w:t>
      </w:r>
      <w:r w:rsidR="00F104F1" w:rsidRPr="00774FA7">
        <w:rPr>
          <w:rFonts w:ascii="Times New Roman" w:eastAsia="Calibri" w:hAnsi="Times New Roman" w:cs="Times New Roman"/>
          <w:sz w:val="24"/>
          <w:szCs w:val="24"/>
        </w:rPr>
        <w:t xml:space="preserve">wjazdu </w:t>
      </w:r>
      <w:r w:rsidR="0048030B" w:rsidRPr="00774FA7">
        <w:rPr>
          <w:rFonts w:ascii="Times New Roman" w:eastAsia="Calibri" w:hAnsi="Times New Roman" w:cs="Times New Roman"/>
          <w:sz w:val="24"/>
          <w:szCs w:val="24"/>
        </w:rPr>
        <w:t>w sytuacji, kiedy wymagają tego względy zdrowia publicznego</w:t>
      </w:r>
      <w:r w:rsidR="00A119C8" w:rsidRPr="00774FA7">
        <w:rPr>
          <w:rFonts w:ascii="Times New Roman" w:eastAsia="Calibri" w:hAnsi="Times New Roman" w:cs="Times New Roman"/>
          <w:sz w:val="24"/>
          <w:szCs w:val="24"/>
        </w:rPr>
        <w:t xml:space="preserve"> została przeniesiona z dotychczasowego pkt 2 </w:t>
      </w:r>
      <w:r w:rsidR="00C00510">
        <w:rPr>
          <w:rFonts w:ascii="Times New Roman" w:eastAsia="Calibri" w:hAnsi="Times New Roman" w:cs="Times New Roman"/>
          <w:sz w:val="24"/>
          <w:szCs w:val="24"/>
        </w:rPr>
        <w:t>do</w:t>
      </w:r>
      <w:r w:rsidR="00A119C8" w:rsidRPr="00774FA7">
        <w:rPr>
          <w:rFonts w:ascii="Times New Roman" w:eastAsia="Calibri" w:hAnsi="Times New Roman" w:cs="Times New Roman"/>
          <w:sz w:val="24"/>
          <w:szCs w:val="24"/>
        </w:rPr>
        <w:t xml:space="preserve"> osobn</w:t>
      </w:r>
      <w:r w:rsidR="00C00510">
        <w:rPr>
          <w:rFonts w:ascii="Times New Roman" w:eastAsia="Calibri" w:hAnsi="Times New Roman" w:cs="Times New Roman"/>
          <w:sz w:val="24"/>
          <w:szCs w:val="24"/>
        </w:rPr>
        <w:t>ej</w:t>
      </w:r>
      <w:r w:rsidR="00A119C8" w:rsidRPr="00774FA7">
        <w:rPr>
          <w:rFonts w:ascii="Times New Roman" w:eastAsia="Calibri" w:hAnsi="Times New Roman" w:cs="Times New Roman"/>
          <w:sz w:val="24"/>
          <w:szCs w:val="24"/>
        </w:rPr>
        <w:t xml:space="preserve"> jednostk</w:t>
      </w:r>
      <w:r w:rsidR="00C00510">
        <w:rPr>
          <w:rFonts w:ascii="Times New Roman" w:eastAsia="Calibri" w:hAnsi="Times New Roman" w:cs="Times New Roman"/>
          <w:sz w:val="24"/>
          <w:szCs w:val="24"/>
        </w:rPr>
        <w:t>i</w:t>
      </w:r>
      <w:r w:rsidR="00A119C8" w:rsidRPr="00774FA7">
        <w:rPr>
          <w:rFonts w:ascii="Times New Roman" w:eastAsia="Calibri" w:hAnsi="Times New Roman" w:cs="Times New Roman"/>
          <w:sz w:val="24"/>
          <w:szCs w:val="24"/>
        </w:rPr>
        <w:t xml:space="preserve"> redakcyjn</w:t>
      </w:r>
      <w:r w:rsidR="00C00510">
        <w:rPr>
          <w:rFonts w:ascii="Times New Roman" w:eastAsia="Calibri" w:hAnsi="Times New Roman" w:cs="Times New Roman"/>
          <w:sz w:val="24"/>
          <w:szCs w:val="24"/>
        </w:rPr>
        <w:t>ej</w:t>
      </w:r>
      <w:r w:rsidR="00A119C8" w:rsidRPr="00774FA7">
        <w:rPr>
          <w:rFonts w:ascii="Times New Roman" w:eastAsia="Calibri" w:hAnsi="Times New Roman" w:cs="Times New Roman"/>
          <w:sz w:val="24"/>
          <w:szCs w:val="24"/>
        </w:rPr>
        <w:t xml:space="preserve"> –  pkt 4. </w:t>
      </w:r>
      <w:r w:rsidR="0048030B" w:rsidRPr="00774FA7">
        <w:rPr>
          <w:rFonts w:ascii="Times New Roman" w:eastAsia="Calibri" w:hAnsi="Times New Roman" w:cs="Times New Roman"/>
          <w:sz w:val="24"/>
          <w:szCs w:val="24"/>
        </w:rPr>
        <w:t>W ocenie projektodawcy obie przesłanki powinny być rozdzielon</w:t>
      </w:r>
      <w:r w:rsidR="00C00510">
        <w:rPr>
          <w:rFonts w:ascii="Times New Roman" w:eastAsia="Calibri" w:hAnsi="Times New Roman" w:cs="Times New Roman"/>
          <w:sz w:val="24"/>
          <w:szCs w:val="24"/>
        </w:rPr>
        <w:t>e</w:t>
      </w:r>
      <w:r w:rsidR="0048030B" w:rsidRPr="00774FA7">
        <w:rPr>
          <w:rFonts w:ascii="Times New Roman" w:eastAsia="Calibri" w:hAnsi="Times New Roman" w:cs="Times New Roman"/>
          <w:sz w:val="24"/>
          <w:szCs w:val="24"/>
        </w:rPr>
        <w:t xml:space="preserve">, ponieważ mają odmienny charakter. Brzmienie przepisu również jest wzorowane na uregulowaniach ustawy o cudzoziemcach. </w:t>
      </w:r>
    </w:p>
    <w:p w14:paraId="2A70080B" w14:textId="5EB2684A" w:rsidR="002A0F74" w:rsidRPr="00774FA7" w:rsidRDefault="00EC40A5"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Zmiany </w:t>
      </w:r>
      <w:r w:rsidR="00076C40" w:rsidRPr="00774FA7">
        <w:rPr>
          <w:rFonts w:ascii="Times New Roman" w:eastAsia="Calibri" w:hAnsi="Times New Roman" w:cs="Times New Roman"/>
          <w:sz w:val="24"/>
          <w:szCs w:val="24"/>
        </w:rPr>
        <w:t xml:space="preserve">w art. 11a </w:t>
      </w:r>
      <w:r w:rsidRPr="00774FA7">
        <w:rPr>
          <w:rFonts w:ascii="Times New Roman" w:eastAsia="Calibri" w:hAnsi="Times New Roman" w:cs="Times New Roman"/>
          <w:sz w:val="24"/>
          <w:szCs w:val="24"/>
        </w:rPr>
        <w:t xml:space="preserve">są </w:t>
      </w:r>
      <w:r w:rsidR="00076C40" w:rsidRPr="00774FA7">
        <w:rPr>
          <w:rFonts w:ascii="Times New Roman" w:eastAsia="Calibri" w:hAnsi="Times New Roman" w:cs="Times New Roman"/>
          <w:sz w:val="24"/>
          <w:szCs w:val="24"/>
        </w:rPr>
        <w:t>konsekwencją</w:t>
      </w:r>
      <w:r w:rsidR="00B658EB" w:rsidRPr="00774FA7">
        <w:rPr>
          <w:rFonts w:ascii="Times New Roman" w:eastAsia="Calibri" w:hAnsi="Times New Roman" w:cs="Times New Roman"/>
          <w:sz w:val="24"/>
          <w:szCs w:val="24"/>
        </w:rPr>
        <w:t xml:space="preserve"> wprowadzenia regulacji prawnych określających przesłanki cofnięcia oraz unieważnienia wizy</w:t>
      </w:r>
      <w:r w:rsidR="00076C40" w:rsidRPr="00774FA7">
        <w:rPr>
          <w:rFonts w:ascii="Times New Roman" w:eastAsia="Calibri" w:hAnsi="Times New Roman" w:cs="Times New Roman"/>
          <w:sz w:val="24"/>
          <w:szCs w:val="24"/>
        </w:rPr>
        <w:t xml:space="preserve">. </w:t>
      </w:r>
    </w:p>
    <w:p w14:paraId="15B373B8" w14:textId="4EE0D0F8" w:rsidR="00076C40" w:rsidRPr="00774FA7" w:rsidRDefault="00076C40" w:rsidP="004F6DC6">
      <w:pPr>
        <w:spacing w:after="0" w:line="288" w:lineRule="auto"/>
        <w:ind w:firstLine="709"/>
        <w:jc w:val="both"/>
        <w:rPr>
          <w:rFonts w:ascii="Times New Roman" w:eastAsia="Calibri" w:hAnsi="Times New Roman" w:cs="Times New Roman"/>
          <w:strike/>
          <w:sz w:val="24"/>
          <w:szCs w:val="24"/>
        </w:rPr>
      </w:pPr>
      <w:r w:rsidRPr="00774FA7">
        <w:rPr>
          <w:rFonts w:ascii="Times New Roman" w:eastAsia="Calibri" w:hAnsi="Times New Roman" w:cs="Times New Roman"/>
          <w:sz w:val="24"/>
          <w:szCs w:val="24"/>
        </w:rPr>
        <w:t>Przepisowi art. 16</w:t>
      </w:r>
      <w:r w:rsidR="004F0F33">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965D9F" w:rsidRPr="00774FA7">
        <w:rPr>
          <w:rFonts w:ascii="Times New Roman" w:eastAsia="Calibri" w:hAnsi="Times New Roman" w:cs="Times New Roman"/>
          <w:sz w:val="24"/>
          <w:szCs w:val="24"/>
        </w:rPr>
        <w:t xml:space="preserve">określającemu warunki, jakie musi spełniać obywatel UE, który dokonuje rejestracji prawa pobytu, </w:t>
      </w:r>
      <w:r w:rsidRPr="00774FA7">
        <w:rPr>
          <w:rFonts w:ascii="Times New Roman" w:eastAsia="Calibri" w:hAnsi="Times New Roman" w:cs="Times New Roman"/>
          <w:sz w:val="24"/>
          <w:szCs w:val="24"/>
        </w:rPr>
        <w:t xml:space="preserve">zostało nadane nowe brzmienie. </w:t>
      </w:r>
    </w:p>
    <w:p w14:paraId="206B1C62" w14:textId="038DC9FA" w:rsidR="00076C40" w:rsidRPr="00774FA7" w:rsidRDefault="00965D9F"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ww. przepisie w</w:t>
      </w:r>
      <w:r w:rsidR="00076C40" w:rsidRPr="00774FA7">
        <w:rPr>
          <w:rFonts w:ascii="Times New Roman" w:eastAsia="Calibri" w:hAnsi="Times New Roman" w:cs="Times New Roman"/>
          <w:sz w:val="24"/>
          <w:szCs w:val="24"/>
        </w:rPr>
        <w:t xml:space="preserve"> pkt 2 lit. a oraz w pkt 3 lit. b wymóg bycia objętym powszechnym ubezpieczeniem zdrowotnym zastąpiono wymogiem posiadania ubezpieczenia zdrowotnego </w:t>
      </w:r>
      <w:r w:rsidR="00076C40" w:rsidRPr="00774FA7">
        <w:rPr>
          <w:rFonts w:ascii="Times New Roman" w:eastAsia="Calibri" w:hAnsi="Times New Roman" w:cs="Times New Roman"/>
          <w:sz w:val="24"/>
          <w:szCs w:val="24"/>
        </w:rPr>
        <w:lastRenderedPageBreak/>
        <w:t xml:space="preserve">w rozumieniu przepisów ustawy z dnia 27 sierpnia 2004 r. o świadczeniach opieki zdrowotnej finansowanych ze środków publicznych. </w:t>
      </w:r>
    </w:p>
    <w:p w14:paraId="482C9A77" w14:textId="353A0133" w:rsidR="00076C40" w:rsidRPr="00774FA7" w:rsidRDefault="00A119C8" w:rsidP="004F0F33">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Dotychczasowy ust. 2 w art. 16 stał się zbędny z</w:t>
      </w:r>
      <w:r w:rsidR="00076C40" w:rsidRPr="00774FA7">
        <w:rPr>
          <w:rFonts w:ascii="Times New Roman" w:eastAsia="Calibri" w:hAnsi="Times New Roman" w:cs="Times New Roman"/>
          <w:sz w:val="24"/>
          <w:szCs w:val="24"/>
        </w:rPr>
        <w:t xml:space="preserve"> uwagi na to, że zgodnie z art. 87 ust. 1 pkt 7-11 ustawy z dnia 20 kwietnia 2004 r. o promocji zatrudnienia i instytucjach rynku pracy (Dz. U. z </w:t>
      </w:r>
      <w:r w:rsidR="004F0F33" w:rsidRPr="004F0F33">
        <w:rPr>
          <w:rFonts w:ascii="Times New Roman" w:eastAsia="Calibri" w:hAnsi="Times New Roman" w:cs="Times New Roman"/>
          <w:sz w:val="24"/>
          <w:szCs w:val="24"/>
        </w:rPr>
        <w:t>2020 r. poz.</w:t>
      </w:r>
      <w:r w:rsidR="004F0F33">
        <w:rPr>
          <w:rFonts w:ascii="Times New Roman" w:eastAsia="Calibri" w:hAnsi="Times New Roman" w:cs="Times New Roman"/>
          <w:sz w:val="24"/>
          <w:szCs w:val="24"/>
        </w:rPr>
        <w:t xml:space="preserve"> </w:t>
      </w:r>
      <w:r w:rsidR="004F0F33" w:rsidRPr="004F0F33">
        <w:rPr>
          <w:rFonts w:ascii="Times New Roman" w:eastAsia="Calibri" w:hAnsi="Times New Roman" w:cs="Times New Roman"/>
          <w:sz w:val="24"/>
          <w:szCs w:val="24"/>
        </w:rPr>
        <w:t>1409</w:t>
      </w:r>
      <w:r w:rsidR="00A52A60">
        <w:rPr>
          <w:rFonts w:ascii="Times New Roman" w:eastAsia="Calibri" w:hAnsi="Times New Roman" w:cs="Times New Roman"/>
          <w:sz w:val="24"/>
          <w:szCs w:val="24"/>
        </w:rPr>
        <w:t xml:space="preserve"> i 2023</w:t>
      </w:r>
      <w:r w:rsidR="00076C40" w:rsidRPr="00774FA7">
        <w:rPr>
          <w:rFonts w:ascii="Times New Roman" w:eastAsia="Calibri" w:hAnsi="Times New Roman" w:cs="Times New Roman"/>
          <w:sz w:val="24"/>
          <w:szCs w:val="24"/>
        </w:rPr>
        <w:t>) zarówno obywatele UE, jak również członkowie ich rodzin, mają pełen dostęp do polskiego rynku pracy</w:t>
      </w:r>
      <w:r w:rsidR="005419E6">
        <w:rPr>
          <w:rFonts w:ascii="Times New Roman" w:eastAsia="Calibri" w:hAnsi="Times New Roman" w:cs="Times New Roman"/>
          <w:sz w:val="24"/>
          <w:szCs w:val="24"/>
        </w:rPr>
        <w:t>.</w:t>
      </w:r>
    </w:p>
    <w:p w14:paraId="722EB047" w14:textId="64D7BF0F" w:rsidR="00076C40" w:rsidRPr="00774FA7" w:rsidRDefault="00C00510"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 projekcie zaproponowano z</w:t>
      </w:r>
      <w:r w:rsidR="00076C40" w:rsidRPr="00774FA7">
        <w:rPr>
          <w:rFonts w:ascii="Times New Roman" w:eastAsia="Calibri" w:hAnsi="Times New Roman" w:cs="Times New Roman"/>
          <w:sz w:val="24"/>
          <w:szCs w:val="24"/>
        </w:rPr>
        <w:t>mian</w:t>
      </w:r>
      <w:r>
        <w:rPr>
          <w:rFonts w:ascii="Times New Roman" w:eastAsia="Calibri" w:hAnsi="Times New Roman" w:cs="Times New Roman"/>
          <w:sz w:val="24"/>
          <w:szCs w:val="24"/>
        </w:rPr>
        <w:t>ę</w:t>
      </w:r>
      <w:r w:rsidR="00076C40" w:rsidRPr="00774FA7">
        <w:rPr>
          <w:rFonts w:ascii="Times New Roman" w:eastAsia="Calibri" w:hAnsi="Times New Roman" w:cs="Times New Roman"/>
          <w:sz w:val="24"/>
          <w:szCs w:val="24"/>
        </w:rPr>
        <w:t xml:space="preserve"> przepis</w:t>
      </w:r>
      <w:r>
        <w:rPr>
          <w:rFonts w:ascii="Times New Roman" w:eastAsia="Calibri" w:hAnsi="Times New Roman" w:cs="Times New Roman"/>
          <w:sz w:val="24"/>
          <w:szCs w:val="24"/>
        </w:rPr>
        <w:t>u</w:t>
      </w:r>
      <w:r w:rsidR="00076C40" w:rsidRPr="00774FA7">
        <w:rPr>
          <w:rFonts w:ascii="Times New Roman" w:eastAsia="Calibri" w:hAnsi="Times New Roman" w:cs="Times New Roman"/>
          <w:sz w:val="24"/>
          <w:szCs w:val="24"/>
        </w:rPr>
        <w:t xml:space="preserve"> art. 17 ust. 1 </w:t>
      </w:r>
      <w:r>
        <w:rPr>
          <w:rFonts w:ascii="Times New Roman" w:eastAsia="Calibri" w:hAnsi="Times New Roman" w:cs="Times New Roman"/>
          <w:sz w:val="24"/>
          <w:szCs w:val="24"/>
        </w:rPr>
        <w:t xml:space="preserve">pkt 1 </w:t>
      </w:r>
      <w:r w:rsidR="00076C40" w:rsidRPr="00774FA7">
        <w:rPr>
          <w:rFonts w:ascii="Times New Roman" w:eastAsia="Calibri" w:hAnsi="Times New Roman" w:cs="Times New Roman"/>
          <w:sz w:val="24"/>
          <w:szCs w:val="24"/>
        </w:rPr>
        <w:t>regulując</w:t>
      </w:r>
      <w:r>
        <w:rPr>
          <w:rFonts w:ascii="Times New Roman" w:eastAsia="Calibri" w:hAnsi="Times New Roman" w:cs="Times New Roman"/>
          <w:sz w:val="24"/>
          <w:szCs w:val="24"/>
        </w:rPr>
        <w:t>ego</w:t>
      </w:r>
      <w:r w:rsidR="00076C40" w:rsidRPr="00774FA7">
        <w:rPr>
          <w:rFonts w:ascii="Times New Roman" w:eastAsia="Calibri" w:hAnsi="Times New Roman" w:cs="Times New Roman"/>
          <w:sz w:val="24"/>
          <w:szCs w:val="24"/>
        </w:rPr>
        <w:t xml:space="preserve"> kwestię zachowania prawa pobytu przez obywatela UE, który przestał być pracownikiem lub osobą pracującą na własny rachunek. Przepis ten ma na celu dostosowanie prawa polskiego do orzeczenia Trybunału Sprawiedliwości </w:t>
      </w:r>
      <w:r w:rsidR="00B658EB" w:rsidRPr="00774FA7">
        <w:rPr>
          <w:rFonts w:ascii="Times New Roman" w:eastAsia="Calibri" w:hAnsi="Times New Roman" w:cs="Times New Roman"/>
          <w:sz w:val="24"/>
          <w:szCs w:val="24"/>
        </w:rPr>
        <w:t xml:space="preserve">UE </w:t>
      </w:r>
      <w:r w:rsidR="00076C40" w:rsidRPr="00774FA7">
        <w:rPr>
          <w:rFonts w:ascii="Times New Roman" w:eastAsia="Calibri" w:hAnsi="Times New Roman" w:cs="Times New Roman"/>
          <w:sz w:val="24"/>
          <w:szCs w:val="24"/>
        </w:rPr>
        <w:t xml:space="preserve">w sprawie C-507/12 Saint Prix. Wprowadzone rozwiązanie </w:t>
      </w:r>
      <w:r>
        <w:rPr>
          <w:rFonts w:ascii="Times New Roman" w:eastAsia="Calibri" w:hAnsi="Times New Roman" w:cs="Times New Roman"/>
          <w:sz w:val="24"/>
          <w:szCs w:val="24"/>
        </w:rPr>
        <w:t>umożliwi</w:t>
      </w:r>
      <w:r w:rsidR="00076C40" w:rsidRPr="00774FA7">
        <w:rPr>
          <w:rFonts w:ascii="Times New Roman" w:eastAsia="Calibri" w:hAnsi="Times New Roman" w:cs="Times New Roman"/>
          <w:sz w:val="24"/>
          <w:szCs w:val="24"/>
        </w:rPr>
        <w:t xml:space="preserve"> zachowani</w:t>
      </w:r>
      <w:r>
        <w:rPr>
          <w:rFonts w:ascii="Times New Roman" w:eastAsia="Calibri" w:hAnsi="Times New Roman" w:cs="Times New Roman"/>
          <w:sz w:val="24"/>
          <w:szCs w:val="24"/>
        </w:rPr>
        <w:t>e</w:t>
      </w:r>
      <w:r w:rsidR="00076C40" w:rsidRPr="00774FA7">
        <w:rPr>
          <w:rFonts w:ascii="Times New Roman" w:eastAsia="Calibri" w:hAnsi="Times New Roman" w:cs="Times New Roman"/>
          <w:sz w:val="24"/>
          <w:szCs w:val="24"/>
        </w:rPr>
        <w:t xml:space="preserve"> prawa pobytu przez obywatelki UE, które nie wykonują pracy w związku z ciążą i połogiem.</w:t>
      </w:r>
    </w:p>
    <w:p w14:paraId="042D86F6" w14:textId="2CC0F661" w:rsidR="00076C40" w:rsidRPr="00774FA7" w:rsidRDefault="008676F3"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celu dostosowania polskiego prawa do postanowień wyroku Trybunału Sprawiedliwości UE w sprawie C-456/12 O i B </w:t>
      </w:r>
      <w:r w:rsidR="00C00510">
        <w:rPr>
          <w:rFonts w:ascii="Times New Roman" w:eastAsia="Calibri" w:hAnsi="Times New Roman" w:cs="Times New Roman"/>
          <w:sz w:val="24"/>
          <w:szCs w:val="24"/>
        </w:rPr>
        <w:t>dodano</w:t>
      </w:r>
      <w:r w:rsidRPr="00774FA7">
        <w:rPr>
          <w:rFonts w:ascii="Times New Roman" w:eastAsia="Calibri" w:hAnsi="Times New Roman" w:cs="Times New Roman"/>
          <w:sz w:val="24"/>
          <w:szCs w:val="24"/>
        </w:rPr>
        <w:t xml:space="preserve"> </w:t>
      </w:r>
      <w:r w:rsidR="00076C40" w:rsidRPr="00774FA7">
        <w:rPr>
          <w:rFonts w:ascii="Times New Roman" w:eastAsia="Calibri" w:hAnsi="Times New Roman" w:cs="Times New Roman"/>
          <w:sz w:val="24"/>
          <w:szCs w:val="24"/>
        </w:rPr>
        <w:t xml:space="preserve">art. 18a i </w:t>
      </w:r>
      <w:r w:rsidR="00DE1B66">
        <w:rPr>
          <w:rFonts w:ascii="Times New Roman" w:eastAsia="Calibri" w:hAnsi="Times New Roman" w:cs="Times New Roman"/>
          <w:sz w:val="24"/>
          <w:szCs w:val="24"/>
        </w:rPr>
        <w:t xml:space="preserve">zmieniono brzmienie </w:t>
      </w:r>
      <w:r w:rsidR="00076C40" w:rsidRPr="00774FA7">
        <w:rPr>
          <w:rFonts w:ascii="Times New Roman" w:eastAsia="Calibri" w:hAnsi="Times New Roman" w:cs="Times New Roman"/>
          <w:sz w:val="24"/>
          <w:szCs w:val="24"/>
        </w:rPr>
        <w:t>art. 19 ust. 1</w:t>
      </w:r>
      <w:r w:rsidR="00DE1B66">
        <w:rPr>
          <w:rFonts w:ascii="Times New Roman" w:eastAsia="Calibri" w:hAnsi="Times New Roman" w:cs="Times New Roman"/>
          <w:sz w:val="24"/>
          <w:szCs w:val="24"/>
        </w:rPr>
        <w:t xml:space="preserve">, które będą </w:t>
      </w:r>
      <w:r w:rsidRPr="00774FA7">
        <w:rPr>
          <w:rFonts w:ascii="Times New Roman" w:eastAsia="Calibri" w:hAnsi="Times New Roman" w:cs="Times New Roman"/>
          <w:sz w:val="24"/>
          <w:szCs w:val="24"/>
        </w:rPr>
        <w:t>stanowi</w:t>
      </w:r>
      <w:r w:rsidR="00DE1B66">
        <w:rPr>
          <w:rFonts w:ascii="Times New Roman" w:eastAsia="Calibri" w:hAnsi="Times New Roman" w:cs="Times New Roman"/>
          <w:sz w:val="24"/>
          <w:szCs w:val="24"/>
        </w:rPr>
        <w:t>ć</w:t>
      </w:r>
      <w:r w:rsidRPr="00774FA7">
        <w:rPr>
          <w:rFonts w:ascii="Times New Roman" w:eastAsia="Calibri" w:hAnsi="Times New Roman" w:cs="Times New Roman"/>
          <w:sz w:val="24"/>
          <w:szCs w:val="24"/>
        </w:rPr>
        <w:t xml:space="preserve"> </w:t>
      </w:r>
      <w:r w:rsidR="00076C40" w:rsidRPr="00774FA7">
        <w:rPr>
          <w:rFonts w:ascii="Times New Roman" w:eastAsia="Calibri" w:hAnsi="Times New Roman" w:cs="Times New Roman"/>
          <w:sz w:val="24"/>
          <w:szCs w:val="24"/>
        </w:rPr>
        <w:t xml:space="preserve">podstawę prawa pobytu dla członków rodziny obywateli polskich, którzy zostali objęci zakresem stosowania ustawy o wjeździe obywateli UE. </w:t>
      </w:r>
    </w:p>
    <w:p w14:paraId="619F45E2" w14:textId="709172AF" w:rsidR="00076C40" w:rsidRPr="00774FA7" w:rsidRDefault="008676F3"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 kolei w</w:t>
      </w:r>
      <w:r w:rsidR="00076C40" w:rsidRPr="00774FA7">
        <w:rPr>
          <w:rFonts w:ascii="Times New Roman" w:eastAsia="Calibri" w:hAnsi="Times New Roman" w:cs="Times New Roman"/>
          <w:sz w:val="24"/>
          <w:szCs w:val="24"/>
        </w:rPr>
        <w:t xml:space="preserve"> celu </w:t>
      </w:r>
      <w:r w:rsidRPr="00774FA7">
        <w:rPr>
          <w:rFonts w:ascii="Times New Roman" w:eastAsia="Calibri" w:hAnsi="Times New Roman" w:cs="Times New Roman"/>
          <w:sz w:val="24"/>
          <w:szCs w:val="24"/>
        </w:rPr>
        <w:t xml:space="preserve">uwzględnienia tez </w:t>
      </w:r>
      <w:r w:rsidR="00076C40" w:rsidRPr="00774FA7">
        <w:rPr>
          <w:rFonts w:ascii="Times New Roman" w:eastAsia="Calibri" w:hAnsi="Times New Roman" w:cs="Times New Roman"/>
          <w:sz w:val="24"/>
          <w:szCs w:val="24"/>
        </w:rPr>
        <w:t xml:space="preserve">orzeczenia Trybunału Sprawiedliwości w sprawie C-218/14 Singh </w:t>
      </w:r>
      <w:proofErr w:type="spellStart"/>
      <w:r w:rsidR="00076C40" w:rsidRPr="00774FA7">
        <w:rPr>
          <w:rFonts w:ascii="Times New Roman" w:eastAsia="Calibri" w:hAnsi="Times New Roman" w:cs="Times New Roman"/>
          <w:sz w:val="24"/>
          <w:szCs w:val="24"/>
        </w:rPr>
        <w:t>e.a</w:t>
      </w:r>
      <w:proofErr w:type="spellEnd"/>
      <w:r w:rsidR="00076C40" w:rsidRPr="00774FA7">
        <w:rPr>
          <w:rFonts w:ascii="Times New Roman" w:eastAsia="Calibri" w:hAnsi="Times New Roman" w:cs="Times New Roman"/>
          <w:sz w:val="24"/>
          <w:szCs w:val="24"/>
        </w:rPr>
        <w:t xml:space="preserve">. </w:t>
      </w:r>
      <w:r w:rsidR="00262298" w:rsidRPr="00774FA7">
        <w:rPr>
          <w:rFonts w:ascii="Times New Roman" w:eastAsia="Calibri" w:hAnsi="Times New Roman" w:cs="Times New Roman"/>
          <w:sz w:val="24"/>
          <w:szCs w:val="24"/>
        </w:rPr>
        <w:t>zaproponowano</w:t>
      </w:r>
      <w:r w:rsidR="00076C40" w:rsidRPr="00774FA7">
        <w:rPr>
          <w:rFonts w:ascii="Times New Roman" w:eastAsia="Calibri" w:hAnsi="Times New Roman" w:cs="Times New Roman"/>
          <w:sz w:val="24"/>
          <w:szCs w:val="24"/>
        </w:rPr>
        <w:t xml:space="preserve"> </w:t>
      </w:r>
      <w:r w:rsidR="00262298" w:rsidRPr="00774FA7">
        <w:rPr>
          <w:rFonts w:ascii="Times New Roman" w:eastAsia="Calibri" w:hAnsi="Times New Roman" w:cs="Times New Roman"/>
          <w:sz w:val="24"/>
          <w:szCs w:val="24"/>
        </w:rPr>
        <w:t xml:space="preserve">zmianę </w:t>
      </w:r>
      <w:r w:rsidR="00076C40" w:rsidRPr="00774FA7">
        <w:rPr>
          <w:rFonts w:ascii="Times New Roman" w:eastAsia="Calibri" w:hAnsi="Times New Roman" w:cs="Times New Roman"/>
          <w:sz w:val="24"/>
          <w:szCs w:val="24"/>
        </w:rPr>
        <w:t>brzmieni</w:t>
      </w:r>
      <w:r w:rsidR="00262298" w:rsidRPr="00774FA7">
        <w:rPr>
          <w:rFonts w:ascii="Times New Roman" w:eastAsia="Calibri" w:hAnsi="Times New Roman" w:cs="Times New Roman"/>
          <w:sz w:val="24"/>
          <w:szCs w:val="24"/>
        </w:rPr>
        <w:t>a</w:t>
      </w:r>
      <w:r w:rsidR="00076C40" w:rsidRPr="00774FA7">
        <w:rPr>
          <w:rFonts w:ascii="Times New Roman" w:eastAsia="Calibri" w:hAnsi="Times New Roman" w:cs="Times New Roman"/>
          <w:sz w:val="24"/>
          <w:szCs w:val="24"/>
        </w:rPr>
        <w:t xml:space="preserve"> art. 19 ust. 2 pkt 2. W przedmiotowym orzeczeniu Trybunał doprecyzował wykładnię art. 13 ust. 2 lit. a dyrektywy 2004/38/WE wskazując, iż do zachowania prawa pobytu członka rodziny obywatela UE istotne jest, aby w dacie wszczęcia postępowania w sprawie rozwodu obywatel UE przebywał na terytorium goszczącego go państwa członkowskiego.</w:t>
      </w:r>
    </w:p>
    <w:p w14:paraId="3648E9FC" w14:textId="24A23DC1"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Zmian</w:t>
      </w:r>
      <w:r w:rsidR="00C00510">
        <w:rPr>
          <w:rFonts w:ascii="Times New Roman" w:eastAsia="Calibri" w:hAnsi="Times New Roman" w:cs="Times New Roman"/>
          <w:sz w:val="24"/>
          <w:szCs w:val="24"/>
        </w:rPr>
        <w:t>y</w:t>
      </w:r>
      <w:r w:rsidRPr="00774FA7">
        <w:rPr>
          <w:rFonts w:ascii="Times New Roman" w:eastAsia="Calibri" w:hAnsi="Times New Roman" w:cs="Times New Roman"/>
          <w:sz w:val="24"/>
          <w:szCs w:val="24"/>
        </w:rPr>
        <w:t xml:space="preserve"> w art. 20 ust. 1, art. 21 ust. 1 i 4, art. 22, art. 25, art. 26, </w:t>
      </w:r>
      <w:r w:rsidR="00E17504" w:rsidRPr="00774FA7">
        <w:rPr>
          <w:rFonts w:ascii="Times New Roman" w:eastAsia="Calibri" w:hAnsi="Times New Roman" w:cs="Times New Roman"/>
          <w:sz w:val="24"/>
          <w:szCs w:val="24"/>
        </w:rPr>
        <w:t xml:space="preserve">art. 30, </w:t>
      </w:r>
      <w:r w:rsidRPr="00774FA7">
        <w:rPr>
          <w:rFonts w:ascii="Times New Roman" w:eastAsia="Calibri" w:hAnsi="Times New Roman" w:cs="Times New Roman"/>
          <w:sz w:val="24"/>
          <w:szCs w:val="24"/>
        </w:rPr>
        <w:t>art. 31 ust. 1</w:t>
      </w:r>
      <w:r w:rsidR="00E17504" w:rsidRPr="00774FA7">
        <w:t xml:space="preserve"> </w:t>
      </w:r>
      <w:r w:rsidR="00E17504" w:rsidRPr="00774FA7">
        <w:rPr>
          <w:rFonts w:ascii="Times New Roman" w:eastAsia="Calibri" w:hAnsi="Times New Roman" w:cs="Times New Roman"/>
          <w:sz w:val="24"/>
          <w:szCs w:val="24"/>
        </w:rPr>
        <w:t>we wprowadzeniu do wyliczenia</w:t>
      </w:r>
      <w:r w:rsidRPr="00774FA7">
        <w:rPr>
          <w:rFonts w:ascii="Times New Roman" w:eastAsia="Calibri" w:hAnsi="Times New Roman" w:cs="Times New Roman"/>
          <w:sz w:val="24"/>
          <w:szCs w:val="24"/>
        </w:rPr>
        <w:t>, art. 33  ust. 1 i 5, art. 38, art. 39</w:t>
      </w:r>
      <w:r w:rsidR="009611CB">
        <w:rPr>
          <w:rFonts w:ascii="Times New Roman" w:eastAsia="Calibri" w:hAnsi="Times New Roman" w:cs="Times New Roman"/>
          <w:sz w:val="24"/>
          <w:szCs w:val="24"/>
        </w:rPr>
        <w:t xml:space="preserve"> i</w:t>
      </w:r>
      <w:r w:rsidRPr="00774FA7">
        <w:rPr>
          <w:rFonts w:ascii="Times New Roman" w:eastAsia="Calibri" w:hAnsi="Times New Roman" w:cs="Times New Roman"/>
          <w:sz w:val="24"/>
          <w:szCs w:val="24"/>
        </w:rPr>
        <w:t xml:space="preserve"> art. 80 pkt 2</w:t>
      </w:r>
      <w:r w:rsidR="00E17504" w:rsidRPr="00774FA7">
        <w:rPr>
          <w:rFonts w:ascii="Times New Roman" w:eastAsia="Calibri" w:hAnsi="Times New Roman" w:cs="Times New Roman"/>
          <w:sz w:val="24"/>
          <w:szCs w:val="24"/>
        </w:rPr>
        <w:t xml:space="preserve"> w</w:t>
      </w:r>
      <w:r w:rsidRPr="00774FA7">
        <w:rPr>
          <w:rFonts w:ascii="Times New Roman" w:eastAsia="Calibri" w:hAnsi="Times New Roman" w:cs="Times New Roman"/>
          <w:sz w:val="24"/>
          <w:szCs w:val="24"/>
        </w:rPr>
        <w:t xml:space="preserve"> lit.  c wynika</w:t>
      </w:r>
      <w:r w:rsidR="00C00510">
        <w:rPr>
          <w:rFonts w:ascii="Times New Roman" w:eastAsia="Calibri" w:hAnsi="Times New Roman" w:cs="Times New Roman"/>
          <w:sz w:val="24"/>
          <w:szCs w:val="24"/>
        </w:rPr>
        <w:t>ją</w:t>
      </w:r>
      <w:r w:rsidRPr="00774FA7">
        <w:rPr>
          <w:rFonts w:ascii="Times New Roman" w:eastAsia="Calibri" w:hAnsi="Times New Roman" w:cs="Times New Roman"/>
          <w:sz w:val="24"/>
          <w:szCs w:val="24"/>
        </w:rPr>
        <w:t xml:space="preserve"> z konieczności dostosowania </w:t>
      </w:r>
      <w:r w:rsidR="00042DDF" w:rsidRPr="00774FA7">
        <w:rPr>
          <w:rFonts w:ascii="Times New Roman" w:eastAsia="Calibri" w:hAnsi="Times New Roman" w:cs="Times New Roman"/>
          <w:sz w:val="24"/>
          <w:szCs w:val="24"/>
        </w:rPr>
        <w:t xml:space="preserve">przepisów </w:t>
      </w:r>
      <w:r w:rsidRPr="00774FA7">
        <w:rPr>
          <w:rFonts w:ascii="Times New Roman" w:eastAsia="Calibri" w:hAnsi="Times New Roman" w:cs="Times New Roman"/>
          <w:sz w:val="24"/>
          <w:szCs w:val="24"/>
        </w:rPr>
        <w:t>ustawy o wjeździe obywateli UE do rozporządzenia Rady (UE) 2019/1157, które określa nazwy dokumentów wydawanych członkom rodziny obywateli UE</w:t>
      </w:r>
      <w:r w:rsidR="00042DDF" w:rsidRPr="00774FA7">
        <w:rPr>
          <w:rFonts w:ascii="Times New Roman" w:eastAsia="Calibri" w:hAnsi="Times New Roman" w:cs="Times New Roman"/>
          <w:sz w:val="24"/>
          <w:szCs w:val="24"/>
        </w:rPr>
        <w:t xml:space="preserve">. W wyniku powyższego </w:t>
      </w:r>
      <w:r w:rsidRPr="00774FA7">
        <w:rPr>
          <w:rFonts w:ascii="Times New Roman" w:eastAsia="Calibri" w:hAnsi="Times New Roman" w:cs="Times New Roman"/>
          <w:sz w:val="24"/>
          <w:szCs w:val="24"/>
        </w:rPr>
        <w:t>używana dotąd nazwa „karta pobytu członka rodziny obywatela UE” zosta</w:t>
      </w:r>
      <w:r w:rsidR="00042DDF" w:rsidRPr="00774FA7">
        <w:rPr>
          <w:rFonts w:ascii="Times New Roman" w:eastAsia="Calibri" w:hAnsi="Times New Roman" w:cs="Times New Roman"/>
          <w:sz w:val="24"/>
          <w:szCs w:val="24"/>
        </w:rPr>
        <w:t>ni</w:t>
      </w:r>
      <w:r w:rsidRPr="00774FA7">
        <w:rPr>
          <w:rFonts w:ascii="Times New Roman" w:eastAsia="Calibri" w:hAnsi="Times New Roman" w:cs="Times New Roman"/>
          <w:sz w:val="24"/>
          <w:szCs w:val="24"/>
        </w:rPr>
        <w:t xml:space="preserve">e </w:t>
      </w:r>
      <w:r w:rsidR="00042DDF" w:rsidRPr="00774FA7">
        <w:rPr>
          <w:rFonts w:ascii="Times New Roman" w:eastAsia="Calibri" w:hAnsi="Times New Roman" w:cs="Times New Roman"/>
          <w:sz w:val="24"/>
          <w:szCs w:val="24"/>
        </w:rPr>
        <w:t xml:space="preserve">zastąpiona określeniem </w:t>
      </w:r>
      <w:r w:rsidRPr="00774FA7">
        <w:rPr>
          <w:rFonts w:ascii="Times New Roman" w:eastAsia="Calibri" w:hAnsi="Times New Roman" w:cs="Times New Roman"/>
          <w:sz w:val="24"/>
          <w:szCs w:val="24"/>
        </w:rPr>
        <w:t>„karta pobytowa”</w:t>
      </w:r>
      <w:r w:rsidR="00C31AEF" w:rsidRPr="00774FA7">
        <w:rPr>
          <w:rFonts w:ascii="Times New Roman" w:eastAsia="Calibri" w:hAnsi="Times New Roman" w:cs="Times New Roman"/>
          <w:sz w:val="24"/>
          <w:szCs w:val="24"/>
        </w:rPr>
        <w:t>.</w:t>
      </w:r>
    </w:p>
    <w:p w14:paraId="496FA8E1" w14:textId="60D8BA2B"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celu dostosowania polskich przepisów prawa do rozporządzenia Rady (UE) 2019/1157, które w art. 7 ust. 2 nakazuje stosować do wydawania kart pobytowych format dokumentów zgodny z rozporządzeniem Rady (WE) nr 1030/2002</w:t>
      </w:r>
      <w:r w:rsidR="00042DDF"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projektowane przepisy wprowadzają rozwiązania pozwalające na zamieszczanie w kartach pobytowych wydawanych członkom rodziny niebędącym obywatelami UE, którzy najpóźniej w dniu złożenia wniosku o wydanie tej karty ukończyli 6. rok życia, drugiej cechy biometrycznej, jaką jest obraz linii papilarnych. Przyjęta granica wieku wynika z uregulowań przewidzianych w art. 4b rozporządzenia Rady (WE) nr 1030/2002. Dotychczas obowiązujące przepisy ustawy o wjeździe obywateli UE przewidywały w art. 21 ust. 2 obowiązek osobistego stawiennictwa pełnoletniego wnioskodawcy przy składaniu wniosku zarówno o zarejestrowanie pobytu obywatela UE, jak również wniosku o wydani</w:t>
      </w:r>
      <w:r w:rsidR="00992373">
        <w:rPr>
          <w:rFonts w:ascii="Times New Roman" w:eastAsia="Calibri" w:hAnsi="Times New Roman" w:cs="Times New Roman"/>
          <w:sz w:val="24"/>
          <w:szCs w:val="24"/>
        </w:rPr>
        <w:t>e</w:t>
      </w:r>
      <w:r w:rsidRPr="00774FA7">
        <w:rPr>
          <w:rFonts w:ascii="Times New Roman" w:eastAsia="Calibri" w:hAnsi="Times New Roman" w:cs="Times New Roman"/>
          <w:sz w:val="24"/>
          <w:szCs w:val="24"/>
        </w:rPr>
        <w:t xml:space="preserve"> karty pobytowej. Wprowadzone w art. 21 ust. 2 rozwiązania pozwalają na wymaganie od obywateli UE oraz członków rodziny niebędących obywatelami UE, osobistego złożenia wniosku o zarejestrowanie pobytu lub o wydanie karty pobytowej. Ponadto</w:t>
      </w:r>
      <w:r w:rsidR="00CB3C5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 celu uniknięcia problemów z interpretacją przepisów</w:t>
      </w:r>
      <w:r w:rsidR="00CB3C52" w:rsidRPr="00774FA7">
        <w:rPr>
          <w:rFonts w:ascii="Times New Roman" w:eastAsia="Calibri" w:hAnsi="Times New Roman" w:cs="Times New Roman"/>
          <w:sz w:val="24"/>
          <w:szCs w:val="24"/>
        </w:rPr>
        <w:t xml:space="preserve"> w zakresie tego, </w:t>
      </w:r>
      <w:r w:rsidR="00CB3C52" w:rsidRPr="00774FA7">
        <w:rPr>
          <w:rFonts w:ascii="Times New Roman" w:eastAsia="Calibri" w:hAnsi="Times New Roman" w:cs="Times New Roman"/>
          <w:sz w:val="24"/>
          <w:szCs w:val="24"/>
        </w:rPr>
        <w:lastRenderedPageBreak/>
        <w:t>kto jest obowiązany do osobistego stawiennictwa</w:t>
      </w:r>
      <w:r w:rsidRPr="00774FA7">
        <w:rPr>
          <w:rFonts w:ascii="Times New Roman" w:eastAsia="Calibri" w:hAnsi="Times New Roman" w:cs="Times New Roman"/>
          <w:sz w:val="24"/>
          <w:szCs w:val="24"/>
        </w:rPr>
        <w:t xml:space="preserve"> </w:t>
      </w:r>
      <w:r w:rsidR="00CB3C52" w:rsidRPr="00774FA7">
        <w:rPr>
          <w:rFonts w:ascii="Times New Roman" w:eastAsia="Calibri" w:hAnsi="Times New Roman" w:cs="Times New Roman"/>
          <w:sz w:val="24"/>
          <w:szCs w:val="24"/>
        </w:rPr>
        <w:t xml:space="preserve">przed organem właściwym do przyjęcia i rozpatrzenia takiego wniosku dodano ust. </w:t>
      </w:r>
      <w:r w:rsidRPr="00774FA7">
        <w:rPr>
          <w:rFonts w:ascii="Times New Roman" w:eastAsia="Calibri" w:hAnsi="Times New Roman" w:cs="Times New Roman"/>
          <w:sz w:val="24"/>
          <w:szCs w:val="24"/>
        </w:rPr>
        <w:t>2a</w:t>
      </w:r>
      <w:r w:rsidR="00CB3C52" w:rsidRPr="00774FA7">
        <w:rPr>
          <w:rFonts w:ascii="Times New Roman" w:eastAsia="Calibri" w:hAnsi="Times New Roman" w:cs="Times New Roman"/>
          <w:sz w:val="24"/>
          <w:szCs w:val="24"/>
        </w:rPr>
        <w:t>, z którego wynika</w:t>
      </w:r>
      <w:r w:rsidRPr="00774FA7">
        <w:rPr>
          <w:rFonts w:ascii="Times New Roman" w:eastAsia="Calibri" w:hAnsi="Times New Roman" w:cs="Times New Roman"/>
          <w:sz w:val="24"/>
          <w:szCs w:val="24"/>
        </w:rPr>
        <w:t xml:space="preserve">, iż </w:t>
      </w:r>
      <w:r w:rsidR="00CB3C52" w:rsidRPr="00774FA7">
        <w:rPr>
          <w:rFonts w:ascii="Times New Roman" w:eastAsia="Calibri" w:hAnsi="Times New Roman" w:cs="Times New Roman"/>
          <w:sz w:val="24"/>
          <w:szCs w:val="24"/>
        </w:rPr>
        <w:t xml:space="preserve">jest to </w:t>
      </w:r>
      <w:r w:rsidRPr="00774FA7">
        <w:rPr>
          <w:rFonts w:ascii="Times New Roman" w:eastAsia="Calibri" w:hAnsi="Times New Roman" w:cs="Times New Roman"/>
          <w:sz w:val="24"/>
          <w:szCs w:val="24"/>
        </w:rPr>
        <w:t>obywatel UE lub członek rodziny niebędący obywatelem UE</w:t>
      </w:r>
      <w:r w:rsidR="00CB3C5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CB3C52" w:rsidRPr="00774FA7">
        <w:rPr>
          <w:rFonts w:ascii="Times New Roman" w:eastAsia="Calibri" w:hAnsi="Times New Roman" w:cs="Times New Roman"/>
          <w:sz w:val="24"/>
          <w:szCs w:val="24"/>
        </w:rPr>
        <w:t>który najpóźniej w dniu złożenia tego wniosku ukończył 6. rok życia</w:t>
      </w:r>
      <w:r w:rsidRPr="00774FA7">
        <w:rPr>
          <w:rFonts w:ascii="Times New Roman" w:eastAsia="Calibri" w:hAnsi="Times New Roman" w:cs="Times New Roman"/>
          <w:sz w:val="24"/>
          <w:szCs w:val="24"/>
        </w:rPr>
        <w:t xml:space="preserve">. </w:t>
      </w:r>
      <w:r w:rsidR="00C31AEF" w:rsidRPr="00774FA7">
        <w:rPr>
          <w:rFonts w:ascii="Times New Roman" w:eastAsia="Calibri" w:hAnsi="Times New Roman" w:cs="Times New Roman"/>
          <w:sz w:val="24"/>
          <w:szCs w:val="24"/>
        </w:rPr>
        <w:t xml:space="preserve">W ust. 2b wprowadzono wyjątek od osobistego stawiennictwa obywatela UE lub członka rodziny niebędącego obywatelem UE w celu </w:t>
      </w:r>
      <w:r w:rsidR="00216911" w:rsidRPr="00774FA7">
        <w:rPr>
          <w:rFonts w:ascii="Times New Roman" w:eastAsia="Calibri" w:hAnsi="Times New Roman" w:cs="Times New Roman"/>
          <w:sz w:val="24"/>
          <w:szCs w:val="24"/>
        </w:rPr>
        <w:t xml:space="preserve">złożenia wniosku o zarejestrowania pobytu lub wydanie karty pobytowej. W szczególnie uzasadnionych przypadkach można odstąpić od wymogu osobistego </w:t>
      </w:r>
      <w:r w:rsidR="00CB3C52" w:rsidRPr="00774FA7">
        <w:rPr>
          <w:rFonts w:ascii="Times New Roman" w:eastAsia="Calibri" w:hAnsi="Times New Roman" w:cs="Times New Roman"/>
          <w:sz w:val="24"/>
          <w:szCs w:val="24"/>
        </w:rPr>
        <w:t>stawiennictwa</w:t>
      </w:r>
      <w:r w:rsidR="00992373">
        <w:rPr>
          <w:rFonts w:ascii="Times New Roman" w:eastAsia="Calibri" w:hAnsi="Times New Roman" w:cs="Times New Roman"/>
          <w:sz w:val="24"/>
          <w:szCs w:val="24"/>
        </w:rPr>
        <w:t>,</w:t>
      </w:r>
      <w:r w:rsidR="00CB3C52" w:rsidRPr="00774FA7">
        <w:rPr>
          <w:rFonts w:ascii="Times New Roman" w:eastAsia="Calibri" w:hAnsi="Times New Roman" w:cs="Times New Roman"/>
          <w:sz w:val="24"/>
          <w:szCs w:val="24"/>
        </w:rPr>
        <w:t xml:space="preserve"> </w:t>
      </w:r>
      <w:r w:rsidR="00E17504" w:rsidRPr="00774FA7">
        <w:rPr>
          <w:rFonts w:ascii="Times New Roman" w:eastAsia="Calibri" w:hAnsi="Times New Roman" w:cs="Times New Roman"/>
          <w:sz w:val="24"/>
          <w:szCs w:val="24"/>
        </w:rPr>
        <w:t>w tym</w:t>
      </w:r>
      <w:r w:rsidR="00216911" w:rsidRPr="00774FA7">
        <w:rPr>
          <w:rFonts w:ascii="Times New Roman" w:eastAsia="Calibri" w:hAnsi="Times New Roman" w:cs="Times New Roman"/>
          <w:sz w:val="24"/>
          <w:szCs w:val="24"/>
        </w:rPr>
        <w:t xml:space="preserve"> ze względu na stan zdrowia wnioskodawcy.</w:t>
      </w:r>
    </w:p>
    <w:p w14:paraId="544C542E" w14:textId="4A5EBF4F"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Ponadto w </w:t>
      </w:r>
      <w:r w:rsidR="00DE1B66">
        <w:rPr>
          <w:rFonts w:ascii="Times New Roman" w:eastAsia="Calibri" w:hAnsi="Times New Roman" w:cs="Times New Roman"/>
          <w:sz w:val="24"/>
          <w:szCs w:val="24"/>
        </w:rPr>
        <w:t xml:space="preserve">projektowanym </w:t>
      </w:r>
      <w:r w:rsidRPr="00774FA7">
        <w:rPr>
          <w:rFonts w:ascii="Times New Roman" w:eastAsia="Calibri" w:hAnsi="Times New Roman" w:cs="Times New Roman"/>
          <w:sz w:val="24"/>
          <w:szCs w:val="24"/>
        </w:rPr>
        <w:t xml:space="preserve">art. 21 ust. 3 </w:t>
      </w:r>
      <w:r w:rsidR="008676F3" w:rsidRPr="00774FA7">
        <w:rPr>
          <w:rFonts w:ascii="Times New Roman" w:eastAsia="Calibri" w:hAnsi="Times New Roman" w:cs="Times New Roman"/>
          <w:sz w:val="24"/>
          <w:szCs w:val="24"/>
        </w:rPr>
        <w:t xml:space="preserve">ustawy </w:t>
      </w:r>
      <w:r w:rsidR="00DE1B66">
        <w:rPr>
          <w:rFonts w:ascii="Times New Roman" w:eastAsia="Calibri" w:hAnsi="Times New Roman" w:cs="Times New Roman"/>
          <w:sz w:val="24"/>
          <w:szCs w:val="24"/>
        </w:rPr>
        <w:t xml:space="preserve">o wjeździe obywateli UE </w:t>
      </w:r>
      <w:r w:rsidRPr="00774FA7">
        <w:rPr>
          <w:rFonts w:ascii="Times New Roman" w:eastAsia="Calibri" w:hAnsi="Times New Roman" w:cs="Times New Roman"/>
          <w:sz w:val="24"/>
          <w:szCs w:val="24"/>
        </w:rPr>
        <w:t>wprowadzono obowiązek dołączania do wniosku o zarejestrowanie pobytu aktualnej fotografii</w:t>
      </w:r>
      <w:r w:rsidR="00943A93" w:rsidRPr="00943A93">
        <w:t xml:space="preserve"> </w:t>
      </w:r>
      <w:r w:rsidR="00943A93" w:rsidRPr="00943A93">
        <w:rPr>
          <w:rFonts w:ascii="Times New Roman" w:eastAsia="Calibri" w:hAnsi="Times New Roman" w:cs="Times New Roman"/>
          <w:sz w:val="24"/>
          <w:szCs w:val="24"/>
        </w:rPr>
        <w:t>obywatela UE lub członka rodziny niebędącego obywatelem UE</w:t>
      </w:r>
      <w:r w:rsidRPr="00774FA7">
        <w:rPr>
          <w:rFonts w:ascii="Times New Roman" w:eastAsia="Calibri" w:hAnsi="Times New Roman" w:cs="Times New Roman"/>
          <w:sz w:val="24"/>
          <w:szCs w:val="24"/>
        </w:rPr>
        <w:t xml:space="preserve">, która następnie będzie umieszczana w zaświadczeniu o zarejestrowaniu pobytu obywatela UE. </w:t>
      </w:r>
      <w:r w:rsidR="008676F3" w:rsidRPr="00774FA7">
        <w:rPr>
          <w:rFonts w:ascii="Times New Roman" w:eastAsia="Calibri" w:hAnsi="Times New Roman" w:cs="Times New Roman"/>
          <w:sz w:val="24"/>
          <w:szCs w:val="24"/>
        </w:rPr>
        <w:t xml:space="preserve">Powyższe umożliwia </w:t>
      </w:r>
      <w:r w:rsidRPr="00774FA7">
        <w:rPr>
          <w:rFonts w:ascii="Times New Roman" w:eastAsia="Calibri" w:hAnsi="Times New Roman" w:cs="Times New Roman"/>
          <w:sz w:val="24"/>
          <w:szCs w:val="24"/>
        </w:rPr>
        <w:t>wydawani</w:t>
      </w:r>
      <w:r w:rsidR="008676F3" w:rsidRPr="00774FA7">
        <w:rPr>
          <w:rFonts w:ascii="Times New Roman" w:eastAsia="Calibri" w:hAnsi="Times New Roman" w:cs="Times New Roman"/>
          <w:sz w:val="24"/>
          <w:szCs w:val="24"/>
        </w:rPr>
        <w:t>e</w:t>
      </w:r>
      <w:r w:rsidRPr="00774FA7">
        <w:rPr>
          <w:rFonts w:ascii="Times New Roman" w:eastAsia="Calibri" w:hAnsi="Times New Roman" w:cs="Times New Roman"/>
          <w:sz w:val="24"/>
          <w:szCs w:val="24"/>
        </w:rPr>
        <w:t xml:space="preserve"> zaświadczeń o zarejestrowaniu pobytu obywatela UE w formie zabezpieczonego dokumentu ze zdjęciem, zbliżonego formatem do karty pobytu.</w:t>
      </w:r>
    </w:p>
    <w:p w14:paraId="0F4639DD" w14:textId="2ABDCD2D" w:rsidR="00076C40" w:rsidRPr="00774FA7" w:rsidRDefault="00DE1B66"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 projekcie d</w:t>
      </w:r>
      <w:r w:rsidR="00076C40" w:rsidRPr="00774FA7">
        <w:rPr>
          <w:rFonts w:ascii="Times New Roman" w:eastAsia="Calibri" w:hAnsi="Times New Roman" w:cs="Times New Roman"/>
          <w:sz w:val="24"/>
          <w:szCs w:val="24"/>
        </w:rPr>
        <w:t>odano nowy przepis art. 21 ust. 3a</w:t>
      </w:r>
      <w:r>
        <w:rPr>
          <w:rFonts w:ascii="Times New Roman" w:eastAsia="Calibri" w:hAnsi="Times New Roman" w:cs="Times New Roman"/>
          <w:sz w:val="24"/>
          <w:szCs w:val="24"/>
        </w:rPr>
        <w:t xml:space="preserve"> ustawy o wjeździe obywateli UE</w:t>
      </w:r>
      <w:r w:rsidR="00076C40" w:rsidRPr="00774FA7">
        <w:rPr>
          <w:rFonts w:ascii="Times New Roman" w:eastAsia="Calibri" w:hAnsi="Times New Roman" w:cs="Times New Roman"/>
          <w:sz w:val="24"/>
          <w:szCs w:val="24"/>
        </w:rPr>
        <w:t>, który stanowi, że od członka rodziny niebędącego obywatelem UE ubiegającego się o wydanie karty pobytowej, który do dnia złożenia w</w:t>
      </w:r>
      <w:r w:rsidR="000C704E" w:rsidRPr="00774FA7">
        <w:rPr>
          <w:rFonts w:ascii="Times New Roman" w:eastAsia="Calibri" w:hAnsi="Times New Roman" w:cs="Times New Roman"/>
          <w:sz w:val="24"/>
          <w:szCs w:val="24"/>
        </w:rPr>
        <w:t xml:space="preserve">niosku  ukończył 6. roku życia, pobiera się </w:t>
      </w:r>
      <w:r w:rsidR="00076C40" w:rsidRPr="00774FA7">
        <w:rPr>
          <w:rFonts w:ascii="Times New Roman" w:eastAsia="Calibri" w:hAnsi="Times New Roman" w:cs="Times New Roman"/>
          <w:sz w:val="24"/>
          <w:szCs w:val="24"/>
        </w:rPr>
        <w:t xml:space="preserve">odciski linii papilarnych. Powyższa zmiana wynika z wprowadzenia </w:t>
      </w:r>
      <w:r w:rsidR="00076C40" w:rsidRPr="00774FA7">
        <w:rPr>
          <w:rFonts w:ascii="Times New Roman" w:eastAsia="Times New Roman" w:hAnsi="Times New Roman" w:cs="Times New Roman"/>
          <w:sz w:val="24"/>
          <w:szCs w:val="24"/>
          <w:lang w:eastAsia="pl-PL"/>
        </w:rPr>
        <w:t>w karcie pobytowej obrazu linii papilarnych</w:t>
      </w:r>
      <w:r w:rsidR="00CD6BD5" w:rsidRPr="00774FA7">
        <w:rPr>
          <w:rFonts w:ascii="Times New Roman" w:eastAsia="Times New Roman" w:hAnsi="Times New Roman" w:cs="Times New Roman"/>
          <w:sz w:val="24"/>
          <w:szCs w:val="24"/>
          <w:lang w:eastAsia="pl-PL"/>
        </w:rPr>
        <w:t>,</w:t>
      </w:r>
      <w:r w:rsidR="00076C40" w:rsidRPr="00774FA7">
        <w:rPr>
          <w:rFonts w:ascii="Times New Roman" w:eastAsia="Times New Roman" w:hAnsi="Times New Roman" w:cs="Times New Roman"/>
          <w:sz w:val="24"/>
          <w:szCs w:val="24"/>
          <w:lang w:eastAsia="pl-PL"/>
        </w:rPr>
        <w:t xml:space="preserve"> do czego zobowiązuje art. 7 ust. 2 rozporządzenia Rady (UE) 2019/1157, który stanowi, iż karty pobytowe oraz karty stałego pobytu członkom rodziny obywatela Unii Europejskiej są wydawane zgodnie z formatem określonym w rozporządzeniu Rady (WE) nr 1030/2002. </w:t>
      </w:r>
      <w:r w:rsidR="00076C40" w:rsidRPr="00774FA7">
        <w:rPr>
          <w:rFonts w:ascii="Times New Roman" w:eastAsia="Calibri" w:hAnsi="Times New Roman" w:cs="Times New Roman"/>
          <w:sz w:val="24"/>
          <w:szCs w:val="24"/>
        </w:rPr>
        <w:t xml:space="preserve">Przepis jest wzorowany na rozwiązaniach przyjętych w stosunku do kart pobytu w ustawie o cudzoziemcach, które również </w:t>
      </w:r>
      <w:r w:rsidR="00992373" w:rsidRPr="00774FA7">
        <w:rPr>
          <w:rFonts w:ascii="Times New Roman" w:eastAsia="Calibri" w:hAnsi="Times New Roman" w:cs="Times New Roman"/>
          <w:sz w:val="24"/>
          <w:szCs w:val="24"/>
        </w:rPr>
        <w:t xml:space="preserve">są </w:t>
      </w:r>
      <w:r w:rsidR="00076C40" w:rsidRPr="00774FA7">
        <w:rPr>
          <w:rFonts w:ascii="Times New Roman" w:eastAsia="Calibri" w:hAnsi="Times New Roman" w:cs="Times New Roman"/>
          <w:sz w:val="24"/>
          <w:szCs w:val="24"/>
        </w:rPr>
        <w:t xml:space="preserve">wydawane w formacie określonym ww. rozporządzeniem nr 1030/2002. </w:t>
      </w:r>
    </w:p>
    <w:p w14:paraId="14267BE6" w14:textId="258CCBE9" w:rsidR="00076C40" w:rsidRPr="00774FA7" w:rsidRDefault="00076C40" w:rsidP="00051258">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23 ustawy o wjeździe obywateli UE została uregulowana kwestia przekazywania przez komendanta oddziału Straży Granicznej, komendanta wojewódzkiego Policji i Szefa Agencji Bezpieczeństwa Wewnętrznego organowi prowadzącemu postępowanie w sprawie o zarejestrowanie pobytu obywatela UE lub o wydanie karty pobytowej informacji, czy wjazd obywatela UE lub członka rodziny niebędącego obywatelem UE na terytorium Rzeczypospolitej Polskiej i ich pobyt na tym terytorium mogą stanowić zagrożenie dla obronności lub bezpieczeństwa państwa lub ochrony bezpieczeństwa </w:t>
      </w:r>
      <w:r w:rsidR="003A21BA" w:rsidRPr="00774FA7">
        <w:rPr>
          <w:rFonts w:ascii="Times New Roman" w:eastAsia="Calibri" w:hAnsi="Times New Roman" w:cs="Times New Roman"/>
          <w:sz w:val="24"/>
          <w:szCs w:val="24"/>
        </w:rPr>
        <w:t xml:space="preserve">i </w:t>
      </w:r>
      <w:r w:rsidRPr="00774FA7">
        <w:rPr>
          <w:rFonts w:ascii="Times New Roman" w:eastAsia="Calibri" w:hAnsi="Times New Roman" w:cs="Times New Roman"/>
          <w:sz w:val="24"/>
          <w:szCs w:val="24"/>
        </w:rPr>
        <w:t>porządku publicznego. Dotychczas obowiązujące przepisy stanowiły, że przekazanie takiej informacji następuje niezwłocznie. Zaproponowana zmiana ma na celu precyzyjne wskazanie termin</w:t>
      </w:r>
      <w:r w:rsidR="00992373">
        <w:rPr>
          <w:rFonts w:ascii="Times New Roman" w:eastAsia="Calibri" w:hAnsi="Times New Roman" w:cs="Times New Roman"/>
          <w:sz w:val="24"/>
          <w:szCs w:val="24"/>
        </w:rPr>
        <w:t>u</w:t>
      </w:r>
      <w:r w:rsidRPr="00774FA7">
        <w:rPr>
          <w:rFonts w:ascii="Times New Roman" w:eastAsia="Calibri" w:hAnsi="Times New Roman" w:cs="Times New Roman"/>
          <w:sz w:val="24"/>
          <w:szCs w:val="24"/>
        </w:rPr>
        <w:t xml:space="preserve"> na przekazywanie ww. informacji. </w:t>
      </w:r>
      <w:r w:rsidR="00A840DD">
        <w:rPr>
          <w:rFonts w:ascii="Times New Roman" w:eastAsia="Calibri" w:hAnsi="Times New Roman" w:cs="Times New Roman"/>
          <w:sz w:val="24"/>
          <w:szCs w:val="24"/>
        </w:rPr>
        <w:t>Przewidziano</w:t>
      </w:r>
      <w:r w:rsidR="003853DF">
        <w:rPr>
          <w:rFonts w:ascii="Times New Roman" w:eastAsia="Calibri" w:hAnsi="Times New Roman" w:cs="Times New Roman"/>
          <w:sz w:val="24"/>
          <w:szCs w:val="24"/>
        </w:rPr>
        <w:t xml:space="preserve"> także</w:t>
      </w:r>
      <w:r w:rsidR="00A840DD">
        <w:rPr>
          <w:rFonts w:ascii="Times New Roman" w:eastAsia="Calibri" w:hAnsi="Times New Roman" w:cs="Times New Roman"/>
          <w:sz w:val="24"/>
          <w:szCs w:val="24"/>
        </w:rPr>
        <w:t>, iż organ prowadzący postępowanie</w:t>
      </w:r>
      <w:r w:rsidR="00A840DD" w:rsidRPr="00A840DD">
        <w:rPr>
          <w:rFonts w:ascii="Times New Roman" w:eastAsia="Calibri" w:hAnsi="Times New Roman" w:cs="Times New Roman"/>
          <w:sz w:val="24"/>
          <w:szCs w:val="24"/>
        </w:rPr>
        <w:t xml:space="preserve"> w sprawie</w:t>
      </w:r>
      <w:r w:rsidR="00051258">
        <w:rPr>
          <w:rFonts w:ascii="Times New Roman" w:eastAsia="Calibri" w:hAnsi="Times New Roman" w:cs="Times New Roman"/>
          <w:sz w:val="24"/>
          <w:szCs w:val="24"/>
        </w:rPr>
        <w:t xml:space="preserve"> </w:t>
      </w:r>
      <w:r w:rsidR="00A840DD" w:rsidRPr="00A840DD">
        <w:rPr>
          <w:rFonts w:ascii="Times New Roman" w:eastAsia="Calibri" w:hAnsi="Times New Roman" w:cs="Times New Roman"/>
          <w:sz w:val="24"/>
          <w:szCs w:val="24"/>
        </w:rPr>
        <w:t>o</w:t>
      </w:r>
      <w:r w:rsidR="003853DF">
        <w:rPr>
          <w:rFonts w:ascii="Times New Roman" w:eastAsia="Calibri" w:hAnsi="Times New Roman" w:cs="Times New Roman"/>
          <w:sz w:val="24"/>
          <w:szCs w:val="24"/>
        </w:rPr>
        <w:t> </w:t>
      </w:r>
      <w:r w:rsidR="00A840DD" w:rsidRPr="00A840DD">
        <w:rPr>
          <w:rFonts w:ascii="Times New Roman" w:eastAsia="Calibri" w:hAnsi="Times New Roman" w:cs="Times New Roman"/>
          <w:sz w:val="24"/>
          <w:szCs w:val="24"/>
        </w:rPr>
        <w:t>zarejestrowanie pobytu obywatela UE</w:t>
      </w:r>
      <w:r w:rsidR="00A840DD">
        <w:rPr>
          <w:rFonts w:ascii="Times New Roman" w:eastAsia="Calibri" w:hAnsi="Times New Roman" w:cs="Times New Roman"/>
          <w:sz w:val="24"/>
          <w:szCs w:val="24"/>
        </w:rPr>
        <w:t xml:space="preserve"> lub o wydanie karty pobytowej</w:t>
      </w:r>
      <w:r w:rsidR="003853DF">
        <w:rPr>
          <w:rFonts w:ascii="Times New Roman" w:eastAsia="Calibri" w:hAnsi="Times New Roman" w:cs="Times New Roman"/>
          <w:sz w:val="24"/>
          <w:szCs w:val="24"/>
        </w:rPr>
        <w:t>,</w:t>
      </w:r>
      <w:r w:rsidR="00A840DD">
        <w:rPr>
          <w:rFonts w:ascii="Times New Roman" w:eastAsia="Calibri" w:hAnsi="Times New Roman" w:cs="Times New Roman"/>
          <w:sz w:val="24"/>
          <w:szCs w:val="24"/>
        </w:rPr>
        <w:t xml:space="preserve"> tak jak ma to miejsce w obowiązujących przepisach prawa</w:t>
      </w:r>
      <w:r w:rsidR="003853DF">
        <w:rPr>
          <w:rFonts w:ascii="Times New Roman" w:eastAsia="Calibri" w:hAnsi="Times New Roman" w:cs="Times New Roman"/>
          <w:sz w:val="24"/>
          <w:szCs w:val="24"/>
        </w:rPr>
        <w:t>,</w:t>
      </w:r>
      <w:r w:rsidR="00A840DD">
        <w:rPr>
          <w:rFonts w:ascii="Times New Roman" w:eastAsia="Calibri" w:hAnsi="Times New Roman" w:cs="Times New Roman"/>
          <w:sz w:val="24"/>
          <w:szCs w:val="24"/>
        </w:rPr>
        <w:t xml:space="preserve"> będzie przekazywał ww. organom kopie wniosku o zarejestrowanie pobytu lub wydani</w:t>
      </w:r>
      <w:r w:rsidR="003853DF">
        <w:rPr>
          <w:rFonts w:ascii="Times New Roman" w:eastAsia="Calibri" w:hAnsi="Times New Roman" w:cs="Times New Roman"/>
          <w:sz w:val="24"/>
          <w:szCs w:val="24"/>
        </w:rPr>
        <w:t>e</w:t>
      </w:r>
      <w:r w:rsidR="00A840DD">
        <w:rPr>
          <w:rFonts w:ascii="Times New Roman" w:eastAsia="Calibri" w:hAnsi="Times New Roman" w:cs="Times New Roman"/>
          <w:sz w:val="24"/>
          <w:szCs w:val="24"/>
        </w:rPr>
        <w:t xml:space="preserve"> karty pobytowej</w:t>
      </w:r>
      <w:r w:rsidR="003853DF">
        <w:rPr>
          <w:rFonts w:ascii="Times New Roman" w:eastAsia="Calibri" w:hAnsi="Times New Roman" w:cs="Times New Roman"/>
          <w:sz w:val="24"/>
          <w:szCs w:val="24"/>
        </w:rPr>
        <w:t xml:space="preserve"> </w:t>
      </w:r>
      <w:r w:rsidR="00A840DD">
        <w:rPr>
          <w:rFonts w:ascii="Times New Roman" w:eastAsia="Calibri" w:hAnsi="Times New Roman" w:cs="Times New Roman"/>
          <w:sz w:val="24"/>
          <w:szCs w:val="24"/>
        </w:rPr>
        <w:t>(ust. 2)</w:t>
      </w:r>
      <w:r w:rsidR="003853DF">
        <w:rPr>
          <w:rFonts w:ascii="Times New Roman" w:eastAsia="Calibri" w:hAnsi="Times New Roman" w:cs="Times New Roman"/>
          <w:sz w:val="24"/>
          <w:szCs w:val="24"/>
        </w:rPr>
        <w:t>.</w:t>
      </w:r>
      <w:r w:rsidR="00A840DD" w:rsidRPr="00A840DD">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Powyższe</w:t>
      </w:r>
      <w:r w:rsidR="003853DF">
        <w:rPr>
          <w:rFonts w:ascii="Times New Roman" w:eastAsia="Calibri" w:hAnsi="Times New Roman" w:cs="Times New Roman"/>
          <w:sz w:val="24"/>
          <w:szCs w:val="24"/>
        </w:rPr>
        <w:t xml:space="preserve"> rozwiązanie</w:t>
      </w:r>
      <w:r w:rsidRPr="00774FA7">
        <w:rPr>
          <w:rFonts w:ascii="Times New Roman" w:eastAsia="Calibri" w:hAnsi="Times New Roman" w:cs="Times New Roman"/>
          <w:sz w:val="24"/>
          <w:szCs w:val="24"/>
        </w:rPr>
        <w:t xml:space="preserve"> jest zgodne z analogicznymi </w:t>
      </w:r>
      <w:r w:rsidR="003853DF">
        <w:rPr>
          <w:rFonts w:ascii="Times New Roman" w:eastAsia="Calibri" w:hAnsi="Times New Roman" w:cs="Times New Roman"/>
          <w:sz w:val="24"/>
          <w:szCs w:val="24"/>
        </w:rPr>
        <w:t>regulacjami</w:t>
      </w:r>
      <w:r w:rsidRPr="00774FA7">
        <w:rPr>
          <w:rFonts w:ascii="Times New Roman" w:eastAsia="Calibri" w:hAnsi="Times New Roman" w:cs="Times New Roman"/>
          <w:sz w:val="24"/>
          <w:szCs w:val="24"/>
        </w:rPr>
        <w:t xml:space="preserve"> przewidzianymi w ustawie o cudzoziemcach. Zgodnie z ww. art. 23 </w:t>
      </w:r>
      <w:r w:rsidR="00CB3C52" w:rsidRPr="00774FA7">
        <w:rPr>
          <w:rFonts w:ascii="Times New Roman" w:eastAsia="Calibri" w:hAnsi="Times New Roman" w:cs="Times New Roman"/>
          <w:sz w:val="24"/>
          <w:szCs w:val="24"/>
        </w:rPr>
        <w:t xml:space="preserve">ust. </w:t>
      </w:r>
      <w:r w:rsidR="00A840DD">
        <w:rPr>
          <w:rFonts w:ascii="Times New Roman" w:eastAsia="Calibri" w:hAnsi="Times New Roman" w:cs="Times New Roman"/>
          <w:sz w:val="24"/>
          <w:szCs w:val="24"/>
        </w:rPr>
        <w:t>3</w:t>
      </w:r>
      <w:r w:rsidR="00CB3C52"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komendant oddziału Straży Granicznej, komendant wojewódzki Policji i Szef Agencji Bezpieczeństwa będą mieli 30 dni (z możliwością przedłużenia do 60 dni</w:t>
      </w:r>
      <w:r w:rsidR="00CB3C52" w:rsidRPr="00774FA7">
        <w:rPr>
          <w:rFonts w:ascii="Times New Roman" w:eastAsia="Calibri" w:hAnsi="Times New Roman" w:cs="Times New Roman"/>
          <w:sz w:val="24"/>
          <w:szCs w:val="24"/>
        </w:rPr>
        <w:t xml:space="preserve"> – ust. </w:t>
      </w:r>
      <w:r w:rsidR="00A840DD">
        <w:rPr>
          <w:rFonts w:ascii="Times New Roman" w:eastAsia="Calibri" w:hAnsi="Times New Roman" w:cs="Times New Roman"/>
          <w:sz w:val="24"/>
          <w:szCs w:val="24"/>
        </w:rPr>
        <w:t>4</w:t>
      </w:r>
      <w:r w:rsidRPr="00774FA7">
        <w:rPr>
          <w:rFonts w:ascii="Times New Roman" w:eastAsia="Calibri" w:hAnsi="Times New Roman" w:cs="Times New Roman"/>
          <w:sz w:val="24"/>
          <w:szCs w:val="24"/>
        </w:rPr>
        <w:t xml:space="preserve">) na udzielenie przedmiotowej informacji, a w </w:t>
      </w:r>
      <w:r w:rsidRPr="00774FA7">
        <w:rPr>
          <w:rFonts w:ascii="Times New Roman" w:eastAsia="Calibri" w:hAnsi="Times New Roman" w:cs="Times New Roman"/>
          <w:sz w:val="24"/>
          <w:szCs w:val="24"/>
        </w:rPr>
        <w:lastRenderedPageBreak/>
        <w:t>razie braku odpowiedzi organ rozpatrujący sprawę będzie mógł uznać, że wymóg uzyskania informacji został spełniony</w:t>
      </w:r>
      <w:r w:rsidR="00CB3C52" w:rsidRPr="00774FA7">
        <w:rPr>
          <w:rFonts w:ascii="Times New Roman" w:eastAsia="Calibri" w:hAnsi="Times New Roman" w:cs="Times New Roman"/>
          <w:sz w:val="24"/>
          <w:szCs w:val="24"/>
        </w:rPr>
        <w:t xml:space="preserve"> (ust. </w:t>
      </w:r>
      <w:r w:rsidR="00A840DD">
        <w:rPr>
          <w:rFonts w:ascii="Times New Roman" w:eastAsia="Calibri" w:hAnsi="Times New Roman" w:cs="Times New Roman"/>
          <w:sz w:val="24"/>
          <w:szCs w:val="24"/>
        </w:rPr>
        <w:t>5</w:t>
      </w:r>
      <w:r w:rsidR="00CB3C5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p>
    <w:p w14:paraId="236BEB44" w14:textId="041B098D"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Ponadto </w:t>
      </w:r>
      <w:r w:rsidR="00CD6BD5" w:rsidRPr="00774FA7">
        <w:rPr>
          <w:rFonts w:ascii="Times New Roman" w:eastAsia="Calibri" w:hAnsi="Times New Roman" w:cs="Times New Roman"/>
          <w:sz w:val="24"/>
          <w:szCs w:val="24"/>
        </w:rPr>
        <w:t xml:space="preserve">w </w:t>
      </w:r>
      <w:r w:rsidRPr="00774FA7">
        <w:rPr>
          <w:rFonts w:ascii="Times New Roman" w:eastAsia="Calibri" w:hAnsi="Times New Roman" w:cs="Times New Roman"/>
          <w:sz w:val="24"/>
          <w:szCs w:val="24"/>
        </w:rPr>
        <w:t xml:space="preserve">ust. </w:t>
      </w:r>
      <w:r w:rsidR="00A840DD">
        <w:rPr>
          <w:rFonts w:ascii="Times New Roman" w:eastAsia="Calibri" w:hAnsi="Times New Roman" w:cs="Times New Roman"/>
          <w:sz w:val="24"/>
          <w:szCs w:val="24"/>
        </w:rPr>
        <w:t>6</w:t>
      </w:r>
      <w:r w:rsidRPr="00774FA7">
        <w:rPr>
          <w:rFonts w:ascii="Times New Roman" w:eastAsia="Calibri" w:hAnsi="Times New Roman" w:cs="Times New Roman"/>
          <w:sz w:val="24"/>
          <w:szCs w:val="24"/>
        </w:rPr>
        <w:t>, w odniesieniu do obywateli UE oraz członków rodziny niebędących obywatelami UE, któr</w:t>
      </w:r>
      <w:r w:rsidR="00CD6BD5" w:rsidRPr="00774FA7">
        <w:rPr>
          <w:rFonts w:ascii="Times New Roman" w:eastAsia="Calibri" w:hAnsi="Times New Roman" w:cs="Times New Roman"/>
          <w:sz w:val="24"/>
          <w:szCs w:val="24"/>
        </w:rPr>
        <w:t>z</w:t>
      </w:r>
      <w:r w:rsidRPr="00774FA7">
        <w:rPr>
          <w:rFonts w:ascii="Times New Roman" w:eastAsia="Calibri" w:hAnsi="Times New Roman" w:cs="Times New Roman"/>
          <w:sz w:val="24"/>
          <w:szCs w:val="24"/>
        </w:rPr>
        <w:t>y do dnia złożenia wniosku nie ukończy</w:t>
      </w:r>
      <w:r w:rsidR="00CD6BD5" w:rsidRPr="00774FA7">
        <w:rPr>
          <w:rFonts w:ascii="Times New Roman" w:eastAsia="Calibri" w:hAnsi="Times New Roman" w:cs="Times New Roman"/>
          <w:sz w:val="24"/>
          <w:szCs w:val="24"/>
        </w:rPr>
        <w:t>li</w:t>
      </w:r>
      <w:r w:rsidRPr="00774FA7">
        <w:rPr>
          <w:rFonts w:ascii="Times New Roman" w:eastAsia="Calibri" w:hAnsi="Times New Roman" w:cs="Times New Roman"/>
          <w:sz w:val="24"/>
          <w:szCs w:val="24"/>
        </w:rPr>
        <w:t xml:space="preserve"> 13. roku życia, zaproponowano odstąpienie od badania, czy ich wjazd na terytorium Rzeczypospolitej Polskiej i pobyt na tym terytorium mogą stanowić zagrożenie dla obronności lub bezpieczeństwa państwa lub ochrony bezpieczeństwa </w:t>
      </w:r>
      <w:r w:rsidR="003A21BA" w:rsidRPr="00774FA7">
        <w:rPr>
          <w:rFonts w:ascii="Times New Roman" w:eastAsia="Calibri" w:hAnsi="Times New Roman" w:cs="Times New Roman"/>
          <w:sz w:val="24"/>
          <w:szCs w:val="24"/>
        </w:rPr>
        <w:t xml:space="preserve">i </w:t>
      </w:r>
      <w:r w:rsidRPr="00774FA7">
        <w:rPr>
          <w:rFonts w:ascii="Times New Roman" w:eastAsia="Calibri" w:hAnsi="Times New Roman" w:cs="Times New Roman"/>
          <w:sz w:val="24"/>
          <w:szCs w:val="24"/>
        </w:rPr>
        <w:t xml:space="preserve">porządku publicznego. </w:t>
      </w:r>
    </w:p>
    <w:p w14:paraId="7E2D58D4" w14:textId="36239970" w:rsidR="00D1690E" w:rsidRPr="00774FA7" w:rsidRDefault="00D1690E"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Nadanie nowego brzmienia art. 24 ma na celu </w:t>
      </w:r>
      <w:r w:rsidR="00992373">
        <w:rPr>
          <w:rFonts w:ascii="Times New Roman" w:eastAsia="Calibri" w:hAnsi="Times New Roman" w:cs="Times New Roman"/>
          <w:sz w:val="24"/>
          <w:szCs w:val="24"/>
        </w:rPr>
        <w:t xml:space="preserve">uaktualnienie </w:t>
      </w:r>
      <w:r w:rsidRPr="00774FA7">
        <w:rPr>
          <w:rFonts w:ascii="Times New Roman" w:eastAsia="Calibri" w:hAnsi="Times New Roman" w:cs="Times New Roman"/>
          <w:sz w:val="24"/>
          <w:szCs w:val="24"/>
        </w:rPr>
        <w:t>zawartego w ust. 1</w:t>
      </w:r>
      <w:r w:rsidR="00992373">
        <w:rPr>
          <w:rFonts w:ascii="Times New Roman" w:eastAsia="Calibri" w:hAnsi="Times New Roman" w:cs="Times New Roman"/>
          <w:sz w:val="24"/>
          <w:szCs w:val="24"/>
        </w:rPr>
        <w:t xml:space="preserve"> </w:t>
      </w:r>
      <w:r w:rsidR="00992373" w:rsidRPr="00774FA7">
        <w:rPr>
          <w:rFonts w:ascii="Times New Roman" w:eastAsia="Calibri" w:hAnsi="Times New Roman" w:cs="Times New Roman"/>
          <w:sz w:val="24"/>
          <w:szCs w:val="24"/>
        </w:rPr>
        <w:t>odesłania</w:t>
      </w:r>
      <w:r w:rsidRPr="00774FA7">
        <w:rPr>
          <w:rFonts w:ascii="Times New Roman" w:eastAsia="Calibri" w:hAnsi="Times New Roman" w:cs="Times New Roman"/>
          <w:sz w:val="24"/>
          <w:szCs w:val="24"/>
        </w:rPr>
        <w:t xml:space="preserve"> do warunku posiadania wystarczających środków finansowych, o którym mowa w art. 16 pkt 2 lub 3 lit. a. </w:t>
      </w:r>
    </w:p>
    <w:p w14:paraId="2CB5C802" w14:textId="4C23C45A" w:rsidR="00076C40" w:rsidRPr="00774FA7" w:rsidRDefault="00992373"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Ponadto w ww.</w:t>
      </w:r>
      <w:r w:rsidR="00076C40" w:rsidRPr="00774FA7">
        <w:rPr>
          <w:rFonts w:ascii="Times New Roman" w:eastAsia="Calibri" w:hAnsi="Times New Roman" w:cs="Times New Roman"/>
          <w:sz w:val="24"/>
          <w:szCs w:val="24"/>
        </w:rPr>
        <w:t xml:space="preserve"> </w:t>
      </w:r>
      <w:r>
        <w:rPr>
          <w:rFonts w:ascii="Times New Roman" w:eastAsia="Calibri" w:hAnsi="Times New Roman" w:cs="Times New Roman"/>
          <w:sz w:val="24"/>
          <w:szCs w:val="24"/>
        </w:rPr>
        <w:t>artykule</w:t>
      </w:r>
      <w:r w:rsidR="00076C40" w:rsidRPr="00774FA7">
        <w:rPr>
          <w:rFonts w:ascii="Times New Roman" w:eastAsia="Calibri" w:hAnsi="Times New Roman" w:cs="Times New Roman"/>
          <w:sz w:val="24"/>
          <w:szCs w:val="24"/>
        </w:rPr>
        <w:t xml:space="preserve"> dodano ust. 2, który umożliwia uwzględnianie</w:t>
      </w:r>
      <w:r w:rsidR="00CB3C52" w:rsidRPr="00774FA7">
        <w:rPr>
          <w:rFonts w:ascii="Times New Roman" w:eastAsia="Calibri" w:hAnsi="Times New Roman" w:cs="Times New Roman"/>
          <w:sz w:val="24"/>
          <w:szCs w:val="24"/>
        </w:rPr>
        <w:t>,</w:t>
      </w:r>
      <w:r w:rsidR="00076C40" w:rsidRPr="00774FA7">
        <w:rPr>
          <w:rFonts w:ascii="Times New Roman" w:eastAsia="Calibri" w:hAnsi="Times New Roman" w:cs="Times New Roman"/>
          <w:sz w:val="24"/>
          <w:szCs w:val="24"/>
        </w:rPr>
        <w:t xml:space="preserve"> w ramach postępowania o zarejestrowanie pobytu obywatela UE</w:t>
      </w:r>
      <w:r w:rsidR="00CB3C52" w:rsidRPr="00774FA7">
        <w:rPr>
          <w:rFonts w:ascii="Times New Roman" w:eastAsia="Calibri" w:hAnsi="Times New Roman" w:cs="Times New Roman"/>
          <w:sz w:val="24"/>
          <w:szCs w:val="24"/>
        </w:rPr>
        <w:t>,</w:t>
      </w:r>
      <w:r w:rsidR="00D1690E" w:rsidRPr="00774FA7">
        <w:rPr>
          <w:rFonts w:ascii="Times New Roman" w:eastAsia="Calibri" w:hAnsi="Times New Roman" w:cs="Times New Roman"/>
          <w:sz w:val="24"/>
          <w:szCs w:val="24"/>
        </w:rPr>
        <w:t xml:space="preserve"> jego</w:t>
      </w:r>
      <w:r w:rsidR="00076C40" w:rsidRPr="00774FA7">
        <w:rPr>
          <w:rFonts w:ascii="Times New Roman" w:eastAsia="Calibri" w:hAnsi="Times New Roman" w:cs="Times New Roman"/>
          <w:sz w:val="24"/>
          <w:szCs w:val="24"/>
        </w:rPr>
        <w:t xml:space="preserve"> </w:t>
      </w:r>
      <w:r w:rsidR="00D1690E" w:rsidRPr="00774FA7">
        <w:rPr>
          <w:rFonts w:ascii="Times New Roman" w:eastAsia="Calibri" w:hAnsi="Times New Roman" w:cs="Times New Roman"/>
          <w:sz w:val="24"/>
          <w:szCs w:val="24"/>
        </w:rPr>
        <w:t xml:space="preserve">udziału w programach pomocowych współfinansowanych ze środków unijnych, mających na celu zwalczanie wykluczenia społecznego i wzmocnienie integracji społecznej, jako </w:t>
      </w:r>
      <w:r w:rsidR="00076C40" w:rsidRPr="00774FA7">
        <w:rPr>
          <w:rFonts w:ascii="Times New Roman" w:eastAsia="Calibri" w:hAnsi="Times New Roman" w:cs="Times New Roman"/>
          <w:sz w:val="24"/>
          <w:szCs w:val="24"/>
        </w:rPr>
        <w:t>przesłanki posiadania wystarczających środków finansowych</w:t>
      </w:r>
      <w:r w:rsidR="00D1690E" w:rsidRPr="00774FA7">
        <w:rPr>
          <w:rFonts w:ascii="Times New Roman" w:eastAsia="Calibri" w:hAnsi="Times New Roman" w:cs="Times New Roman"/>
          <w:sz w:val="24"/>
          <w:szCs w:val="24"/>
        </w:rPr>
        <w:t>.</w:t>
      </w:r>
    </w:p>
    <w:p w14:paraId="54C6CC77" w14:textId="495EEE82" w:rsidR="0002203C"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w art. 25 ustawy o wjeździe obywateli UE jest konsekwencją </w:t>
      </w:r>
      <w:proofErr w:type="spellStart"/>
      <w:r w:rsidR="00C33D63" w:rsidRPr="00774FA7">
        <w:rPr>
          <w:rFonts w:ascii="Times New Roman" w:eastAsia="Calibri" w:hAnsi="Times New Roman" w:cs="Times New Roman"/>
          <w:sz w:val="24"/>
          <w:szCs w:val="24"/>
        </w:rPr>
        <w:t>uspójnienia</w:t>
      </w:r>
      <w:proofErr w:type="spellEnd"/>
      <w:r w:rsidR="00C33D63"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przepisów tej ustawy </w:t>
      </w:r>
      <w:r w:rsidR="00C33D63" w:rsidRPr="00774FA7">
        <w:rPr>
          <w:rFonts w:ascii="Times New Roman" w:eastAsia="Calibri" w:hAnsi="Times New Roman" w:cs="Times New Roman"/>
          <w:sz w:val="24"/>
          <w:szCs w:val="24"/>
        </w:rPr>
        <w:t xml:space="preserve">z </w:t>
      </w:r>
      <w:r w:rsidRPr="00774FA7">
        <w:rPr>
          <w:rFonts w:ascii="Times New Roman" w:eastAsia="Calibri" w:hAnsi="Times New Roman" w:cs="Times New Roman"/>
          <w:sz w:val="24"/>
          <w:szCs w:val="24"/>
        </w:rPr>
        <w:t>regulacj</w:t>
      </w:r>
      <w:r w:rsidR="00C33D63" w:rsidRPr="00774FA7">
        <w:rPr>
          <w:rFonts w:ascii="Times New Roman" w:eastAsia="Calibri" w:hAnsi="Times New Roman" w:cs="Times New Roman"/>
          <w:sz w:val="24"/>
          <w:szCs w:val="24"/>
        </w:rPr>
        <w:t>ami</w:t>
      </w:r>
      <w:r w:rsidRPr="00774FA7">
        <w:rPr>
          <w:rFonts w:ascii="Times New Roman" w:eastAsia="Calibri" w:hAnsi="Times New Roman" w:cs="Times New Roman"/>
          <w:sz w:val="24"/>
          <w:szCs w:val="24"/>
        </w:rPr>
        <w:t xml:space="preserve"> </w:t>
      </w:r>
      <w:r w:rsidR="00C33D63" w:rsidRPr="00774FA7">
        <w:rPr>
          <w:rFonts w:ascii="Times New Roman" w:eastAsia="Calibri" w:hAnsi="Times New Roman" w:cs="Times New Roman"/>
          <w:sz w:val="24"/>
          <w:szCs w:val="24"/>
        </w:rPr>
        <w:t xml:space="preserve">zawartymi </w:t>
      </w:r>
      <w:r w:rsidRPr="00774FA7">
        <w:rPr>
          <w:rFonts w:ascii="Times New Roman" w:eastAsia="Calibri" w:hAnsi="Times New Roman" w:cs="Times New Roman"/>
          <w:sz w:val="24"/>
          <w:szCs w:val="24"/>
        </w:rPr>
        <w:t xml:space="preserve">w ustawie o cudzoziemcach w zakresie wprowadzenia przesłanki </w:t>
      </w:r>
      <w:r w:rsidR="00992373">
        <w:rPr>
          <w:rFonts w:ascii="Times New Roman" w:eastAsia="Calibri" w:hAnsi="Times New Roman" w:cs="Times New Roman"/>
          <w:sz w:val="24"/>
          <w:szCs w:val="24"/>
        </w:rPr>
        <w:t>dotyczącej zawarcia</w:t>
      </w:r>
      <w:r w:rsidRPr="00774FA7">
        <w:rPr>
          <w:rFonts w:ascii="Times New Roman" w:eastAsia="Calibri" w:hAnsi="Times New Roman" w:cs="Times New Roman"/>
          <w:sz w:val="24"/>
          <w:szCs w:val="24"/>
        </w:rPr>
        <w:t xml:space="preserve"> małżeństwa w celu obejścia przepisów określających zasady i warunki wjazdu cudzoziemców na terytorium Rzeczypospolitej Polskiej, ich przejazdu przez to terytorium, pobytu na nim i wyjazdu z niego. </w:t>
      </w:r>
      <w:r w:rsidR="00B54879" w:rsidRPr="00774FA7">
        <w:rPr>
          <w:rFonts w:ascii="Times New Roman" w:eastAsia="Calibri" w:hAnsi="Times New Roman" w:cs="Times New Roman"/>
          <w:sz w:val="24"/>
          <w:szCs w:val="24"/>
        </w:rPr>
        <w:t xml:space="preserve">Dodatkowo przepis uwzględnia rozszerzenie zakresu ustawy o wjeździe obywateli UE </w:t>
      </w:r>
      <w:r w:rsidR="00992373">
        <w:rPr>
          <w:rFonts w:ascii="Times New Roman" w:eastAsia="Calibri" w:hAnsi="Times New Roman" w:cs="Times New Roman"/>
          <w:sz w:val="24"/>
          <w:szCs w:val="24"/>
        </w:rPr>
        <w:t>o</w:t>
      </w:r>
      <w:r w:rsidR="00B54879" w:rsidRPr="00774FA7">
        <w:rPr>
          <w:rFonts w:ascii="Times New Roman" w:eastAsia="Calibri" w:hAnsi="Times New Roman" w:cs="Times New Roman"/>
          <w:sz w:val="24"/>
          <w:szCs w:val="24"/>
        </w:rPr>
        <w:t xml:space="preserve"> członków rodziny obywali Rzeczypospolitej Polskiej, którzy powracają do Polski po skorzystaniu ze swobody przepływu osób w innym państwie członkowskim UE.    </w:t>
      </w:r>
    </w:p>
    <w:p w14:paraId="699EE5F7" w14:textId="4E49B6F1"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w:t>
      </w:r>
      <w:r w:rsidR="00C33D63" w:rsidRPr="00774FA7">
        <w:rPr>
          <w:rFonts w:ascii="Times New Roman" w:eastAsia="Calibri" w:hAnsi="Times New Roman" w:cs="Times New Roman"/>
          <w:sz w:val="24"/>
          <w:szCs w:val="24"/>
        </w:rPr>
        <w:t xml:space="preserve">dodawanym </w:t>
      </w:r>
      <w:r w:rsidRPr="00774FA7">
        <w:rPr>
          <w:rFonts w:ascii="Times New Roman" w:eastAsia="Calibri" w:hAnsi="Times New Roman" w:cs="Times New Roman"/>
          <w:sz w:val="24"/>
          <w:szCs w:val="24"/>
        </w:rPr>
        <w:t xml:space="preserve">art. 25a </w:t>
      </w:r>
      <w:r w:rsidR="00C33D63" w:rsidRPr="00774FA7">
        <w:rPr>
          <w:rFonts w:ascii="Times New Roman" w:eastAsia="Calibri" w:hAnsi="Times New Roman" w:cs="Times New Roman"/>
          <w:sz w:val="24"/>
          <w:szCs w:val="24"/>
        </w:rPr>
        <w:t xml:space="preserve">ust. 1 zawarto </w:t>
      </w:r>
      <w:r w:rsidRPr="00774FA7">
        <w:rPr>
          <w:rFonts w:ascii="Times New Roman" w:eastAsia="Calibri" w:hAnsi="Times New Roman" w:cs="Times New Roman"/>
          <w:sz w:val="24"/>
          <w:szCs w:val="24"/>
        </w:rPr>
        <w:t>uregulowania pozwalające organowi prowadzącemu postępowanie zwrócić się z wnioskiem do komendanta oddziału Straży Granicznej lub komendanta placówki Straży Granicznej, właściwego ze względu na miejsce pobytu członka rodziny niebędącego obywatelem UE</w:t>
      </w:r>
      <w:r w:rsidR="001B3A18" w:rsidRPr="00774FA7">
        <w:rPr>
          <w:rFonts w:ascii="Times New Roman" w:eastAsia="Calibri" w:hAnsi="Times New Roman" w:cs="Times New Roman"/>
          <w:sz w:val="24"/>
          <w:szCs w:val="24"/>
        </w:rPr>
        <w:t xml:space="preserve"> lub obywatela Polski</w:t>
      </w:r>
      <w:r w:rsidRPr="00774FA7">
        <w:rPr>
          <w:rFonts w:ascii="Times New Roman" w:eastAsia="Calibri" w:hAnsi="Times New Roman" w:cs="Times New Roman"/>
          <w:sz w:val="24"/>
          <w:szCs w:val="24"/>
        </w:rPr>
        <w:t>, o przeprowadzenie wywiadu środowiskowego lub ustalenie miejsca pobytu  małżonków, w celu ustalenia, czy związek małżeński z obywatelem UE</w:t>
      </w:r>
      <w:r w:rsidR="001B3A18" w:rsidRPr="00774FA7">
        <w:rPr>
          <w:rFonts w:ascii="Times New Roman" w:eastAsia="Calibri" w:hAnsi="Times New Roman" w:cs="Times New Roman"/>
          <w:sz w:val="24"/>
          <w:szCs w:val="24"/>
        </w:rPr>
        <w:t xml:space="preserve"> lub obywatelem Polski</w:t>
      </w:r>
      <w:r w:rsidRPr="00774FA7">
        <w:rPr>
          <w:rFonts w:ascii="Times New Roman" w:eastAsia="Calibri" w:hAnsi="Times New Roman" w:cs="Times New Roman"/>
          <w:sz w:val="24"/>
          <w:szCs w:val="24"/>
        </w:rPr>
        <w:t xml:space="preserve"> nie został zawarty dla pozoru. </w:t>
      </w:r>
      <w:r w:rsidR="00A22352">
        <w:rPr>
          <w:rFonts w:ascii="Times New Roman" w:eastAsia="Calibri" w:hAnsi="Times New Roman" w:cs="Times New Roman"/>
          <w:sz w:val="24"/>
          <w:szCs w:val="24"/>
        </w:rPr>
        <w:br/>
      </w:r>
      <w:r w:rsidR="00C33D63" w:rsidRPr="00774FA7">
        <w:rPr>
          <w:rFonts w:ascii="Times New Roman" w:eastAsia="Calibri" w:hAnsi="Times New Roman" w:cs="Times New Roman"/>
          <w:sz w:val="24"/>
          <w:szCs w:val="24"/>
        </w:rPr>
        <w:t xml:space="preserve">Z kolei </w:t>
      </w:r>
      <w:r w:rsidRPr="00774FA7">
        <w:rPr>
          <w:rFonts w:ascii="Times New Roman" w:eastAsia="Calibri" w:hAnsi="Times New Roman" w:cs="Times New Roman"/>
          <w:sz w:val="24"/>
          <w:szCs w:val="24"/>
        </w:rPr>
        <w:t>projektowan</w:t>
      </w:r>
      <w:r w:rsidR="00C33D63" w:rsidRPr="00774FA7">
        <w:rPr>
          <w:rFonts w:ascii="Times New Roman" w:eastAsia="Calibri" w:hAnsi="Times New Roman" w:cs="Times New Roman"/>
          <w:sz w:val="24"/>
          <w:szCs w:val="24"/>
        </w:rPr>
        <w:t>y</w:t>
      </w:r>
      <w:r w:rsidRPr="00774FA7">
        <w:rPr>
          <w:rFonts w:ascii="Times New Roman" w:eastAsia="Calibri" w:hAnsi="Times New Roman" w:cs="Times New Roman"/>
          <w:sz w:val="24"/>
          <w:szCs w:val="24"/>
        </w:rPr>
        <w:t xml:space="preserve"> </w:t>
      </w:r>
      <w:r w:rsidR="00C33D63" w:rsidRPr="00774FA7">
        <w:rPr>
          <w:rFonts w:ascii="Times New Roman" w:eastAsia="Calibri" w:hAnsi="Times New Roman" w:cs="Times New Roman"/>
          <w:sz w:val="24"/>
          <w:szCs w:val="24"/>
        </w:rPr>
        <w:t xml:space="preserve">ust. 2 </w:t>
      </w:r>
      <w:r w:rsidRPr="00774FA7">
        <w:rPr>
          <w:rFonts w:ascii="Times New Roman" w:eastAsia="Calibri" w:hAnsi="Times New Roman" w:cs="Times New Roman"/>
          <w:sz w:val="24"/>
          <w:szCs w:val="24"/>
        </w:rPr>
        <w:t>wyłącza</w:t>
      </w:r>
      <w:r w:rsidR="00C33D63"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stosowanie art. 79 Kodeksu postępowania administracyjnego nakazującego informowanie strony o podejmowanych przez organ czynnościach, przy czynnościach mających na celu ustalenie, czy związek małżeński obywatela UE</w:t>
      </w:r>
      <w:r w:rsidR="001B3A18" w:rsidRPr="00774FA7">
        <w:rPr>
          <w:rFonts w:ascii="Times New Roman" w:eastAsia="Calibri" w:hAnsi="Times New Roman" w:cs="Times New Roman"/>
          <w:sz w:val="24"/>
          <w:szCs w:val="24"/>
        </w:rPr>
        <w:t xml:space="preserve"> lub obywatela Polski</w:t>
      </w:r>
      <w:r w:rsidRPr="00774FA7">
        <w:rPr>
          <w:rFonts w:ascii="Times New Roman" w:eastAsia="Calibri" w:hAnsi="Times New Roman" w:cs="Times New Roman"/>
          <w:sz w:val="24"/>
          <w:szCs w:val="24"/>
        </w:rPr>
        <w:t xml:space="preserve"> nie został zawarty dla pozoru.</w:t>
      </w:r>
    </w:p>
    <w:p w14:paraId="0FE934C9" w14:textId="2635A3C6"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27 dodano ust. 3, który określa, iż zaświadczenie o zarejestrowaniu pobytu obywatela UE </w:t>
      </w:r>
      <w:r w:rsidR="00CD6BD5" w:rsidRPr="00774FA7">
        <w:rPr>
          <w:rFonts w:ascii="Times New Roman" w:eastAsia="Calibri" w:hAnsi="Times New Roman" w:cs="Times New Roman"/>
          <w:sz w:val="24"/>
          <w:szCs w:val="24"/>
        </w:rPr>
        <w:t xml:space="preserve">jest </w:t>
      </w:r>
      <w:r w:rsidRPr="00774FA7">
        <w:rPr>
          <w:rFonts w:ascii="Times New Roman" w:eastAsia="Calibri" w:hAnsi="Times New Roman" w:cs="Times New Roman"/>
          <w:sz w:val="24"/>
          <w:szCs w:val="24"/>
        </w:rPr>
        <w:t xml:space="preserve">ważne 10 lat. Powyższe ma na celu wyeliminowanie występujących obecnie wątpliwości, co do okresu ważności zaświadczenia o zarejestrowaniu pobytu obywatela UE. </w:t>
      </w:r>
      <w:r w:rsidR="00C33D63" w:rsidRPr="00774FA7">
        <w:rPr>
          <w:rFonts w:ascii="Times New Roman" w:eastAsia="Calibri" w:hAnsi="Times New Roman" w:cs="Times New Roman"/>
          <w:sz w:val="24"/>
          <w:szCs w:val="24"/>
        </w:rPr>
        <w:t xml:space="preserve">Ponadto jest także konsekwencją </w:t>
      </w:r>
      <w:r w:rsidRPr="00774FA7">
        <w:rPr>
          <w:rFonts w:ascii="Times New Roman" w:eastAsia="Calibri" w:hAnsi="Times New Roman" w:cs="Times New Roman"/>
          <w:sz w:val="24"/>
          <w:szCs w:val="24"/>
        </w:rPr>
        <w:t>zmiany formatu wydawanych zaświadczeń</w:t>
      </w:r>
      <w:r w:rsidR="00C33D63" w:rsidRPr="00774FA7">
        <w:rPr>
          <w:rFonts w:ascii="Times New Roman" w:eastAsia="Calibri" w:hAnsi="Times New Roman" w:cs="Times New Roman"/>
          <w:sz w:val="24"/>
          <w:szCs w:val="24"/>
        </w:rPr>
        <w:t xml:space="preserve"> o zarejestrowaniu pobytu obywatela UE, które obecnie są niezabezpieczonymi dokumentami,</w:t>
      </w:r>
      <w:r w:rsidRPr="00774FA7">
        <w:rPr>
          <w:rFonts w:ascii="Times New Roman" w:eastAsia="Calibri" w:hAnsi="Times New Roman" w:cs="Times New Roman"/>
          <w:sz w:val="24"/>
          <w:szCs w:val="24"/>
        </w:rPr>
        <w:t xml:space="preserve"> na dokument</w:t>
      </w:r>
      <w:r w:rsidR="00CD6BD5" w:rsidRPr="00774FA7">
        <w:rPr>
          <w:rFonts w:ascii="Times New Roman" w:eastAsia="Calibri" w:hAnsi="Times New Roman" w:cs="Times New Roman"/>
          <w:sz w:val="24"/>
          <w:szCs w:val="24"/>
        </w:rPr>
        <w:t>y</w:t>
      </w:r>
      <w:r w:rsidRPr="00774FA7">
        <w:rPr>
          <w:rFonts w:ascii="Times New Roman" w:eastAsia="Calibri" w:hAnsi="Times New Roman" w:cs="Times New Roman"/>
          <w:sz w:val="24"/>
          <w:szCs w:val="24"/>
        </w:rPr>
        <w:t xml:space="preserve"> zabezpieczone ze zdjęciem. </w:t>
      </w:r>
    </w:p>
    <w:p w14:paraId="02555543" w14:textId="64437FE7" w:rsidR="00943A93"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Art. 28 ust. 1 został przeredagowany oraz uzupełniony o dodatkowy zakres danych umieszczanych w zaświadczeniu o zarejestrowaniu pobytu obywatela UE lub karcie </w:t>
      </w:r>
      <w:r w:rsidRPr="00774FA7">
        <w:rPr>
          <w:rFonts w:ascii="Times New Roman" w:eastAsia="Calibri" w:hAnsi="Times New Roman" w:cs="Times New Roman"/>
          <w:sz w:val="24"/>
          <w:szCs w:val="24"/>
        </w:rPr>
        <w:lastRenderedPageBreak/>
        <w:t xml:space="preserve">pobytowej, </w:t>
      </w:r>
      <w:r w:rsidR="00992373">
        <w:rPr>
          <w:rFonts w:ascii="Times New Roman" w:eastAsia="Calibri" w:hAnsi="Times New Roman" w:cs="Times New Roman"/>
          <w:sz w:val="24"/>
          <w:szCs w:val="24"/>
        </w:rPr>
        <w:t>uwzględniając</w:t>
      </w:r>
      <w:r w:rsidR="00992373"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wśród tych danych fotografie</w:t>
      </w:r>
      <w:r w:rsidR="00943A93">
        <w:rPr>
          <w:rFonts w:ascii="Times New Roman" w:eastAsia="Calibri" w:hAnsi="Times New Roman" w:cs="Times New Roman"/>
          <w:sz w:val="24"/>
          <w:szCs w:val="24"/>
        </w:rPr>
        <w:t xml:space="preserve"> obywatela UE</w:t>
      </w:r>
      <w:r w:rsidRPr="00774FA7">
        <w:rPr>
          <w:rFonts w:ascii="Times New Roman" w:eastAsia="Calibri" w:hAnsi="Times New Roman" w:cs="Times New Roman"/>
          <w:sz w:val="24"/>
          <w:szCs w:val="24"/>
        </w:rPr>
        <w:t>, które będą umieszczane na zaświadczeniu o zarejestrowaniu pobytu obywatela UE, a nie jak dotychczas</w:t>
      </w:r>
      <w:r w:rsidR="00943A93">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943A93">
        <w:rPr>
          <w:rFonts w:ascii="Times New Roman" w:eastAsia="Calibri" w:hAnsi="Times New Roman" w:cs="Times New Roman"/>
          <w:sz w:val="24"/>
          <w:szCs w:val="24"/>
        </w:rPr>
        <w:t>gdy obowiązek dotyczył tylko umieszczania fotografii członków</w:t>
      </w:r>
      <w:r w:rsidR="00943A93" w:rsidRPr="00943A93">
        <w:rPr>
          <w:rFonts w:ascii="Times New Roman" w:eastAsia="Calibri" w:hAnsi="Times New Roman" w:cs="Times New Roman"/>
          <w:sz w:val="24"/>
          <w:szCs w:val="24"/>
        </w:rPr>
        <w:t xml:space="preserve"> rodziny niebędąc</w:t>
      </w:r>
      <w:r w:rsidR="00943A93">
        <w:rPr>
          <w:rFonts w:ascii="Times New Roman" w:eastAsia="Calibri" w:hAnsi="Times New Roman" w:cs="Times New Roman"/>
          <w:sz w:val="24"/>
          <w:szCs w:val="24"/>
        </w:rPr>
        <w:t xml:space="preserve">ych </w:t>
      </w:r>
      <w:r w:rsidR="00943A93" w:rsidRPr="00943A93">
        <w:rPr>
          <w:rFonts w:ascii="Times New Roman" w:eastAsia="Calibri" w:hAnsi="Times New Roman" w:cs="Times New Roman"/>
          <w:sz w:val="24"/>
          <w:szCs w:val="24"/>
        </w:rPr>
        <w:t>obywa</w:t>
      </w:r>
      <w:r w:rsidR="00943A93">
        <w:rPr>
          <w:rFonts w:ascii="Times New Roman" w:eastAsia="Calibri" w:hAnsi="Times New Roman" w:cs="Times New Roman"/>
          <w:sz w:val="24"/>
          <w:szCs w:val="24"/>
        </w:rPr>
        <w:t xml:space="preserve">telami </w:t>
      </w:r>
      <w:r w:rsidR="00943A93" w:rsidRPr="00943A93">
        <w:rPr>
          <w:rFonts w:ascii="Times New Roman" w:eastAsia="Calibri" w:hAnsi="Times New Roman" w:cs="Times New Roman"/>
          <w:sz w:val="24"/>
          <w:szCs w:val="24"/>
        </w:rPr>
        <w:t xml:space="preserve">UE </w:t>
      </w:r>
      <w:r w:rsidR="00943A93">
        <w:rPr>
          <w:rFonts w:ascii="Times New Roman" w:eastAsia="Calibri" w:hAnsi="Times New Roman" w:cs="Times New Roman"/>
          <w:sz w:val="24"/>
          <w:szCs w:val="24"/>
        </w:rPr>
        <w:t>w</w:t>
      </w:r>
      <w:r w:rsidRPr="00774FA7">
        <w:rPr>
          <w:rFonts w:ascii="Times New Roman" w:eastAsia="Calibri" w:hAnsi="Times New Roman" w:cs="Times New Roman"/>
          <w:sz w:val="24"/>
          <w:szCs w:val="24"/>
        </w:rPr>
        <w:t xml:space="preserve"> karcie pobytowej</w:t>
      </w:r>
      <w:r w:rsidR="00943A93">
        <w:rPr>
          <w:rFonts w:ascii="Times New Roman" w:eastAsia="Calibri" w:hAnsi="Times New Roman" w:cs="Times New Roman"/>
          <w:sz w:val="24"/>
          <w:szCs w:val="24"/>
        </w:rPr>
        <w:t xml:space="preserve">. </w:t>
      </w:r>
    </w:p>
    <w:p w14:paraId="009AC6C2" w14:textId="0C8EB463" w:rsidR="0002203C" w:rsidRPr="00774FA7" w:rsidRDefault="0007496A"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Dodatkowo</w:t>
      </w:r>
      <w:r w:rsidR="004004C3">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 ust. 2, projektodawca </w:t>
      </w:r>
      <w:r w:rsidR="004004C3">
        <w:rPr>
          <w:rFonts w:ascii="Times New Roman" w:eastAsia="Calibri" w:hAnsi="Times New Roman" w:cs="Times New Roman"/>
          <w:sz w:val="24"/>
          <w:szCs w:val="24"/>
        </w:rPr>
        <w:t>przewidział</w:t>
      </w:r>
      <w:r w:rsidR="004004C3"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możliwość, aby niezależnie od danych, o których mowa w ust. 1, zaświadczenie o zarejestrowaniu pobytu obywatela UE lub karta pobytowa </w:t>
      </w:r>
      <w:r w:rsidR="004004C3" w:rsidRPr="00774FA7">
        <w:rPr>
          <w:rFonts w:ascii="Times New Roman" w:eastAsia="Calibri" w:hAnsi="Times New Roman" w:cs="Times New Roman"/>
          <w:sz w:val="24"/>
          <w:szCs w:val="24"/>
        </w:rPr>
        <w:t>zawiera</w:t>
      </w:r>
      <w:r w:rsidR="004004C3">
        <w:rPr>
          <w:rFonts w:ascii="Times New Roman" w:eastAsia="Calibri" w:hAnsi="Times New Roman" w:cs="Times New Roman"/>
          <w:sz w:val="24"/>
          <w:szCs w:val="24"/>
        </w:rPr>
        <w:t>ł</w:t>
      </w:r>
      <w:r w:rsidR="00C3683D">
        <w:rPr>
          <w:rFonts w:ascii="Times New Roman" w:eastAsia="Calibri" w:hAnsi="Times New Roman" w:cs="Times New Roman"/>
          <w:sz w:val="24"/>
          <w:szCs w:val="24"/>
        </w:rPr>
        <w:t>y</w:t>
      </w:r>
      <w:r w:rsidR="004004C3"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podpis obywatela UE lub członka rodziny niebędącego obywatelem UE oraz zakodowany zapis niektórych danych. </w:t>
      </w:r>
      <w:r w:rsidR="00076C40" w:rsidRPr="00774FA7">
        <w:rPr>
          <w:rFonts w:ascii="Times New Roman" w:eastAsia="Calibri" w:hAnsi="Times New Roman" w:cs="Times New Roman"/>
          <w:sz w:val="24"/>
          <w:szCs w:val="24"/>
        </w:rPr>
        <w:t xml:space="preserve">Powyższe zmiany są zgodne z wymogami rozporządzenia Rady (UE) 2019/1157. </w:t>
      </w:r>
    </w:p>
    <w:p w14:paraId="3CA31DA6" w14:textId="39604BD5" w:rsidR="0007496A" w:rsidRPr="00774FA7" w:rsidRDefault="004004C3"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Również d</w:t>
      </w:r>
      <w:r w:rsidR="0007496A" w:rsidRPr="00774FA7">
        <w:rPr>
          <w:rFonts w:ascii="Times New Roman" w:eastAsia="Calibri" w:hAnsi="Times New Roman" w:cs="Times New Roman"/>
          <w:sz w:val="24"/>
          <w:szCs w:val="24"/>
        </w:rPr>
        <w:t>alsze zmiany w treści art. 28 wynikają z wprowadzenia rozwiązań pozwalających na umieszczanie danych biometrycznych w kartach pobytowych oraz zmiany formatu zaświadczenia o zarejestrowaniu pobytu obywatela UE.</w:t>
      </w:r>
    </w:p>
    <w:p w14:paraId="257A5BDE" w14:textId="47C429ED" w:rsidR="0002203C"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ust. 3 określono przypadki, w których w zaświadczeniu o zarejestrowaniu pobytu obywatela UE i karcie pobytowej nie umieszcza się podpisu ich posiadacza. Przepis ten jest analogiczny do art. 228 ustawy o cudzoziemcach. Powyższa zmiana jest konieczna z uwagi na zmianę formatu ww. dokumentów</w:t>
      </w:r>
      <w:r w:rsidR="004004C3">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zgodnie z wymogami rozporządzenia Rady (UE) 2019/1157. </w:t>
      </w:r>
    </w:p>
    <w:p w14:paraId="62230B8B" w14:textId="3C98DE60" w:rsidR="0002203C" w:rsidRPr="00774FA7" w:rsidRDefault="0002203C"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Przepis </w:t>
      </w:r>
      <w:r w:rsidR="00076C40" w:rsidRPr="00774FA7">
        <w:rPr>
          <w:rFonts w:ascii="Times New Roman" w:eastAsia="Calibri" w:hAnsi="Times New Roman" w:cs="Times New Roman"/>
          <w:sz w:val="24"/>
          <w:szCs w:val="24"/>
        </w:rPr>
        <w:t xml:space="preserve">ust. 4 przewiduje, że w karcie pobytowej wydawanej osobie, od której pobranie odcisków linii papilarnych jest fizycznie niemożliwe, nie będzie umieszczać się obrazu linii papilarnych. </w:t>
      </w:r>
      <w:r w:rsidR="00104AD4" w:rsidRPr="00774FA7">
        <w:rPr>
          <w:rFonts w:ascii="Times New Roman" w:eastAsia="Calibri" w:hAnsi="Times New Roman" w:cs="Times New Roman"/>
          <w:sz w:val="24"/>
          <w:szCs w:val="24"/>
        </w:rPr>
        <w:t>Ponadto obraz linii papilarnych nie będzie zamieszczany w karcie pobytowej w sytuacji, kiedy odstąpiono od wymogu osobistego stawiennictwa przy składaniu wniosku o wydanie, wydanie</w:t>
      </w:r>
      <w:r w:rsidR="00BF30D2" w:rsidRPr="00774FA7">
        <w:rPr>
          <w:rFonts w:ascii="Times New Roman" w:eastAsia="Calibri" w:hAnsi="Times New Roman" w:cs="Times New Roman"/>
          <w:sz w:val="24"/>
          <w:szCs w:val="24"/>
        </w:rPr>
        <w:t xml:space="preserve"> nowej lub wymianę</w:t>
      </w:r>
      <w:r w:rsidR="00104AD4" w:rsidRPr="00774FA7">
        <w:rPr>
          <w:rFonts w:ascii="Times New Roman" w:eastAsia="Calibri" w:hAnsi="Times New Roman" w:cs="Times New Roman"/>
          <w:sz w:val="24"/>
          <w:szCs w:val="24"/>
        </w:rPr>
        <w:t xml:space="preserve"> karty pobytowej, w szczególnie uzasadnionych przypadkach</w:t>
      </w:r>
      <w:r w:rsidR="004004C3">
        <w:rPr>
          <w:rFonts w:ascii="Times New Roman" w:eastAsia="Calibri" w:hAnsi="Times New Roman" w:cs="Times New Roman"/>
          <w:sz w:val="24"/>
          <w:szCs w:val="24"/>
        </w:rPr>
        <w:t>, w tym</w:t>
      </w:r>
      <w:r w:rsidR="00104AD4" w:rsidRPr="00774FA7">
        <w:rPr>
          <w:rFonts w:ascii="Times New Roman" w:eastAsia="Calibri" w:hAnsi="Times New Roman" w:cs="Times New Roman"/>
          <w:sz w:val="24"/>
          <w:szCs w:val="24"/>
        </w:rPr>
        <w:t xml:space="preserve"> podyktowanych względami zdrowotnymi. </w:t>
      </w:r>
    </w:p>
    <w:p w14:paraId="757EC0AA" w14:textId="7A1DE380"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Art. 28 ust. 5 przewiduje, że w zaświadczeniu o zarejestrowaniu pobytu obywatela UE lub karcie pobytowej nie będzie umieszczany adres zameldowania na pobyt stały lub czasowy w sytuacji, gdy obywatel UE lub członek rodziny obywatela UE nie zameldował się w miejscu pobytu czasowego trwającego ponad 2 miesiące. </w:t>
      </w:r>
      <w:r w:rsidR="004004C3" w:rsidRPr="00774FA7">
        <w:rPr>
          <w:rFonts w:ascii="Times New Roman" w:eastAsia="Calibri" w:hAnsi="Times New Roman" w:cs="Times New Roman"/>
          <w:sz w:val="24"/>
          <w:szCs w:val="24"/>
        </w:rPr>
        <w:t>Obecn</w:t>
      </w:r>
      <w:r w:rsidR="004004C3">
        <w:rPr>
          <w:rFonts w:ascii="Times New Roman" w:eastAsia="Calibri" w:hAnsi="Times New Roman" w:cs="Times New Roman"/>
          <w:sz w:val="24"/>
          <w:szCs w:val="24"/>
        </w:rPr>
        <w:t>y</w:t>
      </w:r>
      <w:r w:rsidR="004004C3"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 przepis art. 28 ust. 1 pkt 5</w:t>
      </w:r>
      <w:r w:rsidR="00DC4244" w:rsidRPr="00774FA7">
        <w:rPr>
          <w:rFonts w:ascii="Times New Roman" w:eastAsia="Calibri" w:hAnsi="Times New Roman" w:cs="Times New Roman"/>
          <w:sz w:val="24"/>
          <w:szCs w:val="24"/>
        </w:rPr>
        <w:t xml:space="preserve"> projektodawca </w:t>
      </w:r>
      <w:r w:rsidR="004004C3">
        <w:rPr>
          <w:rFonts w:ascii="Times New Roman" w:eastAsia="Calibri" w:hAnsi="Times New Roman" w:cs="Times New Roman"/>
          <w:sz w:val="24"/>
          <w:szCs w:val="24"/>
        </w:rPr>
        <w:t>zdecydował się</w:t>
      </w:r>
      <w:r w:rsidR="00DC4244" w:rsidRPr="00774FA7">
        <w:rPr>
          <w:rFonts w:ascii="Times New Roman" w:eastAsia="Calibri" w:hAnsi="Times New Roman" w:cs="Times New Roman"/>
          <w:sz w:val="24"/>
          <w:szCs w:val="24"/>
        </w:rPr>
        <w:t xml:space="preserve"> wyodrębnić w osobną jednostkę redakcyjną i zmodyfikować w zakresie określającym czas zameldowania na pobyt czasowy</w:t>
      </w:r>
      <w:r w:rsidRPr="00774FA7">
        <w:rPr>
          <w:rFonts w:ascii="Times New Roman" w:eastAsia="Calibri" w:hAnsi="Times New Roman" w:cs="Times New Roman"/>
          <w:sz w:val="24"/>
          <w:szCs w:val="24"/>
        </w:rPr>
        <w:t>.</w:t>
      </w:r>
      <w:r w:rsidR="00331AC2" w:rsidRPr="00774FA7">
        <w:rPr>
          <w:rFonts w:ascii="Times New Roman" w:eastAsia="Calibri" w:hAnsi="Times New Roman" w:cs="Times New Roman"/>
          <w:sz w:val="24"/>
          <w:szCs w:val="24"/>
        </w:rPr>
        <w:t xml:space="preserve"> Rozwiązanie prawne jest wzorowane na art. 244 ust. 4 ustawy o cudzoziemcach.  </w:t>
      </w:r>
    </w:p>
    <w:p w14:paraId="4063DB30" w14:textId="67ADA926" w:rsidR="006621F2"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Obowiązujący art. 29 regulujący odbiór zaświadczenia o zarejestrowaniu pobytu obywatela UE oraz karty pobytowej został podzielony na dwa przepisy</w:t>
      </w:r>
      <w:r w:rsidR="00DC4244" w:rsidRPr="00774FA7">
        <w:rPr>
          <w:rFonts w:ascii="Times New Roman" w:eastAsia="Calibri" w:hAnsi="Times New Roman" w:cs="Times New Roman"/>
          <w:sz w:val="24"/>
          <w:szCs w:val="24"/>
        </w:rPr>
        <w:t xml:space="preserve">. W wyniku tej zmiany </w:t>
      </w:r>
      <w:r w:rsidRPr="00774FA7">
        <w:rPr>
          <w:rFonts w:ascii="Times New Roman" w:eastAsia="Calibri" w:hAnsi="Times New Roman" w:cs="Times New Roman"/>
          <w:sz w:val="24"/>
          <w:szCs w:val="24"/>
        </w:rPr>
        <w:t xml:space="preserve">nowoprojektowany art. 29 reguluje kwestię odbioru zaświadczenia o zarejestrowaniu pobytu obywatela UE, zaś art. 29a </w:t>
      </w:r>
      <w:r w:rsidR="00DC4244" w:rsidRPr="00774FA7">
        <w:rPr>
          <w:rFonts w:ascii="Times New Roman" w:eastAsia="Calibri" w:hAnsi="Times New Roman" w:cs="Times New Roman"/>
          <w:sz w:val="24"/>
          <w:szCs w:val="24"/>
        </w:rPr>
        <w:t xml:space="preserve">sprawy </w:t>
      </w:r>
      <w:r w:rsidRPr="00774FA7">
        <w:rPr>
          <w:rFonts w:ascii="Times New Roman" w:eastAsia="Calibri" w:hAnsi="Times New Roman" w:cs="Times New Roman"/>
          <w:sz w:val="24"/>
          <w:szCs w:val="24"/>
        </w:rPr>
        <w:t xml:space="preserve">odbioru karty pobytowej. </w:t>
      </w:r>
    </w:p>
    <w:p w14:paraId="51DCA298" w14:textId="1525A0DF"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Rozwiązania dotyczące odbioru zaświadczenia o zarejestrowaniu pobytu obywatela UE zawarte w art. 29 ust. 1 pozostają</w:t>
      </w:r>
      <w:r w:rsidR="006621F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co do zasady</w:t>
      </w:r>
      <w:r w:rsidR="006621F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bez zmian w stosunku do obecnie obowiązujących przepisów. Treść art. 29 ust. 2 i 3 jest wzorowana na art. 248 ust. 2 ustawy o cudzoziemcach, z czego ust. 2 wskazuje, iż w przypadku obywatela UE, który nie ukończył 13. roku życia do dnia odbioru zaświadczenia oraz osoby ubezwłasnowolnionej całkowicie, odbioru dokonuje rodzic, opiekun prawny lub kurator. W ust. 3 doprecyzowano, iż przy odbiorze zaświadczania o zarejestrowaniu pobytu pełnomocnik będzie obowiązany </w:t>
      </w:r>
      <w:r w:rsidRPr="00774FA7">
        <w:rPr>
          <w:rFonts w:ascii="Times New Roman" w:eastAsia="Calibri" w:hAnsi="Times New Roman" w:cs="Times New Roman"/>
          <w:sz w:val="24"/>
          <w:szCs w:val="24"/>
        </w:rPr>
        <w:lastRenderedPageBreak/>
        <w:t xml:space="preserve">legitymować się pełnomocnictwem szczególnym do jego odbioru. </w:t>
      </w:r>
      <w:r w:rsidR="006621F2" w:rsidRPr="00774FA7">
        <w:rPr>
          <w:rFonts w:ascii="Times New Roman" w:eastAsia="Calibri" w:hAnsi="Times New Roman" w:cs="Times New Roman"/>
          <w:sz w:val="24"/>
          <w:szCs w:val="24"/>
        </w:rPr>
        <w:t xml:space="preserve">Zaproponowane brzmienie </w:t>
      </w:r>
      <w:r w:rsidRPr="00774FA7">
        <w:rPr>
          <w:rFonts w:ascii="Times New Roman" w:eastAsia="Calibri" w:hAnsi="Times New Roman" w:cs="Times New Roman"/>
          <w:sz w:val="24"/>
          <w:szCs w:val="24"/>
        </w:rPr>
        <w:t xml:space="preserve">ust. 4 jest </w:t>
      </w:r>
      <w:r w:rsidR="006621F2" w:rsidRPr="00774FA7">
        <w:rPr>
          <w:rFonts w:ascii="Times New Roman" w:eastAsia="Calibri" w:hAnsi="Times New Roman" w:cs="Times New Roman"/>
          <w:sz w:val="24"/>
          <w:szCs w:val="24"/>
        </w:rPr>
        <w:t xml:space="preserve">analogiczne </w:t>
      </w:r>
      <w:r w:rsidR="00DC4244" w:rsidRPr="00774FA7">
        <w:rPr>
          <w:rFonts w:ascii="Times New Roman" w:eastAsia="Calibri" w:hAnsi="Times New Roman" w:cs="Times New Roman"/>
          <w:sz w:val="24"/>
          <w:szCs w:val="24"/>
        </w:rPr>
        <w:t xml:space="preserve">do </w:t>
      </w:r>
      <w:r w:rsidRPr="00774FA7">
        <w:rPr>
          <w:rFonts w:ascii="Times New Roman" w:eastAsia="Calibri" w:hAnsi="Times New Roman" w:cs="Times New Roman"/>
          <w:sz w:val="24"/>
          <w:szCs w:val="24"/>
        </w:rPr>
        <w:t>obecnie  obowiązując</w:t>
      </w:r>
      <w:r w:rsidR="00DC4244" w:rsidRPr="00774FA7">
        <w:rPr>
          <w:rFonts w:ascii="Times New Roman" w:eastAsia="Calibri" w:hAnsi="Times New Roman" w:cs="Times New Roman"/>
          <w:sz w:val="24"/>
          <w:szCs w:val="24"/>
        </w:rPr>
        <w:t>ego</w:t>
      </w:r>
      <w:r w:rsidRPr="00774FA7">
        <w:rPr>
          <w:rFonts w:ascii="Times New Roman" w:eastAsia="Calibri" w:hAnsi="Times New Roman" w:cs="Times New Roman"/>
          <w:sz w:val="24"/>
          <w:szCs w:val="24"/>
        </w:rPr>
        <w:t xml:space="preserve"> art. 29 ust. 2. </w:t>
      </w:r>
    </w:p>
    <w:p w14:paraId="1856791D" w14:textId="6D34F1C2"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Nowy art. 29a reguluje tryb odbioru karty pobytowej. W przypadku odbioru karty pobytowej przyjęto, iż niezbędna jest osobista obecność członka rodziny niebędącego obywatelem UE z uwagi na konieczność porównania jego odcisków linii papilarnych z odciskami linii papilarnych </w:t>
      </w:r>
      <w:r w:rsidR="00E821D2" w:rsidRPr="00774FA7">
        <w:rPr>
          <w:rFonts w:ascii="Times New Roman" w:eastAsia="Calibri" w:hAnsi="Times New Roman" w:cs="Times New Roman"/>
          <w:sz w:val="24"/>
          <w:szCs w:val="24"/>
        </w:rPr>
        <w:t xml:space="preserve">zamieszczonymi </w:t>
      </w:r>
      <w:r w:rsidR="0067192D" w:rsidRPr="00774FA7">
        <w:rPr>
          <w:rFonts w:ascii="Times New Roman" w:eastAsia="Calibri" w:hAnsi="Times New Roman" w:cs="Times New Roman"/>
          <w:sz w:val="24"/>
          <w:szCs w:val="24"/>
        </w:rPr>
        <w:t xml:space="preserve">na karcie (ust. 1 i </w:t>
      </w:r>
      <w:r w:rsidRPr="00774FA7">
        <w:rPr>
          <w:rFonts w:ascii="Times New Roman" w:eastAsia="Calibri" w:hAnsi="Times New Roman" w:cs="Times New Roman"/>
          <w:sz w:val="24"/>
          <w:szCs w:val="24"/>
        </w:rPr>
        <w:t xml:space="preserve">4). W ust. 1 projektowanego przepisu wskazano </w:t>
      </w:r>
      <w:r w:rsidR="006621F2" w:rsidRPr="00774FA7">
        <w:rPr>
          <w:rFonts w:ascii="Times New Roman" w:eastAsia="Calibri" w:hAnsi="Times New Roman" w:cs="Times New Roman"/>
          <w:sz w:val="24"/>
          <w:szCs w:val="24"/>
        </w:rPr>
        <w:t>także</w:t>
      </w:r>
      <w:r w:rsidRPr="00774FA7">
        <w:rPr>
          <w:rFonts w:ascii="Times New Roman" w:eastAsia="Calibri" w:hAnsi="Times New Roman" w:cs="Times New Roman"/>
          <w:sz w:val="24"/>
          <w:szCs w:val="24"/>
        </w:rPr>
        <w:t xml:space="preserve">, iż członek rodziny niebędący obywatelem UE odbiera kartę pobytową </w:t>
      </w:r>
      <w:r w:rsidR="0067192D" w:rsidRPr="00774FA7">
        <w:rPr>
          <w:rFonts w:ascii="Times New Roman" w:eastAsia="Calibri" w:hAnsi="Times New Roman" w:cs="Times New Roman"/>
          <w:sz w:val="24"/>
          <w:szCs w:val="24"/>
        </w:rPr>
        <w:t xml:space="preserve">osobiście </w:t>
      </w:r>
      <w:r w:rsidRPr="00774FA7">
        <w:rPr>
          <w:rFonts w:ascii="Times New Roman" w:eastAsia="Calibri" w:hAnsi="Times New Roman" w:cs="Times New Roman"/>
          <w:sz w:val="24"/>
          <w:szCs w:val="24"/>
        </w:rPr>
        <w:t xml:space="preserve">po okazaniu ważnego dokumentu podróży. Obecnie obowiązujące przepisy art. 29 ust. 1 również przewidywały tego typu rozwiązanie. </w:t>
      </w:r>
      <w:r w:rsidR="00CD6BD5" w:rsidRPr="00774FA7">
        <w:rPr>
          <w:rFonts w:ascii="Times New Roman" w:eastAsia="Calibri" w:hAnsi="Times New Roman" w:cs="Times New Roman"/>
          <w:sz w:val="24"/>
          <w:szCs w:val="24"/>
        </w:rPr>
        <w:t xml:space="preserve">Brzmienie </w:t>
      </w:r>
      <w:r w:rsidRPr="00774FA7">
        <w:rPr>
          <w:rFonts w:ascii="Times New Roman" w:eastAsia="Calibri" w:hAnsi="Times New Roman" w:cs="Times New Roman"/>
          <w:sz w:val="24"/>
          <w:szCs w:val="24"/>
        </w:rPr>
        <w:t>ust. 2</w:t>
      </w:r>
      <w:r w:rsidR="00BF30D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67192D" w:rsidRPr="00774FA7">
        <w:rPr>
          <w:rFonts w:ascii="Times New Roman" w:eastAsia="Calibri" w:hAnsi="Times New Roman" w:cs="Times New Roman"/>
          <w:sz w:val="24"/>
          <w:szCs w:val="24"/>
        </w:rPr>
        <w:t xml:space="preserve">3, </w:t>
      </w:r>
      <w:r w:rsidRPr="00774FA7">
        <w:rPr>
          <w:rFonts w:ascii="Times New Roman" w:eastAsia="Calibri" w:hAnsi="Times New Roman" w:cs="Times New Roman"/>
          <w:sz w:val="24"/>
          <w:szCs w:val="24"/>
        </w:rPr>
        <w:t>5</w:t>
      </w:r>
      <w:r w:rsidR="00BF30D2" w:rsidRPr="00774FA7">
        <w:rPr>
          <w:rFonts w:ascii="Times New Roman" w:eastAsia="Calibri" w:hAnsi="Times New Roman" w:cs="Times New Roman"/>
          <w:sz w:val="24"/>
          <w:szCs w:val="24"/>
        </w:rPr>
        <w:t xml:space="preserve"> i 6</w:t>
      </w:r>
      <w:r w:rsidRPr="00774FA7">
        <w:rPr>
          <w:rFonts w:ascii="Times New Roman" w:eastAsia="Calibri" w:hAnsi="Times New Roman" w:cs="Times New Roman"/>
          <w:sz w:val="24"/>
          <w:szCs w:val="24"/>
        </w:rPr>
        <w:t xml:space="preserve"> </w:t>
      </w:r>
      <w:r w:rsidR="00CD6BD5" w:rsidRPr="00774FA7">
        <w:rPr>
          <w:rFonts w:ascii="Times New Roman" w:eastAsia="Calibri" w:hAnsi="Times New Roman" w:cs="Times New Roman"/>
          <w:sz w:val="24"/>
          <w:szCs w:val="24"/>
        </w:rPr>
        <w:t xml:space="preserve">jest </w:t>
      </w:r>
      <w:r w:rsidRPr="00774FA7">
        <w:rPr>
          <w:rFonts w:ascii="Times New Roman" w:eastAsia="Calibri" w:hAnsi="Times New Roman" w:cs="Times New Roman"/>
          <w:sz w:val="24"/>
          <w:szCs w:val="24"/>
        </w:rPr>
        <w:t xml:space="preserve">analogiczne </w:t>
      </w:r>
      <w:r w:rsidR="00CD6BD5" w:rsidRPr="00774FA7">
        <w:rPr>
          <w:rFonts w:ascii="Times New Roman" w:eastAsia="Calibri" w:hAnsi="Times New Roman" w:cs="Times New Roman"/>
          <w:sz w:val="24"/>
          <w:szCs w:val="24"/>
        </w:rPr>
        <w:t xml:space="preserve">do rozwiązań </w:t>
      </w:r>
      <w:r w:rsidRPr="00774FA7">
        <w:rPr>
          <w:rFonts w:ascii="Times New Roman" w:eastAsia="Calibri" w:hAnsi="Times New Roman" w:cs="Times New Roman"/>
          <w:sz w:val="24"/>
          <w:szCs w:val="24"/>
        </w:rPr>
        <w:t>przyjęt</w:t>
      </w:r>
      <w:r w:rsidR="00CD6BD5" w:rsidRPr="00774FA7">
        <w:rPr>
          <w:rFonts w:ascii="Times New Roman" w:eastAsia="Calibri" w:hAnsi="Times New Roman" w:cs="Times New Roman"/>
          <w:sz w:val="24"/>
          <w:szCs w:val="24"/>
        </w:rPr>
        <w:t>ych</w:t>
      </w:r>
      <w:r w:rsidRPr="00774FA7">
        <w:rPr>
          <w:rFonts w:ascii="Times New Roman" w:eastAsia="Calibri" w:hAnsi="Times New Roman" w:cs="Times New Roman"/>
          <w:sz w:val="24"/>
          <w:szCs w:val="24"/>
        </w:rPr>
        <w:t xml:space="preserve"> w przypadku odbioru zaświadczenia o zarejestrowaniu pobytu obywatela UE.</w:t>
      </w:r>
    </w:p>
    <w:p w14:paraId="4871037C" w14:textId="683005CE"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31 ust. 1 pkt 3 i 4 ustawy o wjeździe obywateli UE wprowadzono nowe przesłanki odmowy zarejestrowania pobytu obywatela UE i wydania karty pobytowej, na wzór ustawy o cudzoziemcach. Powyższe jest związane z dodaniem przesłanek odmowy wydania wizy przez konsula, </w:t>
      </w:r>
      <w:r w:rsidR="00CD6BD5" w:rsidRPr="00774FA7">
        <w:rPr>
          <w:rFonts w:ascii="Times New Roman" w:eastAsia="Calibri" w:hAnsi="Times New Roman" w:cs="Times New Roman"/>
          <w:sz w:val="24"/>
          <w:szCs w:val="24"/>
        </w:rPr>
        <w:t xml:space="preserve">o </w:t>
      </w:r>
      <w:r w:rsidRPr="00774FA7">
        <w:rPr>
          <w:rFonts w:ascii="Times New Roman" w:eastAsia="Calibri" w:hAnsi="Times New Roman" w:cs="Times New Roman"/>
          <w:sz w:val="24"/>
          <w:szCs w:val="24"/>
        </w:rPr>
        <w:t>których mowa w projektowanym art. 10 ust. 2.</w:t>
      </w:r>
    </w:p>
    <w:p w14:paraId="329F7D7F" w14:textId="0F60BC5D"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Zaproponowane </w:t>
      </w:r>
      <w:r w:rsidR="006621F2" w:rsidRPr="00774FA7">
        <w:rPr>
          <w:rFonts w:ascii="Times New Roman" w:eastAsia="Calibri" w:hAnsi="Times New Roman" w:cs="Times New Roman"/>
          <w:sz w:val="24"/>
          <w:szCs w:val="24"/>
        </w:rPr>
        <w:t xml:space="preserve">rozwiązania </w:t>
      </w:r>
      <w:r w:rsidRPr="00774FA7">
        <w:rPr>
          <w:rFonts w:ascii="Times New Roman" w:eastAsia="Calibri" w:hAnsi="Times New Roman" w:cs="Times New Roman"/>
          <w:sz w:val="24"/>
          <w:szCs w:val="24"/>
        </w:rPr>
        <w:t>przewiduj</w:t>
      </w:r>
      <w:r w:rsidR="006621F2" w:rsidRPr="00774FA7">
        <w:rPr>
          <w:rFonts w:ascii="Times New Roman" w:eastAsia="Calibri" w:hAnsi="Times New Roman" w:cs="Times New Roman"/>
          <w:sz w:val="24"/>
          <w:szCs w:val="24"/>
        </w:rPr>
        <w:t>ą</w:t>
      </w:r>
      <w:r w:rsidRPr="00774FA7">
        <w:rPr>
          <w:rFonts w:ascii="Times New Roman" w:eastAsia="Calibri" w:hAnsi="Times New Roman" w:cs="Times New Roman"/>
          <w:sz w:val="24"/>
          <w:szCs w:val="24"/>
        </w:rPr>
        <w:t xml:space="preserve"> odmowę rejestracji pobytu lub wydania karty pobytowej w przypadku, kiedy wnioskodawca złożył wniosek zawierający nieprawdziwe dane osobowe lub fałszywe informacje lub dołączył do niego dokumenty zawierające takie dane lub informacje lub zeznał nieprawdę lub zataił prawdę albo podrobił lub przerobił dokument w celu jego użycia jako autentycznego lub takiego dokumentu używał jako autentycznego. Odmowa będzie miała miejsce także w przypadku, kiedy obywatel UE lub członek rodziny niebędący obywatelem UE </w:t>
      </w:r>
      <w:r w:rsidRPr="00774FA7">
        <w:rPr>
          <w:rFonts w:ascii="Times New Roman" w:eastAsia="Times New Roman" w:hAnsi="Times New Roman" w:cs="Times New Roman"/>
          <w:sz w:val="24"/>
          <w:szCs w:val="24"/>
        </w:rPr>
        <w:t>ubiega się o zarejestrowanie pobytu lub wydanie karty pobytowej w celu obejścia przepisów prawa obowiązujących w innym państwie członkowskim Unii Europejskiej, państwie członkowskim Europejskiego Porozumienia o Wolnym Handlu (EFTA) - strony umowy o Europejskim Obszarze Gospodarczym, Konfederacji Szwajcarskiej</w:t>
      </w:r>
      <w:r w:rsidR="00BF30D2" w:rsidRPr="00774FA7">
        <w:rPr>
          <w:rFonts w:ascii="Times New Roman" w:eastAsia="Times New Roman" w:hAnsi="Times New Roman" w:cs="Times New Roman"/>
          <w:sz w:val="24"/>
          <w:szCs w:val="24"/>
        </w:rPr>
        <w:t xml:space="preserve"> </w:t>
      </w:r>
      <w:r w:rsidRPr="00774FA7">
        <w:rPr>
          <w:rFonts w:ascii="Times New Roman" w:eastAsia="Times New Roman" w:hAnsi="Times New Roman" w:cs="Times New Roman"/>
          <w:sz w:val="24"/>
          <w:szCs w:val="24"/>
        </w:rPr>
        <w:t>regulujących zasady wjazdu na terytorium UE, pobytu oraz wyjazdu z tego terytorium.</w:t>
      </w:r>
      <w:r w:rsidRPr="00774FA7">
        <w:rPr>
          <w:rFonts w:ascii="Times New Roman" w:eastAsia="Calibri" w:hAnsi="Times New Roman" w:cs="Times New Roman"/>
          <w:sz w:val="24"/>
          <w:szCs w:val="24"/>
        </w:rPr>
        <w:t xml:space="preserve"> Podobnie jak w przypadku odmowy wydania wizy</w:t>
      </w:r>
      <w:r w:rsidR="00CD6BD5"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na wprowadzenie tego typu rozwiązań pozwala art. 35 dyrektywy 2004/38/WE, zgodnie z którym </w:t>
      </w:r>
      <w:r w:rsidRPr="00774FA7">
        <w:rPr>
          <w:rFonts w:ascii="Times New Roman" w:eastAsia="Calibri" w:hAnsi="Times New Roman" w:cs="Times New Roman"/>
          <w:i/>
          <w:sz w:val="24"/>
          <w:szCs w:val="24"/>
        </w:rPr>
        <w:t>„Państwa Członkowskie mogą przyjąć niezbędne środki w celu odmowy, zniesienia lub wycofania jakiegokolwiek prawa przyznanego niniejszą dyrektywą w przypadku nadużycia praw lub oszustw”.</w:t>
      </w:r>
      <w:r w:rsidRPr="00774FA7">
        <w:rPr>
          <w:rFonts w:ascii="Times New Roman" w:eastAsia="Calibri" w:hAnsi="Times New Roman" w:cs="Times New Roman"/>
          <w:sz w:val="24"/>
          <w:szCs w:val="24"/>
        </w:rPr>
        <w:t xml:space="preserve"> </w:t>
      </w:r>
    </w:p>
    <w:p w14:paraId="2B9E359F" w14:textId="7DEEC46D"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Ponadto</w:t>
      </w:r>
      <w:r w:rsidR="006621F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podobnie jak w przypadku innych przepisów dotyczących ograniczenia swobody przepływu osób, w art. 31 ust. 1 pkt 2 ustawy o wjeździe obywateli UE doprecyzowano, że odmowa zarejestrowania pobytu obywatela UE oraz odmowa wydania karty pobytowej może nastąpić</w:t>
      </w:r>
      <w:r w:rsidR="006621F2" w:rsidRPr="00774FA7">
        <w:rPr>
          <w:rFonts w:ascii="Times New Roman" w:eastAsia="Calibri" w:hAnsi="Times New Roman" w:cs="Times New Roman"/>
          <w:sz w:val="24"/>
          <w:szCs w:val="24"/>
        </w:rPr>
        <w:t>, gdy</w:t>
      </w:r>
      <w:r w:rsidRPr="00774FA7">
        <w:rPr>
          <w:rFonts w:ascii="Times New Roman" w:eastAsia="Calibri" w:hAnsi="Times New Roman" w:cs="Times New Roman"/>
          <w:sz w:val="24"/>
          <w:szCs w:val="24"/>
        </w:rPr>
        <w:t xml:space="preserve"> </w:t>
      </w:r>
      <w:r w:rsidR="006621F2" w:rsidRPr="00774FA7">
        <w:rPr>
          <w:rFonts w:ascii="Times New Roman" w:eastAsia="Calibri" w:hAnsi="Times New Roman" w:cs="Times New Roman"/>
          <w:sz w:val="24"/>
          <w:szCs w:val="24"/>
        </w:rPr>
        <w:t>wymagają tego względy obronności lub bezpieczeństwa państwa lub ochrony bezpieczeństwa i porządku publicznego</w:t>
      </w:r>
      <w:r w:rsidRPr="00774FA7">
        <w:rPr>
          <w:rFonts w:ascii="Times New Roman" w:eastAsia="Calibri" w:hAnsi="Times New Roman" w:cs="Times New Roman"/>
          <w:sz w:val="24"/>
          <w:szCs w:val="24"/>
        </w:rPr>
        <w:t xml:space="preserve">. </w:t>
      </w:r>
    </w:p>
    <w:p w14:paraId="6F7BEF59" w14:textId="386AFF5A"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Nadanie nowego brzmienia art. 32 w ust. 1 pkt 2 wynika z potrzeby ujednolicenia ww. przepisu z brzmieniem analogicznych przepisów ustawy o cudzoziemcach. W art. 32 ust. 1 pkt 3 przewidziano, iż zaświadczenie o zarejestrowaniu pobytu obywatela UE oraz karta pobytowa będą wymieniane w przypadku ich utraty, tak jak to ma miejsce w przypadku karty pobytu – art. 241 ust. 1 pkt 3 ustawy o cudzoziemcach. Obecnie zgodnie z art. 32 ust. 3 </w:t>
      </w:r>
      <w:r w:rsidR="00CD6BD5" w:rsidRPr="00774FA7">
        <w:rPr>
          <w:rFonts w:ascii="Times New Roman" w:eastAsia="Calibri" w:hAnsi="Times New Roman" w:cs="Times New Roman"/>
          <w:sz w:val="24"/>
          <w:szCs w:val="24"/>
        </w:rPr>
        <w:t xml:space="preserve">ustawy </w:t>
      </w:r>
      <w:r w:rsidRPr="00774FA7">
        <w:rPr>
          <w:rFonts w:ascii="Times New Roman" w:eastAsia="Calibri" w:hAnsi="Times New Roman" w:cs="Times New Roman"/>
          <w:sz w:val="24"/>
          <w:szCs w:val="24"/>
        </w:rPr>
        <w:t xml:space="preserve">o wjeździe obywateli UE utrata ww. dokumentów stanowi podstawę do wydania </w:t>
      </w:r>
      <w:r w:rsidRPr="00774FA7">
        <w:rPr>
          <w:rFonts w:ascii="Times New Roman" w:eastAsia="Calibri" w:hAnsi="Times New Roman" w:cs="Times New Roman"/>
          <w:sz w:val="24"/>
          <w:szCs w:val="24"/>
        </w:rPr>
        <w:lastRenderedPageBreak/>
        <w:t xml:space="preserve">nowego dokumentu. Dodanie pkt 4 w ust. 1 wynika ze zmiany formatu zaświadczenia o zarejestrowaniu pobytu obywatela UE. Zgodnie z proponowanymi w projekcie rozwiązaniami w zaświadczeniu o zarejestrowaniu pobytu obywatela UE będzie umieszczane zdjęcie. Z uwagi na powyższe konieczne jest wprowadzenie uregulowań przewidujących wymianę ww. zaświadczenia ze względu na zmianę wyglądu jego posiadacza utrudniającą ustalenie jego tożsamości. </w:t>
      </w:r>
    </w:p>
    <w:p w14:paraId="009A1A54" w14:textId="6C0D1BA0"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Zmiana treści ust. 2 wynika z przeniesienia treści dotychczasowego pkt 1 do projektowanego ust. 1 pkt 3 i wprowadzenia rozwiązań analogicznych jak w ustawie o cudzoziemcach odnośnie wydania nowego zaświadczenia o zarejestrowaniu pobytu obywatela UE oraz karty pobytowej w przypadku upływu terminu ich ważności. Zmiana przepisu wynika  z potrzeby dostosowania formatu ww. dokumentów do wymogów przewidzianych w rozporządzeniu Rady (UE) 2019/1157.</w:t>
      </w:r>
    </w:p>
    <w:p w14:paraId="32F0B8B2" w14:textId="63B237F8"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Zmiany w art. 33 ustawy o wjeździe obywateli UE również wynikają ze zmiany formatu zaświadczenia o zarejestrowaniu pobytu obywatela UE oraz umieszczania w nim fotografii, a także z wprowadzenia uregulowań przewidujących umieszczanie w karcie pobytowej obrazu linii papilarnych. Zaproponowane w art. 33 ust. 1a i 1b </w:t>
      </w:r>
      <w:r w:rsidR="00E821D2" w:rsidRPr="00774FA7">
        <w:rPr>
          <w:rFonts w:ascii="Times New Roman" w:eastAsia="Calibri" w:hAnsi="Times New Roman" w:cs="Times New Roman"/>
          <w:sz w:val="24"/>
          <w:szCs w:val="24"/>
        </w:rPr>
        <w:t>zmiany</w:t>
      </w:r>
      <w:r w:rsidRPr="00774FA7">
        <w:rPr>
          <w:rFonts w:ascii="Times New Roman" w:eastAsia="Calibri" w:hAnsi="Times New Roman" w:cs="Times New Roman"/>
          <w:sz w:val="24"/>
          <w:szCs w:val="24"/>
        </w:rPr>
        <w:t xml:space="preserve"> są wzorowane na rozwiązaniach przewidzianych w art. 230 ustawie o cudzoziemcach, z kolei rozwiązania przyjęte w art. 33 ust. 2 – 7 ustawy o wjeździe obywateli UE są analogiczne jak w projektowanym art. 21. Dodatkowo ww. przepisy przewidują, iż dołączana do wniosków fotografia powinna być aktualna. Powyższe zmiany wynikają z konieczności uwzględnienia uregulowań rozporządzenia Rady (UE) 2019/1157.</w:t>
      </w:r>
    </w:p>
    <w:p w14:paraId="57EA56A3" w14:textId="1BDDD9D2"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Przepisy art. 33a – 33c ustawy o wjeździe obywateli UE są wzorowane na regulacjach art. 232–234 ustawy o cudzoziemcach i </w:t>
      </w:r>
      <w:r w:rsidR="006621F2" w:rsidRPr="00774FA7">
        <w:rPr>
          <w:rFonts w:ascii="Times New Roman" w:eastAsia="Calibri" w:hAnsi="Times New Roman" w:cs="Times New Roman"/>
          <w:sz w:val="24"/>
          <w:szCs w:val="24"/>
        </w:rPr>
        <w:t xml:space="preserve">są efektem </w:t>
      </w:r>
      <w:r w:rsidRPr="00774FA7">
        <w:rPr>
          <w:rFonts w:ascii="Times New Roman" w:eastAsia="Calibri" w:hAnsi="Times New Roman" w:cs="Times New Roman"/>
          <w:sz w:val="24"/>
          <w:szCs w:val="24"/>
        </w:rPr>
        <w:t xml:space="preserve">zmiany formatów dokumentów wydawanych obywatelom UE i członkom rodziny niebędącym obywatelami UE. </w:t>
      </w:r>
    </w:p>
    <w:p w14:paraId="540A859D" w14:textId="4E6CA948"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w art. 34 ustawy o wjeździe obywateli UE </w:t>
      </w:r>
      <w:r w:rsidR="006621F2" w:rsidRPr="00774FA7">
        <w:rPr>
          <w:rFonts w:ascii="Times New Roman" w:eastAsia="Calibri" w:hAnsi="Times New Roman" w:cs="Times New Roman"/>
          <w:sz w:val="24"/>
          <w:szCs w:val="24"/>
        </w:rPr>
        <w:t>jest</w:t>
      </w:r>
      <w:r w:rsidRPr="00774FA7">
        <w:rPr>
          <w:rFonts w:ascii="Times New Roman" w:eastAsia="Calibri" w:hAnsi="Times New Roman" w:cs="Times New Roman"/>
          <w:sz w:val="24"/>
          <w:szCs w:val="24"/>
        </w:rPr>
        <w:t xml:space="preserve"> konsekwencj</w:t>
      </w:r>
      <w:r w:rsidR="006621F2" w:rsidRPr="00774FA7">
        <w:rPr>
          <w:rFonts w:ascii="Times New Roman" w:eastAsia="Calibri" w:hAnsi="Times New Roman" w:cs="Times New Roman"/>
          <w:sz w:val="24"/>
          <w:szCs w:val="24"/>
        </w:rPr>
        <w:t>ą</w:t>
      </w:r>
      <w:r w:rsidRPr="00774FA7">
        <w:rPr>
          <w:rFonts w:ascii="Times New Roman" w:eastAsia="Calibri" w:hAnsi="Times New Roman" w:cs="Times New Roman"/>
          <w:sz w:val="24"/>
          <w:szCs w:val="24"/>
        </w:rPr>
        <w:t xml:space="preserve"> wprowadzenia w art. 29 oraz art. 29a nowych uregulowań odnośnie odbioru zaświadczenia o zarejestrowaniu pobytu obywatela UE i karty pobyt</w:t>
      </w:r>
      <w:r w:rsidR="004004C3">
        <w:rPr>
          <w:rFonts w:ascii="Times New Roman" w:eastAsia="Calibri" w:hAnsi="Times New Roman" w:cs="Times New Roman"/>
          <w:sz w:val="24"/>
          <w:szCs w:val="24"/>
        </w:rPr>
        <w:t>owej</w:t>
      </w:r>
      <w:r w:rsidRPr="00774FA7">
        <w:rPr>
          <w:rFonts w:ascii="Times New Roman" w:eastAsia="Calibri" w:hAnsi="Times New Roman" w:cs="Times New Roman"/>
          <w:sz w:val="24"/>
          <w:szCs w:val="24"/>
        </w:rPr>
        <w:t xml:space="preserve"> członka rodziny obywatela UE. Konieczne było wskazanie odesłań do odpowiednich przepisów w zakresie odbioru nowego zaświadczenia o zarejestrowaniu pobytu obywatela UE – odesłanie do art. 29 i nowej karty</w:t>
      </w:r>
      <w:r w:rsidR="00DB3434" w:rsidRPr="00774FA7">
        <w:rPr>
          <w:rFonts w:ascii="Times New Roman" w:eastAsia="Calibri" w:hAnsi="Times New Roman" w:cs="Times New Roman"/>
          <w:sz w:val="24"/>
          <w:szCs w:val="24"/>
        </w:rPr>
        <w:t xml:space="preserve"> pobytowej </w:t>
      </w:r>
      <w:r w:rsidRPr="00774FA7">
        <w:rPr>
          <w:rFonts w:ascii="Times New Roman" w:eastAsia="Calibri" w:hAnsi="Times New Roman" w:cs="Times New Roman"/>
          <w:sz w:val="24"/>
          <w:szCs w:val="24"/>
        </w:rPr>
        <w:t>– odesłanie do art. 29a.</w:t>
      </w:r>
    </w:p>
    <w:p w14:paraId="32B4CAD4" w14:textId="68AEC363" w:rsidR="00076C40" w:rsidRPr="00774FA7" w:rsidRDefault="00904072"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Zmiany w</w:t>
      </w:r>
      <w:r w:rsidR="00076C40" w:rsidRPr="00774FA7">
        <w:rPr>
          <w:rFonts w:ascii="Times New Roman" w:eastAsia="Calibri" w:hAnsi="Times New Roman" w:cs="Times New Roman"/>
          <w:sz w:val="24"/>
          <w:szCs w:val="24"/>
        </w:rPr>
        <w:t xml:space="preserve"> art. 35 ust. 1 pkt 2 oraz art. 36 ust. 1 pkt 1, w których wskazano podstawy unieważnienia zarejestrowania pobytu oraz karty pobytowej</w:t>
      </w:r>
      <w:r w:rsidRPr="00774FA7">
        <w:rPr>
          <w:rFonts w:ascii="Times New Roman" w:eastAsia="Calibri" w:hAnsi="Times New Roman" w:cs="Times New Roman"/>
          <w:sz w:val="24"/>
          <w:szCs w:val="24"/>
        </w:rPr>
        <w:t>,</w:t>
      </w:r>
      <w:r w:rsidR="00076C40" w:rsidRPr="00774FA7">
        <w:rPr>
          <w:rFonts w:ascii="Times New Roman" w:eastAsia="Calibri" w:hAnsi="Times New Roman" w:cs="Times New Roman"/>
          <w:sz w:val="24"/>
          <w:szCs w:val="24"/>
        </w:rPr>
        <w:t xml:space="preserve"> są analogiczne jak zmiany zaprojektowane w art. 10 ust. 2 pkt 6, art. 11 ust. 1 pkt 2 oraz art. 31 ust. 1 pkt 2. Doprecyzowano, że unieważnienie zarejestrowania pobytu oraz karty pobytowej może nastąpić</w:t>
      </w:r>
      <w:r w:rsidR="00D21E4C" w:rsidRPr="00774FA7">
        <w:rPr>
          <w:rFonts w:ascii="Times New Roman" w:eastAsia="Calibri" w:hAnsi="Times New Roman" w:cs="Times New Roman"/>
          <w:sz w:val="24"/>
          <w:szCs w:val="24"/>
        </w:rPr>
        <w:t>,</w:t>
      </w:r>
      <w:r w:rsidR="00076C40" w:rsidRPr="00774FA7">
        <w:rPr>
          <w:rFonts w:ascii="Times New Roman" w:eastAsia="Calibri" w:hAnsi="Times New Roman" w:cs="Times New Roman"/>
          <w:sz w:val="24"/>
          <w:szCs w:val="24"/>
        </w:rPr>
        <w:t xml:space="preserve"> gdy wymagają tego względy obronności lub bezpieczeństwa państwa lub ochrony bezpieczeństwa i porządku publicznego. </w:t>
      </w:r>
    </w:p>
    <w:p w14:paraId="5CD5E4FB" w14:textId="3EE260EF"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Podobnie w art. 35 ust. 1 pkt 1 oraz art. 36 ust. 1 pkt 2 ustawy o wjeździe obywateli UE, które regulują podstawy unieważnienia zarejestrowania pobytu oraz karty pobytowej, wprowadzono zmiany analogiczne do przewidzianych w art. 10 ust. 2 pkt 3</w:t>
      </w:r>
      <w:r w:rsidR="006257F8" w:rsidRPr="00774FA7">
        <w:rPr>
          <w:rFonts w:ascii="Times New Roman" w:eastAsia="Calibri" w:hAnsi="Times New Roman" w:cs="Times New Roman"/>
          <w:sz w:val="24"/>
          <w:szCs w:val="24"/>
        </w:rPr>
        <w:t>, art. 10a pkt 2, art. 10b</w:t>
      </w:r>
      <w:r w:rsidRPr="00774FA7">
        <w:rPr>
          <w:rFonts w:ascii="Times New Roman" w:eastAsia="Calibri" w:hAnsi="Times New Roman" w:cs="Times New Roman"/>
          <w:sz w:val="24"/>
          <w:szCs w:val="24"/>
        </w:rPr>
        <w:t xml:space="preserve"> </w:t>
      </w:r>
      <w:r w:rsidR="006257F8" w:rsidRPr="00774FA7">
        <w:rPr>
          <w:rFonts w:ascii="Times New Roman" w:eastAsia="Calibri" w:hAnsi="Times New Roman" w:cs="Times New Roman"/>
          <w:sz w:val="24"/>
          <w:szCs w:val="24"/>
        </w:rPr>
        <w:t xml:space="preserve">pkt 6 </w:t>
      </w:r>
      <w:r w:rsidRPr="00774FA7">
        <w:rPr>
          <w:rFonts w:ascii="Times New Roman" w:eastAsia="Calibri" w:hAnsi="Times New Roman" w:cs="Times New Roman"/>
          <w:sz w:val="24"/>
          <w:szCs w:val="24"/>
        </w:rPr>
        <w:t>oraz art. 31 ust. 1 pkt 3.</w:t>
      </w:r>
    </w:p>
    <w:p w14:paraId="14BE5358" w14:textId="7CD4C53E"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35 ust. 1 pkt 3 oraz art. 36 ust. 1 pkt 4 ustawy o wjeździe obywateli UE wprowadzone zostały nowe przesłanki unieważnienia zarejestrowania pobytu obywatela UE </w:t>
      </w:r>
      <w:r w:rsidRPr="00774FA7">
        <w:rPr>
          <w:rFonts w:ascii="Times New Roman" w:eastAsia="Calibri" w:hAnsi="Times New Roman" w:cs="Times New Roman"/>
          <w:sz w:val="24"/>
          <w:szCs w:val="24"/>
        </w:rPr>
        <w:lastRenderedPageBreak/>
        <w:t xml:space="preserve">oraz karty pobytowej. Zgodnie z projektowaną zmianą unieważnienie będzie następowało w przypadku gdy obywatel UE lub członek rodziny obywatela UE nie spełnia warunków pobytu określonych w rozdziale ustawy dotyczącym prawa pobytu obywatela UE i członka rodziny obywatela UE oraz kiedy zarejestrowanie pobytu lub wydanie karty pobytowej nastąpiło w celu obejścia przepisów prawa. Zaproponowana zmiana jest zgodna z art. 14 ust. 2 dyrektywy 2004/38/WE, który stanowi, że obywatele UE i członkowie ich rodziny posiadają prawo pobytu przewidziane w art. 7, </w:t>
      </w:r>
      <w:r w:rsidR="0067192D" w:rsidRPr="00774FA7">
        <w:rPr>
          <w:rFonts w:ascii="Times New Roman" w:eastAsia="Calibri" w:hAnsi="Times New Roman" w:cs="Times New Roman"/>
          <w:sz w:val="24"/>
          <w:szCs w:val="24"/>
        </w:rPr>
        <w:t xml:space="preserve">art. </w:t>
      </w:r>
      <w:r w:rsidRPr="00774FA7">
        <w:rPr>
          <w:rFonts w:ascii="Times New Roman" w:eastAsia="Calibri" w:hAnsi="Times New Roman" w:cs="Times New Roman"/>
          <w:sz w:val="24"/>
          <w:szCs w:val="24"/>
        </w:rPr>
        <w:t xml:space="preserve">12 i </w:t>
      </w:r>
      <w:r w:rsidR="0067192D" w:rsidRPr="00774FA7">
        <w:rPr>
          <w:rFonts w:ascii="Times New Roman" w:eastAsia="Calibri" w:hAnsi="Times New Roman" w:cs="Times New Roman"/>
          <w:sz w:val="24"/>
          <w:szCs w:val="24"/>
        </w:rPr>
        <w:t xml:space="preserve">art. </w:t>
      </w:r>
      <w:r w:rsidRPr="00774FA7">
        <w:rPr>
          <w:rFonts w:ascii="Times New Roman" w:eastAsia="Calibri" w:hAnsi="Times New Roman" w:cs="Times New Roman"/>
          <w:sz w:val="24"/>
          <w:szCs w:val="24"/>
        </w:rPr>
        <w:t>13 tak długo, dopóki spełniają warunki w nich określone</w:t>
      </w:r>
      <w:r w:rsidR="0090407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oraz z art. 35 dyrektywy 2004/38/WE.</w:t>
      </w:r>
    </w:p>
    <w:p w14:paraId="6490087F" w14:textId="49A7DD43" w:rsidR="00076C40" w:rsidRPr="00774FA7" w:rsidRDefault="00083B78"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Przepis </w:t>
      </w:r>
      <w:r w:rsidR="00076C40" w:rsidRPr="00774FA7">
        <w:rPr>
          <w:rFonts w:ascii="Times New Roman" w:eastAsia="Calibri" w:hAnsi="Times New Roman" w:cs="Times New Roman"/>
          <w:sz w:val="24"/>
          <w:szCs w:val="24"/>
        </w:rPr>
        <w:t xml:space="preserve">art. 37 </w:t>
      </w:r>
      <w:r w:rsidRPr="00774FA7">
        <w:rPr>
          <w:rFonts w:ascii="Times New Roman" w:eastAsia="Calibri" w:hAnsi="Times New Roman" w:cs="Times New Roman"/>
          <w:sz w:val="24"/>
          <w:szCs w:val="24"/>
        </w:rPr>
        <w:t xml:space="preserve">otrzymał nowe brzmienie. W stosunku do obecnie obowiązującego przepis </w:t>
      </w:r>
      <w:r w:rsidR="00076C40" w:rsidRPr="00774FA7">
        <w:rPr>
          <w:rFonts w:ascii="Times New Roman" w:eastAsia="Calibri" w:hAnsi="Times New Roman" w:cs="Times New Roman"/>
          <w:sz w:val="24"/>
          <w:szCs w:val="24"/>
        </w:rPr>
        <w:t xml:space="preserve">ust. </w:t>
      </w:r>
      <w:r w:rsidRPr="00774FA7">
        <w:rPr>
          <w:rFonts w:ascii="Times New Roman" w:eastAsia="Calibri" w:hAnsi="Times New Roman" w:cs="Times New Roman"/>
          <w:sz w:val="24"/>
          <w:szCs w:val="24"/>
        </w:rPr>
        <w:t>1</w:t>
      </w:r>
      <w:r w:rsidR="00076C40" w:rsidRPr="00774FA7">
        <w:rPr>
          <w:rFonts w:ascii="Times New Roman" w:eastAsia="Calibri" w:hAnsi="Times New Roman" w:cs="Times New Roman"/>
          <w:sz w:val="24"/>
          <w:szCs w:val="24"/>
        </w:rPr>
        <w:t xml:space="preserve"> uzupełniono o uregulowania dotyczące </w:t>
      </w:r>
      <w:r w:rsidRPr="00774FA7">
        <w:rPr>
          <w:rFonts w:ascii="Times New Roman" w:eastAsia="Calibri" w:hAnsi="Times New Roman" w:cs="Times New Roman"/>
          <w:sz w:val="24"/>
          <w:szCs w:val="24"/>
        </w:rPr>
        <w:t xml:space="preserve">zwrotu </w:t>
      </w:r>
      <w:r w:rsidR="00076C40" w:rsidRPr="00774FA7">
        <w:rPr>
          <w:rFonts w:ascii="Times New Roman" w:eastAsia="Calibri" w:hAnsi="Times New Roman" w:cs="Times New Roman"/>
          <w:sz w:val="24"/>
          <w:szCs w:val="24"/>
        </w:rPr>
        <w:t xml:space="preserve">zaświadczenia o zarejestrowaniu pobytu obywatela UE. Dotychczas przepis ten odnosił się tylko do karty pobytowej. Przepis uzupełniono o nowy wymóg zwrotu zaświadczenia o zarejestrowaniu pobytu obywatela UE lub karty pobytowej w przypadku nabycia obywatelstwa polskiego lub uzyskania dokumentu potwierdzającego prawo stałego pobytu lub karty stałego pobytu. Proponowana zmiana jest </w:t>
      </w:r>
      <w:r w:rsidR="00347697" w:rsidRPr="00774FA7">
        <w:rPr>
          <w:rFonts w:ascii="Times New Roman" w:eastAsia="Calibri" w:hAnsi="Times New Roman" w:cs="Times New Roman"/>
          <w:sz w:val="24"/>
          <w:szCs w:val="24"/>
        </w:rPr>
        <w:t xml:space="preserve">konsekwencją </w:t>
      </w:r>
      <w:r w:rsidR="00076C40" w:rsidRPr="00774FA7">
        <w:rPr>
          <w:rFonts w:ascii="Times New Roman" w:eastAsia="Calibri" w:hAnsi="Times New Roman" w:cs="Times New Roman"/>
          <w:sz w:val="24"/>
          <w:szCs w:val="24"/>
        </w:rPr>
        <w:t>zmian</w:t>
      </w:r>
      <w:r w:rsidR="00347697" w:rsidRPr="00774FA7">
        <w:rPr>
          <w:rFonts w:ascii="Times New Roman" w:eastAsia="Calibri" w:hAnsi="Times New Roman" w:cs="Times New Roman"/>
          <w:sz w:val="24"/>
          <w:szCs w:val="24"/>
        </w:rPr>
        <w:t>y</w:t>
      </w:r>
      <w:r w:rsidR="00076C40" w:rsidRPr="00774FA7">
        <w:rPr>
          <w:rFonts w:ascii="Times New Roman" w:eastAsia="Calibri" w:hAnsi="Times New Roman" w:cs="Times New Roman"/>
          <w:sz w:val="24"/>
          <w:szCs w:val="24"/>
        </w:rPr>
        <w:t xml:space="preserve"> formatu ww. zaświadczenia. Ponadto w ust. 2 doprecyzowano, kto i w jakim terminie jest obowiązany do zwrotu ww. dokumentów. Treść ust. 3</w:t>
      </w:r>
      <w:r w:rsidRPr="00774FA7">
        <w:rPr>
          <w:rFonts w:ascii="Times New Roman" w:eastAsia="Calibri" w:hAnsi="Times New Roman" w:cs="Times New Roman"/>
          <w:sz w:val="24"/>
          <w:szCs w:val="24"/>
        </w:rPr>
        <w:t xml:space="preserve"> stanowi </w:t>
      </w:r>
      <w:r w:rsidR="004268C8" w:rsidRPr="00774FA7">
        <w:rPr>
          <w:rFonts w:ascii="Times New Roman" w:eastAsia="Calibri" w:hAnsi="Times New Roman" w:cs="Times New Roman"/>
          <w:sz w:val="24"/>
          <w:szCs w:val="24"/>
        </w:rPr>
        <w:t>zmodyfikowaną</w:t>
      </w:r>
      <w:r w:rsidRPr="00774FA7">
        <w:rPr>
          <w:rFonts w:ascii="Times New Roman" w:eastAsia="Calibri" w:hAnsi="Times New Roman" w:cs="Times New Roman"/>
          <w:sz w:val="24"/>
          <w:szCs w:val="24"/>
        </w:rPr>
        <w:t xml:space="preserve"> wersję dotych</w:t>
      </w:r>
      <w:r w:rsidR="004268C8" w:rsidRPr="00774FA7">
        <w:rPr>
          <w:rFonts w:ascii="Times New Roman" w:eastAsia="Calibri" w:hAnsi="Times New Roman" w:cs="Times New Roman"/>
          <w:sz w:val="24"/>
          <w:szCs w:val="24"/>
        </w:rPr>
        <w:t>cz</w:t>
      </w:r>
      <w:r w:rsidRPr="00774FA7">
        <w:rPr>
          <w:rFonts w:ascii="Times New Roman" w:eastAsia="Calibri" w:hAnsi="Times New Roman" w:cs="Times New Roman"/>
          <w:sz w:val="24"/>
          <w:szCs w:val="24"/>
        </w:rPr>
        <w:t xml:space="preserve">asowego art. 37 ust. 2 </w:t>
      </w:r>
      <w:r w:rsidR="004268C8" w:rsidRPr="00774FA7">
        <w:rPr>
          <w:rFonts w:ascii="Times New Roman" w:eastAsia="Calibri" w:hAnsi="Times New Roman" w:cs="Times New Roman"/>
          <w:sz w:val="24"/>
          <w:szCs w:val="24"/>
        </w:rPr>
        <w:t xml:space="preserve">pkt 2 </w:t>
      </w:r>
      <w:r w:rsidR="00076C40" w:rsidRPr="00774FA7">
        <w:rPr>
          <w:rFonts w:ascii="Times New Roman" w:eastAsia="Calibri" w:hAnsi="Times New Roman" w:cs="Times New Roman"/>
          <w:sz w:val="24"/>
          <w:szCs w:val="24"/>
        </w:rPr>
        <w:t>reguluj</w:t>
      </w:r>
      <w:r w:rsidR="004268C8" w:rsidRPr="00774FA7">
        <w:rPr>
          <w:rFonts w:ascii="Times New Roman" w:eastAsia="Calibri" w:hAnsi="Times New Roman" w:cs="Times New Roman"/>
          <w:sz w:val="24"/>
          <w:szCs w:val="24"/>
        </w:rPr>
        <w:t>ąc</w:t>
      </w:r>
      <w:r w:rsidR="00076C40" w:rsidRPr="00774FA7">
        <w:rPr>
          <w:rFonts w:ascii="Times New Roman" w:eastAsia="Calibri" w:hAnsi="Times New Roman" w:cs="Times New Roman"/>
          <w:sz w:val="24"/>
          <w:szCs w:val="24"/>
        </w:rPr>
        <w:t xml:space="preserve"> kwestie zwrotu zaświadczenia o zarejestrowaniu pobytu obywatela UE oraz karty pobytowej w przypadku zgonu ich posiadacza. </w:t>
      </w:r>
      <w:r w:rsidR="00163848">
        <w:rPr>
          <w:rFonts w:ascii="Times New Roman" w:eastAsia="Calibri" w:hAnsi="Times New Roman" w:cs="Times New Roman"/>
          <w:sz w:val="24"/>
          <w:szCs w:val="24"/>
        </w:rPr>
        <w:t xml:space="preserve">Zmiana polega </w:t>
      </w:r>
      <w:r w:rsidR="00163848" w:rsidRPr="00163848">
        <w:rPr>
          <w:rFonts w:ascii="Times New Roman" w:eastAsia="Calibri" w:hAnsi="Times New Roman" w:cs="Times New Roman"/>
          <w:sz w:val="24"/>
          <w:szCs w:val="24"/>
        </w:rPr>
        <w:t>na aktualizacji przepisu przewidującego obowiązek niezwłocznego zwrotu</w:t>
      </w:r>
      <w:r w:rsidR="00163848">
        <w:rPr>
          <w:rFonts w:ascii="Times New Roman" w:eastAsia="Calibri" w:hAnsi="Times New Roman" w:cs="Times New Roman"/>
          <w:sz w:val="24"/>
          <w:szCs w:val="24"/>
        </w:rPr>
        <w:t xml:space="preserve"> zaświadczenia o zarejestrowaniu pobytu lub karty pobytowej zmarłego obywatela UE lub członka rodziny nie będącego obywatelem UE</w:t>
      </w:r>
      <w:r w:rsidR="00163848" w:rsidRPr="00163848">
        <w:rPr>
          <w:rFonts w:ascii="Times New Roman" w:eastAsia="Calibri" w:hAnsi="Times New Roman" w:cs="Times New Roman"/>
          <w:sz w:val="24"/>
          <w:szCs w:val="24"/>
        </w:rPr>
        <w:t xml:space="preserve"> organowi, który </w:t>
      </w:r>
      <w:r w:rsidR="00163848">
        <w:rPr>
          <w:rFonts w:ascii="Times New Roman" w:eastAsia="Calibri" w:hAnsi="Times New Roman" w:cs="Times New Roman"/>
          <w:sz w:val="24"/>
          <w:szCs w:val="24"/>
        </w:rPr>
        <w:t xml:space="preserve">dokumenty te </w:t>
      </w:r>
      <w:r w:rsidR="00163848" w:rsidRPr="00163848">
        <w:rPr>
          <w:rFonts w:ascii="Times New Roman" w:eastAsia="Calibri" w:hAnsi="Times New Roman" w:cs="Times New Roman"/>
          <w:sz w:val="24"/>
          <w:szCs w:val="24"/>
        </w:rPr>
        <w:t xml:space="preserve">wydał. Zgodnie z dotychczasową regulacją, obowiązek ten spoczywał na osobie obowiązanej do zgłoszenia zgonu </w:t>
      </w:r>
      <w:r w:rsidR="00163848">
        <w:rPr>
          <w:rFonts w:ascii="Times New Roman" w:eastAsia="Calibri" w:hAnsi="Times New Roman" w:cs="Times New Roman"/>
          <w:sz w:val="24"/>
          <w:szCs w:val="24"/>
        </w:rPr>
        <w:t>zgodnie z przepisami</w:t>
      </w:r>
      <w:r w:rsidR="00163848" w:rsidRPr="00163848">
        <w:rPr>
          <w:rFonts w:ascii="Times New Roman" w:eastAsia="Calibri" w:hAnsi="Times New Roman" w:cs="Times New Roman"/>
          <w:sz w:val="24"/>
          <w:szCs w:val="24"/>
        </w:rPr>
        <w:t xml:space="preserve"> ustawy z dnia 29 września 1986 r. - Prawo o aktach stanu cywilnego (Dz. U. z 2011 r. poz. 1264 oraz z 2012 r. poz. 1529). Ustawa ta została zastąpiona przez ustawę z dnia 28 listopada 2014 r. - Prawo o aktac</w:t>
      </w:r>
      <w:r w:rsidR="00163848">
        <w:rPr>
          <w:rFonts w:ascii="Times New Roman" w:eastAsia="Calibri" w:hAnsi="Times New Roman" w:cs="Times New Roman"/>
          <w:sz w:val="24"/>
          <w:szCs w:val="24"/>
        </w:rPr>
        <w:t>h stanu cywilnego (Dz. U. z 2020 r. poz. 463</w:t>
      </w:r>
      <w:r w:rsidR="00483F5C">
        <w:rPr>
          <w:rFonts w:ascii="Times New Roman" w:eastAsia="Calibri" w:hAnsi="Times New Roman" w:cs="Times New Roman"/>
          <w:sz w:val="24"/>
          <w:szCs w:val="24"/>
        </w:rPr>
        <w:t xml:space="preserve"> i 695</w:t>
      </w:r>
      <w:r w:rsidR="00163848" w:rsidRPr="00163848">
        <w:rPr>
          <w:rFonts w:ascii="Times New Roman" w:eastAsia="Calibri" w:hAnsi="Times New Roman" w:cs="Times New Roman"/>
          <w:sz w:val="24"/>
          <w:szCs w:val="24"/>
        </w:rPr>
        <w:t>). Zgodnie z art. 93 ust. 2 tej ustawy, zgłoszenia zgonu dokonuje podmiot uprawniony do pochówku na podstawie art. 10 ust. 1 ustawy z dnia 31 stycznia 1959 r. o cmentarzach i chowaniu zmarłych (</w:t>
      </w:r>
      <w:r w:rsidR="006A6D31" w:rsidRPr="006A6D31">
        <w:rPr>
          <w:rFonts w:ascii="Times New Roman" w:eastAsia="Calibri" w:hAnsi="Times New Roman" w:cs="Times New Roman"/>
          <w:sz w:val="24"/>
          <w:szCs w:val="24"/>
        </w:rPr>
        <w:t>Dz. U. z</w:t>
      </w:r>
      <w:r w:rsidR="00174D71">
        <w:rPr>
          <w:rFonts w:ascii="Times New Roman" w:eastAsia="Calibri" w:hAnsi="Times New Roman" w:cs="Times New Roman"/>
          <w:sz w:val="24"/>
          <w:szCs w:val="24"/>
        </w:rPr>
        <w:t xml:space="preserve"> 2020 r. poz. 1947</w:t>
      </w:r>
      <w:r w:rsidR="00163848" w:rsidRPr="00163848">
        <w:rPr>
          <w:rFonts w:ascii="Times New Roman" w:eastAsia="Calibri" w:hAnsi="Times New Roman" w:cs="Times New Roman"/>
          <w:sz w:val="24"/>
          <w:szCs w:val="24"/>
        </w:rPr>
        <w:t xml:space="preserve">). W związku z powyższym treść przepisu uwzględnia bezpośrednie odesłanie do ww. ustawy. </w:t>
      </w:r>
      <w:r w:rsidR="00076C40" w:rsidRPr="00774FA7">
        <w:rPr>
          <w:rFonts w:ascii="Times New Roman" w:eastAsia="Calibri" w:hAnsi="Times New Roman" w:cs="Times New Roman"/>
          <w:sz w:val="24"/>
          <w:szCs w:val="24"/>
        </w:rPr>
        <w:t>W ust. 4 wprowadzono nowe rozwiązanie przewidujące wydawanie obywatelowi UE lub członkowi rodziny obywatela UE nieodpłatnie zaświadczeni</w:t>
      </w:r>
      <w:r w:rsidR="00904072" w:rsidRPr="00774FA7">
        <w:rPr>
          <w:rFonts w:ascii="Times New Roman" w:eastAsia="Calibri" w:hAnsi="Times New Roman" w:cs="Times New Roman"/>
          <w:sz w:val="24"/>
          <w:szCs w:val="24"/>
        </w:rPr>
        <w:t>a</w:t>
      </w:r>
      <w:r w:rsidR="00076C40" w:rsidRPr="00774FA7">
        <w:rPr>
          <w:rFonts w:ascii="Times New Roman" w:eastAsia="Calibri" w:hAnsi="Times New Roman" w:cs="Times New Roman"/>
          <w:sz w:val="24"/>
          <w:szCs w:val="24"/>
        </w:rPr>
        <w:t xml:space="preserve"> o zwrocie tych dokumentów. Zaproponowane brzmienie przepisów jest wzorowane na art. 249 ustawy o cudzoziemcach. </w:t>
      </w:r>
    </w:p>
    <w:p w14:paraId="04A2CC74" w14:textId="61254D41" w:rsidR="00076C40" w:rsidRPr="00774FA7" w:rsidRDefault="00EF6E33"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Przepisy art. 37a</w:t>
      </w:r>
      <w:r w:rsidR="00076C40" w:rsidRPr="00774FA7">
        <w:rPr>
          <w:rFonts w:ascii="Times New Roman" w:eastAsia="Calibri" w:hAnsi="Times New Roman" w:cs="Times New Roman"/>
          <w:sz w:val="24"/>
          <w:szCs w:val="24"/>
        </w:rPr>
        <w:t>–</w:t>
      </w:r>
      <w:r w:rsidR="00AC0E9D" w:rsidRPr="00774FA7">
        <w:rPr>
          <w:rFonts w:ascii="Times New Roman" w:eastAsia="Calibri" w:hAnsi="Times New Roman" w:cs="Times New Roman"/>
          <w:sz w:val="24"/>
          <w:szCs w:val="24"/>
        </w:rPr>
        <w:t xml:space="preserve">art. </w:t>
      </w:r>
      <w:r w:rsidR="00076C40" w:rsidRPr="00774FA7">
        <w:rPr>
          <w:rFonts w:ascii="Times New Roman" w:eastAsia="Calibri" w:hAnsi="Times New Roman" w:cs="Times New Roman"/>
          <w:sz w:val="24"/>
          <w:szCs w:val="24"/>
        </w:rPr>
        <w:t xml:space="preserve">37d ustawy o wjeździe obywateli UE </w:t>
      </w:r>
      <w:r w:rsidR="00963B06" w:rsidRPr="00774FA7">
        <w:rPr>
          <w:rFonts w:ascii="Times New Roman" w:eastAsia="Calibri" w:hAnsi="Times New Roman" w:cs="Times New Roman"/>
          <w:sz w:val="24"/>
          <w:szCs w:val="24"/>
        </w:rPr>
        <w:t>regulują</w:t>
      </w:r>
      <w:r w:rsidR="004004C3">
        <w:rPr>
          <w:rFonts w:ascii="Times New Roman" w:eastAsia="Calibri" w:hAnsi="Times New Roman" w:cs="Times New Roman"/>
          <w:sz w:val="24"/>
          <w:szCs w:val="24"/>
        </w:rPr>
        <w:t>ce</w:t>
      </w:r>
      <w:r w:rsidR="00963B06" w:rsidRPr="00774FA7">
        <w:rPr>
          <w:rFonts w:ascii="Times New Roman" w:eastAsia="Calibri" w:hAnsi="Times New Roman" w:cs="Times New Roman"/>
          <w:sz w:val="24"/>
          <w:szCs w:val="24"/>
        </w:rPr>
        <w:t xml:space="preserve"> kwestie anulowania i zwrotu zaświadczeń o zarejestrowaniu pobytu obywatela UE i kart pobytowych  </w:t>
      </w:r>
      <w:r w:rsidR="00347697" w:rsidRPr="00774FA7">
        <w:rPr>
          <w:rFonts w:ascii="Times New Roman" w:eastAsia="Calibri" w:hAnsi="Times New Roman" w:cs="Times New Roman"/>
          <w:sz w:val="24"/>
          <w:szCs w:val="24"/>
        </w:rPr>
        <w:t xml:space="preserve">są </w:t>
      </w:r>
      <w:r w:rsidR="00076C40" w:rsidRPr="00774FA7">
        <w:rPr>
          <w:rFonts w:ascii="Times New Roman" w:eastAsia="Calibri" w:hAnsi="Times New Roman" w:cs="Times New Roman"/>
          <w:sz w:val="24"/>
          <w:szCs w:val="24"/>
        </w:rPr>
        <w:t xml:space="preserve">wzorowane na rozwiązaniach przyjętych  w art. 250, art. 251, art. 283 oraz art. 284 ustawy o cudzoziemcach i mają na celu wyeliminowania z obrotu prawnego dokumentów, którymi obywatel UE lub członek jego rodziny nie powinien </w:t>
      </w:r>
      <w:r w:rsidR="00D21E4C" w:rsidRPr="00774FA7">
        <w:rPr>
          <w:rFonts w:ascii="Times New Roman" w:eastAsia="Calibri" w:hAnsi="Times New Roman" w:cs="Times New Roman"/>
          <w:sz w:val="24"/>
          <w:szCs w:val="24"/>
        </w:rPr>
        <w:t xml:space="preserve">się </w:t>
      </w:r>
      <w:r w:rsidR="00076C40" w:rsidRPr="00774FA7">
        <w:rPr>
          <w:rFonts w:ascii="Times New Roman" w:eastAsia="Calibri" w:hAnsi="Times New Roman" w:cs="Times New Roman"/>
          <w:sz w:val="24"/>
          <w:szCs w:val="24"/>
        </w:rPr>
        <w:t>już posługiwać lub które zostały utracone, uszkodzone lub podlegają wymianie, bądź zwrotowi z innych względów. Powyższa zmiana również jest konsekwencją zmiany formatów dokumentów wydawanych obywatelom UE oraz członkom ich rodzin.</w:t>
      </w:r>
      <w:r w:rsidR="004268C8" w:rsidRPr="00774FA7">
        <w:rPr>
          <w:rFonts w:ascii="Times New Roman" w:eastAsia="Calibri" w:hAnsi="Times New Roman" w:cs="Times New Roman"/>
          <w:sz w:val="24"/>
          <w:szCs w:val="24"/>
        </w:rPr>
        <w:t xml:space="preserve"> </w:t>
      </w:r>
    </w:p>
    <w:p w14:paraId="5DA93253" w14:textId="7DDAC749" w:rsidR="001A18A5" w:rsidRDefault="00076C40" w:rsidP="005D0850">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Potrzeba nadania nowego brzmienia art. 41 ustawy o wjeździe obywateli UE, zawierającemu upoważnienie dla ministra właściwego do spraw wewnętrznych do wydania </w:t>
      </w:r>
      <w:r w:rsidRPr="00774FA7">
        <w:rPr>
          <w:rFonts w:ascii="Times New Roman" w:eastAsia="Calibri" w:hAnsi="Times New Roman" w:cs="Times New Roman"/>
          <w:sz w:val="24"/>
          <w:szCs w:val="24"/>
        </w:rPr>
        <w:lastRenderedPageBreak/>
        <w:t>rozporządzenia, jest związana z wprowadzeniem nowego formatu zaświadczenia o zarejestrowaniu pobytu obywatela UE</w:t>
      </w:r>
      <w:r w:rsidR="001A18A5">
        <w:rPr>
          <w:rFonts w:ascii="Times New Roman" w:eastAsia="Calibri" w:hAnsi="Times New Roman" w:cs="Times New Roman"/>
          <w:sz w:val="24"/>
          <w:szCs w:val="24"/>
        </w:rPr>
        <w:t>, które będzie wydawane w formie zabezpieczonego dokumentu ze zdjęciem</w:t>
      </w:r>
      <w:r w:rsidRPr="00774FA7">
        <w:rPr>
          <w:rFonts w:ascii="Times New Roman" w:eastAsia="Calibri" w:hAnsi="Times New Roman" w:cs="Times New Roman"/>
          <w:sz w:val="24"/>
          <w:szCs w:val="24"/>
        </w:rPr>
        <w:t xml:space="preserve"> oraz uregulowań pozwalających na zamieszczanie w karcie pobytowej obrazu linii papilarnych.</w:t>
      </w:r>
      <w:r w:rsidR="005D0850">
        <w:rPr>
          <w:rFonts w:ascii="Times New Roman" w:eastAsia="Calibri" w:hAnsi="Times New Roman" w:cs="Times New Roman"/>
          <w:sz w:val="24"/>
          <w:szCs w:val="24"/>
        </w:rPr>
        <w:t xml:space="preserve"> Powyższa zmiana wynika z dostosowania polskiego prawa do uregulowań </w:t>
      </w:r>
      <w:r w:rsidR="00B111BB">
        <w:rPr>
          <w:rFonts w:ascii="Times New Roman" w:eastAsia="Calibri" w:hAnsi="Times New Roman" w:cs="Times New Roman"/>
          <w:sz w:val="24"/>
          <w:szCs w:val="24"/>
        </w:rPr>
        <w:t>wprowadzonych</w:t>
      </w:r>
      <w:r w:rsidRPr="00774FA7">
        <w:rPr>
          <w:rFonts w:ascii="Times New Roman" w:eastAsia="Calibri" w:hAnsi="Times New Roman" w:cs="Times New Roman"/>
          <w:sz w:val="24"/>
          <w:szCs w:val="24"/>
        </w:rPr>
        <w:t xml:space="preserve"> </w:t>
      </w:r>
      <w:r w:rsidR="006A499D" w:rsidRPr="006A499D">
        <w:rPr>
          <w:rFonts w:ascii="Times New Roman" w:eastAsia="Calibri" w:hAnsi="Times New Roman" w:cs="Times New Roman"/>
          <w:sz w:val="24"/>
          <w:szCs w:val="24"/>
        </w:rPr>
        <w:t xml:space="preserve">rozporządzeniem </w:t>
      </w:r>
      <w:r w:rsidR="00B111BB">
        <w:rPr>
          <w:rFonts w:ascii="Times New Roman" w:eastAsia="Calibri" w:hAnsi="Times New Roman" w:cs="Times New Roman"/>
          <w:sz w:val="24"/>
          <w:szCs w:val="24"/>
        </w:rPr>
        <w:t xml:space="preserve">Parlamentu Europejskiego i </w:t>
      </w:r>
      <w:r w:rsidR="006A499D" w:rsidRPr="006A499D">
        <w:rPr>
          <w:rFonts w:ascii="Times New Roman" w:eastAsia="Calibri" w:hAnsi="Times New Roman" w:cs="Times New Roman"/>
          <w:sz w:val="24"/>
          <w:szCs w:val="24"/>
        </w:rPr>
        <w:t>Rady (UE) 2019/1157</w:t>
      </w:r>
      <w:r w:rsidR="006A499D">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Wskutek powyższego </w:t>
      </w:r>
      <w:r w:rsidR="00347697" w:rsidRPr="00774FA7">
        <w:rPr>
          <w:rFonts w:ascii="Times New Roman" w:eastAsia="Calibri" w:hAnsi="Times New Roman" w:cs="Times New Roman"/>
          <w:sz w:val="24"/>
          <w:szCs w:val="24"/>
        </w:rPr>
        <w:t>przepis ten</w:t>
      </w:r>
      <w:r w:rsidRPr="00774FA7">
        <w:rPr>
          <w:rFonts w:ascii="Times New Roman" w:eastAsia="Calibri" w:hAnsi="Times New Roman" w:cs="Times New Roman"/>
          <w:sz w:val="24"/>
          <w:szCs w:val="24"/>
        </w:rPr>
        <w:t xml:space="preserve"> został </w:t>
      </w:r>
      <w:r w:rsidR="00347697" w:rsidRPr="00774FA7">
        <w:rPr>
          <w:rFonts w:ascii="Times New Roman" w:eastAsia="Calibri" w:hAnsi="Times New Roman" w:cs="Times New Roman"/>
          <w:sz w:val="24"/>
          <w:szCs w:val="24"/>
        </w:rPr>
        <w:t>uzupełniony</w:t>
      </w:r>
      <w:r w:rsidR="001A18A5">
        <w:rPr>
          <w:rFonts w:ascii="Times New Roman" w:eastAsia="Calibri" w:hAnsi="Times New Roman" w:cs="Times New Roman"/>
          <w:sz w:val="24"/>
          <w:szCs w:val="24"/>
        </w:rPr>
        <w:t xml:space="preserve"> o regulację prawne dotyczące liczby i </w:t>
      </w:r>
      <w:r w:rsidR="006A499D">
        <w:rPr>
          <w:rFonts w:ascii="Times New Roman" w:eastAsia="Calibri" w:hAnsi="Times New Roman" w:cs="Times New Roman"/>
          <w:sz w:val="24"/>
          <w:szCs w:val="24"/>
        </w:rPr>
        <w:t>wymogów technicznych dotyczących</w:t>
      </w:r>
      <w:r w:rsidR="001A18A5">
        <w:rPr>
          <w:rFonts w:ascii="Times New Roman" w:eastAsia="Calibri" w:hAnsi="Times New Roman" w:cs="Times New Roman"/>
          <w:sz w:val="24"/>
          <w:szCs w:val="24"/>
        </w:rPr>
        <w:t xml:space="preserve"> </w:t>
      </w:r>
      <w:r w:rsidR="006A499D">
        <w:rPr>
          <w:rFonts w:ascii="Times New Roman" w:eastAsia="Calibri" w:hAnsi="Times New Roman" w:cs="Times New Roman"/>
          <w:sz w:val="24"/>
          <w:szCs w:val="24"/>
        </w:rPr>
        <w:t>fotografii</w:t>
      </w:r>
      <w:r w:rsidR="001A18A5">
        <w:rPr>
          <w:rFonts w:ascii="Times New Roman" w:eastAsia="Calibri" w:hAnsi="Times New Roman" w:cs="Times New Roman"/>
          <w:sz w:val="24"/>
          <w:szCs w:val="24"/>
        </w:rPr>
        <w:t xml:space="preserve"> dołączanych do wniosku o zarejestrowanie pobytu. Z uwagi na konieczność pobierania odcisków linii papilarnych w celu wydania karty pobytowej delegacja ustawowa została uzupełniona o </w:t>
      </w:r>
      <w:r w:rsidR="001A18A5" w:rsidRPr="001A18A5">
        <w:rPr>
          <w:rFonts w:ascii="Times New Roman" w:eastAsia="Calibri" w:hAnsi="Times New Roman" w:cs="Times New Roman"/>
          <w:sz w:val="24"/>
          <w:szCs w:val="24"/>
        </w:rPr>
        <w:t>sposób pobierania odcisków linii papilarnych członka rodziny niebędącego obywatelem UE w celu umieszczenia ich w karcie pobytowej</w:t>
      </w:r>
      <w:r w:rsidR="001A18A5">
        <w:rPr>
          <w:rFonts w:ascii="Times New Roman" w:eastAsia="Calibri" w:hAnsi="Times New Roman" w:cs="Times New Roman"/>
          <w:sz w:val="24"/>
          <w:szCs w:val="24"/>
        </w:rPr>
        <w:t xml:space="preserve">. </w:t>
      </w:r>
      <w:r w:rsidR="005D0850">
        <w:rPr>
          <w:rFonts w:ascii="Times New Roman" w:eastAsia="Calibri" w:hAnsi="Times New Roman" w:cs="Times New Roman"/>
          <w:sz w:val="24"/>
          <w:szCs w:val="24"/>
        </w:rPr>
        <w:t xml:space="preserve">Z uwagi na fakt, iż oba dokumenty będą </w:t>
      </w:r>
      <w:r w:rsidR="006A499D">
        <w:rPr>
          <w:rFonts w:ascii="Times New Roman" w:eastAsia="Calibri" w:hAnsi="Times New Roman" w:cs="Times New Roman"/>
          <w:sz w:val="24"/>
          <w:szCs w:val="24"/>
        </w:rPr>
        <w:t>personalizowane jako zabezpieczone dokumenty</w:t>
      </w:r>
      <w:r w:rsidR="005D0850">
        <w:rPr>
          <w:rFonts w:ascii="Times New Roman" w:eastAsia="Calibri" w:hAnsi="Times New Roman" w:cs="Times New Roman"/>
          <w:sz w:val="24"/>
          <w:szCs w:val="24"/>
        </w:rPr>
        <w:t xml:space="preserve"> ze zdjęciem</w:t>
      </w:r>
      <w:r w:rsidR="00B111BB">
        <w:rPr>
          <w:rFonts w:ascii="Times New Roman" w:eastAsia="Calibri" w:hAnsi="Times New Roman" w:cs="Times New Roman"/>
          <w:sz w:val="24"/>
          <w:szCs w:val="24"/>
        </w:rPr>
        <w:t>,</w:t>
      </w:r>
      <w:r w:rsidR="005D0850">
        <w:rPr>
          <w:rFonts w:ascii="Times New Roman" w:eastAsia="Calibri" w:hAnsi="Times New Roman" w:cs="Times New Roman"/>
          <w:sz w:val="24"/>
          <w:szCs w:val="24"/>
        </w:rPr>
        <w:t xml:space="preserve"> w art. 41 ust. 1 pkt 5 przewidziano delegację do określenia w akcie wykonawczym </w:t>
      </w:r>
      <w:r w:rsidR="005D0850" w:rsidRPr="005D0850">
        <w:rPr>
          <w:rFonts w:ascii="Times New Roman" w:eastAsia="Calibri" w:hAnsi="Times New Roman" w:cs="Times New Roman"/>
          <w:sz w:val="24"/>
          <w:szCs w:val="24"/>
        </w:rPr>
        <w:t>sposob</w:t>
      </w:r>
      <w:r w:rsidR="005D0850">
        <w:rPr>
          <w:rFonts w:ascii="Times New Roman" w:eastAsia="Calibri" w:hAnsi="Times New Roman" w:cs="Times New Roman"/>
          <w:sz w:val="24"/>
          <w:szCs w:val="24"/>
        </w:rPr>
        <w:t>u</w:t>
      </w:r>
      <w:r w:rsidR="005D0850" w:rsidRPr="005D0850">
        <w:rPr>
          <w:rFonts w:ascii="Times New Roman" w:eastAsia="Calibri" w:hAnsi="Times New Roman" w:cs="Times New Roman"/>
          <w:sz w:val="24"/>
          <w:szCs w:val="24"/>
        </w:rPr>
        <w:t xml:space="preserve"> utrwalania danych umieszczanych w zaświadczeniu o zarejestrowaniu pobytu obywatela UE lub karcie pobytowej i przekazywania ich do spersonalizowania zaświadczenia o zarejestrowaniu pobytu obywatela UE lub karty pobytowej</w:t>
      </w:r>
      <w:r w:rsidR="005D0850">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Powyższa zmiana jest </w:t>
      </w:r>
      <w:r w:rsidR="001A18A5">
        <w:rPr>
          <w:rFonts w:ascii="Times New Roman" w:eastAsia="Calibri" w:hAnsi="Times New Roman" w:cs="Times New Roman"/>
          <w:sz w:val="24"/>
          <w:szCs w:val="24"/>
        </w:rPr>
        <w:t xml:space="preserve">również </w:t>
      </w:r>
      <w:r w:rsidRPr="00774FA7">
        <w:rPr>
          <w:rFonts w:ascii="Times New Roman" w:eastAsia="Calibri" w:hAnsi="Times New Roman" w:cs="Times New Roman"/>
          <w:sz w:val="24"/>
          <w:szCs w:val="24"/>
        </w:rPr>
        <w:t>konsekwencją wprowadzania nowych uregulowań w art. 33a i art. 33b</w:t>
      </w:r>
      <w:r w:rsidR="006A499D">
        <w:rPr>
          <w:rFonts w:ascii="Times New Roman" w:eastAsia="Calibri" w:hAnsi="Times New Roman" w:cs="Times New Roman"/>
          <w:sz w:val="24"/>
          <w:szCs w:val="24"/>
        </w:rPr>
        <w:t xml:space="preserve">, które </w:t>
      </w:r>
      <w:r w:rsidR="001A18A5">
        <w:rPr>
          <w:rFonts w:ascii="Times New Roman" w:eastAsia="Calibri" w:hAnsi="Times New Roman" w:cs="Times New Roman"/>
          <w:sz w:val="24"/>
          <w:szCs w:val="24"/>
        </w:rPr>
        <w:t xml:space="preserve"> wprowadzają procedury zgłaszania utraty lub uszkodzenia ww. dokumentów. </w:t>
      </w:r>
      <w:r w:rsidR="005D0850">
        <w:rPr>
          <w:rFonts w:ascii="Times New Roman" w:eastAsia="Calibri" w:hAnsi="Times New Roman" w:cs="Times New Roman"/>
          <w:sz w:val="24"/>
          <w:szCs w:val="24"/>
        </w:rPr>
        <w:t>Projektowany art. 41 wprowadza zatem delegacj</w:t>
      </w:r>
      <w:r w:rsidR="00B111BB">
        <w:rPr>
          <w:rFonts w:ascii="Times New Roman" w:eastAsia="Calibri" w:hAnsi="Times New Roman" w:cs="Times New Roman"/>
          <w:sz w:val="24"/>
          <w:szCs w:val="24"/>
        </w:rPr>
        <w:t>ę</w:t>
      </w:r>
      <w:r w:rsidR="005D0850">
        <w:rPr>
          <w:rFonts w:ascii="Times New Roman" w:eastAsia="Calibri" w:hAnsi="Times New Roman" w:cs="Times New Roman"/>
          <w:sz w:val="24"/>
          <w:szCs w:val="24"/>
        </w:rPr>
        <w:t xml:space="preserve"> ustawową do określenia w akcie wykonawczym wzoru </w:t>
      </w:r>
      <w:r w:rsidR="005D0850" w:rsidRPr="005D0850">
        <w:rPr>
          <w:rFonts w:ascii="Times New Roman" w:eastAsia="Calibri" w:hAnsi="Times New Roman" w:cs="Times New Roman"/>
          <w:sz w:val="24"/>
          <w:szCs w:val="24"/>
        </w:rPr>
        <w:t>formularza zgłoszenia utraty lub uszkodzenia zaświadczenia o zarejestrowaniu pobytu ob</w:t>
      </w:r>
      <w:r w:rsidR="005D0850">
        <w:rPr>
          <w:rFonts w:ascii="Times New Roman" w:eastAsia="Calibri" w:hAnsi="Times New Roman" w:cs="Times New Roman"/>
          <w:sz w:val="24"/>
          <w:szCs w:val="24"/>
        </w:rPr>
        <w:t xml:space="preserve">ywatela UE lub karty pobytowej oraz wzoru </w:t>
      </w:r>
      <w:r w:rsidR="005D0850" w:rsidRPr="005D0850">
        <w:rPr>
          <w:rFonts w:ascii="Times New Roman" w:eastAsia="Calibri" w:hAnsi="Times New Roman" w:cs="Times New Roman"/>
          <w:sz w:val="24"/>
          <w:szCs w:val="24"/>
        </w:rPr>
        <w:t>zaświadczenia o utracie lub uszkodzeniu zaświadczenia o zarejestrowaniu pobytu obywatela UE lub karty pobytowej</w:t>
      </w:r>
      <w:r w:rsidR="005D0850">
        <w:rPr>
          <w:rFonts w:ascii="Times New Roman" w:eastAsia="Calibri" w:hAnsi="Times New Roman" w:cs="Times New Roman"/>
          <w:sz w:val="24"/>
          <w:szCs w:val="24"/>
        </w:rPr>
        <w:t xml:space="preserve">. Dodatkowo przewidziano określenie w rozporządzaniu wzoru </w:t>
      </w:r>
      <w:r w:rsidR="005D0850" w:rsidRPr="005D0850">
        <w:rPr>
          <w:rFonts w:ascii="Times New Roman" w:eastAsia="Calibri" w:hAnsi="Times New Roman" w:cs="Times New Roman"/>
          <w:sz w:val="24"/>
          <w:szCs w:val="24"/>
        </w:rPr>
        <w:t>zaświadczenia o zwrocie zaświadczenia o zarejestrowaniu pobytu o</w:t>
      </w:r>
      <w:r w:rsidR="005D0850">
        <w:rPr>
          <w:rFonts w:ascii="Times New Roman" w:eastAsia="Calibri" w:hAnsi="Times New Roman" w:cs="Times New Roman"/>
          <w:sz w:val="24"/>
          <w:szCs w:val="24"/>
        </w:rPr>
        <w:t xml:space="preserve">bywatela UE lub karty pobytowej oraz wzoru </w:t>
      </w:r>
      <w:r w:rsidR="005D0850" w:rsidRPr="005D0850">
        <w:rPr>
          <w:rFonts w:ascii="Times New Roman" w:eastAsia="Calibri" w:hAnsi="Times New Roman" w:cs="Times New Roman"/>
          <w:sz w:val="24"/>
          <w:szCs w:val="24"/>
        </w:rPr>
        <w:t>zaświadczenia potwierdzającego zatrzymanie zaświadczenia o zarejestrowaniu pobytu obywatela UE lub karty pobytowej,</w:t>
      </w:r>
      <w:r w:rsidR="005D0850">
        <w:rPr>
          <w:rFonts w:ascii="Times New Roman" w:eastAsia="Calibri" w:hAnsi="Times New Roman" w:cs="Times New Roman"/>
          <w:sz w:val="24"/>
          <w:szCs w:val="24"/>
        </w:rPr>
        <w:t xml:space="preserve"> z uwagi na wprowadzenie w art. 37 – 37d obowiązku zwrotu zaświadczenia o zarejestrowaniu pobytu obywatela UE i karty pobytowej oraz procedury anulowania ww. dokumentów. </w:t>
      </w:r>
      <w:r w:rsidR="006A499D">
        <w:rPr>
          <w:rFonts w:ascii="Times New Roman" w:eastAsia="Calibri" w:hAnsi="Times New Roman" w:cs="Times New Roman"/>
          <w:sz w:val="24"/>
          <w:szCs w:val="24"/>
        </w:rPr>
        <w:t xml:space="preserve">Zaproponowane zmiany </w:t>
      </w:r>
      <w:r w:rsidR="00B111BB">
        <w:rPr>
          <w:rFonts w:ascii="Times New Roman" w:eastAsia="Calibri" w:hAnsi="Times New Roman" w:cs="Times New Roman"/>
          <w:sz w:val="24"/>
          <w:szCs w:val="24"/>
        </w:rPr>
        <w:t xml:space="preserve">są </w:t>
      </w:r>
      <w:r w:rsidR="006A499D">
        <w:rPr>
          <w:rFonts w:ascii="Times New Roman" w:eastAsia="Calibri" w:hAnsi="Times New Roman" w:cs="Times New Roman"/>
          <w:sz w:val="24"/>
          <w:szCs w:val="24"/>
        </w:rPr>
        <w:t xml:space="preserve">wzorowane na rozwiązaniach przewidzianych w ustawie o cudzoziemcach dla kart pobytu. </w:t>
      </w:r>
    </w:p>
    <w:p w14:paraId="36C8CC9C" w14:textId="632A025A" w:rsidR="00D21E4C"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ust. 2 omawianego wyżej przepisu przewidziano nowe wytyczne do wydania rozporządzenia.</w:t>
      </w:r>
      <w:r w:rsidR="0039330C" w:rsidRPr="00774FA7">
        <w:rPr>
          <w:rFonts w:ascii="Times New Roman" w:eastAsia="Calibri" w:hAnsi="Times New Roman" w:cs="Times New Roman"/>
          <w:sz w:val="24"/>
          <w:szCs w:val="24"/>
        </w:rPr>
        <w:t xml:space="preserve"> </w:t>
      </w:r>
    </w:p>
    <w:p w14:paraId="277CBC0D" w14:textId="4D1C3FFE" w:rsidR="00733410"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41a – 41d </w:t>
      </w:r>
      <w:r w:rsidR="004004C3" w:rsidRPr="00774FA7">
        <w:rPr>
          <w:rFonts w:ascii="Times New Roman" w:eastAsia="Calibri" w:hAnsi="Times New Roman" w:cs="Times New Roman"/>
          <w:sz w:val="24"/>
          <w:szCs w:val="24"/>
        </w:rPr>
        <w:t>ustaw</w:t>
      </w:r>
      <w:r w:rsidR="004004C3">
        <w:rPr>
          <w:rFonts w:ascii="Times New Roman" w:eastAsia="Calibri" w:hAnsi="Times New Roman" w:cs="Times New Roman"/>
          <w:sz w:val="24"/>
          <w:szCs w:val="24"/>
        </w:rPr>
        <w:t>y</w:t>
      </w:r>
      <w:r w:rsidR="004004C3" w:rsidRPr="00774FA7">
        <w:rPr>
          <w:rFonts w:ascii="Times New Roman" w:eastAsia="Calibri" w:hAnsi="Times New Roman" w:cs="Times New Roman"/>
          <w:sz w:val="24"/>
          <w:szCs w:val="24"/>
        </w:rPr>
        <w:t xml:space="preserve"> o wjeździe obywateli UE </w:t>
      </w:r>
      <w:r w:rsidR="005E31E6" w:rsidRPr="00774FA7">
        <w:rPr>
          <w:rFonts w:ascii="Times New Roman" w:eastAsia="Calibri" w:hAnsi="Times New Roman" w:cs="Times New Roman"/>
          <w:sz w:val="24"/>
          <w:szCs w:val="24"/>
        </w:rPr>
        <w:t>zapropo</w:t>
      </w:r>
      <w:r w:rsidR="00904072" w:rsidRPr="00774FA7">
        <w:rPr>
          <w:rFonts w:ascii="Times New Roman" w:eastAsia="Calibri" w:hAnsi="Times New Roman" w:cs="Times New Roman"/>
          <w:sz w:val="24"/>
          <w:szCs w:val="24"/>
        </w:rPr>
        <w:t>nowano wprowadzenie</w:t>
      </w:r>
      <w:r w:rsidRPr="00774FA7">
        <w:rPr>
          <w:rFonts w:ascii="Times New Roman" w:eastAsia="Calibri" w:hAnsi="Times New Roman" w:cs="Times New Roman"/>
          <w:sz w:val="24"/>
          <w:szCs w:val="24"/>
        </w:rPr>
        <w:t xml:space="preserve">, analogiczne jak w ustawie o cudzoziemcach, </w:t>
      </w:r>
      <w:r w:rsidR="00B95FEA" w:rsidRPr="00774FA7">
        <w:rPr>
          <w:rFonts w:ascii="Times New Roman" w:eastAsia="Calibri" w:hAnsi="Times New Roman" w:cs="Times New Roman"/>
          <w:sz w:val="24"/>
          <w:szCs w:val="24"/>
        </w:rPr>
        <w:t xml:space="preserve">przepisów dotyczących </w:t>
      </w:r>
      <w:r w:rsidRPr="00774FA7">
        <w:rPr>
          <w:rFonts w:ascii="Times New Roman" w:eastAsia="Calibri" w:hAnsi="Times New Roman" w:cs="Times New Roman"/>
          <w:sz w:val="24"/>
          <w:szCs w:val="24"/>
        </w:rPr>
        <w:t>możliwości wydania zaświadczenia potwierdzającego istnienie domniemania o byciu ofiar</w:t>
      </w:r>
      <w:r w:rsidR="004004C3">
        <w:rPr>
          <w:rFonts w:ascii="Times New Roman" w:eastAsia="Calibri" w:hAnsi="Times New Roman" w:cs="Times New Roman"/>
          <w:sz w:val="24"/>
          <w:szCs w:val="24"/>
        </w:rPr>
        <w:t>ą</w:t>
      </w:r>
      <w:r w:rsidRPr="00774FA7">
        <w:rPr>
          <w:rFonts w:ascii="Times New Roman" w:eastAsia="Calibri" w:hAnsi="Times New Roman" w:cs="Times New Roman"/>
          <w:sz w:val="24"/>
          <w:szCs w:val="24"/>
        </w:rPr>
        <w:t xml:space="preserve"> handlu ludźmi w rozumieniu art. 115 § 22 Kodeksu karnego w stosunku do obywatela UE i członków rodziny niebędących obywatelami UE. </w:t>
      </w:r>
      <w:r w:rsidR="00733410">
        <w:rPr>
          <w:rFonts w:ascii="Times New Roman" w:eastAsia="Calibri" w:hAnsi="Times New Roman" w:cs="Times New Roman"/>
          <w:sz w:val="24"/>
          <w:szCs w:val="24"/>
        </w:rPr>
        <w:t xml:space="preserve">Przepisy te są wzorowane na odpowiednich przepisach ustawy o cudzoziemcach, tj. art. 170 – 176. </w:t>
      </w:r>
    </w:p>
    <w:p w14:paraId="06126DBB" w14:textId="77777777" w:rsidR="008508ED" w:rsidRDefault="008508ED" w:rsidP="008508ED">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art. 41a w ust. 2 uregulowano katalog danych, jakie </w:t>
      </w:r>
      <w:r w:rsidRPr="00525246">
        <w:rPr>
          <w:rFonts w:ascii="Times New Roman" w:eastAsia="Calibri" w:hAnsi="Times New Roman" w:cs="Times New Roman"/>
          <w:sz w:val="24"/>
          <w:szCs w:val="24"/>
        </w:rPr>
        <w:t>umieszcza się</w:t>
      </w:r>
      <w:r>
        <w:rPr>
          <w:rFonts w:ascii="Times New Roman" w:eastAsia="Calibri" w:hAnsi="Times New Roman" w:cs="Times New Roman"/>
          <w:sz w:val="24"/>
          <w:szCs w:val="24"/>
        </w:rPr>
        <w:t xml:space="preserve"> w ww. zaświadczeniu, a mianowicie: imię (imiona) i nazwisko, data urodzenia, </w:t>
      </w:r>
      <w:r w:rsidRPr="00525246">
        <w:rPr>
          <w:rFonts w:ascii="Times New Roman" w:eastAsia="Calibri" w:hAnsi="Times New Roman" w:cs="Times New Roman"/>
          <w:sz w:val="24"/>
          <w:szCs w:val="24"/>
        </w:rPr>
        <w:t>miejsce i państwo urodzenia</w:t>
      </w:r>
      <w:r>
        <w:rPr>
          <w:rFonts w:ascii="Times New Roman" w:eastAsia="Calibri" w:hAnsi="Times New Roman" w:cs="Times New Roman"/>
          <w:sz w:val="24"/>
          <w:szCs w:val="24"/>
        </w:rPr>
        <w:t xml:space="preserve">, </w:t>
      </w:r>
      <w:r w:rsidRPr="00525246">
        <w:rPr>
          <w:rFonts w:ascii="Times New Roman" w:eastAsia="Calibri" w:hAnsi="Times New Roman" w:cs="Times New Roman"/>
          <w:sz w:val="24"/>
          <w:szCs w:val="24"/>
        </w:rPr>
        <w:t>obywatelstwo</w:t>
      </w:r>
      <w:r>
        <w:rPr>
          <w:rFonts w:ascii="Times New Roman" w:eastAsia="Calibri" w:hAnsi="Times New Roman" w:cs="Times New Roman"/>
          <w:sz w:val="24"/>
          <w:szCs w:val="24"/>
        </w:rPr>
        <w:t xml:space="preserve"> i </w:t>
      </w:r>
      <w:r w:rsidRPr="00525246">
        <w:rPr>
          <w:rFonts w:ascii="Times New Roman" w:eastAsia="Calibri" w:hAnsi="Times New Roman" w:cs="Times New Roman"/>
          <w:sz w:val="24"/>
          <w:szCs w:val="24"/>
        </w:rPr>
        <w:t>płeć.</w:t>
      </w:r>
    </w:p>
    <w:p w14:paraId="7F0BFCAE" w14:textId="5CD16DC4" w:rsidR="00287939" w:rsidRPr="00774FA7" w:rsidRDefault="00733410"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Zgodnie z </w:t>
      </w:r>
      <w:r w:rsidRPr="00774FA7">
        <w:rPr>
          <w:rFonts w:ascii="Times New Roman" w:eastAsia="Calibri" w:hAnsi="Times New Roman" w:cs="Times New Roman"/>
          <w:sz w:val="24"/>
          <w:szCs w:val="24"/>
        </w:rPr>
        <w:t>art. 41b ust. 2</w:t>
      </w:r>
      <w:r>
        <w:rPr>
          <w:rFonts w:ascii="Times New Roman" w:eastAsia="Calibri" w:hAnsi="Times New Roman" w:cs="Times New Roman"/>
          <w:sz w:val="24"/>
          <w:szCs w:val="24"/>
        </w:rPr>
        <w:t xml:space="preserve"> p</w:t>
      </w:r>
      <w:r w:rsidR="00171306" w:rsidRPr="00774FA7">
        <w:rPr>
          <w:rFonts w:ascii="Times New Roman" w:eastAsia="Calibri" w:hAnsi="Times New Roman" w:cs="Times New Roman"/>
          <w:sz w:val="24"/>
          <w:szCs w:val="24"/>
        </w:rPr>
        <w:t xml:space="preserve">ierwsze zaświadczenie będzie </w:t>
      </w:r>
      <w:r w:rsidR="00992ACF" w:rsidRPr="00774FA7">
        <w:rPr>
          <w:rFonts w:ascii="Times New Roman" w:eastAsia="Calibri" w:hAnsi="Times New Roman" w:cs="Times New Roman"/>
          <w:sz w:val="24"/>
          <w:szCs w:val="24"/>
        </w:rPr>
        <w:t>mogło być</w:t>
      </w:r>
      <w:r w:rsidR="0039330C" w:rsidRPr="00774FA7">
        <w:rPr>
          <w:rFonts w:ascii="Times New Roman" w:eastAsia="Calibri" w:hAnsi="Times New Roman" w:cs="Times New Roman"/>
          <w:sz w:val="24"/>
          <w:szCs w:val="24"/>
        </w:rPr>
        <w:t xml:space="preserve"> wydane na okres 3</w:t>
      </w:r>
      <w:r w:rsidR="00171306" w:rsidRPr="00774FA7">
        <w:rPr>
          <w:rFonts w:ascii="Times New Roman" w:eastAsia="Calibri" w:hAnsi="Times New Roman" w:cs="Times New Roman"/>
          <w:sz w:val="24"/>
          <w:szCs w:val="24"/>
        </w:rPr>
        <w:t xml:space="preserve"> miesięcy, </w:t>
      </w:r>
      <w:r w:rsidR="00D21E4C" w:rsidRPr="00774FA7">
        <w:rPr>
          <w:rFonts w:ascii="Times New Roman" w:eastAsia="Calibri" w:hAnsi="Times New Roman" w:cs="Times New Roman"/>
          <w:sz w:val="24"/>
          <w:szCs w:val="24"/>
        </w:rPr>
        <w:t xml:space="preserve">a w przypadku małoletniego obywatela UE lub małoletniego członka rodziny niebędącego obywatelem UE </w:t>
      </w:r>
      <w:r w:rsidR="005219C6" w:rsidRPr="00774FA7">
        <w:rPr>
          <w:rFonts w:ascii="Times New Roman" w:eastAsia="Calibri" w:hAnsi="Times New Roman" w:cs="Times New Roman"/>
          <w:sz w:val="24"/>
          <w:szCs w:val="24"/>
        </w:rPr>
        <w:t>na</w:t>
      </w:r>
      <w:r w:rsidR="00D21E4C" w:rsidRPr="00774FA7">
        <w:rPr>
          <w:rFonts w:ascii="Times New Roman" w:eastAsia="Calibri" w:hAnsi="Times New Roman" w:cs="Times New Roman"/>
          <w:sz w:val="24"/>
          <w:szCs w:val="24"/>
        </w:rPr>
        <w:t xml:space="preserve"> okres 4 miesięcy od dnia jego wydania. K</w:t>
      </w:r>
      <w:r w:rsidR="00171306" w:rsidRPr="00774FA7">
        <w:rPr>
          <w:rFonts w:ascii="Times New Roman" w:eastAsia="Calibri" w:hAnsi="Times New Roman" w:cs="Times New Roman"/>
          <w:sz w:val="24"/>
          <w:szCs w:val="24"/>
        </w:rPr>
        <w:t>olejne</w:t>
      </w:r>
      <w:r w:rsidR="00D21E4C" w:rsidRPr="00774FA7">
        <w:rPr>
          <w:rFonts w:ascii="Times New Roman" w:eastAsia="Calibri" w:hAnsi="Times New Roman" w:cs="Times New Roman"/>
          <w:sz w:val="24"/>
          <w:szCs w:val="24"/>
        </w:rPr>
        <w:t xml:space="preserve"> </w:t>
      </w:r>
      <w:r w:rsidR="00D21E4C" w:rsidRPr="00774FA7">
        <w:rPr>
          <w:rFonts w:ascii="Times New Roman" w:eastAsia="Calibri" w:hAnsi="Times New Roman" w:cs="Times New Roman"/>
          <w:sz w:val="24"/>
          <w:szCs w:val="24"/>
        </w:rPr>
        <w:lastRenderedPageBreak/>
        <w:t xml:space="preserve">zaświadczenie </w:t>
      </w:r>
      <w:r w:rsidR="00171306" w:rsidRPr="00774FA7">
        <w:rPr>
          <w:rFonts w:ascii="Times New Roman" w:eastAsia="Calibri" w:hAnsi="Times New Roman" w:cs="Times New Roman"/>
          <w:sz w:val="24"/>
          <w:szCs w:val="24"/>
        </w:rPr>
        <w:t xml:space="preserve"> </w:t>
      </w:r>
      <w:r w:rsidR="00D21E4C" w:rsidRPr="00774FA7">
        <w:rPr>
          <w:rFonts w:ascii="Times New Roman" w:eastAsia="Calibri" w:hAnsi="Times New Roman" w:cs="Times New Roman"/>
          <w:sz w:val="24"/>
          <w:szCs w:val="24"/>
        </w:rPr>
        <w:t>będzie wydawane na okres co najmniej 6 miesięcy, nie dłużej jednak niż na okres 3 lat</w:t>
      </w:r>
      <w:r w:rsidR="00D21E4C" w:rsidRPr="00774FA7">
        <w:t xml:space="preserve"> (</w:t>
      </w:r>
      <w:r w:rsidR="00D21E4C" w:rsidRPr="00774FA7">
        <w:rPr>
          <w:rFonts w:ascii="Times New Roman" w:eastAsia="Calibri" w:hAnsi="Times New Roman" w:cs="Times New Roman"/>
          <w:sz w:val="24"/>
          <w:szCs w:val="24"/>
        </w:rPr>
        <w:t>art. 41b ust. 3)</w:t>
      </w:r>
      <w:r w:rsidR="00171306" w:rsidRPr="00774FA7">
        <w:rPr>
          <w:rFonts w:ascii="Times New Roman" w:eastAsia="Calibri" w:hAnsi="Times New Roman" w:cs="Times New Roman"/>
          <w:sz w:val="24"/>
          <w:szCs w:val="24"/>
        </w:rPr>
        <w:t>.</w:t>
      </w:r>
      <w:r w:rsidR="00992ACF" w:rsidRPr="00774FA7">
        <w:rPr>
          <w:rFonts w:ascii="Times New Roman" w:eastAsia="Calibri" w:hAnsi="Times New Roman" w:cs="Times New Roman"/>
          <w:sz w:val="24"/>
          <w:szCs w:val="24"/>
        </w:rPr>
        <w:t xml:space="preserve"> </w:t>
      </w:r>
      <w:r w:rsidR="00287939" w:rsidRPr="00774FA7">
        <w:rPr>
          <w:rFonts w:ascii="Times New Roman" w:eastAsia="Calibri" w:hAnsi="Times New Roman" w:cs="Times New Roman"/>
          <w:sz w:val="24"/>
          <w:szCs w:val="24"/>
        </w:rPr>
        <w:t>W art. 41c i art. 41d uregulowano procedurę unieważnienia ww.</w:t>
      </w:r>
      <w:r w:rsidR="00334A17" w:rsidRPr="00774FA7">
        <w:rPr>
          <w:rFonts w:ascii="Times New Roman" w:eastAsia="Calibri" w:hAnsi="Times New Roman" w:cs="Times New Roman"/>
          <w:sz w:val="24"/>
          <w:szCs w:val="24"/>
        </w:rPr>
        <w:t xml:space="preserve"> zaświadczenia</w:t>
      </w:r>
      <w:r w:rsidR="00287939" w:rsidRPr="00774FA7">
        <w:rPr>
          <w:rFonts w:ascii="Times New Roman" w:eastAsia="Calibri" w:hAnsi="Times New Roman" w:cs="Times New Roman"/>
          <w:sz w:val="24"/>
          <w:szCs w:val="24"/>
        </w:rPr>
        <w:t xml:space="preserve"> oraz określono przesłanki do jego unieważnienia.</w:t>
      </w:r>
    </w:p>
    <w:p w14:paraId="34AE9321" w14:textId="7DD7BE1B" w:rsidR="00BC731C" w:rsidRPr="00774FA7" w:rsidRDefault="00287939"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art. 41e przewidziano upoważnienie dla ministra właściwego do spraw wewnętrznych do określenia, w drodze rozporządzenia, wzoru zaświadczenia potwierdzającego istnienie domniemania, że</w:t>
      </w:r>
      <w:r w:rsidRPr="00774FA7">
        <w:t xml:space="preserve"> o</w:t>
      </w:r>
      <w:r w:rsidRPr="00774FA7">
        <w:rPr>
          <w:rFonts w:ascii="Times New Roman" w:eastAsia="Calibri" w:hAnsi="Times New Roman" w:cs="Times New Roman"/>
          <w:sz w:val="24"/>
          <w:szCs w:val="24"/>
        </w:rPr>
        <w:t>bywatel UE lub członek rodziny niebędący obywatelem UE jest ofiarą handlu ludźmi w rozumieniu art. 115 § 22 Kodeks</w:t>
      </w:r>
      <w:r w:rsidR="004004C3">
        <w:rPr>
          <w:rFonts w:ascii="Times New Roman" w:eastAsia="Calibri" w:hAnsi="Times New Roman" w:cs="Times New Roman"/>
          <w:sz w:val="24"/>
          <w:szCs w:val="24"/>
        </w:rPr>
        <w:t>u</w:t>
      </w:r>
      <w:r w:rsidRPr="00774FA7">
        <w:rPr>
          <w:rFonts w:ascii="Times New Roman" w:eastAsia="Calibri" w:hAnsi="Times New Roman" w:cs="Times New Roman"/>
          <w:sz w:val="24"/>
          <w:szCs w:val="24"/>
        </w:rPr>
        <w:t xml:space="preserve"> karn</w:t>
      </w:r>
      <w:r w:rsidR="004004C3">
        <w:rPr>
          <w:rFonts w:ascii="Times New Roman" w:eastAsia="Calibri" w:hAnsi="Times New Roman" w:cs="Times New Roman"/>
          <w:sz w:val="24"/>
          <w:szCs w:val="24"/>
        </w:rPr>
        <w:t>ego</w:t>
      </w:r>
      <w:r w:rsidRPr="00774FA7">
        <w:rPr>
          <w:rFonts w:ascii="Times New Roman" w:eastAsia="Calibri" w:hAnsi="Times New Roman" w:cs="Times New Roman"/>
          <w:sz w:val="24"/>
          <w:szCs w:val="24"/>
        </w:rPr>
        <w:t xml:space="preserve">. </w:t>
      </w:r>
      <w:r w:rsidR="00D42BF4">
        <w:rPr>
          <w:rFonts w:ascii="Times New Roman" w:eastAsia="Calibri" w:hAnsi="Times New Roman" w:cs="Times New Roman"/>
          <w:sz w:val="24"/>
          <w:szCs w:val="24"/>
        </w:rPr>
        <w:t xml:space="preserve">Powyższa regulacja jest analogiczna jak </w:t>
      </w:r>
      <w:r w:rsidR="00D42BF4" w:rsidRPr="00774FA7">
        <w:rPr>
          <w:rFonts w:ascii="Times New Roman" w:eastAsia="Calibri" w:hAnsi="Times New Roman" w:cs="Times New Roman"/>
          <w:sz w:val="24"/>
          <w:szCs w:val="24"/>
        </w:rPr>
        <w:t>w przepisach ustawy</w:t>
      </w:r>
      <w:r w:rsidR="00D42BF4">
        <w:rPr>
          <w:rFonts w:ascii="Times New Roman" w:eastAsia="Calibri" w:hAnsi="Times New Roman" w:cs="Times New Roman"/>
          <w:sz w:val="24"/>
          <w:szCs w:val="24"/>
        </w:rPr>
        <w:t xml:space="preserve"> </w:t>
      </w:r>
      <w:r w:rsidR="00D42BF4" w:rsidRPr="00774FA7">
        <w:rPr>
          <w:rFonts w:ascii="Times New Roman" w:eastAsia="Calibri" w:hAnsi="Times New Roman" w:cs="Times New Roman"/>
          <w:sz w:val="24"/>
          <w:szCs w:val="24"/>
        </w:rPr>
        <w:t>o cudzoziemcach.</w:t>
      </w:r>
      <w:r w:rsidR="00D42BF4">
        <w:rPr>
          <w:rFonts w:ascii="Times New Roman" w:eastAsia="Calibri" w:hAnsi="Times New Roman" w:cs="Times New Roman"/>
          <w:sz w:val="24"/>
          <w:szCs w:val="24"/>
        </w:rPr>
        <w:t xml:space="preserve"> </w:t>
      </w:r>
    </w:p>
    <w:p w14:paraId="236D7B89" w14:textId="4629C46A" w:rsidR="00287939"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Proponowane rozwiązanie ma umożliwić skorzystanie z prawa do świadczeń z pomocy społecznej w formie interwencji kryzysowej, schronienia, posiłku, niezbędnego ubrania oraz zasiłku celowego również obywatelom UE</w:t>
      </w:r>
      <w:r w:rsidR="00BC731C" w:rsidRPr="00774FA7">
        <w:rPr>
          <w:rFonts w:ascii="Times New Roman" w:eastAsia="Calibri" w:hAnsi="Times New Roman" w:cs="Times New Roman"/>
          <w:sz w:val="24"/>
          <w:szCs w:val="24"/>
        </w:rPr>
        <w:t xml:space="preserve"> oraz członkom rodziny niebędącym obywatelami UE</w:t>
      </w:r>
      <w:r w:rsidRPr="00774FA7">
        <w:rPr>
          <w:rFonts w:ascii="Times New Roman" w:eastAsia="Calibri" w:hAnsi="Times New Roman" w:cs="Times New Roman"/>
          <w:sz w:val="24"/>
          <w:szCs w:val="24"/>
        </w:rPr>
        <w:t>. Zaproponowane rozwiązanie jest zgodne z art. 11 dyrektywy Parlamentu Europejskiego i Rady 2011/36/UE z dnia 5 kwietnia 2011 r. w sprawie  zapobiegania handl</w:t>
      </w:r>
      <w:r w:rsidR="00A75DF1">
        <w:rPr>
          <w:rFonts w:ascii="Times New Roman" w:eastAsia="Calibri" w:hAnsi="Times New Roman" w:cs="Times New Roman"/>
          <w:sz w:val="24"/>
          <w:szCs w:val="24"/>
        </w:rPr>
        <w:t>owi</w:t>
      </w:r>
      <w:r w:rsidRPr="00774FA7">
        <w:rPr>
          <w:rFonts w:ascii="Times New Roman" w:eastAsia="Calibri" w:hAnsi="Times New Roman" w:cs="Times New Roman"/>
          <w:sz w:val="24"/>
          <w:szCs w:val="24"/>
        </w:rPr>
        <w:t xml:space="preserve"> ludźmi i zwalczania tego procederu oraz ochrony ofiar. </w:t>
      </w:r>
    </w:p>
    <w:p w14:paraId="390AD453" w14:textId="36F76CAE"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w art. 42 ustawy o wjeździe obywateli UE wynika z konieczności dostosowania polskiego prawa </w:t>
      </w:r>
      <w:r w:rsidR="00904072" w:rsidRPr="00774FA7">
        <w:rPr>
          <w:rFonts w:ascii="Times New Roman" w:eastAsia="Calibri" w:hAnsi="Times New Roman" w:cs="Times New Roman"/>
          <w:sz w:val="24"/>
          <w:szCs w:val="24"/>
        </w:rPr>
        <w:t xml:space="preserve">do </w:t>
      </w:r>
      <w:r w:rsidRPr="00774FA7">
        <w:rPr>
          <w:rFonts w:ascii="Times New Roman" w:eastAsia="Calibri" w:hAnsi="Times New Roman" w:cs="Times New Roman"/>
          <w:sz w:val="24"/>
          <w:szCs w:val="24"/>
        </w:rPr>
        <w:t>orzeczeń Trybunału Sprawiedliwości Unii Europejskiej w sprawach C-325/09 Maria Dias, C-424/10 Ziółkowski i C-425/10 Szeja. Dotychczasowe przepisy przewidywały, że obywatel UE nabywał prawo stałego pobytu wyłącznie z uwagi na nieprzerwany pobyt w Polsce. Art. 16 ust. 1 dyrektywy 2004/38/WE stanowi, że obywatele UE, którzy legalnie zamieszkują w przyjmującym państwie członkowskim przez nieprzerwany okres pięciu lat, mają prawo stałego pobytu w tym państwie. Ww. przepis posługuje się dla potrzeb nabywania przez obywatela UE prawa stałego pobytu pojęciem „legalnego zamieszkiwania”. Motyw 17 dyrektywy 2004/38/WE wyjaśnia, że prawo stałego pobytu powinno zostać ustanowione dla wszystkich obywateli UE i członków ich rodziny, którzy zamieszkiwali w przyjmującym państwie członkowskim „zgodnie z warunkami ustanowionymi w niniejszej dyrektywie” nieprzerwanie przez okres pięciu lat, o ile nie zastosowano wobec nich środka wydalenia. W wyrokach C-424/10 i C-425/10 (pkt 46) Trybunał Sprawiedliwości Unii Europejskiej wypowiedział się, że pod pojęciem „legalnego zamieszkiwania” należy rozumieć zamieszkiwanie zgodnie z art. 7 dyrektywy, który określa warunki posiadania przez obywatela UE prawa pobytu. Podobnie w wyroku C-325/09 w sprawie Dias (pkt 48 oraz pkt 54 i 55) Trybunał Sprawiedliwości Unii Europejskiej wskazał, że dokumenty potwierdzające prawo pobytu obywatela UE mają jedynie charakter deklaratoryjny i potwierdzają już istniejące prawo pobytu. Zatem, aby stwierdzić, czy pobyt obywatela UE jest legalny do celów nabycia prawa stałego pobytu na podstawie art. 16 ust. 1 dyrektywy 2004/38/WE nie wystarczy samo posiadanie dokumentu potwierdzającego prawo pobytu, ale także niezbędne jest spełnianie przesłanek do posiadania tego prawa. Z uwagi na powyższe w art. 42 wprowadzono uregulowanie, zgodnie z którym obywatel UE nabywa prawo stałego pobytu w Polsce po upływie 5 lat nieprzerwanego pobytu na terytorium Rzeczypospolitej Polskiej</w:t>
      </w:r>
      <w:r w:rsidR="00A01F40"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A01F40" w:rsidRPr="00774FA7">
        <w:rPr>
          <w:rFonts w:ascii="Times New Roman" w:eastAsia="Calibri" w:hAnsi="Times New Roman" w:cs="Times New Roman"/>
          <w:sz w:val="24"/>
          <w:szCs w:val="24"/>
        </w:rPr>
        <w:t>podczas którego spełniał co najmniej jedną z przesłanek prawa pobytu określoną w art. 16</w:t>
      </w:r>
      <w:r w:rsidR="00D83B29" w:rsidRPr="00774FA7">
        <w:rPr>
          <w:rFonts w:ascii="Times New Roman" w:eastAsia="Calibri" w:hAnsi="Times New Roman" w:cs="Times New Roman"/>
          <w:sz w:val="24"/>
          <w:szCs w:val="24"/>
        </w:rPr>
        <w:t>,</w:t>
      </w:r>
      <w:r w:rsidR="00A01F40" w:rsidRPr="00774FA7">
        <w:rPr>
          <w:rFonts w:ascii="Times New Roman" w:eastAsia="Calibri" w:hAnsi="Times New Roman" w:cs="Times New Roman"/>
          <w:sz w:val="24"/>
          <w:szCs w:val="24"/>
        </w:rPr>
        <w:t xml:space="preserve"> art. 17</w:t>
      </w:r>
      <w:r w:rsidR="00D83B29" w:rsidRPr="00774FA7">
        <w:rPr>
          <w:rFonts w:ascii="Times New Roman" w:eastAsia="Calibri" w:hAnsi="Times New Roman" w:cs="Times New Roman"/>
          <w:sz w:val="24"/>
          <w:szCs w:val="24"/>
        </w:rPr>
        <w:t>,</w:t>
      </w:r>
      <w:r w:rsidR="00A01F40" w:rsidRPr="00774FA7">
        <w:rPr>
          <w:rFonts w:ascii="Times New Roman" w:eastAsia="Calibri" w:hAnsi="Times New Roman" w:cs="Times New Roman"/>
          <w:sz w:val="24"/>
          <w:szCs w:val="24"/>
        </w:rPr>
        <w:t xml:space="preserve"> art. 19 ust. 1 </w:t>
      </w:r>
      <w:r w:rsidR="005219C6" w:rsidRPr="00774FA7">
        <w:rPr>
          <w:rFonts w:ascii="Times New Roman" w:eastAsia="Calibri" w:hAnsi="Times New Roman" w:cs="Times New Roman"/>
          <w:sz w:val="24"/>
          <w:szCs w:val="24"/>
        </w:rPr>
        <w:t>lub</w:t>
      </w:r>
      <w:r w:rsidR="00A01F40" w:rsidRPr="00774FA7">
        <w:rPr>
          <w:rFonts w:ascii="Times New Roman" w:eastAsia="Calibri" w:hAnsi="Times New Roman" w:cs="Times New Roman"/>
          <w:sz w:val="24"/>
          <w:szCs w:val="24"/>
        </w:rPr>
        <w:t xml:space="preserve"> 3 lub art. 19a</w:t>
      </w:r>
      <w:r w:rsidRPr="00774FA7">
        <w:rPr>
          <w:rFonts w:ascii="Times New Roman" w:eastAsia="Calibri" w:hAnsi="Times New Roman" w:cs="Times New Roman"/>
          <w:sz w:val="24"/>
          <w:szCs w:val="24"/>
        </w:rPr>
        <w:t>.</w:t>
      </w:r>
    </w:p>
    <w:p w14:paraId="6F804CCA" w14:textId="56C48CF6"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wprowadzona w art. 43 ustawy o wjeździe obywateli UE jest analogiczna jak zmiana w art. 42, </w:t>
      </w:r>
      <w:r w:rsidR="00007D7D" w:rsidRPr="00774FA7">
        <w:rPr>
          <w:rFonts w:ascii="Times New Roman" w:eastAsia="Calibri" w:hAnsi="Times New Roman" w:cs="Times New Roman"/>
          <w:sz w:val="24"/>
          <w:szCs w:val="24"/>
        </w:rPr>
        <w:t xml:space="preserve">tyle, że  </w:t>
      </w:r>
      <w:r w:rsidRPr="00774FA7">
        <w:rPr>
          <w:rFonts w:ascii="Times New Roman" w:eastAsia="Calibri" w:hAnsi="Times New Roman" w:cs="Times New Roman"/>
          <w:sz w:val="24"/>
          <w:szCs w:val="24"/>
        </w:rPr>
        <w:t xml:space="preserve">dotyczy członków rodziny niebędących obywatelami UE, którzy </w:t>
      </w:r>
      <w:r w:rsidRPr="00774FA7">
        <w:rPr>
          <w:rFonts w:ascii="Times New Roman" w:eastAsia="Calibri" w:hAnsi="Times New Roman" w:cs="Times New Roman"/>
          <w:sz w:val="24"/>
          <w:szCs w:val="24"/>
        </w:rPr>
        <w:lastRenderedPageBreak/>
        <w:t>będą nabywali prawo stałego pobytu po upływie 5 lat nieprzerwanego pobytu na terytorium Rzeczypospolitej Polskiej</w:t>
      </w:r>
      <w:r w:rsidR="00715AFD" w:rsidRPr="00774FA7">
        <w:rPr>
          <w:rFonts w:ascii="Times New Roman" w:eastAsia="Calibri" w:hAnsi="Times New Roman" w:cs="Times New Roman"/>
          <w:sz w:val="24"/>
          <w:szCs w:val="24"/>
        </w:rPr>
        <w:t>, podczas którego</w:t>
      </w:r>
      <w:r w:rsidRPr="00774FA7">
        <w:rPr>
          <w:rFonts w:ascii="Times New Roman" w:eastAsia="Calibri" w:hAnsi="Times New Roman" w:cs="Times New Roman"/>
          <w:sz w:val="24"/>
          <w:szCs w:val="24"/>
        </w:rPr>
        <w:t xml:space="preserve"> </w:t>
      </w:r>
      <w:r w:rsidR="00715AFD" w:rsidRPr="00774FA7">
        <w:rPr>
          <w:rFonts w:ascii="Times New Roman" w:eastAsia="Calibri" w:hAnsi="Times New Roman" w:cs="Times New Roman"/>
          <w:sz w:val="24"/>
          <w:szCs w:val="24"/>
        </w:rPr>
        <w:t>spełniali co najmniej jedną z przesłanek  prawa pobytu określoną w art. 18</w:t>
      </w:r>
      <w:r w:rsidR="00D83B29" w:rsidRPr="00774FA7">
        <w:rPr>
          <w:rFonts w:ascii="Times New Roman" w:eastAsia="Calibri" w:hAnsi="Times New Roman" w:cs="Times New Roman"/>
          <w:sz w:val="24"/>
          <w:szCs w:val="24"/>
        </w:rPr>
        <w:t>,</w:t>
      </w:r>
      <w:r w:rsidR="002B2C57" w:rsidRPr="00774FA7">
        <w:rPr>
          <w:rFonts w:ascii="Times New Roman" w:eastAsia="Calibri" w:hAnsi="Times New Roman" w:cs="Times New Roman"/>
          <w:sz w:val="24"/>
          <w:szCs w:val="24"/>
        </w:rPr>
        <w:t xml:space="preserve"> art. 18a</w:t>
      </w:r>
      <w:r w:rsidR="00D83B29" w:rsidRPr="00774FA7">
        <w:rPr>
          <w:rFonts w:ascii="Times New Roman" w:eastAsia="Calibri" w:hAnsi="Times New Roman" w:cs="Times New Roman"/>
          <w:sz w:val="24"/>
          <w:szCs w:val="24"/>
        </w:rPr>
        <w:t>,</w:t>
      </w:r>
      <w:r w:rsidR="00715AFD" w:rsidRPr="00774FA7">
        <w:rPr>
          <w:rFonts w:ascii="Times New Roman" w:eastAsia="Calibri" w:hAnsi="Times New Roman" w:cs="Times New Roman"/>
          <w:sz w:val="24"/>
          <w:szCs w:val="24"/>
        </w:rPr>
        <w:t xml:space="preserve"> 19 ust. 2 </w:t>
      </w:r>
      <w:r w:rsidR="00636868" w:rsidRPr="00774FA7">
        <w:rPr>
          <w:rFonts w:ascii="Times New Roman" w:eastAsia="Calibri" w:hAnsi="Times New Roman" w:cs="Times New Roman"/>
          <w:sz w:val="24"/>
          <w:szCs w:val="24"/>
        </w:rPr>
        <w:t>lub</w:t>
      </w:r>
      <w:r w:rsidR="00715AFD" w:rsidRPr="00774FA7">
        <w:rPr>
          <w:rFonts w:ascii="Times New Roman" w:eastAsia="Calibri" w:hAnsi="Times New Roman" w:cs="Times New Roman"/>
          <w:sz w:val="24"/>
          <w:szCs w:val="24"/>
        </w:rPr>
        <w:t xml:space="preserve"> 3 lub art. 19a</w:t>
      </w:r>
      <w:r w:rsidRPr="00774FA7">
        <w:rPr>
          <w:rFonts w:ascii="Times New Roman" w:eastAsia="Calibri" w:hAnsi="Times New Roman" w:cs="Times New Roman"/>
          <w:sz w:val="24"/>
          <w:szCs w:val="24"/>
        </w:rPr>
        <w:t>.</w:t>
      </w:r>
    </w:p>
    <w:p w14:paraId="280EDD04" w14:textId="3E3B82A0"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Dodawany art. 43a ustawy o wjeździe obywateli UE wprowadza nowe rozwiązanie pozwalające na nabywanie przez obywateli UE będących małżonkami obywateli polskich prawa stałego pobytu po 3 latach nieprzerwanego pobytu w Polsce</w:t>
      </w:r>
      <w:r w:rsidR="00715AFD"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715AFD" w:rsidRPr="00774FA7">
        <w:rPr>
          <w:rFonts w:ascii="Times New Roman" w:eastAsia="Calibri" w:hAnsi="Times New Roman" w:cs="Times New Roman"/>
          <w:sz w:val="24"/>
          <w:szCs w:val="24"/>
        </w:rPr>
        <w:t>podczas którego  spełniali co najmniej jedną z przesłanek  prawa pobytu określoną w art. 18</w:t>
      </w:r>
      <w:r w:rsidR="00D83B29" w:rsidRPr="00774FA7">
        <w:rPr>
          <w:rFonts w:ascii="Times New Roman" w:eastAsia="Calibri" w:hAnsi="Times New Roman" w:cs="Times New Roman"/>
          <w:sz w:val="24"/>
          <w:szCs w:val="24"/>
        </w:rPr>
        <w:t>,</w:t>
      </w:r>
      <w:r w:rsidR="002B2C57" w:rsidRPr="00774FA7">
        <w:rPr>
          <w:rFonts w:ascii="Times New Roman" w:eastAsia="Calibri" w:hAnsi="Times New Roman" w:cs="Times New Roman"/>
          <w:sz w:val="24"/>
          <w:szCs w:val="24"/>
        </w:rPr>
        <w:t xml:space="preserve"> art. 18a</w:t>
      </w:r>
      <w:r w:rsidR="00D83B29" w:rsidRPr="00774FA7">
        <w:rPr>
          <w:rFonts w:ascii="Times New Roman" w:eastAsia="Calibri" w:hAnsi="Times New Roman" w:cs="Times New Roman"/>
          <w:sz w:val="24"/>
          <w:szCs w:val="24"/>
        </w:rPr>
        <w:t>,</w:t>
      </w:r>
      <w:r w:rsidR="00715AFD" w:rsidRPr="00774FA7">
        <w:rPr>
          <w:rFonts w:ascii="Times New Roman" w:eastAsia="Calibri" w:hAnsi="Times New Roman" w:cs="Times New Roman"/>
          <w:sz w:val="24"/>
          <w:szCs w:val="24"/>
        </w:rPr>
        <w:t xml:space="preserve"> 19 ust. 2 </w:t>
      </w:r>
      <w:r w:rsidR="00636868" w:rsidRPr="00774FA7">
        <w:rPr>
          <w:rFonts w:ascii="Times New Roman" w:eastAsia="Calibri" w:hAnsi="Times New Roman" w:cs="Times New Roman"/>
          <w:sz w:val="24"/>
          <w:szCs w:val="24"/>
        </w:rPr>
        <w:t xml:space="preserve">lub </w:t>
      </w:r>
      <w:r w:rsidR="00715AFD" w:rsidRPr="00774FA7">
        <w:rPr>
          <w:rFonts w:ascii="Times New Roman" w:eastAsia="Calibri" w:hAnsi="Times New Roman" w:cs="Times New Roman"/>
          <w:sz w:val="24"/>
          <w:szCs w:val="24"/>
        </w:rPr>
        <w:t>3 lub art. 19a</w:t>
      </w:r>
      <w:r w:rsidRPr="00774FA7">
        <w:rPr>
          <w:rFonts w:ascii="Times New Roman" w:eastAsia="Calibri" w:hAnsi="Times New Roman" w:cs="Times New Roman"/>
          <w:sz w:val="24"/>
          <w:szCs w:val="24"/>
        </w:rPr>
        <w:t xml:space="preserve">. Dotychczas obowiązujące przepisy nie przewidywały żadnych preferencyjnych zasad udzielania prawa stałego pobytu dla małżonków obywateli polskich. Zaproponowane rozwiązanie zostało wprowadzone na wzór uregulowań przewidzianych w art. 195 ust. 1 pkt 4 ustawy o cudzoziemcach, który przewiduje możliwość uzyskania zezwolenia na pobyt stały przez małżonka obywatela polskiego będącego obywatelem państwa trzeciego po 3 latach pobytu w Polsce. Zaproponowana zmiana ma na celu zrównanie sytuacji prawnej małżonków obywateli polskich będących obywatelami państwa trzeciego z małżonkami obywateli polskich będącymi obywatelami UE. </w:t>
      </w:r>
    </w:p>
    <w:p w14:paraId="5D41B134" w14:textId="77777777"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47 ustawy o wjeździe obywateli UE nadaje się nowe brzmienie ust. 3. Powyższe jest efektem uwzględnienia postanowień wyroku Trybunału Sprawiedliwości Unii Europejskiej w sprawie C-378/12 </w:t>
      </w:r>
      <w:proofErr w:type="spellStart"/>
      <w:r w:rsidRPr="00774FA7">
        <w:rPr>
          <w:rFonts w:ascii="Times New Roman" w:eastAsia="Calibri" w:hAnsi="Times New Roman" w:cs="Times New Roman"/>
          <w:sz w:val="24"/>
          <w:szCs w:val="24"/>
        </w:rPr>
        <w:t>Onuekwere</w:t>
      </w:r>
      <w:proofErr w:type="spellEnd"/>
      <w:r w:rsidRPr="00774FA7">
        <w:rPr>
          <w:rFonts w:ascii="Times New Roman" w:eastAsia="Calibri" w:hAnsi="Times New Roman" w:cs="Times New Roman"/>
          <w:sz w:val="24"/>
          <w:szCs w:val="24"/>
        </w:rPr>
        <w:t>. W wyroku tym Trybunał wskazał, że art. 16 ust. 2 dyrektywy 2004/38/WE należy interpretować w ten sposób, że okresy odbywania kary pozbawienia wolności w przyjmującym państwie członkowskim przez obywatela państwa trzeciego będącego członkiem rodziny obywatela UE, który nabył prawo stałego pobytu w tym państwie członkowskim podczas tych okresów, nie mogą być brane pod uwagę dla celów nabycia przez tego obywatela państwa trzeciego prawa stałego pobytu w rozumieniu tego przepisu. Ponadto w wyroku wskazano, iż art. 16 ust. 2 i 3 dyrektywy 2004/38 należy interpretować w ten sposób, że okresy odbywania kary pozbawienia wolności w przyjmującym państwie członkowskim przez obywatela państwa trzeciego będącego członkiem rodziny obywatela UE, który nabył prawo stałego pobytu w tym państwie członkowskim podczas tych okresów, przerywają ciągłość pobytu. Z uwagi na treść powyższego orzeczenia projektowany ust. 3 w art. 47 zakłada, że okres odbywania kary pozbawienia wolności przez obywatela UE oraz członka rodziny niebędącego obywatelem UE przerywa pobyt na terytorium Rzeczypospolitej Polskiej, który uprawniałby obywatela UE oraz członka rodziny niebędącego obywatelem UE do nabycia prawa stałego pobytu.</w:t>
      </w:r>
    </w:p>
    <w:p w14:paraId="3C37EE0F" w14:textId="5EA6A974"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celu dostosowania polskiego prawa do uregulowań art. 7 ust. 2 rozporządzania Rady (UE) 2019/1157 używane w art. 48 ust. 2, art.  49 ust. 1, 3 i 5, art. 50, art. 54, art. 56  ust. 1</w:t>
      </w:r>
      <w:r w:rsidR="00636868" w:rsidRPr="00774FA7">
        <w:rPr>
          <w:rFonts w:ascii="Times New Roman" w:eastAsia="Calibri" w:hAnsi="Times New Roman" w:cs="Times New Roman"/>
          <w:sz w:val="24"/>
          <w:szCs w:val="24"/>
        </w:rPr>
        <w:t xml:space="preserve"> we wprowadzeniu do wyliczenia</w:t>
      </w:r>
      <w:r w:rsidRPr="00774FA7">
        <w:rPr>
          <w:rFonts w:ascii="Times New Roman" w:eastAsia="Calibri" w:hAnsi="Times New Roman" w:cs="Times New Roman"/>
          <w:sz w:val="24"/>
          <w:szCs w:val="24"/>
        </w:rPr>
        <w:t>, art. 62, art. 63</w:t>
      </w:r>
      <w:r w:rsidR="009611CB">
        <w:rPr>
          <w:rFonts w:ascii="Times New Roman" w:eastAsia="Calibri" w:hAnsi="Times New Roman" w:cs="Times New Roman"/>
          <w:sz w:val="24"/>
          <w:szCs w:val="24"/>
        </w:rPr>
        <w:t xml:space="preserve"> oraz </w:t>
      </w:r>
      <w:r w:rsidRPr="00774FA7">
        <w:rPr>
          <w:rFonts w:ascii="Times New Roman" w:eastAsia="Calibri" w:hAnsi="Times New Roman" w:cs="Times New Roman"/>
          <w:sz w:val="24"/>
          <w:szCs w:val="24"/>
        </w:rPr>
        <w:t>art. 80 w pkt 4 lit.</w:t>
      </w:r>
      <w:r w:rsidR="000C704E"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c  </w:t>
      </w:r>
      <w:r w:rsidR="00904072" w:rsidRPr="00774FA7">
        <w:rPr>
          <w:rFonts w:ascii="Times New Roman" w:eastAsia="Calibri" w:hAnsi="Times New Roman" w:cs="Times New Roman"/>
          <w:sz w:val="24"/>
          <w:szCs w:val="24"/>
        </w:rPr>
        <w:t xml:space="preserve">ustawy o wjeździe obywateli UE </w:t>
      </w:r>
      <w:r w:rsidRPr="00774FA7">
        <w:rPr>
          <w:rFonts w:ascii="Times New Roman" w:eastAsia="Calibri" w:hAnsi="Times New Roman" w:cs="Times New Roman"/>
          <w:sz w:val="24"/>
          <w:szCs w:val="24"/>
        </w:rPr>
        <w:t xml:space="preserve">pojęcie „karta stałego pobytu członka rodziny obywatela UE” zastępuje się </w:t>
      </w:r>
      <w:r w:rsidR="005E7C29" w:rsidRPr="00774FA7">
        <w:rPr>
          <w:rFonts w:ascii="Times New Roman" w:eastAsia="Calibri" w:hAnsi="Times New Roman" w:cs="Times New Roman"/>
          <w:sz w:val="24"/>
          <w:szCs w:val="24"/>
        </w:rPr>
        <w:t xml:space="preserve">wyrażeniem </w:t>
      </w:r>
      <w:r w:rsidRPr="00774FA7">
        <w:rPr>
          <w:rFonts w:ascii="Times New Roman" w:eastAsia="Calibri" w:hAnsi="Times New Roman" w:cs="Times New Roman"/>
          <w:sz w:val="24"/>
          <w:szCs w:val="24"/>
        </w:rPr>
        <w:t>„karta stałego pobytu”.</w:t>
      </w:r>
      <w:r w:rsidR="00F648B2" w:rsidRPr="00774FA7">
        <w:rPr>
          <w:rFonts w:ascii="Times New Roman" w:eastAsia="Calibri" w:hAnsi="Times New Roman" w:cs="Times New Roman"/>
          <w:sz w:val="24"/>
          <w:szCs w:val="24"/>
        </w:rPr>
        <w:t xml:space="preserve"> </w:t>
      </w:r>
    </w:p>
    <w:p w14:paraId="48B48AF1" w14:textId="6BCF42A6"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Podobnie jak w przypadku kart pobytowych, w celu dostosowania polskiego prawa do uregulowań  rozporządzania Rady (UE) 2019/1157, w projekcie ustawy zostały wprowadzone rozwiązania pozwalające na zamieszczanie w kartach stałego pobytu wydawanych członkom rodziny </w:t>
      </w:r>
      <w:r w:rsidR="00904072" w:rsidRPr="00774FA7">
        <w:rPr>
          <w:rFonts w:ascii="Times New Roman" w:eastAsia="Calibri" w:hAnsi="Times New Roman" w:cs="Times New Roman"/>
          <w:sz w:val="24"/>
          <w:szCs w:val="24"/>
        </w:rPr>
        <w:t xml:space="preserve">niebędącym </w:t>
      </w:r>
      <w:r w:rsidRPr="00774FA7">
        <w:rPr>
          <w:rFonts w:ascii="Times New Roman" w:eastAsia="Calibri" w:hAnsi="Times New Roman" w:cs="Times New Roman"/>
          <w:sz w:val="24"/>
          <w:szCs w:val="24"/>
        </w:rPr>
        <w:t xml:space="preserve">obywatelami UE, którzy najpóźniej w dniu złożenia wniosku ukończyli 6. rok życia, drugiej cechy biometrycznej, jaką jest obraz linii papilarnych. </w:t>
      </w:r>
    </w:p>
    <w:p w14:paraId="5143230E" w14:textId="3A2484E0"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Z uwagi na powyższe w art. 49 w ust. 2 ustawy o wjeździe obywateli UE przewidziano obowiązek osobistego złożenia wniosku o wydanie karty stałego pobytu przez małoletnich członków rodziny niebędących obywatelami UE, którzy najpóźniej w dniu złożenia wniosku ukończyły 6. rok życia, w celu pobrania od nich odcisków linii papilarnych. Należy zaznaczyć, iż przepis ten nie wprowadza rozwiązania pozwalającego na pobieranie od obywateli UE odcisków linii papilarnych, niemniej jednak osobiste złożenie wniosku ma również na celu potwierdzenie, przed organem właściwym do rozpoznania sprawy, tożsamości wnioskodawcy</w:t>
      </w:r>
      <w:r w:rsidR="0090407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904072" w:rsidRPr="00774FA7">
        <w:rPr>
          <w:rFonts w:ascii="Times New Roman" w:eastAsia="Calibri" w:hAnsi="Times New Roman" w:cs="Times New Roman"/>
          <w:sz w:val="24"/>
          <w:szCs w:val="24"/>
        </w:rPr>
        <w:t>D</w:t>
      </w:r>
      <w:r w:rsidRPr="00774FA7">
        <w:rPr>
          <w:rFonts w:ascii="Times New Roman" w:eastAsia="Calibri" w:hAnsi="Times New Roman" w:cs="Times New Roman"/>
          <w:sz w:val="24"/>
          <w:szCs w:val="24"/>
        </w:rPr>
        <w:t xml:space="preserve">latego też wprowadzenie obowiązku osobistego stawiennictwa w stosunku do obywateli UE, z uwagi na cel tej regulacji, jest w pełni uzasadnione. Ponadto w ust. 2a doprecyzowano, iż obywatel UE lub członek rodziny niebędący obywatelem UE </w:t>
      </w:r>
      <w:r w:rsidR="00904072" w:rsidRPr="00774FA7">
        <w:rPr>
          <w:rFonts w:ascii="Times New Roman" w:eastAsia="Calibri" w:hAnsi="Times New Roman" w:cs="Times New Roman"/>
          <w:sz w:val="24"/>
          <w:szCs w:val="24"/>
        </w:rPr>
        <w:t xml:space="preserve">jest </w:t>
      </w:r>
      <w:r w:rsidRPr="00774FA7">
        <w:rPr>
          <w:rFonts w:ascii="Times New Roman" w:eastAsia="Calibri" w:hAnsi="Times New Roman" w:cs="Times New Roman"/>
          <w:sz w:val="24"/>
          <w:szCs w:val="24"/>
        </w:rPr>
        <w:t>zobowiązany do osobistego stawiennictwa w organie właściwym do przyjęcia i rozpatrzenia takiego wniosku w chwili jego składania, jeżeli najpóźniej w dniu złożenia tego wniosku ukończył 6. rok życia.</w:t>
      </w:r>
      <w:r w:rsidR="004E3A54" w:rsidRPr="00774FA7">
        <w:rPr>
          <w:rFonts w:ascii="Times New Roman" w:eastAsia="Calibri" w:hAnsi="Times New Roman" w:cs="Times New Roman"/>
          <w:sz w:val="24"/>
          <w:szCs w:val="24"/>
        </w:rPr>
        <w:t xml:space="preserve"> W ust. 2b przewidziano odstępstwo od obowiązku osobistego złożenia wniosku o wydanie dokumentu potwierdzającego prawo stałego pobytu lub karty stałego pobytu w szczególnie uzasadnionych przypadkach</w:t>
      </w:r>
      <w:r w:rsidR="004004C3">
        <w:rPr>
          <w:rFonts w:ascii="Times New Roman" w:eastAsia="Calibri" w:hAnsi="Times New Roman" w:cs="Times New Roman"/>
          <w:sz w:val="24"/>
          <w:szCs w:val="24"/>
        </w:rPr>
        <w:t>,</w:t>
      </w:r>
      <w:r w:rsidR="004E3A54" w:rsidRPr="00774FA7">
        <w:rPr>
          <w:rFonts w:ascii="Times New Roman" w:eastAsia="Calibri" w:hAnsi="Times New Roman" w:cs="Times New Roman"/>
          <w:sz w:val="24"/>
          <w:szCs w:val="24"/>
        </w:rPr>
        <w:t xml:space="preserve"> </w:t>
      </w:r>
      <w:r w:rsidR="004004C3">
        <w:rPr>
          <w:rFonts w:ascii="Times New Roman" w:eastAsia="Calibri" w:hAnsi="Times New Roman" w:cs="Times New Roman"/>
          <w:sz w:val="24"/>
          <w:szCs w:val="24"/>
        </w:rPr>
        <w:t>w tym</w:t>
      </w:r>
      <w:r w:rsidR="004004C3" w:rsidRPr="00774FA7">
        <w:rPr>
          <w:rFonts w:ascii="Times New Roman" w:eastAsia="Calibri" w:hAnsi="Times New Roman" w:cs="Times New Roman"/>
          <w:sz w:val="24"/>
          <w:szCs w:val="24"/>
        </w:rPr>
        <w:t xml:space="preserve"> </w:t>
      </w:r>
      <w:r w:rsidR="004E3A54" w:rsidRPr="00774FA7">
        <w:rPr>
          <w:rFonts w:ascii="Times New Roman" w:eastAsia="Calibri" w:hAnsi="Times New Roman" w:cs="Times New Roman"/>
          <w:sz w:val="24"/>
          <w:szCs w:val="24"/>
        </w:rPr>
        <w:t>podyktowanych względami zdrowotnymi.</w:t>
      </w:r>
      <w:r w:rsidRPr="00774FA7">
        <w:rPr>
          <w:rFonts w:ascii="Times New Roman" w:eastAsia="Calibri" w:hAnsi="Times New Roman" w:cs="Times New Roman"/>
          <w:sz w:val="24"/>
          <w:szCs w:val="24"/>
        </w:rPr>
        <w:t xml:space="preserve"> W ust. 4 </w:t>
      </w:r>
      <w:r w:rsidR="00007D7D" w:rsidRPr="00774FA7">
        <w:rPr>
          <w:rFonts w:ascii="Times New Roman" w:eastAsia="Calibri" w:hAnsi="Times New Roman" w:cs="Times New Roman"/>
          <w:sz w:val="24"/>
          <w:szCs w:val="24"/>
        </w:rPr>
        <w:t xml:space="preserve">z kolei </w:t>
      </w:r>
      <w:r w:rsidRPr="00774FA7">
        <w:rPr>
          <w:rFonts w:ascii="Times New Roman" w:eastAsia="Calibri" w:hAnsi="Times New Roman" w:cs="Times New Roman"/>
          <w:sz w:val="24"/>
          <w:szCs w:val="24"/>
        </w:rPr>
        <w:t xml:space="preserve">wprowadzono wymóg, iż dołączana do wniosków fotografia </w:t>
      </w:r>
      <w:r w:rsidR="002138DF" w:rsidRPr="002138DF">
        <w:rPr>
          <w:rFonts w:ascii="Times New Roman" w:eastAsia="Calibri" w:hAnsi="Times New Roman" w:cs="Times New Roman"/>
          <w:sz w:val="24"/>
          <w:szCs w:val="24"/>
        </w:rPr>
        <w:t xml:space="preserve">obywatela UE lub członka rodziny niebędącego obywatelem UE </w:t>
      </w:r>
      <w:r w:rsidRPr="00774FA7">
        <w:rPr>
          <w:rFonts w:ascii="Times New Roman" w:eastAsia="Calibri" w:hAnsi="Times New Roman" w:cs="Times New Roman"/>
          <w:sz w:val="24"/>
          <w:szCs w:val="24"/>
        </w:rPr>
        <w:t xml:space="preserve">powinna być aktualna. </w:t>
      </w:r>
      <w:r w:rsidR="00007D7D" w:rsidRPr="00774FA7">
        <w:rPr>
          <w:rFonts w:ascii="Times New Roman" w:eastAsia="Calibri" w:hAnsi="Times New Roman" w:cs="Times New Roman"/>
          <w:sz w:val="24"/>
          <w:szCs w:val="24"/>
        </w:rPr>
        <w:t>Zgodnie z doda</w:t>
      </w:r>
      <w:r w:rsidR="00AD458A">
        <w:rPr>
          <w:rFonts w:ascii="Times New Roman" w:eastAsia="Calibri" w:hAnsi="Times New Roman" w:cs="Times New Roman"/>
          <w:sz w:val="24"/>
          <w:szCs w:val="24"/>
        </w:rPr>
        <w:t>wa</w:t>
      </w:r>
      <w:r w:rsidR="00007D7D" w:rsidRPr="00774FA7">
        <w:rPr>
          <w:rFonts w:ascii="Times New Roman" w:eastAsia="Calibri" w:hAnsi="Times New Roman" w:cs="Times New Roman"/>
          <w:sz w:val="24"/>
          <w:szCs w:val="24"/>
        </w:rPr>
        <w:t xml:space="preserve">nym ust. 6 od </w:t>
      </w:r>
      <w:r w:rsidRPr="00774FA7">
        <w:rPr>
          <w:rFonts w:ascii="Times New Roman" w:eastAsia="Calibri" w:hAnsi="Times New Roman" w:cs="Times New Roman"/>
          <w:sz w:val="24"/>
          <w:szCs w:val="24"/>
        </w:rPr>
        <w:t xml:space="preserve">członka rodziny niebędącego obywatelem UE ubiegającego się o wydanie karty stałego pobytu, który do dnia złożenia wniosku  ukończył 6. rok życia, </w:t>
      </w:r>
      <w:r w:rsidR="00007D7D" w:rsidRPr="00774FA7">
        <w:rPr>
          <w:rFonts w:ascii="Times New Roman" w:eastAsia="Calibri" w:hAnsi="Times New Roman" w:cs="Times New Roman"/>
          <w:sz w:val="24"/>
          <w:szCs w:val="24"/>
        </w:rPr>
        <w:t>będą</w:t>
      </w:r>
      <w:r w:rsidRPr="00774FA7">
        <w:rPr>
          <w:rFonts w:ascii="Times New Roman" w:eastAsia="Calibri" w:hAnsi="Times New Roman" w:cs="Times New Roman"/>
          <w:sz w:val="24"/>
          <w:szCs w:val="24"/>
        </w:rPr>
        <w:t xml:space="preserve"> pobiera</w:t>
      </w:r>
      <w:r w:rsidR="00007D7D" w:rsidRPr="00774FA7">
        <w:rPr>
          <w:rFonts w:ascii="Times New Roman" w:eastAsia="Calibri" w:hAnsi="Times New Roman" w:cs="Times New Roman"/>
          <w:sz w:val="24"/>
          <w:szCs w:val="24"/>
        </w:rPr>
        <w:t>ne</w:t>
      </w:r>
      <w:r w:rsidRPr="00774FA7">
        <w:rPr>
          <w:rFonts w:ascii="Times New Roman" w:eastAsia="Calibri" w:hAnsi="Times New Roman" w:cs="Times New Roman"/>
          <w:sz w:val="24"/>
          <w:szCs w:val="24"/>
        </w:rPr>
        <w:t xml:space="preserve"> odciski linii papilarnych.</w:t>
      </w:r>
    </w:p>
    <w:p w14:paraId="2459AC49" w14:textId="3468CB84" w:rsidR="00076C40" w:rsidRPr="00774FA7" w:rsidRDefault="005E7C29"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Zmieniona została redakcja</w:t>
      </w:r>
      <w:r w:rsidRPr="00774FA7" w:rsidDel="00007D7D">
        <w:rPr>
          <w:rFonts w:ascii="Times New Roman" w:eastAsia="Calibri" w:hAnsi="Times New Roman" w:cs="Times New Roman"/>
          <w:sz w:val="24"/>
          <w:szCs w:val="24"/>
        </w:rPr>
        <w:t xml:space="preserve"> </w:t>
      </w:r>
      <w:r w:rsidR="00236CB2" w:rsidRPr="00774FA7">
        <w:rPr>
          <w:rFonts w:ascii="Times New Roman" w:eastAsia="Calibri" w:hAnsi="Times New Roman" w:cs="Times New Roman"/>
          <w:sz w:val="24"/>
          <w:szCs w:val="24"/>
        </w:rPr>
        <w:t xml:space="preserve">ust. 1 w </w:t>
      </w:r>
      <w:r w:rsidR="00076C40" w:rsidRPr="00774FA7">
        <w:rPr>
          <w:rFonts w:ascii="Times New Roman" w:eastAsia="Calibri" w:hAnsi="Times New Roman" w:cs="Times New Roman"/>
          <w:sz w:val="24"/>
          <w:szCs w:val="24"/>
        </w:rPr>
        <w:t>art. 51</w:t>
      </w:r>
      <w:r w:rsidR="00F42F32" w:rsidRPr="00774FA7">
        <w:rPr>
          <w:rFonts w:ascii="Times New Roman" w:eastAsia="Calibri" w:hAnsi="Times New Roman" w:cs="Times New Roman"/>
          <w:sz w:val="24"/>
          <w:szCs w:val="24"/>
        </w:rPr>
        <w:t>, z</w:t>
      </w:r>
      <w:r w:rsidR="00236CB2" w:rsidRPr="00774FA7">
        <w:rPr>
          <w:rFonts w:ascii="Times New Roman" w:eastAsia="Calibri" w:hAnsi="Times New Roman" w:cs="Times New Roman"/>
          <w:sz w:val="24"/>
          <w:szCs w:val="24"/>
        </w:rPr>
        <w:t xml:space="preserve"> kolei</w:t>
      </w:r>
      <w:r w:rsidR="00076C40" w:rsidRPr="00774FA7">
        <w:rPr>
          <w:rFonts w:ascii="Times New Roman" w:eastAsia="Calibri" w:hAnsi="Times New Roman" w:cs="Times New Roman"/>
          <w:sz w:val="24"/>
          <w:szCs w:val="24"/>
        </w:rPr>
        <w:t xml:space="preserve"> </w:t>
      </w:r>
      <w:r w:rsidR="00236CB2" w:rsidRPr="00774FA7">
        <w:rPr>
          <w:rFonts w:ascii="Times New Roman" w:eastAsia="Calibri" w:hAnsi="Times New Roman" w:cs="Times New Roman"/>
          <w:sz w:val="24"/>
          <w:szCs w:val="24"/>
        </w:rPr>
        <w:t xml:space="preserve">w </w:t>
      </w:r>
      <w:r w:rsidR="00076C40" w:rsidRPr="00774FA7">
        <w:rPr>
          <w:rFonts w:ascii="Times New Roman" w:eastAsia="Calibri" w:hAnsi="Times New Roman" w:cs="Times New Roman"/>
          <w:sz w:val="24"/>
          <w:szCs w:val="24"/>
        </w:rPr>
        <w:t xml:space="preserve">ust. 2 </w:t>
      </w:r>
      <w:r w:rsidR="00236CB2" w:rsidRPr="00774FA7">
        <w:rPr>
          <w:rFonts w:ascii="Times New Roman" w:eastAsia="Calibri" w:hAnsi="Times New Roman" w:cs="Times New Roman"/>
          <w:sz w:val="24"/>
          <w:szCs w:val="24"/>
        </w:rPr>
        <w:t xml:space="preserve">tego artykułu </w:t>
      </w:r>
      <w:r w:rsidR="00076C40" w:rsidRPr="00774FA7">
        <w:rPr>
          <w:rFonts w:ascii="Times New Roman" w:eastAsia="Calibri" w:hAnsi="Times New Roman" w:cs="Times New Roman"/>
          <w:sz w:val="24"/>
          <w:szCs w:val="24"/>
        </w:rPr>
        <w:t>uzupełniono dotychczasowe odesłanie</w:t>
      </w:r>
      <w:r w:rsidRPr="00774FA7">
        <w:rPr>
          <w:rFonts w:ascii="Times New Roman" w:eastAsia="Calibri" w:hAnsi="Times New Roman" w:cs="Times New Roman"/>
          <w:sz w:val="24"/>
          <w:szCs w:val="24"/>
        </w:rPr>
        <w:t xml:space="preserve"> poprzez uwzględnianie</w:t>
      </w:r>
      <w:r w:rsidR="00076C40"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art. 25a, </w:t>
      </w:r>
      <w:r w:rsidR="00AD458A">
        <w:rPr>
          <w:rFonts w:ascii="Times New Roman" w:eastAsia="Calibri" w:hAnsi="Times New Roman" w:cs="Times New Roman"/>
          <w:sz w:val="24"/>
          <w:szCs w:val="24"/>
        </w:rPr>
        <w:t>dodawanego</w:t>
      </w:r>
      <w:r w:rsidR="00076C40" w:rsidRPr="00774FA7">
        <w:rPr>
          <w:rFonts w:ascii="Times New Roman" w:eastAsia="Calibri" w:hAnsi="Times New Roman" w:cs="Times New Roman"/>
          <w:sz w:val="24"/>
          <w:szCs w:val="24"/>
        </w:rPr>
        <w:t xml:space="preserve"> </w:t>
      </w:r>
      <w:r w:rsidR="00904072" w:rsidRPr="00774FA7">
        <w:rPr>
          <w:rFonts w:ascii="Times New Roman" w:eastAsia="Calibri" w:hAnsi="Times New Roman" w:cs="Times New Roman"/>
          <w:sz w:val="24"/>
          <w:szCs w:val="24"/>
        </w:rPr>
        <w:t xml:space="preserve">niniejszym </w:t>
      </w:r>
      <w:r w:rsidR="00236CB2" w:rsidRPr="00774FA7">
        <w:rPr>
          <w:rFonts w:ascii="Times New Roman" w:eastAsia="Calibri" w:hAnsi="Times New Roman" w:cs="Times New Roman"/>
          <w:sz w:val="24"/>
          <w:szCs w:val="24"/>
        </w:rPr>
        <w:t>projektem ustawy</w:t>
      </w:r>
      <w:r w:rsidR="00076C40" w:rsidRPr="00774FA7">
        <w:rPr>
          <w:rFonts w:ascii="Times New Roman" w:eastAsia="Calibri" w:hAnsi="Times New Roman" w:cs="Times New Roman"/>
          <w:sz w:val="24"/>
          <w:szCs w:val="24"/>
        </w:rPr>
        <w:t>.</w:t>
      </w:r>
    </w:p>
    <w:p w14:paraId="1F3344B6" w14:textId="696CDFC0"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Przepis art. 52 ustawy o wjeździe obywateli UE został przeredagowany oraz uzupełniony o dodatkowe </w:t>
      </w:r>
      <w:r w:rsidR="009D4C5C">
        <w:rPr>
          <w:rFonts w:ascii="Times New Roman" w:eastAsia="Calibri" w:hAnsi="Times New Roman" w:cs="Times New Roman"/>
          <w:sz w:val="24"/>
          <w:szCs w:val="24"/>
        </w:rPr>
        <w:t xml:space="preserve">przepisy – tj. </w:t>
      </w:r>
      <w:r w:rsidRPr="00774FA7">
        <w:rPr>
          <w:rFonts w:ascii="Times New Roman" w:eastAsia="Calibri" w:hAnsi="Times New Roman" w:cs="Times New Roman"/>
          <w:sz w:val="24"/>
          <w:szCs w:val="24"/>
        </w:rPr>
        <w:t>ust. 3-5</w:t>
      </w:r>
      <w:r w:rsidR="009D4C5C">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 konsekwencji wprowadzenia rozwiązań przewidujących zamieszczanie w dokumentach potwierdzających prawo stałego pobytu obywatela UE i kartach stałego pobytu </w:t>
      </w:r>
      <w:r w:rsidR="009D4C5C">
        <w:rPr>
          <w:rFonts w:ascii="Times New Roman" w:eastAsia="Calibri" w:hAnsi="Times New Roman" w:cs="Times New Roman"/>
          <w:sz w:val="24"/>
          <w:szCs w:val="24"/>
        </w:rPr>
        <w:t xml:space="preserve">– wydawanych </w:t>
      </w:r>
      <w:r w:rsidR="009D4C5C" w:rsidRPr="009D4C5C">
        <w:rPr>
          <w:rFonts w:ascii="Times New Roman" w:eastAsia="Calibri" w:hAnsi="Times New Roman" w:cs="Times New Roman"/>
          <w:sz w:val="24"/>
          <w:szCs w:val="24"/>
        </w:rPr>
        <w:t>członk</w:t>
      </w:r>
      <w:r w:rsidR="009D4C5C">
        <w:rPr>
          <w:rFonts w:ascii="Times New Roman" w:eastAsia="Calibri" w:hAnsi="Times New Roman" w:cs="Times New Roman"/>
          <w:sz w:val="24"/>
          <w:szCs w:val="24"/>
        </w:rPr>
        <w:t>om rodziny niebędącym</w:t>
      </w:r>
      <w:r w:rsidR="009D4C5C" w:rsidRPr="009D4C5C">
        <w:rPr>
          <w:rFonts w:ascii="Times New Roman" w:eastAsia="Calibri" w:hAnsi="Times New Roman" w:cs="Times New Roman"/>
          <w:sz w:val="24"/>
          <w:szCs w:val="24"/>
        </w:rPr>
        <w:t xml:space="preserve"> obywatel</w:t>
      </w:r>
      <w:r w:rsidR="009D4C5C">
        <w:rPr>
          <w:rFonts w:ascii="Times New Roman" w:eastAsia="Calibri" w:hAnsi="Times New Roman" w:cs="Times New Roman"/>
          <w:sz w:val="24"/>
          <w:szCs w:val="24"/>
        </w:rPr>
        <w:t>o</w:t>
      </w:r>
      <w:r w:rsidR="009D4C5C" w:rsidRPr="009D4C5C">
        <w:rPr>
          <w:rFonts w:ascii="Times New Roman" w:eastAsia="Calibri" w:hAnsi="Times New Roman" w:cs="Times New Roman"/>
          <w:sz w:val="24"/>
          <w:szCs w:val="24"/>
        </w:rPr>
        <w:t>m UE</w:t>
      </w:r>
      <w:r w:rsidR="009D4C5C">
        <w:rPr>
          <w:rFonts w:ascii="Times New Roman" w:eastAsia="Calibri" w:hAnsi="Times New Roman" w:cs="Times New Roman"/>
          <w:sz w:val="24"/>
          <w:szCs w:val="24"/>
        </w:rPr>
        <w:t xml:space="preserve"> – </w:t>
      </w:r>
      <w:r w:rsidRPr="00774FA7">
        <w:rPr>
          <w:rFonts w:ascii="Times New Roman" w:eastAsia="Calibri" w:hAnsi="Times New Roman" w:cs="Times New Roman"/>
          <w:sz w:val="24"/>
          <w:szCs w:val="24"/>
        </w:rPr>
        <w:t xml:space="preserve">podpisów ich posiadaczy oraz w przypadku kart stałego pobytu </w:t>
      </w:r>
      <w:r w:rsidR="00D83B29" w:rsidRPr="00774FA7">
        <w:rPr>
          <w:rFonts w:ascii="Times New Roman" w:eastAsia="Calibri" w:hAnsi="Times New Roman" w:cs="Times New Roman"/>
          <w:sz w:val="24"/>
          <w:szCs w:val="24"/>
        </w:rPr>
        <w:t>dodatkowo</w:t>
      </w:r>
      <w:r w:rsidR="007C29C4"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obrazu linii papilarnych (podobnie jak art. 28). Powyższe rozwiązanie stanowi  dostosowanie polskich przepisów prawa do art. 7 ust. 1 rozporządzenia Rady (UE) 2019/1157</w:t>
      </w:r>
      <w:r w:rsidR="00904072"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zgodnie z którym karty pobytowe oraz karty stałego pobytu członkom rodziny obywatela Unii Europejskiej są wydawane zgodnie z formatem określonym w rozporządzeniu Rady (WE) nr 1030/2002. </w:t>
      </w:r>
    </w:p>
    <w:p w14:paraId="009F9D85" w14:textId="1AEF9B13" w:rsidR="00F828AE" w:rsidRPr="00774FA7" w:rsidRDefault="00F42F32" w:rsidP="00B00433">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Zmiany w treści art. 52 wynikają w głównej mierze z wprowadzenia rozwiązań pozwalających na umieszczanie danych biometrycznych w dokumencie potwierdzającym prawo stałego pobytu oraz karcie stałego pobytu. </w:t>
      </w:r>
      <w:r w:rsidR="00034BC0" w:rsidRPr="00774FA7">
        <w:rPr>
          <w:rFonts w:ascii="Times New Roman" w:eastAsia="Calibri" w:hAnsi="Times New Roman" w:cs="Times New Roman"/>
          <w:sz w:val="24"/>
          <w:szCs w:val="24"/>
        </w:rPr>
        <w:t xml:space="preserve">W przepisie tym, w pkt 6, uwzględniono obraz linii papilarnych – w przypadku karty stałego pobytu. W dodawanych punktach </w:t>
      </w:r>
      <w:r w:rsidR="00076C40" w:rsidRPr="00774FA7">
        <w:rPr>
          <w:rFonts w:ascii="Times New Roman" w:eastAsia="Calibri" w:hAnsi="Times New Roman" w:cs="Times New Roman"/>
          <w:sz w:val="24"/>
          <w:szCs w:val="24"/>
        </w:rPr>
        <w:t>12</w:t>
      </w:r>
      <w:r w:rsidR="00034BC0" w:rsidRPr="00774FA7">
        <w:rPr>
          <w:rFonts w:ascii="Times New Roman" w:eastAsia="Calibri" w:hAnsi="Times New Roman" w:cs="Times New Roman"/>
          <w:sz w:val="24"/>
          <w:szCs w:val="24"/>
        </w:rPr>
        <w:t xml:space="preserve"> i 13</w:t>
      </w:r>
      <w:r w:rsidR="00076C40" w:rsidRPr="00774FA7">
        <w:rPr>
          <w:rFonts w:ascii="Times New Roman" w:eastAsia="Calibri" w:hAnsi="Times New Roman" w:cs="Times New Roman"/>
          <w:sz w:val="24"/>
          <w:szCs w:val="24"/>
        </w:rPr>
        <w:t xml:space="preserve"> </w:t>
      </w:r>
      <w:r w:rsidR="00904072" w:rsidRPr="00774FA7">
        <w:rPr>
          <w:rFonts w:ascii="Times New Roman" w:eastAsia="Calibri" w:hAnsi="Times New Roman" w:cs="Times New Roman"/>
          <w:sz w:val="24"/>
          <w:szCs w:val="24"/>
        </w:rPr>
        <w:t xml:space="preserve">przewidziano </w:t>
      </w:r>
      <w:r w:rsidR="00076C40" w:rsidRPr="00774FA7">
        <w:rPr>
          <w:rFonts w:ascii="Times New Roman" w:eastAsia="Calibri" w:hAnsi="Times New Roman" w:cs="Times New Roman"/>
          <w:sz w:val="24"/>
          <w:szCs w:val="24"/>
        </w:rPr>
        <w:t xml:space="preserve">zamieszczanie nowych </w:t>
      </w:r>
      <w:r w:rsidR="00034BC0" w:rsidRPr="00774FA7">
        <w:rPr>
          <w:rFonts w:ascii="Times New Roman" w:eastAsia="Calibri" w:hAnsi="Times New Roman" w:cs="Times New Roman"/>
          <w:sz w:val="24"/>
          <w:szCs w:val="24"/>
        </w:rPr>
        <w:t xml:space="preserve">adnotacji: „Dyrektywa 2004/38/WE” – w przypadku dokumentu potwierdzającego prawo stałego pobytu i „członek rodziny obywatela UE, art. 20 dyrektywy 2004/38/WE” – w przypadku karty stałego pobytu. Powyższa zmiana ma na </w:t>
      </w:r>
      <w:r w:rsidR="00076C40" w:rsidRPr="00774FA7">
        <w:rPr>
          <w:rFonts w:ascii="Times New Roman" w:eastAsia="Calibri" w:hAnsi="Times New Roman" w:cs="Times New Roman"/>
          <w:sz w:val="24"/>
          <w:szCs w:val="24"/>
        </w:rPr>
        <w:t xml:space="preserve">celu dostosowania polskiego prawa do art. 7 ust. 2 </w:t>
      </w:r>
      <w:r w:rsidR="00904072" w:rsidRPr="00774FA7">
        <w:rPr>
          <w:rFonts w:ascii="Times New Roman" w:eastAsia="Calibri" w:hAnsi="Times New Roman" w:cs="Times New Roman"/>
          <w:sz w:val="24"/>
          <w:szCs w:val="24"/>
        </w:rPr>
        <w:t xml:space="preserve">rozporządzenia </w:t>
      </w:r>
      <w:r w:rsidR="00076C40" w:rsidRPr="00774FA7">
        <w:rPr>
          <w:rFonts w:ascii="Times New Roman" w:eastAsia="Calibri" w:hAnsi="Times New Roman" w:cs="Times New Roman"/>
          <w:sz w:val="24"/>
          <w:szCs w:val="24"/>
        </w:rPr>
        <w:t xml:space="preserve">Rady (UE) 2019/1157. </w:t>
      </w:r>
    </w:p>
    <w:p w14:paraId="022484FC" w14:textId="33544837" w:rsidR="00BE272F" w:rsidRPr="00774FA7" w:rsidRDefault="00034BC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 xml:space="preserve">W art. 52 </w:t>
      </w:r>
      <w:r w:rsidR="00BE272F" w:rsidRPr="00774FA7">
        <w:rPr>
          <w:rFonts w:ascii="Times New Roman" w:eastAsia="Calibri" w:hAnsi="Times New Roman" w:cs="Times New Roman"/>
          <w:sz w:val="24"/>
          <w:szCs w:val="24"/>
        </w:rPr>
        <w:t xml:space="preserve"> ust. 2 projektodawca </w:t>
      </w:r>
      <w:r w:rsidR="00AD458A">
        <w:rPr>
          <w:rFonts w:ascii="Times New Roman" w:eastAsia="Calibri" w:hAnsi="Times New Roman" w:cs="Times New Roman"/>
          <w:sz w:val="24"/>
          <w:szCs w:val="24"/>
        </w:rPr>
        <w:t>uwzględnił</w:t>
      </w:r>
      <w:r w:rsidR="00AD458A" w:rsidRPr="00774FA7">
        <w:rPr>
          <w:rFonts w:ascii="Times New Roman" w:eastAsia="Calibri" w:hAnsi="Times New Roman" w:cs="Times New Roman"/>
          <w:sz w:val="24"/>
          <w:szCs w:val="24"/>
        </w:rPr>
        <w:t xml:space="preserve"> </w:t>
      </w:r>
      <w:r w:rsidR="00BE272F" w:rsidRPr="00774FA7">
        <w:rPr>
          <w:rFonts w:ascii="Times New Roman" w:eastAsia="Calibri" w:hAnsi="Times New Roman" w:cs="Times New Roman"/>
          <w:sz w:val="24"/>
          <w:szCs w:val="24"/>
        </w:rPr>
        <w:t xml:space="preserve">możliwość, aby niezależnie od danych, o których mowa w ust. 1, dokument potwierdzający prawo stałego pobytu lub karta stałego pobytu mogły zawierać podpis posiadacza oraz zakodowany zapis niektórych danych.  </w:t>
      </w:r>
    </w:p>
    <w:p w14:paraId="422D41B1" w14:textId="53FBF50F" w:rsidR="00076C40" w:rsidRPr="00774FA7" w:rsidRDefault="007C29C4"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w:t>
      </w:r>
      <w:r w:rsidR="00570275" w:rsidRPr="00774FA7">
        <w:rPr>
          <w:rFonts w:ascii="Times New Roman" w:eastAsia="Calibri" w:hAnsi="Times New Roman" w:cs="Times New Roman"/>
          <w:sz w:val="24"/>
          <w:szCs w:val="24"/>
        </w:rPr>
        <w:t xml:space="preserve">onadto </w:t>
      </w:r>
      <w:r w:rsidR="00904072" w:rsidRPr="00774FA7">
        <w:rPr>
          <w:rFonts w:ascii="Times New Roman" w:eastAsia="Calibri" w:hAnsi="Times New Roman" w:cs="Times New Roman"/>
          <w:sz w:val="24"/>
          <w:szCs w:val="24"/>
        </w:rPr>
        <w:t xml:space="preserve">w </w:t>
      </w:r>
      <w:r w:rsidR="00076C40" w:rsidRPr="00774FA7">
        <w:rPr>
          <w:rFonts w:ascii="Times New Roman" w:eastAsia="Calibri" w:hAnsi="Times New Roman" w:cs="Times New Roman"/>
          <w:sz w:val="24"/>
          <w:szCs w:val="24"/>
        </w:rPr>
        <w:t xml:space="preserve">art. 52 </w:t>
      </w:r>
      <w:r w:rsidR="00034BC0" w:rsidRPr="00774FA7">
        <w:rPr>
          <w:rFonts w:ascii="Times New Roman" w:eastAsia="Calibri" w:hAnsi="Times New Roman" w:cs="Times New Roman"/>
          <w:sz w:val="24"/>
          <w:szCs w:val="24"/>
        </w:rPr>
        <w:t xml:space="preserve">w dodawanym </w:t>
      </w:r>
      <w:r w:rsidR="00076C40" w:rsidRPr="00774FA7">
        <w:rPr>
          <w:rFonts w:ascii="Times New Roman" w:eastAsia="Calibri" w:hAnsi="Times New Roman" w:cs="Times New Roman"/>
          <w:sz w:val="24"/>
          <w:szCs w:val="24"/>
        </w:rPr>
        <w:t xml:space="preserve">ust. 3 </w:t>
      </w:r>
      <w:r w:rsidR="00904072" w:rsidRPr="00774FA7">
        <w:rPr>
          <w:rFonts w:ascii="Times New Roman" w:eastAsia="Calibri" w:hAnsi="Times New Roman" w:cs="Times New Roman"/>
          <w:sz w:val="24"/>
          <w:szCs w:val="24"/>
        </w:rPr>
        <w:t xml:space="preserve">określono </w:t>
      </w:r>
      <w:r w:rsidR="00076C40" w:rsidRPr="00774FA7">
        <w:rPr>
          <w:rFonts w:ascii="Times New Roman" w:eastAsia="Calibri" w:hAnsi="Times New Roman" w:cs="Times New Roman"/>
          <w:sz w:val="24"/>
          <w:szCs w:val="24"/>
        </w:rPr>
        <w:t>przypadki, w których w dokumencie potwierdzającym prawo stałego pobytu obywatela UE lub karcie stałego pobytu nie umieszcza się podpisu ich posiadacza</w:t>
      </w:r>
      <w:r w:rsidR="00034BC0" w:rsidRPr="00774FA7">
        <w:rPr>
          <w:rFonts w:ascii="Times New Roman" w:eastAsia="Calibri" w:hAnsi="Times New Roman" w:cs="Times New Roman"/>
          <w:sz w:val="24"/>
          <w:szCs w:val="24"/>
        </w:rPr>
        <w:t>. Z kolei w ust. 4</w:t>
      </w:r>
      <w:r w:rsidR="00076C40" w:rsidRPr="00774FA7">
        <w:rPr>
          <w:rFonts w:ascii="Times New Roman" w:eastAsia="Calibri" w:hAnsi="Times New Roman" w:cs="Times New Roman"/>
          <w:sz w:val="24"/>
          <w:szCs w:val="24"/>
        </w:rPr>
        <w:t xml:space="preserve"> </w:t>
      </w:r>
      <w:r w:rsidR="00AD458A">
        <w:rPr>
          <w:rFonts w:ascii="Times New Roman" w:eastAsia="Calibri" w:hAnsi="Times New Roman" w:cs="Times New Roman"/>
          <w:sz w:val="24"/>
          <w:szCs w:val="24"/>
        </w:rPr>
        <w:t>przewidziano</w:t>
      </w:r>
      <w:r w:rsidR="00076C40" w:rsidRPr="00774FA7">
        <w:rPr>
          <w:rFonts w:ascii="Times New Roman" w:eastAsia="Calibri" w:hAnsi="Times New Roman" w:cs="Times New Roman"/>
          <w:sz w:val="24"/>
          <w:szCs w:val="24"/>
        </w:rPr>
        <w:t xml:space="preserve">, że w karcie stałego pobytu członka rodziny obywatela UE </w:t>
      </w:r>
      <w:r w:rsidR="00034BC0" w:rsidRPr="00774FA7">
        <w:rPr>
          <w:rFonts w:ascii="Times New Roman" w:eastAsia="Calibri" w:hAnsi="Times New Roman" w:cs="Times New Roman"/>
          <w:sz w:val="24"/>
          <w:szCs w:val="24"/>
        </w:rPr>
        <w:t>nie będzie umieszczać się obrazu linii papilarnych</w:t>
      </w:r>
      <w:r w:rsidR="00570275" w:rsidRPr="00774FA7">
        <w:rPr>
          <w:rFonts w:ascii="Times New Roman" w:eastAsia="Calibri" w:hAnsi="Times New Roman" w:cs="Times New Roman"/>
          <w:sz w:val="24"/>
          <w:szCs w:val="24"/>
        </w:rPr>
        <w:t>,</w:t>
      </w:r>
      <w:r w:rsidR="00034BC0" w:rsidRPr="00774FA7">
        <w:rPr>
          <w:rFonts w:ascii="Times New Roman" w:eastAsia="Calibri" w:hAnsi="Times New Roman" w:cs="Times New Roman"/>
          <w:sz w:val="24"/>
          <w:szCs w:val="24"/>
        </w:rPr>
        <w:t xml:space="preserve"> jeżeli jest ona wydawana </w:t>
      </w:r>
      <w:r w:rsidR="00076C40" w:rsidRPr="00774FA7">
        <w:rPr>
          <w:rFonts w:ascii="Times New Roman" w:eastAsia="Calibri" w:hAnsi="Times New Roman" w:cs="Times New Roman"/>
          <w:sz w:val="24"/>
          <w:szCs w:val="24"/>
        </w:rPr>
        <w:t>osobie, od której pobranie odcisków linii papilarnych jest fizycznie niemożliwe</w:t>
      </w:r>
      <w:r w:rsidR="00AD06A4" w:rsidRPr="00774FA7">
        <w:rPr>
          <w:rFonts w:ascii="Times New Roman" w:eastAsia="Calibri" w:hAnsi="Times New Roman" w:cs="Times New Roman"/>
          <w:sz w:val="24"/>
          <w:szCs w:val="24"/>
        </w:rPr>
        <w:t xml:space="preserve"> lub </w:t>
      </w:r>
      <w:r w:rsidR="00034BC0" w:rsidRPr="00774FA7">
        <w:rPr>
          <w:rFonts w:ascii="Times New Roman" w:eastAsia="Calibri" w:hAnsi="Times New Roman" w:cs="Times New Roman"/>
          <w:sz w:val="24"/>
          <w:szCs w:val="24"/>
        </w:rPr>
        <w:t xml:space="preserve">w stosunku do której </w:t>
      </w:r>
      <w:r w:rsidR="00AD06A4" w:rsidRPr="00774FA7">
        <w:rPr>
          <w:rFonts w:ascii="Times New Roman" w:eastAsia="Calibri" w:hAnsi="Times New Roman" w:cs="Times New Roman"/>
          <w:sz w:val="24"/>
          <w:szCs w:val="24"/>
        </w:rPr>
        <w:t>odstąpiono od osobistego stawiennictwa n</w:t>
      </w:r>
      <w:r w:rsidR="00034BC0" w:rsidRPr="00774FA7">
        <w:rPr>
          <w:rFonts w:ascii="Times New Roman" w:eastAsia="Calibri" w:hAnsi="Times New Roman" w:cs="Times New Roman"/>
          <w:sz w:val="24"/>
          <w:szCs w:val="24"/>
        </w:rPr>
        <w:t>a</w:t>
      </w:r>
      <w:r w:rsidR="00AD06A4" w:rsidRPr="00774FA7">
        <w:rPr>
          <w:rFonts w:ascii="Times New Roman" w:eastAsia="Calibri" w:hAnsi="Times New Roman" w:cs="Times New Roman"/>
          <w:sz w:val="24"/>
          <w:szCs w:val="24"/>
        </w:rPr>
        <w:t xml:space="preserve"> podstawie art. 49 ust. 2b</w:t>
      </w:r>
      <w:r w:rsidR="00034BC0" w:rsidRPr="00774FA7">
        <w:rPr>
          <w:rFonts w:ascii="Times New Roman" w:eastAsia="Calibri" w:hAnsi="Times New Roman" w:cs="Times New Roman"/>
          <w:sz w:val="24"/>
          <w:szCs w:val="24"/>
        </w:rPr>
        <w:t xml:space="preserve">. </w:t>
      </w:r>
      <w:r w:rsidR="00E766F4" w:rsidRPr="00774FA7">
        <w:rPr>
          <w:rFonts w:ascii="Times New Roman" w:eastAsia="Calibri" w:hAnsi="Times New Roman" w:cs="Times New Roman"/>
          <w:sz w:val="24"/>
          <w:szCs w:val="24"/>
        </w:rPr>
        <w:t>Nowoprojektowany</w:t>
      </w:r>
      <w:r w:rsidR="00076C40" w:rsidRPr="00774FA7">
        <w:rPr>
          <w:rFonts w:ascii="Times New Roman" w:eastAsia="Calibri" w:hAnsi="Times New Roman" w:cs="Times New Roman"/>
          <w:sz w:val="24"/>
          <w:szCs w:val="24"/>
        </w:rPr>
        <w:t xml:space="preserve"> ust. 5</w:t>
      </w:r>
      <w:r w:rsidR="00E766F4" w:rsidRPr="00774FA7">
        <w:rPr>
          <w:rFonts w:ascii="Times New Roman" w:eastAsia="Calibri" w:hAnsi="Times New Roman" w:cs="Times New Roman"/>
          <w:sz w:val="24"/>
          <w:szCs w:val="24"/>
        </w:rPr>
        <w:t xml:space="preserve"> </w:t>
      </w:r>
      <w:r w:rsidR="00076C40" w:rsidRPr="00774FA7">
        <w:rPr>
          <w:rFonts w:ascii="Times New Roman" w:eastAsia="Calibri" w:hAnsi="Times New Roman" w:cs="Times New Roman"/>
          <w:sz w:val="24"/>
          <w:szCs w:val="24"/>
        </w:rPr>
        <w:t xml:space="preserve"> przewiduje</w:t>
      </w:r>
      <w:r w:rsidR="00AD458A">
        <w:rPr>
          <w:rFonts w:ascii="Times New Roman" w:eastAsia="Calibri" w:hAnsi="Times New Roman" w:cs="Times New Roman"/>
          <w:sz w:val="24"/>
          <w:szCs w:val="24"/>
        </w:rPr>
        <w:t xml:space="preserve"> zaś</w:t>
      </w:r>
      <w:r w:rsidR="00076C40" w:rsidRPr="00774FA7">
        <w:rPr>
          <w:rFonts w:ascii="Times New Roman" w:eastAsia="Calibri" w:hAnsi="Times New Roman" w:cs="Times New Roman"/>
          <w:sz w:val="24"/>
          <w:szCs w:val="24"/>
        </w:rPr>
        <w:t>, że w zaświadczeniu o zarejestrowaniu pobytu obywatela UE lub karcie pobytu nie będzie umieszczany adres zameldowania na pobyt stały lub czasowy w sytuacji, gdy obywatel UE lub członek rodziny obywatela UE nie zameldował się w miejscu pobytu czasowego trwającego ponad 2 miesiące</w:t>
      </w:r>
      <w:r w:rsidRPr="00774FA7">
        <w:rPr>
          <w:rFonts w:ascii="Times New Roman" w:eastAsia="Calibri" w:hAnsi="Times New Roman" w:cs="Times New Roman"/>
          <w:sz w:val="24"/>
          <w:szCs w:val="24"/>
        </w:rPr>
        <w:t>, analogicznie jak w art. 244 ust. 4 ustawy o cudzoziemcach</w:t>
      </w:r>
      <w:r w:rsidR="00076C40" w:rsidRPr="00774FA7">
        <w:rPr>
          <w:rFonts w:ascii="Times New Roman" w:eastAsia="Calibri" w:hAnsi="Times New Roman" w:cs="Times New Roman"/>
          <w:sz w:val="24"/>
          <w:szCs w:val="24"/>
        </w:rPr>
        <w:t>.</w:t>
      </w:r>
      <w:r w:rsidR="00E766F4" w:rsidRPr="00774FA7">
        <w:rPr>
          <w:rFonts w:ascii="Times New Roman" w:eastAsia="Calibri" w:hAnsi="Times New Roman" w:cs="Times New Roman"/>
          <w:sz w:val="24"/>
          <w:szCs w:val="24"/>
        </w:rPr>
        <w:t xml:space="preserve"> Powyższe stanowi zmodyfikowany odpowiednik art. 52 ust. 1 pkt 5</w:t>
      </w:r>
      <w:r w:rsidR="00E97193" w:rsidRPr="00774FA7">
        <w:rPr>
          <w:rFonts w:ascii="Times New Roman" w:eastAsia="Calibri" w:hAnsi="Times New Roman" w:cs="Times New Roman"/>
          <w:sz w:val="24"/>
          <w:szCs w:val="24"/>
        </w:rPr>
        <w:t xml:space="preserve"> ustawy o wjeździe obywateli UE</w:t>
      </w:r>
      <w:r w:rsidR="00E766F4" w:rsidRPr="00774FA7">
        <w:rPr>
          <w:rFonts w:ascii="Times New Roman" w:eastAsia="Calibri" w:hAnsi="Times New Roman" w:cs="Times New Roman"/>
          <w:sz w:val="24"/>
          <w:szCs w:val="24"/>
        </w:rPr>
        <w:t>.</w:t>
      </w:r>
    </w:p>
    <w:p w14:paraId="2CBC3203" w14:textId="03F51067"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Dotychczasowy art. 53 </w:t>
      </w:r>
      <w:r w:rsidR="00904072" w:rsidRPr="00774FA7">
        <w:rPr>
          <w:rFonts w:ascii="Times New Roman" w:eastAsia="Calibri" w:hAnsi="Times New Roman" w:cs="Times New Roman"/>
          <w:sz w:val="24"/>
          <w:szCs w:val="24"/>
        </w:rPr>
        <w:t xml:space="preserve">ustawy </w:t>
      </w:r>
      <w:r w:rsidRPr="00774FA7">
        <w:rPr>
          <w:rFonts w:ascii="Times New Roman" w:eastAsia="Calibri" w:hAnsi="Times New Roman" w:cs="Times New Roman"/>
          <w:sz w:val="24"/>
          <w:szCs w:val="24"/>
        </w:rPr>
        <w:t xml:space="preserve">o wjeździe obywateli UE dotyczący odbioru dokumentu potwierdzającego prawo stałego pobytu obywatela UE oraz karty stałego pobytu, został podzielony na dwa przepisy, analogicznie jak ww. art. 29. </w:t>
      </w:r>
      <w:r w:rsidR="00904072" w:rsidRPr="00774FA7">
        <w:rPr>
          <w:rFonts w:ascii="Times New Roman" w:eastAsia="Calibri" w:hAnsi="Times New Roman" w:cs="Times New Roman"/>
          <w:sz w:val="24"/>
          <w:szCs w:val="24"/>
        </w:rPr>
        <w:t>N</w:t>
      </w:r>
      <w:r w:rsidRPr="00774FA7">
        <w:rPr>
          <w:rFonts w:ascii="Times New Roman" w:eastAsia="Calibri" w:hAnsi="Times New Roman" w:cs="Times New Roman"/>
          <w:sz w:val="24"/>
          <w:szCs w:val="24"/>
        </w:rPr>
        <w:t>owoprojektowany art. 53 reguluje kwestię dokumentu potwierdzającego prawo stałego pobytu obywatela UE, zaś</w:t>
      </w:r>
      <w:r w:rsidR="00163A34" w:rsidRPr="00774FA7">
        <w:rPr>
          <w:rFonts w:ascii="Times New Roman" w:eastAsia="Calibri" w:hAnsi="Times New Roman" w:cs="Times New Roman"/>
          <w:sz w:val="24"/>
          <w:szCs w:val="24"/>
        </w:rPr>
        <w:t xml:space="preserve"> doda</w:t>
      </w:r>
      <w:r w:rsidR="00E766F4" w:rsidRPr="00774FA7">
        <w:rPr>
          <w:rFonts w:ascii="Times New Roman" w:eastAsia="Calibri" w:hAnsi="Times New Roman" w:cs="Times New Roman"/>
          <w:sz w:val="24"/>
          <w:szCs w:val="24"/>
        </w:rPr>
        <w:t>wa</w:t>
      </w:r>
      <w:r w:rsidR="00163A34" w:rsidRPr="00774FA7">
        <w:rPr>
          <w:rFonts w:ascii="Times New Roman" w:eastAsia="Calibri" w:hAnsi="Times New Roman" w:cs="Times New Roman"/>
          <w:sz w:val="24"/>
          <w:szCs w:val="24"/>
        </w:rPr>
        <w:t>ny</w:t>
      </w:r>
      <w:r w:rsidRPr="00774FA7">
        <w:rPr>
          <w:rFonts w:ascii="Times New Roman" w:eastAsia="Calibri" w:hAnsi="Times New Roman" w:cs="Times New Roman"/>
          <w:sz w:val="24"/>
          <w:szCs w:val="24"/>
        </w:rPr>
        <w:t xml:space="preserve"> art. 53a dotyczy odbioru karty stałego pobytu. Rozwiązania dotyczące odbioru ww. dokumentu zawarte w art. 53 ust. 1 pozostają, co do zasady, bez zmian w stosunku do obecnie obowiązujących przepisów. </w:t>
      </w:r>
      <w:r w:rsidR="00570275" w:rsidRPr="00774FA7">
        <w:rPr>
          <w:rFonts w:ascii="Times New Roman" w:eastAsia="Calibri" w:hAnsi="Times New Roman" w:cs="Times New Roman"/>
          <w:sz w:val="24"/>
          <w:szCs w:val="24"/>
        </w:rPr>
        <w:t xml:space="preserve">Z kolei </w:t>
      </w:r>
      <w:r w:rsidR="001A69F2" w:rsidRPr="00774FA7">
        <w:rPr>
          <w:rFonts w:ascii="Times New Roman" w:eastAsia="Calibri" w:hAnsi="Times New Roman" w:cs="Times New Roman"/>
          <w:sz w:val="24"/>
          <w:szCs w:val="24"/>
        </w:rPr>
        <w:t>a</w:t>
      </w:r>
      <w:r w:rsidRPr="00774FA7">
        <w:rPr>
          <w:rFonts w:ascii="Times New Roman" w:eastAsia="Calibri" w:hAnsi="Times New Roman" w:cs="Times New Roman"/>
          <w:sz w:val="24"/>
          <w:szCs w:val="24"/>
        </w:rPr>
        <w:t xml:space="preserve">rt. 53 ust. 2 </w:t>
      </w:r>
      <w:r w:rsidR="00957CC6">
        <w:rPr>
          <w:rFonts w:ascii="Times New Roman" w:eastAsia="Calibri" w:hAnsi="Times New Roman" w:cs="Times New Roman"/>
          <w:sz w:val="24"/>
          <w:szCs w:val="24"/>
        </w:rPr>
        <w:t>dotyczą</w:t>
      </w:r>
      <w:r w:rsidR="00AD458A">
        <w:rPr>
          <w:rFonts w:ascii="Times New Roman" w:eastAsia="Calibri" w:hAnsi="Times New Roman" w:cs="Times New Roman"/>
          <w:sz w:val="24"/>
          <w:szCs w:val="24"/>
        </w:rPr>
        <w:t>cy</w:t>
      </w:r>
      <w:r w:rsidR="00AD458A" w:rsidRPr="00774FA7">
        <w:rPr>
          <w:rFonts w:ascii="Times New Roman" w:eastAsia="Calibri" w:hAnsi="Times New Roman" w:cs="Times New Roman"/>
          <w:sz w:val="24"/>
          <w:szCs w:val="24"/>
        </w:rPr>
        <w:t xml:space="preserve"> </w:t>
      </w:r>
      <w:r w:rsidR="001A69F2" w:rsidRPr="00774FA7">
        <w:rPr>
          <w:rFonts w:ascii="Times New Roman" w:eastAsia="Calibri" w:hAnsi="Times New Roman" w:cs="Times New Roman"/>
          <w:sz w:val="24"/>
          <w:szCs w:val="24"/>
        </w:rPr>
        <w:t xml:space="preserve">odbioru dokumentu potwierdzającego prawo stałego pobytu </w:t>
      </w:r>
      <w:r w:rsidRPr="00774FA7">
        <w:rPr>
          <w:rFonts w:ascii="Times New Roman" w:eastAsia="Calibri" w:hAnsi="Times New Roman" w:cs="Times New Roman"/>
          <w:sz w:val="24"/>
          <w:szCs w:val="24"/>
        </w:rPr>
        <w:t xml:space="preserve">odsyła do przepisów art. 29 ust 2 – 4.  </w:t>
      </w:r>
    </w:p>
    <w:p w14:paraId="377BC208" w14:textId="50A492BC" w:rsidR="000F7A70" w:rsidRPr="000F7A70" w:rsidRDefault="000F7A70" w:rsidP="000F7A70">
      <w:pPr>
        <w:spacing w:after="0" w:line="288" w:lineRule="auto"/>
        <w:ind w:firstLine="709"/>
        <w:jc w:val="both"/>
        <w:rPr>
          <w:rFonts w:ascii="Times New Roman" w:eastAsia="Calibri" w:hAnsi="Times New Roman" w:cs="Times New Roman"/>
          <w:sz w:val="24"/>
          <w:szCs w:val="24"/>
        </w:rPr>
      </w:pPr>
      <w:r w:rsidRPr="000F7A70">
        <w:rPr>
          <w:rFonts w:ascii="Times New Roman" w:eastAsia="Calibri" w:hAnsi="Times New Roman" w:cs="Times New Roman"/>
          <w:sz w:val="24"/>
          <w:szCs w:val="24"/>
        </w:rPr>
        <w:t xml:space="preserve">W art. 53a ust. 1 ustawy o wjeździe obywateli UE wprowadzono regulację odnoszącą się do odbioru karty stałego pobytu przez członka rodziny niebędącego obywatelem UE, którą będzie się odbierać osobiście po okazaniu ważnego dokumentu podróży, analogicznie do rozwiązania dotyczącego odbioru karty pobytowej uregulowanego w art. 29a ust. 1. Proponowane rozwiązanie przewiduje obowiązek osobistego odbioru karty stałego pobytu z uwagi na konieczność porównania odcisków linii papilarnych zamieszczonych na  karcie z odciskami linii papilarnych członka rodziny obywatela UE. Przepis ust. 2 dotyczący odbioru karty stałego pobytu wydanej ww. członkowi rodziny odsyła do przepisów art. 29a ust. 2 – 6 regulujących w sposób szczegółowy odbiór karty pobytowej.   </w:t>
      </w:r>
    </w:p>
    <w:p w14:paraId="472B37EF" w14:textId="77777777"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55 ustawy o wjeździe obywateli UE określono, iż dokument potwierdzający prawo stałego pobytu i karta stałego pobytu są ważne przez okres 10 lat. Dotychczasowa regulacja prawna dotyczyła tylko kart stałego pobytu. </w:t>
      </w:r>
    </w:p>
    <w:p w14:paraId="600DABE1" w14:textId="4A07419A"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56 ust. 1, analogicznie jak w art. 31 ust. 1, wprowadzono nowe przesłanki odmowy wydania dokumentu potwierdzającego prawo stałego pobytu obywatela UE i wydania karty stałego pobytu, na wzór </w:t>
      </w:r>
      <w:r w:rsidR="001A183F" w:rsidRPr="00774FA7">
        <w:rPr>
          <w:rFonts w:ascii="Times New Roman" w:eastAsia="Calibri" w:hAnsi="Times New Roman" w:cs="Times New Roman"/>
          <w:sz w:val="24"/>
          <w:szCs w:val="24"/>
        </w:rPr>
        <w:t xml:space="preserve">przepisów </w:t>
      </w:r>
      <w:r w:rsidRPr="00774FA7">
        <w:rPr>
          <w:rFonts w:ascii="Times New Roman" w:eastAsia="Calibri" w:hAnsi="Times New Roman" w:cs="Times New Roman"/>
          <w:sz w:val="24"/>
          <w:szCs w:val="24"/>
        </w:rPr>
        <w:t>ustawy o cudzoziemcach. Ponadto</w:t>
      </w:r>
      <w:r w:rsidR="00DA78CC"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podobnie jak w przypadku innych przepisów dotyczących ograniczenia swobody przepływu osób</w:t>
      </w:r>
      <w:r w:rsidR="00DA78CC"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 art. 56 w ust. 1 w pkt 2 doprecyzowano, że odmowa wydania dokumentu potwierdzającego prawo stałego pobytu obywatela UE oraz odmowa wydania karty stałego pobytu może nastąpić</w:t>
      </w:r>
      <w:r w:rsidR="00B501F7" w:rsidRPr="00774FA7">
        <w:rPr>
          <w:rFonts w:ascii="Times New Roman" w:eastAsia="Calibri" w:hAnsi="Times New Roman" w:cs="Times New Roman"/>
          <w:sz w:val="24"/>
          <w:szCs w:val="24"/>
        </w:rPr>
        <w:t>, gdy</w:t>
      </w:r>
      <w:r w:rsidRPr="00774FA7">
        <w:rPr>
          <w:rFonts w:ascii="Times New Roman" w:eastAsia="Calibri" w:hAnsi="Times New Roman" w:cs="Times New Roman"/>
          <w:sz w:val="24"/>
          <w:szCs w:val="24"/>
        </w:rPr>
        <w:t xml:space="preserve"> </w:t>
      </w:r>
      <w:r w:rsidR="00B501F7" w:rsidRPr="00774FA7">
        <w:rPr>
          <w:rFonts w:ascii="Times New Roman" w:eastAsia="Calibri" w:hAnsi="Times New Roman" w:cs="Times New Roman"/>
          <w:sz w:val="24"/>
          <w:szCs w:val="24"/>
        </w:rPr>
        <w:t xml:space="preserve">wymagają tego względy obronności lub bezpieczeństwa państwa </w:t>
      </w:r>
      <w:r w:rsidR="00B501F7" w:rsidRPr="00774FA7">
        <w:rPr>
          <w:rFonts w:ascii="Times New Roman" w:eastAsia="Calibri" w:hAnsi="Times New Roman" w:cs="Times New Roman"/>
          <w:sz w:val="24"/>
          <w:szCs w:val="24"/>
        </w:rPr>
        <w:lastRenderedPageBreak/>
        <w:t>lub ochrony bezpieczeństwa i porządku publicznego</w:t>
      </w:r>
      <w:r w:rsidRPr="00774FA7">
        <w:rPr>
          <w:rFonts w:ascii="Times New Roman" w:eastAsia="Calibri" w:hAnsi="Times New Roman" w:cs="Times New Roman"/>
          <w:sz w:val="24"/>
          <w:szCs w:val="24"/>
        </w:rPr>
        <w:t xml:space="preserve">. W ust. 1 pkt 3 i 4 </w:t>
      </w:r>
      <w:r w:rsidR="00DA78CC" w:rsidRPr="00774FA7">
        <w:rPr>
          <w:rFonts w:ascii="Times New Roman" w:eastAsia="Calibri" w:hAnsi="Times New Roman" w:cs="Times New Roman"/>
          <w:sz w:val="24"/>
          <w:szCs w:val="24"/>
        </w:rPr>
        <w:t xml:space="preserve">z kolei </w:t>
      </w:r>
      <w:r w:rsidRPr="00774FA7">
        <w:rPr>
          <w:rFonts w:ascii="Times New Roman" w:eastAsia="Calibri" w:hAnsi="Times New Roman" w:cs="Times New Roman"/>
          <w:sz w:val="24"/>
          <w:szCs w:val="24"/>
        </w:rPr>
        <w:t>dodano nowe przesłanki odmowy wydania dokumentu potwierdzającego prawo stałego pobytu obywatela UE i wydania karty stałego pobytu, analogicznie jak w przypadku art. 31 ust. 1 pkt 3 i 4. Powyższe jest zgodne z rozwiązaniami wynikającymi z art. 35 dyrektywy 2004/38/WE.</w:t>
      </w:r>
    </w:p>
    <w:p w14:paraId="4077FC4D" w14:textId="18963969" w:rsidR="00FF1F42" w:rsidRPr="00774FA7" w:rsidRDefault="00FF1F42"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art. 56 ust. 2 zakresem przepisu objęty został również małżonek obywatela Rzeczypospolitej Polskiej. Powyższa zmiana wynika ze zmiany zakresu podmiotowego ustawy o wjeździe obywatel</w:t>
      </w:r>
      <w:r w:rsidR="00AD458A">
        <w:rPr>
          <w:rFonts w:ascii="Times New Roman" w:eastAsia="Calibri" w:hAnsi="Times New Roman" w:cs="Times New Roman"/>
          <w:sz w:val="24"/>
          <w:szCs w:val="24"/>
        </w:rPr>
        <w:t>i</w:t>
      </w:r>
      <w:r w:rsidRPr="00774FA7">
        <w:rPr>
          <w:rFonts w:ascii="Times New Roman" w:eastAsia="Calibri" w:hAnsi="Times New Roman" w:cs="Times New Roman"/>
          <w:sz w:val="24"/>
          <w:szCs w:val="24"/>
        </w:rPr>
        <w:t xml:space="preserve"> UE</w:t>
      </w:r>
      <w:r w:rsidR="00AD458A">
        <w:rPr>
          <w:rFonts w:ascii="Times New Roman" w:eastAsia="Calibri" w:hAnsi="Times New Roman" w:cs="Times New Roman"/>
          <w:sz w:val="24"/>
          <w:szCs w:val="24"/>
        </w:rPr>
        <w:t>,</w:t>
      </w:r>
      <w:r w:rsidR="00495B1A" w:rsidRPr="00774FA7">
        <w:rPr>
          <w:rFonts w:ascii="Times New Roman" w:eastAsia="Calibri" w:hAnsi="Times New Roman" w:cs="Times New Roman"/>
          <w:sz w:val="24"/>
          <w:szCs w:val="24"/>
        </w:rPr>
        <w:t xml:space="preserve"> wynikającej z dostosowania polskiego prawa do wyroku w sprawie C-456/12 O i B</w:t>
      </w:r>
      <w:r w:rsidRPr="00774FA7">
        <w:rPr>
          <w:rFonts w:ascii="Times New Roman" w:eastAsia="Calibri" w:hAnsi="Times New Roman" w:cs="Times New Roman"/>
          <w:sz w:val="24"/>
          <w:szCs w:val="24"/>
        </w:rPr>
        <w:t xml:space="preserve">.  </w:t>
      </w:r>
    </w:p>
    <w:p w14:paraId="0787D1B3" w14:textId="25A6A405"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Przepis art. 57 ustawy o wjeździe obywateli UE otrzymał nowe brzmienie w związku ze zmianami wprowadzonymi w art. 32 niniejszej ustawy, a także potrzebą ujednolicenia z analogicznymi przepisami ustaw</w:t>
      </w:r>
      <w:r w:rsidR="008526E9" w:rsidRPr="00774FA7">
        <w:rPr>
          <w:rFonts w:ascii="Times New Roman" w:eastAsia="Calibri" w:hAnsi="Times New Roman" w:cs="Times New Roman"/>
          <w:sz w:val="24"/>
          <w:szCs w:val="24"/>
        </w:rPr>
        <w:t>y</w:t>
      </w:r>
      <w:r w:rsidRPr="00774FA7">
        <w:rPr>
          <w:rFonts w:ascii="Times New Roman" w:eastAsia="Calibri" w:hAnsi="Times New Roman" w:cs="Times New Roman"/>
          <w:sz w:val="24"/>
          <w:szCs w:val="24"/>
        </w:rPr>
        <w:t xml:space="preserve"> o cudzoziemcach oraz w celu zapewnienia spójności tych przepisów. Powyższa zmiana jest</w:t>
      </w:r>
      <w:r w:rsidR="00963B06" w:rsidRPr="00774FA7">
        <w:rPr>
          <w:rFonts w:ascii="Times New Roman" w:eastAsia="Calibri" w:hAnsi="Times New Roman" w:cs="Times New Roman"/>
          <w:sz w:val="24"/>
          <w:szCs w:val="24"/>
        </w:rPr>
        <w:t xml:space="preserve"> także</w:t>
      </w:r>
      <w:r w:rsidRPr="00774FA7">
        <w:rPr>
          <w:rFonts w:ascii="Times New Roman" w:eastAsia="Calibri" w:hAnsi="Times New Roman" w:cs="Times New Roman"/>
          <w:sz w:val="24"/>
          <w:szCs w:val="24"/>
        </w:rPr>
        <w:t xml:space="preserve"> </w:t>
      </w:r>
      <w:r w:rsidR="00DA78CC" w:rsidRPr="00774FA7">
        <w:rPr>
          <w:rFonts w:ascii="Times New Roman" w:eastAsia="Calibri" w:hAnsi="Times New Roman" w:cs="Times New Roman"/>
          <w:sz w:val="24"/>
          <w:szCs w:val="24"/>
        </w:rPr>
        <w:t xml:space="preserve">efektem </w:t>
      </w:r>
      <w:r w:rsidR="00963B06" w:rsidRPr="00774FA7">
        <w:rPr>
          <w:rFonts w:ascii="Times New Roman" w:eastAsia="Calibri" w:hAnsi="Times New Roman" w:cs="Times New Roman"/>
          <w:sz w:val="24"/>
          <w:szCs w:val="24"/>
        </w:rPr>
        <w:t>wprowadzenia nowych</w:t>
      </w:r>
      <w:r w:rsidRPr="00774FA7">
        <w:rPr>
          <w:rFonts w:ascii="Times New Roman" w:eastAsia="Calibri" w:hAnsi="Times New Roman" w:cs="Times New Roman"/>
          <w:sz w:val="24"/>
          <w:szCs w:val="24"/>
        </w:rPr>
        <w:t xml:space="preserve"> formatów dokumentów wydawanych obywatelom UE oraz członkom ich rodzin.  </w:t>
      </w:r>
    </w:p>
    <w:p w14:paraId="00847648" w14:textId="4FE3BFAE"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Niniejszy projekt nadaje nowe brzmienie art. 58</w:t>
      </w:r>
      <w:r w:rsidR="008526E9" w:rsidRPr="00774FA7">
        <w:rPr>
          <w:rFonts w:ascii="Times New Roman" w:eastAsia="Calibri" w:hAnsi="Times New Roman" w:cs="Times New Roman"/>
          <w:sz w:val="24"/>
          <w:szCs w:val="24"/>
        </w:rPr>
        <w:t xml:space="preserve"> ustawy o wjeździe obywateli UE</w:t>
      </w:r>
      <w:r w:rsidRPr="00774FA7">
        <w:rPr>
          <w:rFonts w:ascii="Times New Roman" w:eastAsia="Calibri" w:hAnsi="Times New Roman" w:cs="Times New Roman"/>
          <w:sz w:val="24"/>
          <w:szCs w:val="24"/>
        </w:rPr>
        <w:t>. W miejsce dotychczasowych uregulowań dotyczących wymiany lub wydania nowych dokumentów potwierdzających prawo stałego pobytu wprowadzono odesłanie do przepisów art. 33</w:t>
      </w:r>
      <w:r w:rsidR="000044C9" w:rsidRPr="00774FA7">
        <w:rPr>
          <w:rFonts w:ascii="Times New Roman" w:eastAsia="Calibri" w:hAnsi="Times New Roman" w:cs="Times New Roman"/>
          <w:sz w:val="24"/>
          <w:szCs w:val="24"/>
        </w:rPr>
        <w:t xml:space="preserve"> ust. 1a-7,</w:t>
      </w:r>
      <w:r w:rsidRPr="00774FA7">
        <w:rPr>
          <w:rFonts w:ascii="Times New Roman" w:eastAsia="Calibri" w:hAnsi="Times New Roman" w:cs="Times New Roman"/>
          <w:sz w:val="24"/>
          <w:szCs w:val="24"/>
        </w:rPr>
        <w:t xml:space="preserve"> </w:t>
      </w:r>
      <w:r w:rsidR="00DA78CC" w:rsidRPr="00774FA7">
        <w:rPr>
          <w:rFonts w:ascii="Times New Roman" w:eastAsia="Calibri" w:hAnsi="Times New Roman" w:cs="Times New Roman"/>
          <w:sz w:val="24"/>
          <w:szCs w:val="24"/>
        </w:rPr>
        <w:t>które regulują kwestie wymiany oraz wydani</w:t>
      </w:r>
      <w:r w:rsidR="00963B06" w:rsidRPr="00774FA7">
        <w:rPr>
          <w:rFonts w:ascii="Times New Roman" w:eastAsia="Calibri" w:hAnsi="Times New Roman" w:cs="Times New Roman"/>
          <w:sz w:val="24"/>
          <w:szCs w:val="24"/>
        </w:rPr>
        <w:t>a</w:t>
      </w:r>
      <w:r w:rsidR="00DA78CC" w:rsidRPr="00774FA7">
        <w:rPr>
          <w:rFonts w:ascii="Times New Roman" w:eastAsia="Calibri" w:hAnsi="Times New Roman" w:cs="Times New Roman"/>
          <w:sz w:val="24"/>
          <w:szCs w:val="24"/>
        </w:rPr>
        <w:t xml:space="preserve"> nowego zaświadczenia o zarejestrowaniu pobytu lub nowej karty pobytowej.</w:t>
      </w:r>
    </w:p>
    <w:p w14:paraId="2985C81E" w14:textId="63220486" w:rsidR="00C41E1E" w:rsidRPr="00774FA7" w:rsidRDefault="00C41E1E"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związku ze zmianą formatów dokumentów wydawanych obywatelom UE oraz członkom ich rodzin konieczne było wprowadzenie regulacji dotyczących zawiadamiania o utracie lub uszkodzeniu dokumentu potwierdzającego prawo stałego pobytu obywatela UE oraz karty stałego pobytu. Powyższe nastąpiło w projektowanym </w:t>
      </w:r>
      <w:r w:rsidR="00076C40" w:rsidRPr="00774FA7">
        <w:rPr>
          <w:rFonts w:ascii="Times New Roman" w:eastAsia="Calibri" w:hAnsi="Times New Roman" w:cs="Times New Roman"/>
          <w:sz w:val="24"/>
          <w:szCs w:val="24"/>
        </w:rPr>
        <w:t>art. 58a</w:t>
      </w:r>
      <w:r w:rsidRPr="00774FA7">
        <w:rPr>
          <w:rFonts w:ascii="Times New Roman" w:eastAsia="Calibri" w:hAnsi="Times New Roman" w:cs="Times New Roman"/>
          <w:sz w:val="24"/>
          <w:szCs w:val="24"/>
        </w:rPr>
        <w:t>, w którym to przepisie projektodawca zamieścił</w:t>
      </w:r>
      <w:r w:rsidR="00076C40" w:rsidRPr="00774FA7">
        <w:rPr>
          <w:rFonts w:ascii="Times New Roman" w:eastAsia="Calibri" w:hAnsi="Times New Roman" w:cs="Times New Roman"/>
          <w:sz w:val="24"/>
          <w:szCs w:val="24"/>
        </w:rPr>
        <w:t xml:space="preserve"> odesłanie do</w:t>
      </w:r>
      <w:r w:rsidR="00963B06" w:rsidRPr="00774FA7">
        <w:rPr>
          <w:rFonts w:ascii="Times New Roman" w:eastAsia="Calibri" w:hAnsi="Times New Roman" w:cs="Times New Roman"/>
          <w:sz w:val="24"/>
          <w:szCs w:val="24"/>
        </w:rPr>
        <w:t xml:space="preserve"> regulacji zawartych</w:t>
      </w:r>
      <w:r w:rsidR="00076C40" w:rsidRPr="00774FA7">
        <w:rPr>
          <w:rFonts w:ascii="Times New Roman" w:eastAsia="Calibri" w:hAnsi="Times New Roman" w:cs="Times New Roman"/>
          <w:sz w:val="24"/>
          <w:szCs w:val="24"/>
        </w:rPr>
        <w:t xml:space="preserve"> art. 33a</w:t>
      </w:r>
      <w:r w:rsidR="00E621C8" w:rsidRPr="00774FA7">
        <w:rPr>
          <w:rFonts w:ascii="Times New Roman" w:eastAsia="Calibri" w:hAnsi="Times New Roman" w:cs="Times New Roman"/>
          <w:sz w:val="24"/>
          <w:szCs w:val="24"/>
        </w:rPr>
        <w:t xml:space="preserve"> ust. 1-3, art. 33b</w:t>
      </w:r>
      <w:r w:rsidR="00076C40" w:rsidRPr="00774FA7">
        <w:rPr>
          <w:rFonts w:ascii="Times New Roman" w:eastAsia="Calibri" w:hAnsi="Times New Roman" w:cs="Times New Roman"/>
          <w:sz w:val="24"/>
          <w:szCs w:val="24"/>
        </w:rPr>
        <w:t xml:space="preserve"> </w:t>
      </w:r>
      <w:r w:rsidR="00E621C8" w:rsidRPr="00774FA7">
        <w:rPr>
          <w:rFonts w:ascii="Times New Roman" w:eastAsia="Calibri" w:hAnsi="Times New Roman" w:cs="Times New Roman"/>
          <w:sz w:val="24"/>
          <w:szCs w:val="24"/>
        </w:rPr>
        <w:t xml:space="preserve">i art. </w:t>
      </w:r>
      <w:r w:rsidR="00076C40" w:rsidRPr="00774FA7">
        <w:rPr>
          <w:rFonts w:ascii="Times New Roman" w:eastAsia="Calibri" w:hAnsi="Times New Roman" w:cs="Times New Roman"/>
          <w:sz w:val="24"/>
          <w:szCs w:val="24"/>
        </w:rPr>
        <w:t xml:space="preserve">33c. </w:t>
      </w:r>
    </w:p>
    <w:p w14:paraId="0C5AE82A" w14:textId="2483A90E"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art. 59 ustawy o wjeździe obywateli UE została zaproponowana w związku z dodaniem w </w:t>
      </w:r>
      <w:r w:rsidR="008526E9" w:rsidRPr="00774FA7">
        <w:rPr>
          <w:rFonts w:ascii="Times New Roman" w:eastAsia="Calibri" w:hAnsi="Times New Roman" w:cs="Times New Roman"/>
          <w:sz w:val="24"/>
          <w:szCs w:val="24"/>
        </w:rPr>
        <w:t xml:space="preserve">tej </w:t>
      </w:r>
      <w:r w:rsidRPr="00774FA7">
        <w:rPr>
          <w:rFonts w:ascii="Times New Roman" w:eastAsia="Calibri" w:hAnsi="Times New Roman" w:cs="Times New Roman"/>
          <w:sz w:val="24"/>
          <w:szCs w:val="24"/>
        </w:rPr>
        <w:t xml:space="preserve">ustawie art. 53a dotyczącego odbioru karty stałego pobytu, w konsekwencji czego konieczne stało się </w:t>
      </w:r>
      <w:r w:rsidR="0081493B" w:rsidRPr="00774FA7">
        <w:rPr>
          <w:rFonts w:ascii="Times New Roman" w:eastAsia="Calibri" w:hAnsi="Times New Roman" w:cs="Times New Roman"/>
          <w:sz w:val="24"/>
          <w:szCs w:val="24"/>
        </w:rPr>
        <w:t xml:space="preserve">wprowadzenie regulacji w zakresie odbioru nowego dokumentu potwierdzającego prawo stałego pobytu i karty stałego pobytu. Powyższe nastąpiło poprzez </w:t>
      </w:r>
      <w:r w:rsidRPr="00774FA7">
        <w:rPr>
          <w:rFonts w:ascii="Times New Roman" w:eastAsia="Calibri" w:hAnsi="Times New Roman" w:cs="Times New Roman"/>
          <w:sz w:val="24"/>
          <w:szCs w:val="24"/>
        </w:rPr>
        <w:t>odesła</w:t>
      </w:r>
      <w:r w:rsidR="0081493B" w:rsidRPr="00774FA7">
        <w:rPr>
          <w:rFonts w:ascii="Times New Roman" w:eastAsia="Calibri" w:hAnsi="Times New Roman" w:cs="Times New Roman"/>
          <w:sz w:val="24"/>
          <w:szCs w:val="24"/>
        </w:rPr>
        <w:t>nie</w:t>
      </w:r>
      <w:r w:rsidRPr="00774FA7">
        <w:rPr>
          <w:rFonts w:ascii="Times New Roman" w:eastAsia="Calibri" w:hAnsi="Times New Roman" w:cs="Times New Roman"/>
          <w:sz w:val="24"/>
          <w:szCs w:val="24"/>
        </w:rPr>
        <w:t xml:space="preserve"> do </w:t>
      </w:r>
      <w:r w:rsidR="0081493B" w:rsidRPr="00774FA7">
        <w:rPr>
          <w:rFonts w:ascii="Times New Roman" w:eastAsia="Calibri" w:hAnsi="Times New Roman" w:cs="Times New Roman"/>
          <w:sz w:val="24"/>
          <w:szCs w:val="24"/>
        </w:rPr>
        <w:t>art. 29 niniejszego projektu regulującego odbiór zaświadczenia o zarejestrowaniu pobytu</w:t>
      </w:r>
      <w:r w:rsidR="00FF1F42" w:rsidRPr="00774FA7">
        <w:rPr>
          <w:rFonts w:ascii="Times New Roman" w:eastAsia="Calibri" w:hAnsi="Times New Roman" w:cs="Times New Roman"/>
          <w:sz w:val="24"/>
          <w:szCs w:val="24"/>
        </w:rPr>
        <w:t xml:space="preserve"> oraz art. 29a </w:t>
      </w:r>
      <w:r w:rsidR="001D15E8" w:rsidRPr="00774FA7">
        <w:rPr>
          <w:rFonts w:ascii="Times New Roman" w:eastAsia="Calibri" w:hAnsi="Times New Roman" w:cs="Times New Roman"/>
          <w:sz w:val="24"/>
          <w:szCs w:val="24"/>
        </w:rPr>
        <w:t>niniejszego projektu regulującego odbiór karty stałego pobytu</w:t>
      </w:r>
      <w:r w:rsidR="0081493B" w:rsidRPr="00774FA7">
        <w:rPr>
          <w:rFonts w:ascii="Times New Roman" w:eastAsia="Calibri" w:hAnsi="Times New Roman" w:cs="Times New Roman"/>
          <w:sz w:val="24"/>
          <w:szCs w:val="24"/>
        </w:rPr>
        <w:t>.</w:t>
      </w:r>
    </w:p>
    <w:p w14:paraId="16894EC1" w14:textId="2B2A142E"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Zgodnie z nowym brzmieniem art. 60 ust. 1 pkt 1 oraz ust. 2 pkt 1 ustawy o wjeździe obywateli UE unieważnienie dokumentu potwierdzającego prawo stałego pobytu obywatela UE oraz karty stałego pobytu</w:t>
      </w:r>
      <w:r w:rsidRPr="00774FA7">
        <w:rPr>
          <w:rFonts w:ascii="Times New Roman" w:eastAsia="Times New Roman" w:hAnsi="Times New Roman" w:cs="Times New Roman"/>
          <w:sz w:val="24"/>
          <w:szCs w:val="24"/>
          <w:lang w:eastAsia="pl-PL"/>
        </w:rPr>
        <w:t xml:space="preserve"> </w:t>
      </w:r>
      <w:r w:rsidRPr="00774FA7">
        <w:rPr>
          <w:rFonts w:ascii="Times New Roman" w:eastAsia="Calibri" w:hAnsi="Times New Roman" w:cs="Times New Roman"/>
          <w:sz w:val="24"/>
          <w:szCs w:val="24"/>
        </w:rPr>
        <w:t xml:space="preserve">będzie następowało w przypadku, </w:t>
      </w:r>
      <w:r w:rsidR="0081493B" w:rsidRPr="00774FA7">
        <w:rPr>
          <w:rFonts w:ascii="Times New Roman" w:eastAsia="Calibri" w:hAnsi="Times New Roman" w:cs="Times New Roman"/>
          <w:sz w:val="24"/>
          <w:szCs w:val="24"/>
        </w:rPr>
        <w:t xml:space="preserve">gdy </w:t>
      </w:r>
      <w:r w:rsidRPr="00774FA7">
        <w:rPr>
          <w:rFonts w:ascii="Times New Roman" w:eastAsia="Calibri" w:hAnsi="Times New Roman" w:cs="Times New Roman"/>
          <w:sz w:val="24"/>
          <w:szCs w:val="24"/>
        </w:rPr>
        <w:t xml:space="preserve">wnioskodawca złożył wniosek zawierający nieprawdziwe dane osobowe lub fałszywe informacje lub dołączył do niego dokumenty zawierające takie dane lub informacje, lub zeznał nieprawdę lub zataił prawdę albo podrobił lub przerobił dokument w celu jego użycia jako autentycznego lub takiego dokumentu używał jako autentycznego. Powyższe rozwiązanie jest analogiczne jak w nowelizowanym art. 10 ust. 2 pkt 3, art. 31 ust. 1 pkt 3, art. 35 ust. 1 pkt 1, art. 36 ust. 1 pkt 2 oraz art. 56 ust. 1 pkt 3 ustawy o wjeździe obywateli UE. </w:t>
      </w:r>
    </w:p>
    <w:p w14:paraId="2C9EFE22" w14:textId="49F4DA5F"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Ponadto art. 60 ust. 1 pkt 2 oraz ust. 2 pkt 2 ustawy o wjeździe obywateli UE przewiduje, iż unieważnienie dokumentu potwierdzającego prawo stałego pobytu obywatela </w:t>
      </w:r>
      <w:r w:rsidRPr="00774FA7">
        <w:rPr>
          <w:rFonts w:ascii="Times New Roman" w:eastAsia="Calibri" w:hAnsi="Times New Roman" w:cs="Times New Roman"/>
          <w:sz w:val="24"/>
          <w:szCs w:val="24"/>
        </w:rPr>
        <w:lastRenderedPageBreak/>
        <w:t>UE oraz karty stałego pobytu</w:t>
      </w:r>
      <w:r w:rsidRPr="00774FA7">
        <w:rPr>
          <w:rFonts w:ascii="Times New Roman" w:eastAsia="Times New Roman" w:hAnsi="Times New Roman" w:cs="Times New Roman"/>
          <w:sz w:val="24"/>
          <w:szCs w:val="24"/>
          <w:lang w:eastAsia="pl-PL"/>
        </w:rPr>
        <w:t xml:space="preserve"> </w:t>
      </w:r>
      <w:r w:rsidRPr="00774FA7">
        <w:rPr>
          <w:rFonts w:ascii="Times New Roman" w:eastAsia="Calibri" w:hAnsi="Times New Roman" w:cs="Times New Roman"/>
          <w:sz w:val="24"/>
          <w:szCs w:val="24"/>
        </w:rPr>
        <w:t xml:space="preserve">będzie mogło nastąpić, gdy wymagają tego poważne względy obronności lub bezpieczeństwa państwa lub ochrony bezpieczeństwa i porządku publicznego. Przyjęte rozwiązanie jest analogiczne, jak w przypadku odmowy wydania dokumentu potwierdzającego prawo stałego pobytu obywatela UE oraz odmowy wydania karty stałego pobytu, o których mowa w zmienianym art. 56 ust. 1 pkt 2. </w:t>
      </w:r>
    </w:p>
    <w:p w14:paraId="6A8824C8" w14:textId="65886574"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Dodatkowo </w:t>
      </w:r>
      <w:r w:rsidR="005F5F72" w:rsidRPr="00774FA7">
        <w:rPr>
          <w:rFonts w:ascii="Times New Roman" w:eastAsia="Calibri" w:hAnsi="Times New Roman" w:cs="Times New Roman"/>
          <w:sz w:val="24"/>
          <w:szCs w:val="24"/>
        </w:rPr>
        <w:t xml:space="preserve">w </w:t>
      </w:r>
      <w:r w:rsidRPr="00774FA7">
        <w:rPr>
          <w:rFonts w:ascii="Times New Roman" w:eastAsia="Times New Roman" w:hAnsi="Times New Roman" w:cs="Times New Roman"/>
          <w:sz w:val="24"/>
          <w:szCs w:val="24"/>
        </w:rPr>
        <w:t xml:space="preserve">art. 60 ust. 1 pkt 3 i ust. 2 pkt 4 </w:t>
      </w:r>
      <w:r w:rsidRPr="00774FA7">
        <w:rPr>
          <w:rFonts w:ascii="Times New Roman" w:eastAsia="Calibri" w:hAnsi="Times New Roman" w:cs="Times New Roman"/>
          <w:sz w:val="24"/>
          <w:szCs w:val="24"/>
        </w:rPr>
        <w:t>przewidziano, iż unieważnienie dokumentu potwierdzającego prawo stałego pobytu obywatela UE oraz karty stałego pobytu</w:t>
      </w:r>
      <w:r w:rsidRPr="00774FA7">
        <w:rPr>
          <w:rFonts w:ascii="Times New Roman" w:eastAsia="Times New Roman" w:hAnsi="Times New Roman" w:cs="Times New Roman"/>
          <w:sz w:val="24"/>
          <w:szCs w:val="24"/>
          <w:lang w:eastAsia="pl-PL"/>
        </w:rPr>
        <w:t xml:space="preserve"> </w:t>
      </w:r>
      <w:r w:rsidRPr="00774FA7">
        <w:rPr>
          <w:rFonts w:ascii="Times New Roman" w:eastAsia="Calibri" w:hAnsi="Times New Roman" w:cs="Times New Roman"/>
          <w:sz w:val="24"/>
          <w:szCs w:val="24"/>
        </w:rPr>
        <w:t xml:space="preserve">będzie mogło mieć miejsce, gdy obywatel UE lub członek jego rodziny nabył prawo stałego </w:t>
      </w:r>
      <w:r w:rsidR="008526E9" w:rsidRPr="00774FA7">
        <w:rPr>
          <w:rFonts w:ascii="Times New Roman" w:eastAsia="Calibri" w:hAnsi="Times New Roman" w:cs="Times New Roman"/>
          <w:sz w:val="24"/>
          <w:szCs w:val="24"/>
        </w:rPr>
        <w:t xml:space="preserve">pobytu </w:t>
      </w:r>
      <w:r w:rsidRPr="00774FA7">
        <w:rPr>
          <w:rFonts w:ascii="Times New Roman" w:eastAsia="Calibri" w:hAnsi="Times New Roman" w:cs="Times New Roman"/>
          <w:sz w:val="24"/>
          <w:szCs w:val="24"/>
        </w:rPr>
        <w:t>w celu obejścia przepisów prawa obowiązujących w innym państwie członkowskim Unii Europejskiej, państwie członkowskim Europejskiego Porozumienia o Wolnym Handlu (EFTA) - strony umowy o Europejskim Obszarze Gospodarczym, Konfederacji Szwajcarskiej regulujących zasady wjazdu na terytorium UE, pobytu oraz wyjazd</w:t>
      </w:r>
      <w:r w:rsidR="008526E9" w:rsidRPr="00774FA7">
        <w:rPr>
          <w:rFonts w:ascii="Times New Roman" w:eastAsia="Calibri" w:hAnsi="Times New Roman" w:cs="Times New Roman"/>
          <w:sz w:val="24"/>
          <w:szCs w:val="24"/>
        </w:rPr>
        <w:t>u</w:t>
      </w:r>
      <w:r w:rsidRPr="00774FA7">
        <w:rPr>
          <w:rFonts w:ascii="Times New Roman" w:eastAsia="Calibri" w:hAnsi="Times New Roman" w:cs="Times New Roman"/>
          <w:sz w:val="24"/>
          <w:szCs w:val="24"/>
        </w:rPr>
        <w:t xml:space="preserve"> z tego terytorium. Powyższe </w:t>
      </w:r>
      <w:r w:rsidR="005F5F72" w:rsidRPr="00774FA7">
        <w:rPr>
          <w:rFonts w:ascii="Times New Roman" w:eastAsia="Calibri" w:hAnsi="Times New Roman" w:cs="Times New Roman"/>
          <w:sz w:val="24"/>
          <w:szCs w:val="24"/>
        </w:rPr>
        <w:t xml:space="preserve">rozwiązanie </w:t>
      </w:r>
      <w:r w:rsidRPr="00774FA7">
        <w:rPr>
          <w:rFonts w:ascii="Times New Roman" w:eastAsia="Calibri" w:hAnsi="Times New Roman" w:cs="Times New Roman"/>
          <w:sz w:val="24"/>
          <w:szCs w:val="24"/>
        </w:rPr>
        <w:t xml:space="preserve">jest zgodne z uregulowaniami </w:t>
      </w:r>
      <w:r w:rsidR="005F5F72" w:rsidRPr="00774FA7">
        <w:rPr>
          <w:rFonts w:ascii="Times New Roman" w:eastAsia="Calibri" w:hAnsi="Times New Roman" w:cs="Times New Roman"/>
          <w:sz w:val="24"/>
          <w:szCs w:val="24"/>
        </w:rPr>
        <w:t xml:space="preserve">przewidzianymi w </w:t>
      </w:r>
      <w:r w:rsidRPr="00774FA7">
        <w:rPr>
          <w:rFonts w:ascii="Times New Roman" w:eastAsia="Calibri" w:hAnsi="Times New Roman" w:cs="Times New Roman"/>
          <w:sz w:val="24"/>
          <w:szCs w:val="24"/>
        </w:rPr>
        <w:t>art. 35 dyrektywy 2004/38/WE, który pozwala państwom członkowskim na ograniczenie prawa do swobody przepływu osób w przypadku nadużyć prawa.</w:t>
      </w:r>
    </w:p>
    <w:p w14:paraId="03F802F9" w14:textId="5BB96188"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60 ust. 3 ustawy o wjeździe obywateli UE wprowadzono uregulowanie pozwalające na unieważnienie dokumentu potwierdzającego prawo stałego pobytu obywatela UE lub karty stałego pobytu, w przypadku gdy obywatel UE lub członek rodziny niebędący obywatelem UE opuścił terytorium Rzeczypospolitej Polskiej na okres przekraczający 2 lata. Powyższe rozwiązanie jest zgodne z art.16 ust. 4 dyrektywy 2004/38/WE, który stanowi, iż </w:t>
      </w:r>
      <w:r w:rsidR="005730C0" w:rsidRPr="00774FA7">
        <w:rPr>
          <w:rFonts w:ascii="Times New Roman" w:eastAsia="Calibri" w:hAnsi="Times New Roman" w:cs="Times New Roman"/>
          <w:i/>
          <w:sz w:val="24"/>
          <w:szCs w:val="24"/>
        </w:rPr>
        <w:t>„</w:t>
      </w:r>
      <w:r w:rsidRPr="00774FA7">
        <w:rPr>
          <w:rFonts w:ascii="Times New Roman" w:eastAsia="Calibri" w:hAnsi="Times New Roman" w:cs="Times New Roman"/>
          <w:i/>
          <w:sz w:val="24"/>
          <w:szCs w:val="24"/>
        </w:rPr>
        <w:t xml:space="preserve">po nabyciu prawa stałego pobytu można je utracić jedynie w wyniku nieobecności w przyjmującym </w:t>
      </w:r>
      <w:r w:rsidR="00A67350" w:rsidRPr="00774FA7">
        <w:rPr>
          <w:rFonts w:ascii="Times New Roman" w:eastAsia="Calibri" w:hAnsi="Times New Roman" w:cs="Times New Roman"/>
          <w:i/>
          <w:sz w:val="24"/>
          <w:szCs w:val="24"/>
        </w:rPr>
        <w:t>P</w:t>
      </w:r>
      <w:r w:rsidRPr="00774FA7">
        <w:rPr>
          <w:rFonts w:ascii="Times New Roman" w:eastAsia="Calibri" w:hAnsi="Times New Roman" w:cs="Times New Roman"/>
          <w:i/>
          <w:sz w:val="24"/>
          <w:szCs w:val="24"/>
        </w:rPr>
        <w:t xml:space="preserve">aństwie </w:t>
      </w:r>
      <w:r w:rsidR="00A67350" w:rsidRPr="00774FA7">
        <w:rPr>
          <w:rFonts w:ascii="Times New Roman" w:eastAsia="Calibri" w:hAnsi="Times New Roman" w:cs="Times New Roman"/>
          <w:i/>
          <w:sz w:val="24"/>
          <w:szCs w:val="24"/>
        </w:rPr>
        <w:t>C</w:t>
      </w:r>
      <w:r w:rsidRPr="00774FA7">
        <w:rPr>
          <w:rFonts w:ascii="Times New Roman" w:eastAsia="Calibri" w:hAnsi="Times New Roman" w:cs="Times New Roman"/>
          <w:i/>
          <w:sz w:val="24"/>
          <w:szCs w:val="24"/>
        </w:rPr>
        <w:t>złonkowskim przez okres przekraczający dwa kolejne lata</w:t>
      </w:r>
      <w:r w:rsidR="005730C0" w:rsidRPr="00774FA7">
        <w:rPr>
          <w:rFonts w:ascii="Times New Roman" w:eastAsia="Calibri" w:hAnsi="Times New Roman" w:cs="Times New Roman"/>
          <w:i/>
          <w:sz w:val="24"/>
          <w:szCs w:val="24"/>
        </w:rPr>
        <w:t>”</w:t>
      </w:r>
      <w:r w:rsidRPr="00774FA7">
        <w:rPr>
          <w:rFonts w:ascii="Times New Roman" w:eastAsia="Calibri" w:hAnsi="Times New Roman" w:cs="Times New Roman"/>
          <w:sz w:val="24"/>
          <w:szCs w:val="24"/>
        </w:rPr>
        <w:t xml:space="preserve">. Dotychczas obowiązujące przepisy prawa przewidywały możliwość unieważnienia z ww. powodów jedynie karty stałego pobytu. </w:t>
      </w:r>
    </w:p>
    <w:p w14:paraId="5C96B6AA" w14:textId="67EEA7B3"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Nadano także nowe brzmienie art. 61 ustawy o wjeździe obywateli UE regulującemu kwestię zwrotu dokumentu potwierdzającego prawo stałego pobytu oraz karty stałego pobytu. Treść projektowanego art. 61 została ujednolicona z brzmieniem art. 37</w:t>
      </w:r>
      <w:r w:rsidR="000044C9" w:rsidRPr="00774FA7">
        <w:rPr>
          <w:rFonts w:ascii="Times New Roman" w:eastAsia="Calibri" w:hAnsi="Times New Roman" w:cs="Times New Roman"/>
          <w:sz w:val="24"/>
          <w:szCs w:val="24"/>
        </w:rPr>
        <w:t>, który</w:t>
      </w:r>
      <w:r w:rsidRPr="00774FA7">
        <w:rPr>
          <w:rFonts w:ascii="Times New Roman" w:eastAsia="Calibri" w:hAnsi="Times New Roman" w:cs="Times New Roman"/>
          <w:sz w:val="24"/>
          <w:szCs w:val="24"/>
        </w:rPr>
        <w:t xml:space="preserve"> </w:t>
      </w:r>
      <w:r w:rsidR="00963B06" w:rsidRPr="00774FA7">
        <w:rPr>
          <w:rFonts w:ascii="Times New Roman" w:eastAsia="Calibri" w:hAnsi="Times New Roman" w:cs="Times New Roman"/>
          <w:sz w:val="24"/>
          <w:szCs w:val="24"/>
        </w:rPr>
        <w:t>reguluj</w:t>
      </w:r>
      <w:r w:rsidR="000044C9" w:rsidRPr="00774FA7">
        <w:rPr>
          <w:rFonts w:ascii="Times New Roman" w:eastAsia="Calibri" w:hAnsi="Times New Roman" w:cs="Times New Roman"/>
          <w:sz w:val="24"/>
          <w:szCs w:val="24"/>
        </w:rPr>
        <w:t>e</w:t>
      </w:r>
      <w:r w:rsidR="00963B06"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zwrot zaświadczenia o zarejestrowaniu pobytu obywatela UE oraz karty pobytowej w przypadku ich unieważnienia.</w:t>
      </w:r>
    </w:p>
    <w:p w14:paraId="1CEA780B" w14:textId="2F10DE45" w:rsidR="00076C40" w:rsidRPr="00774FA7" w:rsidRDefault="00A52F7D" w:rsidP="004F6DC6">
      <w:pPr>
        <w:spacing w:after="0" w:line="288" w:lineRule="auto"/>
        <w:ind w:firstLine="709"/>
        <w:jc w:val="both"/>
        <w:rPr>
          <w:rFonts w:ascii="Times New Roman" w:eastAsia="Calibri" w:hAnsi="Times New Roman" w:cs="Times New Roman"/>
          <w:strike/>
          <w:sz w:val="24"/>
          <w:szCs w:val="24"/>
        </w:rPr>
      </w:pPr>
      <w:r w:rsidRPr="00774FA7">
        <w:rPr>
          <w:rFonts w:ascii="Times New Roman" w:eastAsia="Calibri" w:hAnsi="Times New Roman" w:cs="Times New Roman"/>
          <w:sz w:val="24"/>
          <w:szCs w:val="24"/>
        </w:rPr>
        <w:t>N</w:t>
      </w:r>
      <w:r w:rsidR="00076C40" w:rsidRPr="00774FA7">
        <w:rPr>
          <w:rFonts w:ascii="Times New Roman" w:eastAsia="Calibri" w:hAnsi="Times New Roman" w:cs="Times New Roman"/>
          <w:sz w:val="24"/>
          <w:szCs w:val="24"/>
        </w:rPr>
        <w:t>owoprojektowan</w:t>
      </w:r>
      <w:r w:rsidRPr="00774FA7">
        <w:rPr>
          <w:rFonts w:ascii="Times New Roman" w:eastAsia="Calibri" w:hAnsi="Times New Roman" w:cs="Times New Roman"/>
          <w:sz w:val="24"/>
          <w:szCs w:val="24"/>
        </w:rPr>
        <w:t xml:space="preserve">e przepisy </w:t>
      </w:r>
      <w:r w:rsidR="00076C40" w:rsidRPr="00774FA7">
        <w:rPr>
          <w:rFonts w:ascii="Times New Roman" w:eastAsia="Calibri" w:hAnsi="Times New Roman" w:cs="Times New Roman"/>
          <w:sz w:val="24"/>
          <w:szCs w:val="24"/>
        </w:rPr>
        <w:t xml:space="preserve">art. 61a </w:t>
      </w:r>
      <w:r w:rsidRPr="00774FA7">
        <w:rPr>
          <w:rFonts w:ascii="Times New Roman" w:eastAsia="Calibri" w:hAnsi="Times New Roman" w:cs="Times New Roman"/>
          <w:sz w:val="24"/>
          <w:szCs w:val="24"/>
        </w:rPr>
        <w:t xml:space="preserve">i art. </w:t>
      </w:r>
      <w:r w:rsidR="00076C40" w:rsidRPr="00774FA7">
        <w:rPr>
          <w:rFonts w:ascii="Times New Roman" w:eastAsia="Calibri" w:hAnsi="Times New Roman" w:cs="Times New Roman"/>
          <w:sz w:val="24"/>
          <w:szCs w:val="24"/>
        </w:rPr>
        <w:t xml:space="preserve">61b </w:t>
      </w:r>
      <w:r w:rsidR="00963B06" w:rsidRPr="00774FA7">
        <w:rPr>
          <w:rFonts w:ascii="Times New Roman" w:eastAsia="Calibri" w:hAnsi="Times New Roman" w:cs="Times New Roman"/>
          <w:sz w:val="24"/>
          <w:szCs w:val="24"/>
        </w:rPr>
        <w:t>regulują kwestie anulowania i zwrotu dokumentów potwierdzających prawo stałego pobytu i kart stałego pobytu</w:t>
      </w:r>
      <w:r w:rsidR="00403925"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403925" w:rsidRPr="00774FA7">
        <w:rPr>
          <w:rFonts w:ascii="Times New Roman" w:eastAsia="Calibri" w:hAnsi="Times New Roman" w:cs="Times New Roman"/>
          <w:sz w:val="24"/>
          <w:szCs w:val="24"/>
        </w:rPr>
        <w:t xml:space="preserve">Zaproponowane uregulowania są </w:t>
      </w:r>
      <w:r w:rsidR="00076C40" w:rsidRPr="00774FA7">
        <w:rPr>
          <w:rFonts w:ascii="Times New Roman" w:eastAsia="Calibri" w:hAnsi="Times New Roman" w:cs="Times New Roman"/>
          <w:sz w:val="24"/>
          <w:szCs w:val="24"/>
        </w:rPr>
        <w:t>analogiczne do przepisów dotyczących zaświadczeń o zarejestrowaniu pobytu obywatela UE oraz kart pobytowych</w:t>
      </w:r>
      <w:r w:rsidR="00403925" w:rsidRPr="00774FA7">
        <w:rPr>
          <w:rFonts w:ascii="Times New Roman" w:eastAsia="Calibri" w:hAnsi="Times New Roman" w:cs="Times New Roman"/>
          <w:sz w:val="24"/>
          <w:szCs w:val="24"/>
        </w:rPr>
        <w:t xml:space="preserve"> </w:t>
      </w:r>
      <w:r w:rsidR="00076C40" w:rsidRPr="00774FA7">
        <w:rPr>
          <w:rFonts w:ascii="Times New Roman" w:eastAsia="Calibri" w:hAnsi="Times New Roman" w:cs="Times New Roman"/>
          <w:sz w:val="24"/>
          <w:szCs w:val="24"/>
        </w:rPr>
        <w:t xml:space="preserve"> i są wzorowane na przepisach ustawy o cudzoziemcach.</w:t>
      </w:r>
      <w:r w:rsidR="00963B06" w:rsidRPr="00774FA7">
        <w:rPr>
          <w:rFonts w:ascii="Times New Roman" w:eastAsia="Calibri" w:hAnsi="Times New Roman" w:cs="Times New Roman"/>
          <w:sz w:val="24"/>
          <w:szCs w:val="24"/>
        </w:rPr>
        <w:t xml:space="preserve"> </w:t>
      </w:r>
      <w:r w:rsidR="005F5F72" w:rsidRPr="00774FA7">
        <w:rPr>
          <w:rFonts w:ascii="Times New Roman" w:eastAsia="Calibri" w:hAnsi="Times New Roman" w:cs="Times New Roman"/>
          <w:sz w:val="24"/>
          <w:szCs w:val="24"/>
        </w:rPr>
        <w:t xml:space="preserve">Potrzeba wprowadzenia ww. przepisów </w:t>
      </w:r>
      <w:r w:rsidR="00076C40" w:rsidRPr="00774FA7">
        <w:rPr>
          <w:rFonts w:ascii="Times New Roman" w:eastAsia="Calibri" w:hAnsi="Times New Roman" w:cs="Times New Roman"/>
          <w:sz w:val="24"/>
          <w:szCs w:val="24"/>
        </w:rPr>
        <w:t xml:space="preserve">jest podyktowana zmianą formatów wydawanych dokumentów </w:t>
      </w:r>
      <w:r w:rsidR="005F5F72" w:rsidRPr="00774FA7">
        <w:rPr>
          <w:rFonts w:ascii="Times New Roman" w:eastAsia="Calibri" w:hAnsi="Times New Roman" w:cs="Times New Roman"/>
          <w:sz w:val="24"/>
          <w:szCs w:val="24"/>
        </w:rPr>
        <w:t xml:space="preserve">wynikającą z rozporządzenia </w:t>
      </w:r>
      <w:r w:rsidR="00076C40" w:rsidRPr="00774FA7">
        <w:rPr>
          <w:rFonts w:ascii="Times New Roman" w:eastAsia="Calibri" w:hAnsi="Times New Roman" w:cs="Times New Roman"/>
          <w:sz w:val="24"/>
          <w:szCs w:val="24"/>
        </w:rPr>
        <w:t>Rady (UE) 2019/1157.</w:t>
      </w:r>
    </w:p>
    <w:p w14:paraId="50F1DC2C" w14:textId="06882B35" w:rsidR="00EF14B0" w:rsidRDefault="00076C40" w:rsidP="006A499D">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Potrzeba nadania nowego brzmienia art. 65 zawierającemu upoważnienie dla ministra właściwego do spraw wewnętrznych do wydania rozporządzenia, wynika z wprowadzenia uregulowań przewidujących zamieszczanie w kartach stałego pobytu obrazu linii papilarnych.</w:t>
      </w:r>
      <w:r w:rsidR="006A499D" w:rsidRPr="006A499D">
        <w:t xml:space="preserve"> </w:t>
      </w:r>
      <w:r w:rsidR="006A499D" w:rsidRPr="006A499D">
        <w:rPr>
          <w:rFonts w:ascii="Times New Roman" w:eastAsia="Calibri" w:hAnsi="Times New Roman" w:cs="Times New Roman"/>
          <w:sz w:val="24"/>
          <w:szCs w:val="24"/>
        </w:rPr>
        <w:t xml:space="preserve">Powyższa zmiana wynika z dostosowania polskiego prawa do uregulowań  </w:t>
      </w:r>
      <w:r w:rsidR="00B111BB">
        <w:rPr>
          <w:rFonts w:ascii="Times New Roman" w:eastAsia="Calibri" w:hAnsi="Times New Roman" w:cs="Times New Roman"/>
          <w:sz w:val="24"/>
          <w:szCs w:val="24"/>
        </w:rPr>
        <w:t xml:space="preserve">wprowadzonych </w:t>
      </w:r>
      <w:r w:rsidR="006A499D" w:rsidRPr="006A499D">
        <w:rPr>
          <w:rFonts w:ascii="Times New Roman" w:eastAsia="Calibri" w:hAnsi="Times New Roman" w:cs="Times New Roman"/>
          <w:sz w:val="24"/>
          <w:szCs w:val="24"/>
        </w:rPr>
        <w:t xml:space="preserve">rozporządzeniem </w:t>
      </w:r>
      <w:r w:rsidR="00B111BB">
        <w:rPr>
          <w:rFonts w:ascii="Times New Roman" w:eastAsia="Calibri" w:hAnsi="Times New Roman" w:cs="Times New Roman"/>
          <w:sz w:val="24"/>
          <w:szCs w:val="24"/>
        </w:rPr>
        <w:t xml:space="preserve">Parlamentu Europejskiego i </w:t>
      </w:r>
      <w:r w:rsidR="006A499D" w:rsidRPr="006A499D">
        <w:rPr>
          <w:rFonts w:ascii="Times New Roman" w:eastAsia="Calibri" w:hAnsi="Times New Roman" w:cs="Times New Roman"/>
          <w:sz w:val="24"/>
          <w:szCs w:val="24"/>
        </w:rPr>
        <w:t xml:space="preserve">Rady (UE) 2019/1157. Z uwagi na konieczność pobierania odcisków linii papilarnych w celu wydania karty </w:t>
      </w:r>
      <w:r w:rsidR="006A499D">
        <w:rPr>
          <w:rFonts w:ascii="Times New Roman" w:eastAsia="Calibri" w:hAnsi="Times New Roman" w:cs="Times New Roman"/>
          <w:sz w:val="24"/>
          <w:szCs w:val="24"/>
        </w:rPr>
        <w:t>stałego pobytu</w:t>
      </w:r>
      <w:r w:rsidR="00B111BB">
        <w:rPr>
          <w:rFonts w:ascii="Times New Roman" w:eastAsia="Calibri" w:hAnsi="Times New Roman" w:cs="Times New Roman"/>
          <w:sz w:val="24"/>
          <w:szCs w:val="24"/>
        </w:rPr>
        <w:t>,</w:t>
      </w:r>
      <w:r w:rsidR="006A499D" w:rsidRPr="006A499D">
        <w:rPr>
          <w:rFonts w:ascii="Times New Roman" w:eastAsia="Calibri" w:hAnsi="Times New Roman" w:cs="Times New Roman"/>
          <w:sz w:val="24"/>
          <w:szCs w:val="24"/>
        </w:rPr>
        <w:t xml:space="preserve"> delegacja ustawowa została uzupełniona o sposób pobierania odcisków linii papilarnych członka </w:t>
      </w:r>
      <w:r w:rsidR="006A499D" w:rsidRPr="006A499D">
        <w:rPr>
          <w:rFonts w:ascii="Times New Roman" w:eastAsia="Calibri" w:hAnsi="Times New Roman" w:cs="Times New Roman"/>
          <w:sz w:val="24"/>
          <w:szCs w:val="24"/>
        </w:rPr>
        <w:lastRenderedPageBreak/>
        <w:t xml:space="preserve">rodziny niebędącego obywatelem UE w celu umieszczenia ich w karcie </w:t>
      </w:r>
      <w:r w:rsidR="006A499D">
        <w:rPr>
          <w:rFonts w:ascii="Times New Roman" w:eastAsia="Calibri" w:hAnsi="Times New Roman" w:cs="Times New Roman"/>
          <w:sz w:val="24"/>
          <w:szCs w:val="24"/>
        </w:rPr>
        <w:t>stałego pobytu</w:t>
      </w:r>
      <w:r w:rsidR="006A499D" w:rsidRPr="006A499D">
        <w:rPr>
          <w:rFonts w:ascii="Times New Roman" w:eastAsia="Calibri" w:hAnsi="Times New Roman" w:cs="Times New Roman"/>
          <w:sz w:val="24"/>
          <w:szCs w:val="24"/>
        </w:rPr>
        <w:t>. Z uwagi na fakt, iż oba dokumenty będą personalizowane jako zabezpieczone</w:t>
      </w:r>
      <w:r w:rsidR="006A499D">
        <w:rPr>
          <w:rFonts w:ascii="Times New Roman" w:eastAsia="Calibri" w:hAnsi="Times New Roman" w:cs="Times New Roman"/>
          <w:sz w:val="24"/>
          <w:szCs w:val="24"/>
        </w:rPr>
        <w:t xml:space="preserve"> dokumenty ze zdjęciem</w:t>
      </w:r>
      <w:r w:rsidR="00B111BB">
        <w:rPr>
          <w:rFonts w:ascii="Times New Roman" w:eastAsia="Calibri" w:hAnsi="Times New Roman" w:cs="Times New Roman"/>
          <w:sz w:val="24"/>
          <w:szCs w:val="24"/>
        </w:rPr>
        <w:t>,</w:t>
      </w:r>
      <w:r w:rsidR="006A499D">
        <w:rPr>
          <w:rFonts w:ascii="Times New Roman" w:eastAsia="Calibri" w:hAnsi="Times New Roman" w:cs="Times New Roman"/>
          <w:sz w:val="24"/>
          <w:szCs w:val="24"/>
        </w:rPr>
        <w:t xml:space="preserve"> w art. 65</w:t>
      </w:r>
      <w:r w:rsidR="006A499D" w:rsidRPr="006A499D">
        <w:rPr>
          <w:rFonts w:ascii="Times New Roman" w:eastAsia="Calibri" w:hAnsi="Times New Roman" w:cs="Times New Roman"/>
          <w:sz w:val="24"/>
          <w:szCs w:val="24"/>
        </w:rPr>
        <w:t xml:space="preserve"> ust. 1 pkt 5 przewidziano delegację do określenia w akcie wykonawczym sposobu utrwalania danych umieszczanych w</w:t>
      </w:r>
      <w:r w:rsidR="006A499D">
        <w:rPr>
          <w:rFonts w:ascii="Times New Roman" w:eastAsia="Calibri" w:hAnsi="Times New Roman" w:cs="Times New Roman"/>
          <w:sz w:val="24"/>
          <w:szCs w:val="24"/>
        </w:rPr>
        <w:t xml:space="preserve"> </w:t>
      </w:r>
      <w:r w:rsidR="006A499D" w:rsidRPr="006A499D">
        <w:rPr>
          <w:rFonts w:ascii="Times New Roman" w:eastAsia="Calibri" w:hAnsi="Times New Roman" w:cs="Times New Roman"/>
          <w:sz w:val="24"/>
          <w:szCs w:val="24"/>
        </w:rPr>
        <w:t xml:space="preserve">dokumencie potwierdzającym prawo stałego pobytu lub karcie stałego pobytu i przekazywania ich do spersonalizowania dokumentu potwierdzającego prawo stałego pobytu lub karty stałego pobytu.  </w:t>
      </w:r>
      <w:r w:rsidRPr="00774FA7">
        <w:rPr>
          <w:rFonts w:ascii="Times New Roman" w:eastAsia="Calibri" w:hAnsi="Times New Roman" w:cs="Times New Roman"/>
          <w:sz w:val="24"/>
          <w:szCs w:val="24"/>
        </w:rPr>
        <w:t xml:space="preserve"> Zakres upoważnienia został rozszerzony</w:t>
      </w:r>
      <w:r w:rsidR="008B2CFB" w:rsidRPr="00774FA7">
        <w:rPr>
          <w:rFonts w:ascii="Times New Roman" w:eastAsia="Calibri" w:hAnsi="Times New Roman" w:cs="Times New Roman"/>
          <w:sz w:val="24"/>
          <w:szCs w:val="24"/>
        </w:rPr>
        <w:t xml:space="preserve"> </w:t>
      </w:r>
      <w:r w:rsidR="006A499D">
        <w:rPr>
          <w:rFonts w:ascii="Times New Roman" w:eastAsia="Calibri" w:hAnsi="Times New Roman" w:cs="Times New Roman"/>
          <w:sz w:val="24"/>
          <w:szCs w:val="24"/>
        </w:rPr>
        <w:t>także o określenie wzoru</w:t>
      </w:r>
      <w:r w:rsidR="00B111BB">
        <w:rPr>
          <w:rFonts w:ascii="Times New Roman" w:eastAsia="Calibri" w:hAnsi="Times New Roman" w:cs="Times New Roman"/>
          <w:sz w:val="24"/>
          <w:szCs w:val="24"/>
        </w:rPr>
        <w:t xml:space="preserve"> </w:t>
      </w:r>
      <w:r w:rsidR="006A499D" w:rsidRPr="006A499D">
        <w:rPr>
          <w:rFonts w:ascii="Times New Roman" w:eastAsia="Calibri" w:hAnsi="Times New Roman" w:cs="Times New Roman"/>
          <w:sz w:val="24"/>
          <w:szCs w:val="24"/>
        </w:rPr>
        <w:t>formularza zgłoszenia utraty lub uszkodzenia dokumentu potwierdzającego prawo stałego pobytu lub karty stałego pobyt</w:t>
      </w:r>
      <w:r w:rsidR="006A499D">
        <w:rPr>
          <w:rFonts w:ascii="Times New Roman" w:eastAsia="Calibri" w:hAnsi="Times New Roman" w:cs="Times New Roman"/>
          <w:sz w:val="24"/>
          <w:szCs w:val="24"/>
        </w:rPr>
        <w:t xml:space="preserve">u oraz wzoru </w:t>
      </w:r>
      <w:r w:rsidR="006A499D" w:rsidRPr="006A499D">
        <w:rPr>
          <w:rFonts w:ascii="Times New Roman" w:eastAsia="Calibri" w:hAnsi="Times New Roman" w:cs="Times New Roman"/>
          <w:sz w:val="24"/>
          <w:szCs w:val="24"/>
        </w:rPr>
        <w:t>zaświadczenia o utracie lub uszkodzeniu dokumentu potwierdzającego prawo stałego pobytu lub karty stałego pobytu</w:t>
      </w:r>
      <w:r w:rsidR="006A499D">
        <w:rPr>
          <w:rFonts w:ascii="Times New Roman" w:eastAsia="Calibri" w:hAnsi="Times New Roman" w:cs="Times New Roman"/>
          <w:sz w:val="24"/>
          <w:szCs w:val="24"/>
        </w:rPr>
        <w:t xml:space="preserve">. Powyższa zmiana wynika z wprowadzenia w </w:t>
      </w:r>
      <w:r w:rsidR="00EF14B0">
        <w:rPr>
          <w:rFonts w:ascii="Times New Roman" w:eastAsia="Calibri" w:hAnsi="Times New Roman" w:cs="Times New Roman"/>
          <w:sz w:val="24"/>
          <w:szCs w:val="24"/>
        </w:rPr>
        <w:t xml:space="preserve">art. 58a </w:t>
      </w:r>
      <w:r w:rsidR="00EF14B0" w:rsidRPr="00EF14B0">
        <w:rPr>
          <w:rFonts w:ascii="Times New Roman" w:eastAsia="Calibri" w:hAnsi="Times New Roman" w:cs="Times New Roman"/>
          <w:sz w:val="24"/>
          <w:szCs w:val="24"/>
        </w:rPr>
        <w:t>procedury zgłaszania utraty lub uszkodzenia ww. dokumentów</w:t>
      </w:r>
      <w:r w:rsidR="00EF14B0">
        <w:rPr>
          <w:rFonts w:ascii="Times New Roman" w:eastAsia="Calibri" w:hAnsi="Times New Roman" w:cs="Times New Roman"/>
          <w:sz w:val="24"/>
          <w:szCs w:val="24"/>
        </w:rPr>
        <w:t xml:space="preserve">. </w:t>
      </w:r>
      <w:r w:rsidR="00EF14B0" w:rsidRPr="00EF14B0">
        <w:rPr>
          <w:rFonts w:ascii="Times New Roman" w:eastAsia="Calibri" w:hAnsi="Times New Roman" w:cs="Times New Roman"/>
          <w:sz w:val="24"/>
          <w:szCs w:val="24"/>
        </w:rPr>
        <w:t xml:space="preserve">Dodatkowo przewidziano określenie w rozporządzaniu wzoru zaświadczenia o zwrocie dokumentu potwierdzającego prawo stałego pobytu lub karty stałego pobytu oraz wzoru zaświadczenia potwierdzającego zatrzymanie </w:t>
      </w:r>
      <w:r w:rsidR="00EF14B0">
        <w:rPr>
          <w:rFonts w:ascii="Times New Roman" w:eastAsia="Calibri" w:hAnsi="Times New Roman" w:cs="Times New Roman"/>
          <w:sz w:val="24"/>
          <w:szCs w:val="24"/>
        </w:rPr>
        <w:t>ww. dokumentów</w:t>
      </w:r>
      <w:r w:rsidR="00EF14B0" w:rsidRPr="00EF14B0">
        <w:rPr>
          <w:rFonts w:ascii="Times New Roman" w:eastAsia="Calibri" w:hAnsi="Times New Roman" w:cs="Times New Roman"/>
          <w:sz w:val="24"/>
          <w:szCs w:val="24"/>
        </w:rPr>
        <w:t>, z</w:t>
      </w:r>
      <w:r w:rsidR="00EF14B0">
        <w:rPr>
          <w:rFonts w:ascii="Times New Roman" w:eastAsia="Calibri" w:hAnsi="Times New Roman" w:cs="Times New Roman"/>
          <w:sz w:val="24"/>
          <w:szCs w:val="24"/>
        </w:rPr>
        <w:t xml:space="preserve"> uwagi na wprowadzenie w art. 61 – 61b </w:t>
      </w:r>
      <w:r w:rsidR="00EF14B0" w:rsidRPr="00EF14B0">
        <w:rPr>
          <w:rFonts w:ascii="Times New Roman" w:eastAsia="Calibri" w:hAnsi="Times New Roman" w:cs="Times New Roman"/>
          <w:sz w:val="24"/>
          <w:szCs w:val="24"/>
        </w:rPr>
        <w:t xml:space="preserve">obowiązku zwrotu </w:t>
      </w:r>
      <w:r w:rsidR="00EF14B0">
        <w:rPr>
          <w:rFonts w:ascii="Times New Roman" w:eastAsia="Calibri" w:hAnsi="Times New Roman" w:cs="Times New Roman"/>
          <w:sz w:val="24"/>
          <w:szCs w:val="24"/>
        </w:rPr>
        <w:t xml:space="preserve">opisanych wyżej dokumentów </w:t>
      </w:r>
      <w:r w:rsidR="00EF14B0" w:rsidRPr="00EF14B0">
        <w:rPr>
          <w:rFonts w:ascii="Times New Roman" w:eastAsia="Calibri" w:hAnsi="Times New Roman" w:cs="Times New Roman"/>
          <w:sz w:val="24"/>
          <w:szCs w:val="24"/>
        </w:rPr>
        <w:t>oraz procedury</w:t>
      </w:r>
      <w:r w:rsidR="00EF14B0">
        <w:rPr>
          <w:rFonts w:ascii="Times New Roman" w:eastAsia="Calibri" w:hAnsi="Times New Roman" w:cs="Times New Roman"/>
          <w:sz w:val="24"/>
          <w:szCs w:val="24"/>
        </w:rPr>
        <w:t xml:space="preserve"> ich </w:t>
      </w:r>
      <w:r w:rsidR="00EF14B0" w:rsidRPr="00EF14B0">
        <w:rPr>
          <w:rFonts w:ascii="Times New Roman" w:eastAsia="Calibri" w:hAnsi="Times New Roman" w:cs="Times New Roman"/>
          <w:sz w:val="24"/>
          <w:szCs w:val="24"/>
        </w:rPr>
        <w:t xml:space="preserve"> anulowania. Zaproponowane zmiany </w:t>
      </w:r>
      <w:r w:rsidR="00B111BB" w:rsidRPr="00EF14B0">
        <w:rPr>
          <w:rFonts w:ascii="Times New Roman" w:eastAsia="Calibri" w:hAnsi="Times New Roman" w:cs="Times New Roman"/>
          <w:sz w:val="24"/>
          <w:szCs w:val="24"/>
        </w:rPr>
        <w:t xml:space="preserve">są </w:t>
      </w:r>
      <w:r w:rsidR="00EF14B0" w:rsidRPr="00EF14B0">
        <w:rPr>
          <w:rFonts w:ascii="Times New Roman" w:eastAsia="Calibri" w:hAnsi="Times New Roman" w:cs="Times New Roman"/>
          <w:sz w:val="24"/>
          <w:szCs w:val="24"/>
        </w:rPr>
        <w:t>wzorowane na rozwiązaniach przewidzianych w ustawie o cudzoziemcach dla kart pobytu.</w:t>
      </w:r>
    </w:p>
    <w:p w14:paraId="6A0C0121" w14:textId="52B43100" w:rsidR="00076C40" w:rsidRPr="00774FA7" w:rsidRDefault="00076C40" w:rsidP="006A499D">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ust. 2 ww. przepisu wprowadzono nowe wytyczne do wydania rozporządzenia.</w:t>
      </w:r>
    </w:p>
    <w:p w14:paraId="71237342" w14:textId="5625345B" w:rsidR="00B7772F" w:rsidRPr="00774FA7" w:rsidRDefault="008B2CFB"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Projekt ustawy przewiduje dodanie nowego rozdziału </w:t>
      </w:r>
      <w:r w:rsidR="00682B1D" w:rsidRPr="00774FA7">
        <w:rPr>
          <w:rFonts w:ascii="Times New Roman" w:eastAsia="Calibri" w:hAnsi="Times New Roman" w:cs="Times New Roman"/>
          <w:sz w:val="24"/>
          <w:szCs w:val="24"/>
        </w:rPr>
        <w:t xml:space="preserve">4a regulującego szczególne zasady pobytu obywateli Zjednoczonego Królestwa oraz członków ich rodzin na terytorium Rzeczypospolitej Polskiej. </w:t>
      </w:r>
      <w:r w:rsidR="009104A9" w:rsidRPr="00774FA7">
        <w:rPr>
          <w:rFonts w:ascii="Times New Roman" w:eastAsia="Calibri" w:hAnsi="Times New Roman" w:cs="Times New Roman"/>
          <w:sz w:val="24"/>
          <w:szCs w:val="24"/>
        </w:rPr>
        <w:t>Jak wspomniano na wstępie p</w:t>
      </w:r>
      <w:r w:rsidR="00682B1D" w:rsidRPr="00774FA7">
        <w:rPr>
          <w:rFonts w:ascii="Times New Roman" w:eastAsia="Calibri" w:hAnsi="Times New Roman" w:cs="Times New Roman"/>
          <w:sz w:val="24"/>
          <w:szCs w:val="24"/>
        </w:rPr>
        <w:t xml:space="preserve">rojekt ustawy </w:t>
      </w:r>
      <w:r w:rsidR="00B7772F" w:rsidRPr="00774FA7">
        <w:rPr>
          <w:rFonts w:ascii="Times New Roman" w:eastAsia="Calibri" w:hAnsi="Times New Roman" w:cs="Times New Roman"/>
          <w:sz w:val="24"/>
          <w:szCs w:val="24"/>
        </w:rPr>
        <w:t xml:space="preserve">ma na celu </w:t>
      </w:r>
      <w:r w:rsidR="00682B1D" w:rsidRPr="00774FA7">
        <w:rPr>
          <w:rFonts w:ascii="Times New Roman" w:eastAsia="Calibri" w:hAnsi="Times New Roman" w:cs="Times New Roman"/>
          <w:sz w:val="24"/>
          <w:szCs w:val="24"/>
        </w:rPr>
        <w:t>zapewni</w:t>
      </w:r>
      <w:r w:rsidR="00B7772F" w:rsidRPr="00774FA7">
        <w:rPr>
          <w:rFonts w:ascii="Times New Roman" w:eastAsia="Calibri" w:hAnsi="Times New Roman" w:cs="Times New Roman"/>
          <w:sz w:val="24"/>
          <w:szCs w:val="24"/>
        </w:rPr>
        <w:t xml:space="preserve">enie </w:t>
      </w:r>
      <w:r w:rsidR="00682B1D" w:rsidRPr="00774FA7">
        <w:rPr>
          <w:rFonts w:ascii="Times New Roman" w:eastAsia="Calibri" w:hAnsi="Times New Roman" w:cs="Times New Roman"/>
          <w:sz w:val="24"/>
          <w:szCs w:val="24"/>
        </w:rPr>
        <w:t>stosowani</w:t>
      </w:r>
      <w:r w:rsidR="00B7772F" w:rsidRPr="00774FA7">
        <w:rPr>
          <w:rFonts w:ascii="Times New Roman" w:eastAsia="Calibri" w:hAnsi="Times New Roman" w:cs="Times New Roman"/>
          <w:sz w:val="24"/>
          <w:szCs w:val="24"/>
        </w:rPr>
        <w:t>a</w:t>
      </w:r>
      <w:r w:rsidR="00682B1D" w:rsidRPr="00774FA7">
        <w:rPr>
          <w:rFonts w:ascii="Times New Roman" w:eastAsia="Calibri" w:hAnsi="Times New Roman" w:cs="Times New Roman"/>
          <w:sz w:val="24"/>
          <w:szCs w:val="24"/>
        </w:rPr>
        <w:t xml:space="preserve"> przez Rzeczpospolitą Polsk</w:t>
      </w:r>
      <w:r w:rsidR="00B7772F" w:rsidRPr="00774FA7">
        <w:rPr>
          <w:rFonts w:ascii="Times New Roman" w:eastAsia="Calibri" w:hAnsi="Times New Roman" w:cs="Times New Roman"/>
          <w:sz w:val="24"/>
          <w:szCs w:val="24"/>
        </w:rPr>
        <w:t>ę</w:t>
      </w:r>
      <w:r w:rsidR="00682B1D" w:rsidRPr="00774FA7">
        <w:rPr>
          <w:rFonts w:ascii="Times New Roman" w:eastAsia="Calibri" w:hAnsi="Times New Roman" w:cs="Times New Roman"/>
          <w:sz w:val="24"/>
          <w:szCs w:val="24"/>
        </w:rPr>
        <w:t xml:space="preserve"> Umowy wystąpienia w zakresie zasad wjazdu i pobytu </w:t>
      </w:r>
      <w:r w:rsidR="00B7772F" w:rsidRPr="00774FA7">
        <w:rPr>
          <w:rFonts w:ascii="Times New Roman" w:eastAsia="Calibri" w:hAnsi="Times New Roman" w:cs="Times New Roman"/>
          <w:sz w:val="24"/>
          <w:szCs w:val="24"/>
        </w:rPr>
        <w:t xml:space="preserve">na terytorium Rzeczypospolitej Polskiej </w:t>
      </w:r>
      <w:r w:rsidR="00682B1D" w:rsidRPr="00774FA7">
        <w:rPr>
          <w:rFonts w:ascii="Times New Roman" w:eastAsia="Calibri" w:hAnsi="Times New Roman" w:cs="Times New Roman"/>
          <w:sz w:val="24"/>
          <w:szCs w:val="24"/>
        </w:rPr>
        <w:t>obywateli Zjednoczonego Królestwa, członków ich rodzin oraz innych osób objętych zakresem stosowania tej umowy, po okresie przejściowym, który kończy się z dniem 31 grudnia 2020 r. Wdraża</w:t>
      </w:r>
      <w:r w:rsidR="00B411A5" w:rsidRPr="00774FA7">
        <w:rPr>
          <w:rFonts w:ascii="Times New Roman" w:eastAsia="Calibri" w:hAnsi="Times New Roman" w:cs="Times New Roman"/>
          <w:sz w:val="24"/>
          <w:szCs w:val="24"/>
        </w:rPr>
        <w:t>jąc Umowę wystąpienia Polska nie zdecydowała się na nadawanie obywatelom</w:t>
      </w:r>
      <w:r w:rsidR="00C13678" w:rsidRPr="00774FA7">
        <w:rPr>
          <w:rFonts w:ascii="Times New Roman" w:eastAsia="Calibri" w:hAnsi="Times New Roman" w:cs="Times New Roman"/>
          <w:sz w:val="24"/>
          <w:szCs w:val="24"/>
        </w:rPr>
        <w:t xml:space="preserve"> Zjednoczonego Królestwa i członkom ich rodzin nowego statusu</w:t>
      </w:r>
      <w:r w:rsidR="00365EBC" w:rsidRPr="00774FA7">
        <w:rPr>
          <w:rFonts w:ascii="Times New Roman" w:eastAsia="Calibri" w:hAnsi="Times New Roman" w:cs="Times New Roman"/>
          <w:sz w:val="24"/>
          <w:szCs w:val="24"/>
        </w:rPr>
        <w:t xml:space="preserve"> pobytowego</w:t>
      </w:r>
      <w:r w:rsidR="00C13678" w:rsidRPr="00774FA7">
        <w:rPr>
          <w:rFonts w:ascii="Times New Roman" w:eastAsia="Calibri" w:hAnsi="Times New Roman" w:cs="Times New Roman"/>
          <w:sz w:val="24"/>
          <w:szCs w:val="24"/>
        </w:rPr>
        <w:t xml:space="preserve"> (art. 18 ust.</w:t>
      </w:r>
      <w:r w:rsidR="009104A9" w:rsidRPr="00774FA7">
        <w:rPr>
          <w:rFonts w:ascii="Times New Roman" w:eastAsia="Calibri" w:hAnsi="Times New Roman" w:cs="Times New Roman"/>
          <w:sz w:val="24"/>
          <w:szCs w:val="24"/>
        </w:rPr>
        <w:t xml:space="preserve"> 1 Umowy w</w:t>
      </w:r>
      <w:r w:rsidR="00C13678" w:rsidRPr="00774FA7">
        <w:rPr>
          <w:rFonts w:ascii="Times New Roman" w:eastAsia="Calibri" w:hAnsi="Times New Roman" w:cs="Times New Roman"/>
          <w:sz w:val="24"/>
          <w:szCs w:val="24"/>
        </w:rPr>
        <w:t>ystąpienia)</w:t>
      </w:r>
      <w:r w:rsidR="00B7772F" w:rsidRPr="00774FA7">
        <w:rPr>
          <w:rFonts w:ascii="Times New Roman" w:eastAsia="Calibri" w:hAnsi="Times New Roman" w:cs="Times New Roman"/>
          <w:sz w:val="24"/>
          <w:szCs w:val="24"/>
        </w:rPr>
        <w:t>, ale</w:t>
      </w:r>
      <w:r w:rsidR="00C13678" w:rsidRPr="00774FA7">
        <w:rPr>
          <w:rFonts w:ascii="Times New Roman" w:eastAsia="Calibri" w:hAnsi="Times New Roman" w:cs="Times New Roman"/>
          <w:sz w:val="24"/>
          <w:szCs w:val="24"/>
        </w:rPr>
        <w:t xml:space="preserve"> </w:t>
      </w:r>
      <w:r w:rsidR="009104A9" w:rsidRPr="00774FA7">
        <w:rPr>
          <w:rFonts w:ascii="Times New Roman" w:eastAsia="Calibri" w:hAnsi="Times New Roman" w:cs="Times New Roman"/>
          <w:sz w:val="24"/>
          <w:szCs w:val="24"/>
        </w:rPr>
        <w:t>na zastosowanie wariantu przewidzianego w art. 18 ust. 4 Umowy wystąpienia</w:t>
      </w:r>
      <w:r w:rsidR="00CB1B07" w:rsidRPr="00774FA7">
        <w:rPr>
          <w:rFonts w:ascii="Times New Roman" w:eastAsia="Calibri" w:hAnsi="Times New Roman" w:cs="Times New Roman"/>
          <w:sz w:val="24"/>
          <w:szCs w:val="24"/>
        </w:rPr>
        <w:t>, zgodnie z którym</w:t>
      </w:r>
      <w:r w:rsidR="00365EBC" w:rsidRPr="00774FA7">
        <w:rPr>
          <w:rFonts w:ascii="Times New Roman" w:eastAsia="Calibri" w:hAnsi="Times New Roman" w:cs="Times New Roman"/>
          <w:sz w:val="24"/>
          <w:szCs w:val="24"/>
        </w:rPr>
        <w:t xml:space="preserve"> wszystkim obywatelom Zjednoczonego Królestwa, o których mowa w art. 10 ust. 1 lit b i d </w:t>
      </w:r>
      <w:r w:rsidR="009104A9" w:rsidRPr="00774FA7">
        <w:rPr>
          <w:rFonts w:ascii="Times New Roman" w:eastAsia="Calibri" w:hAnsi="Times New Roman" w:cs="Times New Roman"/>
          <w:sz w:val="24"/>
          <w:szCs w:val="24"/>
        </w:rPr>
        <w:t xml:space="preserve">ww. umowy </w:t>
      </w:r>
      <w:r w:rsidR="00365EBC" w:rsidRPr="00774FA7">
        <w:rPr>
          <w:rFonts w:ascii="Times New Roman" w:eastAsia="Calibri" w:hAnsi="Times New Roman" w:cs="Times New Roman"/>
          <w:sz w:val="24"/>
          <w:szCs w:val="24"/>
        </w:rPr>
        <w:t xml:space="preserve">oraz członkom rodziny obywateli Zjednoczonego Królestwa, o których mowa w art. 10 ust. 1 lit. e i f </w:t>
      </w:r>
      <w:r w:rsidR="00B7772F" w:rsidRPr="00774FA7">
        <w:rPr>
          <w:rFonts w:ascii="Times New Roman" w:eastAsia="Calibri" w:hAnsi="Times New Roman" w:cs="Times New Roman"/>
          <w:sz w:val="24"/>
          <w:szCs w:val="24"/>
        </w:rPr>
        <w:t>,</w:t>
      </w:r>
      <w:r w:rsidR="00365EBC" w:rsidRPr="00774FA7">
        <w:rPr>
          <w:rFonts w:ascii="Times New Roman" w:eastAsia="Calibri" w:hAnsi="Times New Roman" w:cs="Times New Roman"/>
          <w:sz w:val="24"/>
          <w:szCs w:val="24"/>
        </w:rPr>
        <w:t xml:space="preserve"> będą wydawane dokumenty potwierdzające prawo pobytu oraz prawo stałego pobytu, zgodnie z warunkami określonymi w dyrektywie 2004/38/WE, z tym tylko zastrzeżeniem, że dokumenty te mają zawierać „oświadczenie” (adnotację), że zostały wydane zgodnie z Umową wystąpienia (art. 18 </w:t>
      </w:r>
      <w:r w:rsidR="0036792C" w:rsidRPr="00774FA7">
        <w:rPr>
          <w:rFonts w:ascii="Times New Roman" w:eastAsia="Calibri" w:hAnsi="Times New Roman" w:cs="Times New Roman"/>
          <w:sz w:val="24"/>
          <w:szCs w:val="24"/>
        </w:rPr>
        <w:t>ust. 4 Umowy w</w:t>
      </w:r>
      <w:r w:rsidR="0035726D" w:rsidRPr="00774FA7">
        <w:rPr>
          <w:rFonts w:ascii="Times New Roman" w:eastAsia="Calibri" w:hAnsi="Times New Roman" w:cs="Times New Roman"/>
          <w:sz w:val="24"/>
          <w:szCs w:val="24"/>
        </w:rPr>
        <w:t xml:space="preserve">ystąpienia). </w:t>
      </w:r>
    </w:p>
    <w:p w14:paraId="76D9CB08" w14:textId="21B6B8DE" w:rsidR="00190E09" w:rsidRPr="00774FA7" w:rsidRDefault="00CB1B0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Decyz</w:t>
      </w:r>
      <w:r w:rsidR="000044C9" w:rsidRPr="00774FA7">
        <w:rPr>
          <w:rFonts w:ascii="Times New Roman" w:eastAsia="Calibri" w:hAnsi="Times New Roman" w:cs="Times New Roman"/>
          <w:sz w:val="24"/>
          <w:szCs w:val="24"/>
        </w:rPr>
        <w:t>ją wykonawczą nr C(2020)</w:t>
      </w:r>
      <w:r w:rsidR="00DF55D5" w:rsidRPr="00774FA7">
        <w:rPr>
          <w:rFonts w:ascii="Times New Roman" w:eastAsia="Calibri" w:hAnsi="Times New Roman" w:cs="Times New Roman"/>
          <w:sz w:val="24"/>
          <w:szCs w:val="24"/>
        </w:rPr>
        <w:t>1114 Komisja Europejska określiła format dokumentów  wydawanych obywatelom Zjednoczonego Królestwa oraz członkom ich rodziny</w:t>
      </w:r>
      <w:r w:rsidR="00E84046" w:rsidRPr="00774FA7">
        <w:rPr>
          <w:rFonts w:ascii="Times New Roman" w:eastAsia="Calibri" w:hAnsi="Times New Roman" w:cs="Times New Roman"/>
          <w:sz w:val="24"/>
          <w:szCs w:val="24"/>
        </w:rPr>
        <w:t xml:space="preserve"> oraz wskazała obowiązkowe adnotacje, które powinny się na nich znajdować. Z</w:t>
      </w:r>
      <w:r w:rsidRPr="00774FA7">
        <w:rPr>
          <w:rFonts w:ascii="Times New Roman" w:eastAsia="Calibri" w:hAnsi="Times New Roman" w:cs="Times New Roman"/>
          <w:sz w:val="24"/>
          <w:szCs w:val="24"/>
        </w:rPr>
        <w:t xml:space="preserve">godnie z art. 1 akapit pierwszy wskazanej wyżej </w:t>
      </w:r>
      <w:r w:rsidR="00AD458A">
        <w:rPr>
          <w:rFonts w:ascii="Times New Roman" w:eastAsia="Calibri" w:hAnsi="Times New Roman" w:cs="Times New Roman"/>
          <w:sz w:val="24"/>
          <w:szCs w:val="24"/>
        </w:rPr>
        <w:t>d</w:t>
      </w:r>
      <w:r w:rsidRPr="00774FA7">
        <w:rPr>
          <w:rFonts w:ascii="Times New Roman" w:eastAsia="Calibri" w:hAnsi="Times New Roman" w:cs="Times New Roman"/>
          <w:sz w:val="24"/>
          <w:szCs w:val="24"/>
        </w:rPr>
        <w:t>ecyzji w stosunku do dokumentów wydawanych beneficjentom Umowy wystąpienia stosuje format określony rozporządzeniem Rady (WE) nr 1030/2002. W zaświadczeniach o zarejestrowaniu pobytu i dokumentach potwierdzających prawo stałego pobytu dla obywateli Zjednoczonego Królestwa, w przeciwieństwie do tych samych dokumentów wydawanych obywatelom UE, będą zamiesz</w:t>
      </w:r>
      <w:r w:rsidR="00B7772F" w:rsidRPr="00774FA7">
        <w:rPr>
          <w:rFonts w:ascii="Times New Roman" w:eastAsia="Calibri" w:hAnsi="Times New Roman" w:cs="Times New Roman"/>
          <w:sz w:val="24"/>
          <w:szCs w:val="24"/>
        </w:rPr>
        <w:t>cz</w:t>
      </w:r>
      <w:r w:rsidRPr="00774FA7">
        <w:rPr>
          <w:rFonts w:ascii="Times New Roman" w:eastAsia="Calibri" w:hAnsi="Times New Roman" w:cs="Times New Roman"/>
          <w:sz w:val="24"/>
          <w:szCs w:val="24"/>
        </w:rPr>
        <w:t xml:space="preserve">ane odciski linii papilarnych. </w:t>
      </w:r>
      <w:r w:rsidR="00190E09" w:rsidRPr="00774FA7">
        <w:rPr>
          <w:rFonts w:ascii="Times New Roman" w:eastAsia="Calibri" w:hAnsi="Times New Roman" w:cs="Times New Roman"/>
          <w:sz w:val="24"/>
          <w:szCs w:val="24"/>
        </w:rPr>
        <w:t xml:space="preserve">Dodatkowo wyżej wymienione dokumenty w miejscu </w:t>
      </w:r>
      <w:r w:rsidR="00190E09" w:rsidRPr="00774FA7">
        <w:rPr>
          <w:rFonts w:ascii="Times New Roman" w:eastAsia="Calibri" w:hAnsi="Times New Roman" w:cs="Times New Roman"/>
          <w:sz w:val="24"/>
          <w:szCs w:val="24"/>
        </w:rPr>
        <w:lastRenderedPageBreak/>
        <w:t xml:space="preserve">przeznaczonym na wskazanie „rodzaju zezwolenia” będą miały wpisaną informację: „Art. 50 TUE”. Z kolei na awersie będzie zamieszczana adnotacja: „art. 18 ust. 1 Umowy wystąpienia” lub „art. 18 ust. 4 Umowy wystąpienia” w zależności od tego, czy państwo członkowskie zamierza stosować uregulowania art. 18 ust. 1, czy art. 18 ust. 4 </w:t>
      </w:r>
      <w:r w:rsidR="00AD458A" w:rsidRPr="00774FA7">
        <w:rPr>
          <w:rFonts w:ascii="Times New Roman" w:eastAsia="Calibri" w:hAnsi="Times New Roman" w:cs="Times New Roman"/>
          <w:sz w:val="24"/>
          <w:szCs w:val="24"/>
        </w:rPr>
        <w:t>Umowy wystąpienia</w:t>
      </w:r>
      <w:r w:rsidR="00190E09" w:rsidRPr="00774FA7">
        <w:rPr>
          <w:rFonts w:ascii="Times New Roman" w:eastAsia="Calibri" w:hAnsi="Times New Roman" w:cs="Times New Roman"/>
          <w:sz w:val="24"/>
          <w:szCs w:val="24"/>
        </w:rPr>
        <w:t xml:space="preserve">.  Wdrażając Umowę wystąpienia Polska zdecydowała się na zastosowanie wariantu przewidzianego w art. 18 ust. 4 Umowy wystąpienia dlatego też w dokumentach wydawanych obywatelom Zjednoczonego Królestwa i członkom ich rodzin będzie zamieszczana adnotacja „Art. 50 TUE, Art. 18 ust. 4 Umowy wystąpienia”. </w:t>
      </w:r>
    </w:p>
    <w:p w14:paraId="7309BAD7" w14:textId="7BBF5982" w:rsidR="008B2CFB" w:rsidRPr="00774FA7" w:rsidRDefault="00CB1B0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2 Decyzji wykonawczej nr C(2020) 1114 określono, iż dokumenty dla pracowników przygranicznych będących obywatelami Zjednoczonego Królestwa powinny być wydawane zgodnie z wzorem przewidzianym dla zezwoleń na przekraczanie granicy w ramach małego ruchu granicznego. </w:t>
      </w:r>
      <w:r w:rsidR="00B7772F" w:rsidRPr="00774FA7">
        <w:rPr>
          <w:rFonts w:ascii="Times New Roman" w:eastAsia="Calibri" w:hAnsi="Times New Roman" w:cs="Times New Roman"/>
          <w:sz w:val="24"/>
          <w:szCs w:val="24"/>
        </w:rPr>
        <w:t>Stąd też w</w:t>
      </w:r>
      <w:r w:rsidRPr="00774FA7">
        <w:rPr>
          <w:rFonts w:ascii="Times New Roman" w:eastAsia="Calibri" w:hAnsi="Times New Roman" w:cs="Times New Roman"/>
          <w:sz w:val="24"/>
          <w:szCs w:val="24"/>
        </w:rPr>
        <w:t xml:space="preserve"> polu „Rodzaj zezwolenia” powinn</w:t>
      </w:r>
      <w:r w:rsidR="00E97193" w:rsidRPr="00774FA7">
        <w:rPr>
          <w:rFonts w:ascii="Times New Roman" w:eastAsia="Calibri" w:hAnsi="Times New Roman" w:cs="Times New Roman"/>
          <w:sz w:val="24"/>
          <w:szCs w:val="24"/>
        </w:rPr>
        <w:t>a</w:t>
      </w:r>
      <w:r w:rsidRPr="00774FA7">
        <w:rPr>
          <w:rFonts w:ascii="Times New Roman" w:eastAsia="Calibri" w:hAnsi="Times New Roman" w:cs="Times New Roman"/>
          <w:sz w:val="24"/>
          <w:szCs w:val="24"/>
        </w:rPr>
        <w:t xml:space="preserve"> być wpisan</w:t>
      </w:r>
      <w:r w:rsidR="00B7772F" w:rsidRPr="00774FA7">
        <w:rPr>
          <w:rFonts w:ascii="Times New Roman" w:eastAsia="Calibri" w:hAnsi="Times New Roman" w:cs="Times New Roman"/>
          <w:sz w:val="24"/>
          <w:szCs w:val="24"/>
        </w:rPr>
        <w:t>a informacja:</w:t>
      </w:r>
      <w:r w:rsidRPr="00774FA7">
        <w:rPr>
          <w:rFonts w:ascii="Times New Roman" w:eastAsia="Calibri" w:hAnsi="Times New Roman" w:cs="Times New Roman"/>
          <w:sz w:val="24"/>
          <w:szCs w:val="24"/>
        </w:rPr>
        <w:t xml:space="preserve"> „Art. 50 TUE – pracownik przygraniczny”.</w:t>
      </w:r>
      <w:r w:rsidR="00F63F6D" w:rsidRPr="00774FA7">
        <w:rPr>
          <w:rFonts w:ascii="Times New Roman" w:eastAsia="Calibri" w:hAnsi="Times New Roman" w:cs="Times New Roman"/>
          <w:sz w:val="24"/>
          <w:szCs w:val="24"/>
        </w:rPr>
        <w:t xml:space="preserve"> </w:t>
      </w:r>
      <w:r w:rsidR="00372B5A" w:rsidRPr="00774FA7">
        <w:rPr>
          <w:rFonts w:ascii="Times New Roman" w:eastAsia="Calibri" w:hAnsi="Times New Roman" w:cs="Times New Roman"/>
          <w:sz w:val="24"/>
          <w:szCs w:val="24"/>
        </w:rPr>
        <w:t xml:space="preserve">Z uwagi na </w:t>
      </w:r>
      <w:r w:rsidR="0077711D" w:rsidRPr="00774FA7">
        <w:rPr>
          <w:rFonts w:ascii="Times New Roman" w:eastAsia="Calibri" w:hAnsi="Times New Roman" w:cs="Times New Roman"/>
          <w:sz w:val="24"/>
          <w:szCs w:val="24"/>
        </w:rPr>
        <w:t xml:space="preserve">fakt, iż dokumenty dla obywateli Zjednoczonego Królestwa i członków ich rodzin będą wydawane w odmiennym formacie oraz będą zawierały inny zakres danych niż dokumenty wydawane obywatelom UE oraz członkom ich rodzin </w:t>
      </w:r>
      <w:r w:rsidR="009104A9" w:rsidRPr="00774FA7">
        <w:rPr>
          <w:rFonts w:ascii="Times New Roman" w:eastAsia="Calibri" w:hAnsi="Times New Roman" w:cs="Times New Roman"/>
          <w:sz w:val="24"/>
          <w:szCs w:val="24"/>
        </w:rPr>
        <w:t xml:space="preserve">konieczne było zaprojektowanie </w:t>
      </w:r>
      <w:r w:rsidR="0077711D" w:rsidRPr="00774FA7">
        <w:rPr>
          <w:rFonts w:ascii="Times New Roman" w:eastAsia="Calibri" w:hAnsi="Times New Roman" w:cs="Times New Roman"/>
          <w:sz w:val="24"/>
          <w:szCs w:val="24"/>
        </w:rPr>
        <w:t xml:space="preserve">nowego rozdziału regulującego zasady wydawania dokumentów ww. osobom. </w:t>
      </w:r>
    </w:p>
    <w:p w14:paraId="73595997" w14:textId="7821BC69" w:rsidR="0077711D" w:rsidRPr="00774FA7" w:rsidRDefault="0077711D"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w:t>
      </w:r>
      <w:r w:rsidR="00983771" w:rsidRPr="00774FA7">
        <w:rPr>
          <w:rFonts w:ascii="Times New Roman" w:eastAsia="Calibri" w:hAnsi="Times New Roman" w:cs="Times New Roman"/>
          <w:sz w:val="24"/>
          <w:szCs w:val="24"/>
        </w:rPr>
        <w:t>65a wskazano generalną zasadę, iż d</w:t>
      </w:r>
      <w:r w:rsidRPr="00774FA7">
        <w:rPr>
          <w:rFonts w:ascii="Times New Roman" w:eastAsia="Calibri" w:hAnsi="Times New Roman" w:cs="Times New Roman"/>
          <w:sz w:val="24"/>
          <w:szCs w:val="24"/>
        </w:rPr>
        <w:t xml:space="preserve">o postępowań w sprawie prawa pobytu lub prawa stałego pobytu obywateli Zjednoczonego Królestwa oraz członków </w:t>
      </w:r>
      <w:r w:rsidR="00983771" w:rsidRPr="00774FA7">
        <w:rPr>
          <w:rFonts w:ascii="Times New Roman" w:eastAsia="Calibri" w:hAnsi="Times New Roman" w:cs="Times New Roman"/>
          <w:sz w:val="24"/>
          <w:szCs w:val="24"/>
        </w:rPr>
        <w:t xml:space="preserve">ich </w:t>
      </w:r>
      <w:r w:rsidRPr="00774FA7">
        <w:rPr>
          <w:rFonts w:ascii="Times New Roman" w:eastAsia="Calibri" w:hAnsi="Times New Roman" w:cs="Times New Roman"/>
          <w:sz w:val="24"/>
          <w:szCs w:val="24"/>
        </w:rPr>
        <w:t xml:space="preserve">rodzin stosuje się przepisy rozdziału 3 i rozdziału 4 z zastrzeżeniem przepisów </w:t>
      </w:r>
      <w:r w:rsidR="00983771" w:rsidRPr="00774FA7">
        <w:rPr>
          <w:rFonts w:ascii="Times New Roman" w:eastAsia="Calibri" w:hAnsi="Times New Roman" w:cs="Times New Roman"/>
          <w:sz w:val="24"/>
          <w:szCs w:val="24"/>
        </w:rPr>
        <w:t xml:space="preserve">nowego </w:t>
      </w:r>
      <w:r w:rsidRPr="00774FA7">
        <w:rPr>
          <w:rFonts w:ascii="Times New Roman" w:eastAsia="Calibri" w:hAnsi="Times New Roman" w:cs="Times New Roman"/>
          <w:sz w:val="24"/>
          <w:szCs w:val="24"/>
        </w:rPr>
        <w:t>rozdziału</w:t>
      </w:r>
      <w:r w:rsidR="00983771" w:rsidRPr="00774FA7">
        <w:rPr>
          <w:rFonts w:ascii="Times New Roman" w:eastAsia="Calibri" w:hAnsi="Times New Roman" w:cs="Times New Roman"/>
          <w:sz w:val="24"/>
          <w:szCs w:val="24"/>
        </w:rPr>
        <w:t xml:space="preserve"> 4a</w:t>
      </w:r>
      <w:r w:rsidRPr="00774FA7">
        <w:rPr>
          <w:rFonts w:ascii="Times New Roman" w:eastAsia="Calibri" w:hAnsi="Times New Roman" w:cs="Times New Roman"/>
          <w:sz w:val="24"/>
          <w:szCs w:val="24"/>
        </w:rPr>
        <w:t>.</w:t>
      </w:r>
    </w:p>
    <w:p w14:paraId="413ABB74" w14:textId="7DBBE1B8" w:rsidR="00F63F6D" w:rsidRPr="00774FA7" w:rsidRDefault="00983771"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Art. 65b wymienia dokumenty, które będą wydawane obywatelom Zjednoczonego Królestwa oraz członkom ich rodzin. </w:t>
      </w:r>
      <w:r w:rsidR="00B7772F" w:rsidRPr="00774FA7">
        <w:rPr>
          <w:rFonts w:ascii="Times New Roman" w:eastAsia="Calibri" w:hAnsi="Times New Roman" w:cs="Times New Roman"/>
          <w:sz w:val="24"/>
          <w:szCs w:val="24"/>
        </w:rPr>
        <w:t>Tym o</w:t>
      </w:r>
      <w:r w:rsidRPr="00774FA7">
        <w:rPr>
          <w:rFonts w:ascii="Times New Roman" w:eastAsia="Calibri" w:hAnsi="Times New Roman" w:cs="Times New Roman"/>
          <w:sz w:val="24"/>
          <w:szCs w:val="24"/>
        </w:rPr>
        <w:t>bywatelom</w:t>
      </w:r>
      <w:r w:rsidR="00B7772F" w:rsidRPr="00774FA7">
        <w:rPr>
          <w:rFonts w:ascii="Times New Roman" w:eastAsia="Calibri" w:hAnsi="Times New Roman" w:cs="Times New Roman"/>
          <w:sz w:val="24"/>
          <w:szCs w:val="24"/>
        </w:rPr>
        <w:t xml:space="preserve">, którzy </w:t>
      </w:r>
      <w:r w:rsidRPr="00774FA7">
        <w:rPr>
          <w:rFonts w:ascii="Times New Roman" w:eastAsia="Calibri" w:hAnsi="Times New Roman" w:cs="Times New Roman"/>
          <w:sz w:val="24"/>
          <w:szCs w:val="24"/>
        </w:rPr>
        <w:t>posiadają prawo pobytu w Polsce będą wydawane zaświadczenia o zarejestrowaniu pobytu, a posiadaczom prawa stałego pobytu będą wydawane dokumenty potwierdzające prawo stałego pobytu. Członkom rodziny obywateli Zjednoczonego Królestwa</w:t>
      </w:r>
      <w:r w:rsidR="00F63F6D" w:rsidRPr="00774FA7">
        <w:rPr>
          <w:rFonts w:ascii="Times New Roman" w:eastAsia="Calibri" w:hAnsi="Times New Roman" w:cs="Times New Roman"/>
          <w:sz w:val="24"/>
          <w:szCs w:val="24"/>
        </w:rPr>
        <w:t xml:space="preserve"> będą </w:t>
      </w:r>
      <w:r w:rsidR="00B7772F" w:rsidRPr="00774FA7">
        <w:rPr>
          <w:rFonts w:ascii="Times New Roman" w:eastAsia="Calibri" w:hAnsi="Times New Roman" w:cs="Times New Roman"/>
          <w:sz w:val="24"/>
          <w:szCs w:val="24"/>
        </w:rPr>
        <w:t xml:space="preserve">zaś </w:t>
      </w:r>
      <w:r w:rsidR="00F63F6D" w:rsidRPr="00774FA7">
        <w:rPr>
          <w:rFonts w:ascii="Times New Roman" w:eastAsia="Calibri" w:hAnsi="Times New Roman" w:cs="Times New Roman"/>
          <w:sz w:val="24"/>
          <w:szCs w:val="24"/>
        </w:rPr>
        <w:t xml:space="preserve">wydawane odpowiednio karty pobytowe </w:t>
      </w:r>
      <w:r w:rsidR="00B7772F" w:rsidRPr="00774FA7">
        <w:rPr>
          <w:rFonts w:ascii="Times New Roman" w:eastAsia="Calibri" w:hAnsi="Times New Roman" w:cs="Times New Roman"/>
          <w:sz w:val="24"/>
          <w:szCs w:val="24"/>
        </w:rPr>
        <w:t xml:space="preserve">- w przypadku posiadania przez nich prawa pobytu lub </w:t>
      </w:r>
      <w:r w:rsidR="00F63F6D" w:rsidRPr="00774FA7">
        <w:rPr>
          <w:rFonts w:ascii="Times New Roman" w:eastAsia="Calibri" w:hAnsi="Times New Roman" w:cs="Times New Roman"/>
          <w:sz w:val="24"/>
          <w:szCs w:val="24"/>
        </w:rPr>
        <w:t>karty stałego pobytu</w:t>
      </w:r>
      <w:r w:rsidR="00B7772F" w:rsidRPr="00774FA7">
        <w:rPr>
          <w:rFonts w:ascii="Times New Roman" w:eastAsia="Calibri" w:hAnsi="Times New Roman" w:cs="Times New Roman"/>
          <w:sz w:val="24"/>
          <w:szCs w:val="24"/>
        </w:rPr>
        <w:t xml:space="preserve"> - w przypadku posiadania przez nich prawa stałego pobytu</w:t>
      </w:r>
      <w:r w:rsidR="00F63F6D" w:rsidRPr="00774FA7">
        <w:rPr>
          <w:rFonts w:ascii="Times New Roman" w:eastAsia="Calibri" w:hAnsi="Times New Roman" w:cs="Times New Roman"/>
          <w:sz w:val="24"/>
          <w:szCs w:val="24"/>
        </w:rPr>
        <w:t xml:space="preserve">. </w:t>
      </w:r>
    </w:p>
    <w:p w14:paraId="71874E42" w14:textId="4145F0AB" w:rsidR="002B37C6" w:rsidRPr="00774FA7" w:rsidRDefault="00F63F6D"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Zgodnie z uregulowaniami </w:t>
      </w:r>
      <w:r w:rsidR="00AD458A">
        <w:rPr>
          <w:rFonts w:ascii="Times New Roman" w:eastAsia="Calibri" w:hAnsi="Times New Roman" w:cs="Times New Roman"/>
          <w:sz w:val="24"/>
          <w:szCs w:val="24"/>
        </w:rPr>
        <w:t>D</w:t>
      </w:r>
      <w:r w:rsidRPr="00774FA7">
        <w:rPr>
          <w:rFonts w:ascii="Times New Roman" w:eastAsia="Calibri" w:hAnsi="Times New Roman" w:cs="Times New Roman"/>
          <w:sz w:val="24"/>
          <w:szCs w:val="24"/>
        </w:rPr>
        <w:t>ecyzji wykonawczej nr C(2020) 1114 dokumenty wydawane obywatelom Zjednoczonego Królestwa  powinny być wydawane według formatu określonego rozporządzeniem Rady (WE) nr 1030/2002</w:t>
      </w:r>
      <w:r w:rsidR="002B37C6" w:rsidRPr="00774FA7">
        <w:rPr>
          <w:rFonts w:ascii="Times New Roman" w:eastAsia="Calibri" w:hAnsi="Times New Roman" w:cs="Times New Roman"/>
          <w:sz w:val="24"/>
          <w:szCs w:val="24"/>
        </w:rPr>
        <w:t>, co oznacza, że</w:t>
      </w:r>
      <w:r w:rsidRPr="00774FA7">
        <w:rPr>
          <w:rFonts w:ascii="Times New Roman" w:eastAsia="Calibri" w:hAnsi="Times New Roman" w:cs="Times New Roman"/>
          <w:sz w:val="24"/>
          <w:szCs w:val="24"/>
        </w:rPr>
        <w:t xml:space="preserve"> we wszystkich dokumentach </w:t>
      </w:r>
      <w:r w:rsidR="00DD152D" w:rsidRPr="00774FA7">
        <w:rPr>
          <w:rFonts w:ascii="Times New Roman" w:eastAsia="Calibri" w:hAnsi="Times New Roman" w:cs="Times New Roman"/>
          <w:sz w:val="24"/>
          <w:szCs w:val="24"/>
        </w:rPr>
        <w:t xml:space="preserve">powinien </w:t>
      </w:r>
      <w:r w:rsidRPr="00774FA7">
        <w:rPr>
          <w:rFonts w:ascii="Times New Roman" w:eastAsia="Calibri" w:hAnsi="Times New Roman" w:cs="Times New Roman"/>
          <w:sz w:val="24"/>
          <w:szCs w:val="24"/>
        </w:rPr>
        <w:t>być z</w:t>
      </w:r>
      <w:r w:rsidR="00DD152D" w:rsidRPr="00774FA7">
        <w:rPr>
          <w:rFonts w:ascii="Times New Roman" w:eastAsia="Calibri" w:hAnsi="Times New Roman" w:cs="Times New Roman"/>
          <w:sz w:val="24"/>
          <w:szCs w:val="24"/>
        </w:rPr>
        <w:t xml:space="preserve">amieszczany obraz linii papilarnych. </w:t>
      </w:r>
    </w:p>
    <w:p w14:paraId="0BB8D870" w14:textId="44E1A470" w:rsidR="002B37C6" w:rsidRPr="00774FA7" w:rsidRDefault="00A17F7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Art. </w:t>
      </w:r>
      <w:r w:rsidR="000C4951" w:rsidRPr="00774FA7">
        <w:rPr>
          <w:rFonts w:ascii="Times New Roman" w:eastAsia="Calibri" w:hAnsi="Times New Roman" w:cs="Times New Roman"/>
          <w:sz w:val="24"/>
          <w:szCs w:val="24"/>
        </w:rPr>
        <w:t xml:space="preserve">65c </w:t>
      </w:r>
      <w:r w:rsidR="00DD152D" w:rsidRPr="00774FA7">
        <w:rPr>
          <w:rFonts w:ascii="Times New Roman" w:eastAsia="Calibri" w:hAnsi="Times New Roman" w:cs="Times New Roman"/>
          <w:sz w:val="24"/>
          <w:szCs w:val="24"/>
        </w:rPr>
        <w:t xml:space="preserve">określa zasady składania wniosków o zarejestrowanie pobytu oraz o wydanie karty pobytu przez obywateli Zjednoczonego Królestwa oraz członków ich rodzin, tak aby umożliwić pobranie od nich odcisków linii papilarnych. Zaproponowane rozwiązania są analogiczne jak  uregulowania dotyczące składania wniosków o wydanie karty pobytowej przez członków rodziny obywateli UE niebędących obywatelami UE. </w:t>
      </w:r>
    </w:p>
    <w:p w14:paraId="422DF31D" w14:textId="60C75AE1" w:rsidR="002B37C6" w:rsidRPr="00774FA7" w:rsidRDefault="002B37C6"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w:t>
      </w:r>
      <w:r w:rsidR="00DD152D" w:rsidRPr="00774FA7">
        <w:rPr>
          <w:rFonts w:ascii="Times New Roman" w:eastAsia="Calibri" w:hAnsi="Times New Roman" w:cs="Times New Roman"/>
          <w:sz w:val="24"/>
          <w:szCs w:val="24"/>
        </w:rPr>
        <w:t xml:space="preserve"> art. </w:t>
      </w:r>
      <w:r w:rsidR="000C4951" w:rsidRPr="00774FA7">
        <w:rPr>
          <w:rFonts w:ascii="Times New Roman" w:eastAsia="Calibri" w:hAnsi="Times New Roman" w:cs="Times New Roman"/>
          <w:sz w:val="24"/>
          <w:szCs w:val="24"/>
        </w:rPr>
        <w:t xml:space="preserve">65d </w:t>
      </w:r>
      <w:r w:rsidR="00C21E59" w:rsidRPr="00774FA7">
        <w:rPr>
          <w:rFonts w:ascii="Times New Roman" w:eastAsia="Calibri" w:hAnsi="Times New Roman" w:cs="Times New Roman"/>
          <w:sz w:val="24"/>
          <w:szCs w:val="24"/>
        </w:rPr>
        <w:t xml:space="preserve">określono zakres danych umieszczanych w zaświadczeniu o </w:t>
      </w:r>
      <w:r w:rsidR="00E5356B" w:rsidRPr="00774FA7">
        <w:rPr>
          <w:rFonts w:ascii="Times New Roman" w:eastAsia="Calibri" w:hAnsi="Times New Roman" w:cs="Times New Roman"/>
          <w:sz w:val="24"/>
          <w:szCs w:val="24"/>
        </w:rPr>
        <w:t xml:space="preserve">zarejestrowaniu pobytu oraz w karcie pobytowej wydawanych obywatelom Zjednoczonego Królestwa oraz członkom ich rodzin. Przepisy </w:t>
      </w:r>
      <w:r w:rsidRPr="00774FA7">
        <w:rPr>
          <w:rFonts w:ascii="Times New Roman" w:eastAsia="Calibri" w:hAnsi="Times New Roman" w:cs="Times New Roman"/>
          <w:sz w:val="24"/>
          <w:szCs w:val="24"/>
        </w:rPr>
        <w:t xml:space="preserve">te </w:t>
      </w:r>
      <w:r w:rsidR="00E5356B" w:rsidRPr="00774FA7">
        <w:rPr>
          <w:rFonts w:ascii="Times New Roman" w:eastAsia="Calibri" w:hAnsi="Times New Roman" w:cs="Times New Roman"/>
          <w:sz w:val="24"/>
          <w:szCs w:val="24"/>
        </w:rPr>
        <w:t xml:space="preserve">uwzględniają postanowienia </w:t>
      </w:r>
      <w:r w:rsidRPr="00774FA7">
        <w:rPr>
          <w:rFonts w:ascii="Times New Roman" w:eastAsia="Calibri" w:hAnsi="Times New Roman" w:cs="Times New Roman"/>
          <w:sz w:val="24"/>
          <w:szCs w:val="24"/>
        </w:rPr>
        <w:t xml:space="preserve">ww. </w:t>
      </w:r>
      <w:r w:rsidR="00E5356B" w:rsidRPr="00774FA7">
        <w:rPr>
          <w:rFonts w:ascii="Times New Roman" w:eastAsia="Calibri" w:hAnsi="Times New Roman" w:cs="Times New Roman"/>
          <w:sz w:val="24"/>
          <w:szCs w:val="24"/>
        </w:rPr>
        <w:t xml:space="preserve">decyzji wykonawczej. </w:t>
      </w:r>
    </w:p>
    <w:p w14:paraId="5804A2EA" w14:textId="77777777" w:rsidR="00565134" w:rsidRDefault="00E5356B"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w:t>
      </w:r>
      <w:r w:rsidR="000C4951" w:rsidRPr="00774FA7">
        <w:rPr>
          <w:rFonts w:ascii="Times New Roman" w:eastAsia="Calibri" w:hAnsi="Times New Roman" w:cs="Times New Roman"/>
          <w:sz w:val="24"/>
          <w:szCs w:val="24"/>
        </w:rPr>
        <w:t xml:space="preserve">65e </w:t>
      </w:r>
      <w:r w:rsidR="001674EB" w:rsidRPr="00774FA7">
        <w:rPr>
          <w:rFonts w:ascii="Times New Roman" w:eastAsia="Calibri" w:hAnsi="Times New Roman" w:cs="Times New Roman"/>
          <w:sz w:val="24"/>
          <w:szCs w:val="24"/>
        </w:rPr>
        <w:t>uregulowano</w:t>
      </w:r>
      <w:r w:rsidR="002B37C6" w:rsidRPr="00774FA7">
        <w:rPr>
          <w:rFonts w:ascii="Times New Roman" w:eastAsia="Calibri" w:hAnsi="Times New Roman" w:cs="Times New Roman"/>
          <w:sz w:val="24"/>
          <w:szCs w:val="24"/>
        </w:rPr>
        <w:t xml:space="preserve"> z kolei</w:t>
      </w:r>
      <w:r w:rsidR="001674EB" w:rsidRPr="00774FA7">
        <w:rPr>
          <w:rFonts w:ascii="Times New Roman" w:eastAsia="Calibri" w:hAnsi="Times New Roman" w:cs="Times New Roman"/>
          <w:sz w:val="24"/>
          <w:szCs w:val="24"/>
        </w:rPr>
        <w:t xml:space="preserve"> kwestię odbioru </w:t>
      </w:r>
      <w:r w:rsidR="008D2A1C" w:rsidRPr="00774FA7">
        <w:rPr>
          <w:rFonts w:ascii="Times New Roman" w:eastAsia="Calibri" w:hAnsi="Times New Roman" w:cs="Times New Roman"/>
          <w:sz w:val="24"/>
          <w:szCs w:val="24"/>
        </w:rPr>
        <w:t xml:space="preserve">zaświadczenia o zarejestrowaniu pobytu. </w:t>
      </w:r>
    </w:p>
    <w:p w14:paraId="7CC8336D" w14:textId="77777777" w:rsidR="00565134" w:rsidRDefault="008D2A1C"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 xml:space="preserve">Przepis </w:t>
      </w:r>
      <w:r w:rsidR="00584B1E" w:rsidRPr="00774FA7">
        <w:rPr>
          <w:rFonts w:ascii="Times New Roman" w:eastAsia="Calibri" w:hAnsi="Times New Roman" w:cs="Times New Roman"/>
          <w:sz w:val="24"/>
          <w:szCs w:val="24"/>
        </w:rPr>
        <w:t xml:space="preserve">art. </w:t>
      </w:r>
      <w:r w:rsidR="000C4951" w:rsidRPr="00774FA7">
        <w:rPr>
          <w:rFonts w:ascii="Times New Roman" w:eastAsia="Calibri" w:hAnsi="Times New Roman" w:cs="Times New Roman"/>
          <w:sz w:val="24"/>
          <w:szCs w:val="24"/>
        </w:rPr>
        <w:t xml:space="preserve">65f </w:t>
      </w:r>
      <w:r w:rsidRPr="00774FA7">
        <w:rPr>
          <w:rFonts w:ascii="Times New Roman" w:eastAsia="Calibri" w:hAnsi="Times New Roman" w:cs="Times New Roman"/>
          <w:sz w:val="24"/>
          <w:szCs w:val="24"/>
        </w:rPr>
        <w:t xml:space="preserve">reguluje zasady składania wniosku o wymianę lub wydanie nowego zaświadczenia o zarejestrowaniu pobytu lub nowej karty pobytowej. </w:t>
      </w:r>
    </w:p>
    <w:p w14:paraId="67A79A14" w14:textId="2769C5CC" w:rsidR="002B37C6" w:rsidRPr="00774FA7" w:rsidRDefault="008D2A1C"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Przepis </w:t>
      </w:r>
      <w:r w:rsidR="001674EB" w:rsidRPr="00774FA7">
        <w:rPr>
          <w:rFonts w:ascii="Times New Roman" w:eastAsia="Calibri" w:hAnsi="Times New Roman" w:cs="Times New Roman"/>
          <w:sz w:val="24"/>
          <w:szCs w:val="24"/>
        </w:rPr>
        <w:t>art.</w:t>
      </w:r>
      <w:r w:rsidR="00A17F77" w:rsidRPr="00774FA7">
        <w:rPr>
          <w:rFonts w:ascii="Times New Roman" w:eastAsia="Calibri" w:hAnsi="Times New Roman" w:cs="Times New Roman"/>
          <w:sz w:val="24"/>
          <w:szCs w:val="24"/>
        </w:rPr>
        <w:t xml:space="preserve"> </w:t>
      </w:r>
      <w:r w:rsidR="000C4951" w:rsidRPr="00774FA7">
        <w:rPr>
          <w:rFonts w:ascii="Times New Roman" w:eastAsia="Calibri" w:hAnsi="Times New Roman" w:cs="Times New Roman"/>
          <w:sz w:val="24"/>
          <w:szCs w:val="24"/>
        </w:rPr>
        <w:t xml:space="preserve">65g </w:t>
      </w:r>
      <w:r w:rsidRPr="00774FA7">
        <w:rPr>
          <w:rFonts w:ascii="Times New Roman" w:eastAsia="Calibri" w:hAnsi="Times New Roman" w:cs="Times New Roman"/>
          <w:sz w:val="24"/>
          <w:szCs w:val="24"/>
        </w:rPr>
        <w:t xml:space="preserve">stanowi, że do odbioru nowego zaświadczenia </w:t>
      </w:r>
      <w:r w:rsidR="001674EB" w:rsidRPr="00774FA7">
        <w:rPr>
          <w:rFonts w:ascii="Times New Roman" w:eastAsia="Calibri" w:hAnsi="Times New Roman" w:cs="Times New Roman"/>
          <w:sz w:val="24"/>
          <w:szCs w:val="24"/>
        </w:rPr>
        <w:t>o zarejestrowaniu pobytu lub nowej karty pobytowej</w:t>
      </w:r>
      <w:r w:rsidRPr="00774FA7">
        <w:rPr>
          <w:rFonts w:ascii="Times New Roman" w:eastAsia="Calibri" w:hAnsi="Times New Roman" w:cs="Times New Roman"/>
          <w:sz w:val="24"/>
          <w:szCs w:val="24"/>
        </w:rPr>
        <w:t xml:space="preserve"> stosuje się </w:t>
      </w:r>
      <w:r w:rsidR="008E1B25" w:rsidRPr="00774FA7">
        <w:rPr>
          <w:rFonts w:ascii="Times New Roman" w:eastAsia="Calibri" w:hAnsi="Times New Roman" w:cs="Times New Roman"/>
          <w:sz w:val="24"/>
          <w:szCs w:val="24"/>
        </w:rPr>
        <w:t>przepisy o odbiorze zaświadczenia o zarejestrowaniu pobytu.</w:t>
      </w:r>
      <w:r w:rsidR="001674EB" w:rsidRPr="00774FA7">
        <w:rPr>
          <w:rFonts w:ascii="Times New Roman" w:eastAsia="Calibri" w:hAnsi="Times New Roman" w:cs="Times New Roman"/>
          <w:sz w:val="24"/>
          <w:szCs w:val="24"/>
        </w:rPr>
        <w:t xml:space="preserve"> Oba przepisy są wzorowane na uregulowaniach dotyczących kart pobytowych wydawanych członkom rodziny obywateli UE niebędących obywatelami UE. </w:t>
      </w:r>
    </w:p>
    <w:p w14:paraId="6CA3B18E" w14:textId="65C8AD22" w:rsidR="00983771" w:rsidRPr="00774FA7" w:rsidRDefault="002B37C6"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Przepis a</w:t>
      </w:r>
      <w:r w:rsidR="00A17F77" w:rsidRPr="00774FA7">
        <w:rPr>
          <w:rFonts w:ascii="Times New Roman" w:eastAsia="Calibri" w:hAnsi="Times New Roman" w:cs="Times New Roman"/>
          <w:sz w:val="24"/>
          <w:szCs w:val="24"/>
        </w:rPr>
        <w:t xml:space="preserve">rt. </w:t>
      </w:r>
      <w:r w:rsidR="000C4951" w:rsidRPr="00774FA7">
        <w:rPr>
          <w:rFonts w:ascii="Times New Roman" w:eastAsia="Calibri" w:hAnsi="Times New Roman" w:cs="Times New Roman"/>
          <w:sz w:val="24"/>
          <w:szCs w:val="24"/>
        </w:rPr>
        <w:t xml:space="preserve">65h </w:t>
      </w:r>
      <w:r w:rsidR="008F2252">
        <w:rPr>
          <w:rFonts w:ascii="Times New Roman" w:eastAsia="Calibri" w:hAnsi="Times New Roman" w:cs="Times New Roman"/>
          <w:sz w:val="24"/>
          <w:szCs w:val="24"/>
        </w:rPr>
        <w:t xml:space="preserve">ust. 1 </w:t>
      </w:r>
      <w:r w:rsidR="00625AAD" w:rsidRPr="00774FA7">
        <w:rPr>
          <w:rFonts w:ascii="Times New Roman" w:eastAsia="Calibri" w:hAnsi="Times New Roman" w:cs="Times New Roman"/>
          <w:sz w:val="24"/>
          <w:szCs w:val="24"/>
        </w:rPr>
        <w:t xml:space="preserve">zawiera upoważnienie dla ministra właściwego do spraw wewnętrznych do wydania rozporządzenia określającego </w:t>
      </w:r>
      <w:r w:rsidR="00A840DD">
        <w:rPr>
          <w:rFonts w:ascii="Times New Roman" w:eastAsia="Calibri" w:hAnsi="Times New Roman" w:cs="Times New Roman"/>
          <w:sz w:val="24"/>
          <w:szCs w:val="24"/>
        </w:rPr>
        <w:t>między innymi</w:t>
      </w:r>
      <w:r w:rsidR="00A840DD" w:rsidRPr="00774FA7">
        <w:rPr>
          <w:rFonts w:ascii="Times New Roman" w:eastAsia="Calibri" w:hAnsi="Times New Roman" w:cs="Times New Roman"/>
          <w:sz w:val="24"/>
          <w:szCs w:val="24"/>
        </w:rPr>
        <w:t xml:space="preserve"> </w:t>
      </w:r>
      <w:r w:rsidR="00625AAD" w:rsidRPr="00774FA7">
        <w:rPr>
          <w:rFonts w:ascii="Times New Roman" w:eastAsia="Calibri" w:hAnsi="Times New Roman" w:cs="Times New Roman"/>
          <w:sz w:val="24"/>
          <w:szCs w:val="24"/>
        </w:rPr>
        <w:t>formularz</w:t>
      </w:r>
      <w:r w:rsidRPr="00774FA7">
        <w:rPr>
          <w:rFonts w:ascii="Times New Roman" w:eastAsia="Calibri" w:hAnsi="Times New Roman" w:cs="Times New Roman"/>
          <w:sz w:val="24"/>
          <w:szCs w:val="24"/>
        </w:rPr>
        <w:t>e:</w:t>
      </w:r>
      <w:r w:rsidR="00625AAD" w:rsidRPr="00774FA7">
        <w:rPr>
          <w:rFonts w:ascii="Times New Roman" w:eastAsia="Calibri" w:hAnsi="Times New Roman" w:cs="Times New Roman"/>
          <w:sz w:val="24"/>
          <w:szCs w:val="24"/>
        </w:rPr>
        <w:t xml:space="preserve"> wniosku o zarejestrowanie pobytu obywatela Zjednoczonego Królestwa, wniosku o wydanie karty pobytowej członkowi rodziny obywatela Zjednoczonego Królestwa, wniosku o wymianę lub wydanie nowego zaświadczenia o zarejestrowaniu pobytu lub nowej karty pobytowej</w:t>
      </w:r>
      <w:r w:rsidRPr="00774FA7">
        <w:rPr>
          <w:rFonts w:ascii="Times New Roman" w:eastAsia="Calibri" w:hAnsi="Times New Roman" w:cs="Times New Roman"/>
          <w:sz w:val="24"/>
          <w:szCs w:val="24"/>
        </w:rPr>
        <w:t>, zaświadczenia o zarejestrowaniu pobytu i</w:t>
      </w:r>
      <w:r w:rsidRPr="00774FA7">
        <w:t xml:space="preserve"> </w:t>
      </w:r>
      <w:r w:rsidRPr="00774FA7">
        <w:rPr>
          <w:rFonts w:ascii="Times New Roman" w:eastAsia="Calibri" w:hAnsi="Times New Roman" w:cs="Times New Roman"/>
          <w:sz w:val="24"/>
          <w:szCs w:val="24"/>
        </w:rPr>
        <w:t>karty pobytowej</w:t>
      </w:r>
      <w:r w:rsidR="00625AAD" w:rsidRPr="00774FA7">
        <w:rPr>
          <w:rFonts w:ascii="Times New Roman" w:eastAsia="Calibri" w:hAnsi="Times New Roman" w:cs="Times New Roman"/>
          <w:sz w:val="24"/>
          <w:szCs w:val="24"/>
        </w:rPr>
        <w:t>. W ww. rozporządzeniu określony będzie także sposób pobierania odcisków linii papilarnych od obywateli Zjednoczonego Królestwa oraz członków rodzin obywateli Zjednoczonego Królestwa</w:t>
      </w:r>
      <w:r w:rsidRPr="00774FA7">
        <w:rPr>
          <w:rFonts w:ascii="Times New Roman" w:eastAsia="Calibri" w:hAnsi="Times New Roman" w:cs="Times New Roman"/>
          <w:sz w:val="24"/>
          <w:szCs w:val="24"/>
        </w:rPr>
        <w:t>.</w:t>
      </w:r>
      <w:r w:rsidR="00625AAD" w:rsidRPr="00774FA7">
        <w:rPr>
          <w:rFonts w:ascii="Times New Roman" w:eastAsia="Calibri" w:hAnsi="Times New Roman" w:cs="Times New Roman"/>
          <w:sz w:val="24"/>
          <w:szCs w:val="24"/>
        </w:rPr>
        <w:t xml:space="preserve"> </w:t>
      </w:r>
      <w:r w:rsidR="008F2252">
        <w:rPr>
          <w:rFonts w:ascii="Times New Roman" w:eastAsia="Calibri" w:hAnsi="Times New Roman" w:cs="Times New Roman"/>
          <w:sz w:val="24"/>
          <w:szCs w:val="24"/>
        </w:rPr>
        <w:t>Przepis ust. 2 określa wytyczne</w:t>
      </w:r>
      <w:r w:rsidR="008F2252" w:rsidRPr="008F2252">
        <w:t xml:space="preserve"> </w:t>
      </w:r>
      <w:r w:rsidR="008F2252">
        <w:t xml:space="preserve">dla </w:t>
      </w:r>
      <w:r w:rsidR="008F2252">
        <w:rPr>
          <w:rFonts w:ascii="Times New Roman" w:eastAsia="Calibri" w:hAnsi="Times New Roman" w:cs="Times New Roman"/>
          <w:sz w:val="24"/>
          <w:szCs w:val="24"/>
        </w:rPr>
        <w:t>minist</w:t>
      </w:r>
      <w:r w:rsidR="008F2252" w:rsidRPr="008F2252">
        <w:rPr>
          <w:rFonts w:ascii="Times New Roman" w:eastAsia="Calibri" w:hAnsi="Times New Roman" w:cs="Times New Roman"/>
          <w:sz w:val="24"/>
          <w:szCs w:val="24"/>
        </w:rPr>
        <w:t>r</w:t>
      </w:r>
      <w:r w:rsidR="008F2252">
        <w:rPr>
          <w:rFonts w:ascii="Times New Roman" w:eastAsia="Calibri" w:hAnsi="Times New Roman" w:cs="Times New Roman"/>
          <w:sz w:val="24"/>
          <w:szCs w:val="24"/>
        </w:rPr>
        <w:t>a</w:t>
      </w:r>
      <w:r w:rsidR="008F2252" w:rsidRPr="008F2252">
        <w:rPr>
          <w:rFonts w:ascii="Times New Roman" w:eastAsia="Calibri" w:hAnsi="Times New Roman" w:cs="Times New Roman"/>
          <w:sz w:val="24"/>
          <w:szCs w:val="24"/>
        </w:rPr>
        <w:t xml:space="preserve"> właściw</w:t>
      </w:r>
      <w:r w:rsidR="008F2252">
        <w:rPr>
          <w:rFonts w:ascii="Times New Roman" w:eastAsia="Calibri" w:hAnsi="Times New Roman" w:cs="Times New Roman"/>
          <w:sz w:val="24"/>
          <w:szCs w:val="24"/>
        </w:rPr>
        <w:t>ego</w:t>
      </w:r>
      <w:r w:rsidR="008F2252" w:rsidRPr="008F2252">
        <w:rPr>
          <w:rFonts w:ascii="Times New Roman" w:eastAsia="Calibri" w:hAnsi="Times New Roman" w:cs="Times New Roman"/>
          <w:sz w:val="24"/>
          <w:szCs w:val="24"/>
        </w:rPr>
        <w:t xml:space="preserve"> do spraw wewnętrznych</w:t>
      </w:r>
      <w:r w:rsidR="008F2252">
        <w:rPr>
          <w:rFonts w:ascii="Times New Roman" w:eastAsia="Calibri" w:hAnsi="Times New Roman" w:cs="Times New Roman"/>
          <w:sz w:val="24"/>
          <w:szCs w:val="24"/>
        </w:rPr>
        <w:t xml:space="preserve"> do wydania ww. rozporządzenia. </w:t>
      </w:r>
    </w:p>
    <w:p w14:paraId="6C7D6CB8" w14:textId="63495CB4" w:rsidR="00CB2E92" w:rsidRPr="00774FA7" w:rsidRDefault="00A17F7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Art. </w:t>
      </w:r>
      <w:r w:rsidR="000C4951" w:rsidRPr="00774FA7">
        <w:rPr>
          <w:rFonts w:ascii="Times New Roman" w:eastAsia="Calibri" w:hAnsi="Times New Roman" w:cs="Times New Roman"/>
          <w:sz w:val="24"/>
          <w:szCs w:val="24"/>
        </w:rPr>
        <w:t xml:space="preserve">65i </w:t>
      </w:r>
      <w:r w:rsidRPr="00774FA7">
        <w:rPr>
          <w:rFonts w:ascii="Times New Roman" w:eastAsia="Calibri" w:hAnsi="Times New Roman" w:cs="Times New Roman"/>
          <w:sz w:val="24"/>
          <w:szCs w:val="24"/>
        </w:rPr>
        <w:t>–</w:t>
      </w:r>
      <w:r w:rsidR="00565134">
        <w:rPr>
          <w:rFonts w:ascii="Times New Roman" w:eastAsia="Calibri" w:hAnsi="Times New Roman" w:cs="Times New Roman"/>
          <w:sz w:val="24"/>
          <w:szCs w:val="24"/>
        </w:rPr>
        <w:t xml:space="preserve"> </w:t>
      </w:r>
      <w:r w:rsidR="000C4951" w:rsidRPr="00774FA7">
        <w:rPr>
          <w:rFonts w:ascii="Times New Roman" w:eastAsia="Calibri" w:hAnsi="Times New Roman" w:cs="Times New Roman"/>
          <w:sz w:val="24"/>
          <w:szCs w:val="24"/>
        </w:rPr>
        <w:t xml:space="preserve">65m </w:t>
      </w:r>
      <w:r w:rsidR="00CB2E92" w:rsidRPr="00774FA7">
        <w:rPr>
          <w:rFonts w:ascii="Times New Roman" w:eastAsia="Calibri" w:hAnsi="Times New Roman" w:cs="Times New Roman"/>
          <w:sz w:val="24"/>
          <w:szCs w:val="24"/>
        </w:rPr>
        <w:t>regulują kwestie dokumentów potwierdzających prawo stałego pobytu i kart stałego pobytu</w:t>
      </w:r>
      <w:r w:rsidR="008F2252">
        <w:rPr>
          <w:rFonts w:ascii="Times New Roman" w:eastAsia="Calibri" w:hAnsi="Times New Roman" w:cs="Times New Roman"/>
          <w:sz w:val="24"/>
          <w:szCs w:val="24"/>
        </w:rPr>
        <w:t xml:space="preserve"> wydawanych</w:t>
      </w:r>
      <w:r w:rsidR="002B37C6" w:rsidRPr="00774FA7">
        <w:rPr>
          <w:rFonts w:ascii="Times New Roman" w:eastAsia="Calibri" w:hAnsi="Times New Roman" w:cs="Times New Roman"/>
          <w:sz w:val="24"/>
          <w:szCs w:val="24"/>
        </w:rPr>
        <w:t xml:space="preserve"> </w:t>
      </w:r>
      <w:r w:rsidR="008F2252" w:rsidRPr="008F2252">
        <w:rPr>
          <w:rFonts w:ascii="Times New Roman" w:eastAsia="Calibri" w:hAnsi="Times New Roman" w:cs="Times New Roman"/>
          <w:sz w:val="24"/>
          <w:szCs w:val="24"/>
        </w:rPr>
        <w:t>obywatel</w:t>
      </w:r>
      <w:r w:rsidR="008F2252">
        <w:rPr>
          <w:rFonts w:ascii="Times New Roman" w:eastAsia="Calibri" w:hAnsi="Times New Roman" w:cs="Times New Roman"/>
          <w:sz w:val="24"/>
          <w:szCs w:val="24"/>
        </w:rPr>
        <w:t>om</w:t>
      </w:r>
      <w:r w:rsidR="008F2252" w:rsidRPr="008F2252">
        <w:rPr>
          <w:rFonts w:ascii="Times New Roman" w:eastAsia="Calibri" w:hAnsi="Times New Roman" w:cs="Times New Roman"/>
          <w:sz w:val="24"/>
          <w:szCs w:val="24"/>
        </w:rPr>
        <w:t xml:space="preserve"> Zjednoczonego Królestwa lub członk</w:t>
      </w:r>
      <w:r w:rsidR="008F2252">
        <w:rPr>
          <w:rFonts w:ascii="Times New Roman" w:eastAsia="Calibri" w:hAnsi="Times New Roman" w:cs="Times New Roman"/>
          <w:sz w:val="24"/>
          <w:szCs w:val="24"/>
        </w:rPr>
        <w:t>om</w:t>
      </w:r>
      <w:r w:rsidR="008F2252" w:rsidRPr="008F2252">
        <w:rPr>
          <w:rFonts w:ascii="Times New Roman" w:eastAsia="Calibri" w:hAnsi="Times New Roman" w:cs="Times New Roman"/>
          <w:sz w:val="24"/>
          <w:szCs w:val="24"/>
        </w:rPr>
        <w:t xml:space="preserve"> rodziny obywatela Zjednoczonego Królestwa </w:t>
      </w:r>
      <w:r w:rsidR="002B37C6" w:rsidRPr="00774FA7">
        <w:rPr>
          <w:rFonts w:ascii="Times New Roman" w:eastAsia="Calibri" w:hAnsi="Times New Roman" w:cs="Times New Roman"/>
          <w:sz w:val="24"/>
          <w:szCs w:val="24"/>
        </w:rPr>
        <w:t>i</w:t>
      </w:r>
      <w:r w:rsidR="00CB2E92" w:rsidRPr="00774FA7">
        <w:rPr>
          <w:rFonts w:ascii="Times New Roman" w:eastAsia="Calibri" w:hAnsi="Times New Roman" w:cs="Times New Roman"/>
          <w:sz w:val="24"/>
          <w:szCs w:val="24"/>
        </w:rPr>
        <w:t xml:space="preserve"> </w:t>
      </w:r>
      <w:r w:rsidR="002B37C6" w:rsidRPr="00774FA7">
        <w:rPr>
          <w:rFonts w:ascii="Times New Roman" w:eastAsia="Calibri" w:hAnsi="Times New Roman" w:cs="Times New Roman"/>
          <w:sz w:val="24"/>
          <w:szCs w:val="24"/>
        </w:rPr>
        <w:t>są wzorowane na odpowiednich uregulowaniach dotyczących kart pobytowych wydawanych członkom rodziny obywateli UE niebędących obywatelami UE.</w:t>
      </w:r>
    </w:p>
    <w:p w14:paraId="2C1AC402" w14:textId="30004DB7" w:rsidR="008E1B25" w:rsidRPr="00774FA7" w:rsidRDefault="008E1B25"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Przepis art. </w:t>
      </w:r>
      <w:r w:rsidR="000C4951" w:rsidRPr="00774FA7">
        <w:rPr>
          <w:rFonts w:ascii="Times New Roman" w:eastAsia="Calibri" w:hAnsi="Times New Roman" w:cs="Times New Roman"/>
          <w:sz w:val="24"/>
          <w:szCs w:val="24"/>
        </w:rPr>
        <w:t xml:space="preserve">65n </w:t>
      </w:r>
      <w:r w:rsidR="008F2252">
        <w:rPr>
          <w:rFonts w:ascii="Times New Roman" w:eastAsia="Calibri" w:hAnsi="Times New Roman" w:cs="Times New Roman"/>
          <w:sz w:val="24"/>
          <w:szCs w:val="24"/>
        </w:rPr>
        <w:t xml:space="preserve">ust. 1 </w:t>
      </w:r>
      <w:r w:rsidRPr="00774FA7">
        <w:rPr>
          <w:rFonts w:ascii="Times New Roman" w:eastAsia="Calibri" w:hAnsi="Times New Roman" w:cs="Times New Roman"/>
          <w:sz w:val="24"/>
          <w:szCs w:val="24"/>
        </w:rPr>
        <w:t xml:space="preserve">zawiera upoważnienie dla ministra właściwego do spraw wewnętrznych do wydania rozporządzenia określającego </w:t>
      </w:r>
      <w:r w:rsidR="00A840DD">
        <w:rPr>
          <w:rFonts w:ascii="Times New Roman" w:eastAsia="Calibri" w:hAnsi="Times New Roman" w:cs="Times New Roman"/>
          <w:sz w:val="24"/>
          <w:szCs w:val="24"/>
        </w:rPr>
        <w:t xml:space="preserve">między innymi </w:t>
      </w:r>
      <w:r w:rsidRPr="00774FA7">
        <w:rPr>
          <w:rFonts w:ascii="Times New Roman" w:eastAsia="Calibri" w:hAnsi="Times New Roman" w:cs="Times New Roman"/>
          <w:sz w:val="24"/>
          <w:szCs w:val="24"/>
        </w:rPr>
        <w:t>wzory:</w:t>
      </w:r>
      <w:r w:rsidRPr="00774FA7">
        <w:rPr>
          <w:rFonts w:ascii="Times New Roman" w:hAnsi="Times New Roman" w:cs="Times New Roman"/>
          <w:sz w:val="24"/>
          <w:szCs w:val="24"/>
        </w:rPr>
        <w:t xml:space="preserve"> formularza </w:t>
      </w:r>
      <w:r w:rsidRPr="00774FA7">
        <w:rPr>
          <w:rFonts w:ascii="Times New Roman" w:eastAsia="Calibri" w:hAnsi="Times New Roman" w:cs="Times New Roman"/>
          <w:sz w:val="24"/>
          <w:szCs w:val="24"/>
        </w:rPr>
        <w:t xml:space="preserve">wniosku o wydanie dokumentu potwierdzającego prawo stałego pobytu obywatelowi Zjednoczonego Królestwa, </w:t>
      </w:r>
      <w:r w:rsidRPr="00774FA7">
        <w:rPr>
          <w:rFonts w:ascii="Times New Roman" w:hAnsi="Times New Roman" w:cs="Times New Roman"/>
          <w:sz w:val="24"/>
          <w:szCs w:val="24"/>
        </w:rPr>
        <w:t xml:space="preserve">formularza </w:t>
      </w:r>
      <w:r w:rsidRPr="00774FA7">
        <w:rPr>
          <w:rFonts w:ascii="Times New Roman" w:eastAsia="Calibri" w:hAnsi="Times New Roman" w:cs="Times New Roman"/>
          <w:sz w:val="24"/>
          <w:szCs w:val="24"/>
        </w:rPr>
        <w:t xml:space="preserve">wniosku o wydanie karty stałego pobytu członkowi rodziny obywateli Zjednoczonego Królestwa, formularza wniosku o wymianę albo wydanie nowego dokumentu potwierdzającego prawo stałego pobytu albo nowej karty stałego pobytu, dokumentu potwierdzającego prawo stałego pobytu i karty stałego pobytu. W ww. rozporządzeniu będzie określony także sposób pobierania odcisków linii papilarnych od obywateli Zjednoczonego Królestwa oraz członków rodzin obywateli Zjednoczonego Królestwa. </w:t>
      </w:r>
      <w:r w:rsidR="003D43D6" w:rsidRPr="003D43D6">
        <w:rPr>
          <w:rFonts w:ascii="Times New Roman" w:eastAsia="Calibri" w:hAnsi="Times New Roman" w:cs="Times New Roman"/>
          <w:sz w:val="24"/>
          <w:szCs w:val="24"/>
        </w:rPr>
        <w:t>Przepis ust. 2 określa wytyczne dla ministra właściwego do spraw wewnętrznych do wydania ww. rozporządzenia.</w:t>
      </w:r>
    </w:p>
    <w:p w14:paraId="5382B157" w14:textId="630D3358" w:rsidR="00043F7E" w:rsidRPr="00774FA7" w:rsidRDefault="00043F7E"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w:t>
      </w:r>
      <w:r w:rsidR="000C4951" w:rsidRPr="00774FA7">
        <w:rPr>
          <w:rFonts w:ascii="Times New Roman" w:eastAsia="Calibri" w:hAnsi="Times New Roman" w:cs="Times New Roman"/>
          <w:sz w:val="24"/>
          <w:szCs w:val="24"/>
        </w:rPr>
        <w:t xml:space="preserve">65o </w:t>
      </w:r>
      <w:r w:rsidRPr="00774FA7">
        <w:rPr>
          <w:rFonts w:ascii="Times New Roman" w:eastAsia="Calibri" w:hAnsi="Times New Roman" w:cs="Times New Roman"/>
          <w:sz w:val="24"/>
          <w:szCs w:val="24"/>
        </w:rPr>
        <w:t xml:space="preserve">uregulowano szczególne zasady </w:t>
      </w:r>
      <w:r w:rsidR="00134712" w:rsidRPr="00774FA7">
        <w:rPr>
          <w:rFonts w:ascii="Times New Roman" w:eastAsia="Calibri" w:hAnsi="Times New Roman" w:cs="Times New Roman"/>
          <w:sz w:val="24"/>
          <w:szCs w:val="24"/>
        </w:rPr>
        <w:t>unieważniania d</w:t>
      </w:r>
      <w:r w:rsidRPr="00774FA7">
        <w:rPr>
          <w:rFonts w:ascii="Times New Roman" w:eastAsia="Calibri" w:hAnsi="Times New Roman" w:cs="Times New Roman"/>
          <w:sz w:val="24"/>
          <w:szCs w:val="24"/>
        </w:rPr>
        <w:t>okument</w:t>
      </w:r>
      <w:r w:rsidR="00134712" w:rsidRPr="00774FA7">
        <w:rPr>
          <w:rFonts w:ascii="Times New Roman" w:eastAsia="Calibri" w:hAnsi="Times New Roman" w:cs="Times New Roman"/>
          <w:sz w:val="24"/>
          <w:szCs w:val="24"/>
        </w:rPr>
        <w:t xml:space="preserve"> potwierdzającego</w:t>
      </w:r>
      <w:r w:rsidRPr="00774FA7">
        <w:rPr>
          <w:rFonts w:ascii="Times New Roman" w:eastAsia="Calibri" w:hAnsi="Times New Roman" w:cs="Times New Roman"/>
          <w:sz w:val="24"/>
          <w:szCs w:val="24"/>
        </w:rPr>
        <w:t xml:space="preserve"> prawo stałeg</w:t>
      </w:r>
      <w:r w:rsidR="00134712" w:rsidRPr="00774FA7">
        <w:rPr>
          <w:rFonts w:ascii="Times New Roman" w:eastAsia="Calibri" w:hAnsi="Times New Roman" w:cs="Times New Roman"/>
          <w:sz w:val="24"/>
          <w:szCs w:val="24"/>
        </w:rPr>
        <w:t xml:space="preserve">o pobytu lub karty stałego pobytu, wydanych obywatelom </w:t>
      </w:r>
      <w:r w:rsidRPr="00774FA7">
        <w:rPr>
          <w:rFonts w:ascii="Times New Roman" w:eastAsia="Calibri" w:hAnsi="Times New Roman" w:cs="Times New Roman"/>
          <w:sz w:val="24"/>
          <w:szCs w:val="24"/>
        </w:rPr>
        <w:t>Zjednoczonego Królestwa lub członko</w:t>
      </w:r>
      <w:r w:rsidR="00A8463B" w:rsidRPr="00774FA7">
        <w:rPr>
          <w:rFonts w:ascii="Times New Roman" w:eastAsia="Calibri" w:hAnsi="Times New Roman" w:cs="Times New Roman"/>
          <w:sz w:val="24"/>
          <w:szCs w:val="24"/>
        </w:rPr>
        <w:t>m</w:t>
      </w:r>
      <w:r w:rsidRPr="00774FA7">
        <w:rPr>
          <w:rFonts w:ascii="Times New Roman" w:eastAsia="Calibri" w:hAnsi="Times New Roman" w:cs="Times New Roman"/>
          <w:sz w:val="24"/>
          <w:szCs w:val="24"/>
        </w:rPr>
        <w:t xml:space="preserve"> rodziny obywatela Zjednoczonego Królestwa</w:t>
      </w:r>
      <w:r w:rsidR="00134712" w:rsidRPr="00774FA7">
        <w:rPr>
          <w:rFonts w:ascii="Times New Roman" w:eastAsia="Calibri" w:hAnsi="Times New Roman" w:cs="Times New Roman"/>
          <w:sz w:val="24"/>
          <w:szCs w:val="24"/>
        </w:rPr>
        <w:t xml:space="preserve">. Ww. dokumenty </w:t>
      </w:r>
      <w:r w:rsidR="00A8463B" w:rsidRPr="00774FA7">
        <w:rPr>
          <w:rFonts w:ascii="Times New Roman" w:eastAsia="Calibri" w:hAnsi="Times New Roman" w:cs="Times New Roman"/>
          <w:sz w:val="24"/>
          <w:szCs w:val="24"/>
        </w:rPr>
        <w:t xml:space="preserve">będzie </w:t>
      </w:r>
      <w:r w:rsidRPr="00774FA7">
        <w:rPr>
          <w:rFonts w:ascii="Times New Roman" w:eastAsia="Calibri" w:hAnsi="Times New Roman" w:cs="Times New Roman"/>
          <w:sz w:val="24"/>
          <w:szCs w:val="24"/>
        </w:rPr>
        <w:t>można</w:t>
      </w:r>
      <w:r w:rsidR="00134712"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unieważnić w przypadku</w:t>
      </w:r>
      <w:r w:rsidR="00565134">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gdy obywatel Zjednoczonego Królestwa albo członek rodziny obywatela Zjednoczonego Królestwa opuścił terytorium Rzeczypospolitej Polskiej na okres przekraczający 5 lat</w:t>
      </w:r>
      <w:r w:rsidR="00134712" w:rsidRPr="00774FA7">
        <w:rPr>
          <w:rFonts w:ascii="Times New Roman" w:eastAsia="Calibri" w:hAnsi="Times New Roman" w:cs="Times New Roman"/>
          <w:sz w:val="24"/>
          <w:szCs w:val="24"/>
        </w:rPr>
        <w:t>.</w:t>
      </w:r>
      <w:r w:rsidR="00134712" w:rsidRPr="00774FA7">
        <w:rPr>
          <w:rFonts w:ascii="Times New Roman" w:hAnsi="Times New Roman" w:cs="Times New Roman"/>
          <w:sz w:val="24"/>
          <w:szCs w:val="24"/>
        </w:rPr>
        <w:t xml:space="preserve"> Powyższe uregulowanie wynika z brzmienia art. </w:t>
      </w:r>
      <w:r w:rsidR="00134712" w:rsidRPr="00774FA7">
        <w:rPr>
          <w:rFonts w:ascii="Times New Roman" w:eastAsia="Calibri" w:hAnsi="Times New Roman" w:cs="Times New Roman"/>
          <w:sz w:val="24"/>
          <w:szCs w:val="24"/>
        </w:rPr>
        <w:t>15 ust. 3 Umowy wystąpienia</w:t>
      </w:r>
      <w:r w:rsidR="00565134">
        <w:rPr>
          <w:rFonts w:ascii="Times New Roman" w:eastAsia="Calibri" w:hAnsi="Times New Roman" w:cs="Times New Roman"/>
          <w:sz w:val="24"/>
          <w:szCs w:val="24"/>
        </w:rPr>
        <w:t>,</w:t>
      </w:r>
      <w:r w:rsidR="00134712" w:rsidRPr="00774FA7">
        <w:rPr>
          <w:rFonts w:ascii="Times New Roman" w:eastAsia="Calibri" w:hAnsi="Times New Roman" w:cs="Times New Roman"/>
          <w:sz w:val="24"/>
          <w:szCs w:val="24"/>
        </w:rPr>
        <w:t xml:space="preserve"> zgodnie z którym utrata nabytego prawa stałego pobytu może nastąpić jedynie w wyniku nieobecności w państwie przyjmującym przez okres przekraczający 5 kolejnych lat. </w:t>
      </w:r>
    </w:p>
    <w:p w14:paraId="69944599" w14:textId="5E26D236" w:rsidR="00443F67" w:rsidRPr="00774FA7" w:rsidRDefault="00443F6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Nowoprojektowany </w:t>
      </w:r>
      <w:r w:rsidR="00A8463B" w:rsidRPr="00774FA7">
        <w:rPr>
          <w:rFonts w:ascii="Times New Roman" w:eastAsia="Calibri" w:hAnsi="Times New Roman" w:cs="Times New Roman"/>
          <w:sz w:val="24"/>
          <w:szCs w:val="24"/>
        </w:rPr>
        <w:t xml:space="preserve">w rozdziale 5 przepis </w:t>
      </w:r>
      <w:r w:rsidRPr="00774FA7">
        <w:rPr>
          <w:rFonts w:ascii="Times New Roman" w:eastAsia="Calibri" w:hAnsi="Times New Roman" w:cs="Times New Roman"/>
          <w:sz w:val="24"/>
          <w:szCs w:val="24"/>
        </w:rPr>
        <w:t xml:space="preserve">art. </w:t>
      </w:r>
      <w:r w:rsidR="000C4951" w:rsidRPr="00774FA7">
        <w:rPr>
          <w:rFonts w:ascii="Times New Roman" w:eastAsia="Calibri" w:hAnsi="Times New Roman" w:cs="Times New Roman"/>
          <w:sz w:val="24"/>
          <w:szCs w:val="24"/>
        </w:rPr>
        <w:t xml:space="preserve">65p </w:t>
      </w:r>
      <w:r w:rsidRPr="00774FA7">
        <w:rPr>
          <w:rFonts w:ascii="Times New Roman" w:eastAsia="Calibri" w:hAnsi="Times New Roman" w:cs="Times New Roman"/>
          <w:sz w:val="24"/>
          <w:szCs w:val="24"/>
        </w:rPr>
        <w:t xml:space="preserve">w ust. 1 ustanawia przesłankę wydalenia obywatela UE, który nie posiada prawa pobytu lub nie zachował tego prawa </w:t>
      </w:r>
      <w:r w:rsidRPr="00774FA7">
        <w:rPr>
          <w:rFonts w:ascii="Times New Roman" w:eastAsia="Calibri" w:hAnsi="Times New Roman" w:cs="Times New Roman"/>
          <w:sz w:val="24"/>
          <w:szCs w:val="24"/>
        </w:rPr>
        <w:lastRenderedPageBreak/>
        <w:t xml:space="preserve">pobytu zgodnie z art. 17. Ustęp 1 obejmuje swym zakresem obywatela UE, w sytuacji kiedy nie posiada on prawa pobytu zgodnie z art. 18, ponieważ członek jego rodziny przestał spełniać przesłanki pobytu określone w art. 16 (prawo członka rodziny będącego obywatelem UE jest prawem pochodnym i wynika z rozciągnięcia na członka rodziny prawa pobytu obywatela UE). W opisanym wyżej </w:t>
      </w:r>
      <w:r w:rsidR="005E1BDA">
        <w:rPr>
          <w:rFonts w:ascii="Times New Roman" w:eastAsia="Calibri" w:hAnsi="Times New Roman" w:cs="Times New Roman"/>
          <w:sz w:val="24"/>
          <w:szCs w:val="24"/>
        </w:rPr>
        <w:t>przepisie</w:t>
      </w:r>
      <w:r w:rsidR="005E1BDA"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przewidziano również możliwość wyda</w:t>
      </w:r>
      <w:r w:rsidR="00A8463B" w:rsidRPr="00774FA7">
        <w:rPr>
          <w:rFonts w:ascii="Times New Roman" w:eastAsia="Calibri" w:hAnsi="Times New Roman" w:cs="Times New Roman"/>
          <w:sz w:val="24"/>
          <w:szCs w:val="24"/>
        </w:rPr>
        <w:t xml:space="preserve">lenia obywatelem UE w przypadku, gdy nie </w:t>
      </w:r>
      <w:r w:rsidRPr="00774FA7">
        <w:rPr>
          <w:rFonts w:ascii="Times New Roman" w:eastAsia="Calibri" w:hAnsi="Times New Roman" w:cs="Times New Roman"/>
          <w:sz w:val="24"/>
          <w:szCs w:val="24"/>
        </w:rPr>
        <w:t>zachowa</w:t>
      </w:r>
      <w:r w:rsidR="00A8463B" w:rsidRPr="00774FA7">
        <w:rPr>
          <w:rFonts w:ascii="Times New Roman" w:eastAsia="Calibri" w:hAnsi="Times New Roman" w:cs="Times New Roman"/>
          <w:sz w:val="24"/>
          <w:szCs w:val="24"/>
        </w:rPr>
        <w:t>ł on</w:t>
      </w:r>
      <w:r w:rsidRPr="00774FA7">
        <w:rPr>
          <w:rFonts w:ascii="Times New Roman" w:eastAsia="Calibri" w:hAnsi="Times New Roman" w:cs="Times New Roman"/>
          <w:sz w:val="24"/>
          <w:szCs w:val="24"/>
        </w:rPr>
        <w:t xml:space="preserve"> prawa pobytu na podstawie art. 19 ust. 1 i 3 lub na podstawie art. 19a. </w:t>
      </w:r>
    </w:p>
    <w:p w14:paraId="783EED06" w14:textId="12808009" w:rsidR="00443F67" w:rsidRPr="00774FA7" w:rsidRDefault="00443F6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 kolei w</w:t>
      </w:r>
      <w:r w:rsidR="00190E09" w:rsidRPr="00774FA7">
        <w:rPr>
          <w:rFonts w:ascii="Times New Roman" w:eastAsia="Calibri" w:hAnsi="Times New Roman" w:cs="Times New Roman"/>
          <w:sz w:val="24"/>
          <w:szCs w:val="24"/>
        </w:rPr>
        <w:t xml:space="preserve"> art. </w:t>
      </w:r>
      <w:r w:rsidR="000C4951" w:rsidRPr="00774FA7">
        <w:rPr>
          <w:rFonts w:ascii="Times New Roman" w:eastAsia="Calibri" w:hAnsi="Times New Roman" w:cs="Times New Roman"/>
          <w:sz w:val="24"/>
          <w:szCs w:val="24"/>
        </w:rPr>
        <w:t xml:space="preserve">65p </w:t>
      </w:r>
      <w:r w:rsidRPr="00774FA7">
        <w:rPr>
          <w:rFonts w:ascii="Times New Roman" w:eastAsia="Calibri" w:hAnsi="Times New Roman" w:cs="Times New Roman"/>
          <w:sz w:val="24"/>
          <w:szCs w:val="24"/>
        </w:rPr>
        <w:t xml:space="preserve">ust. 2 pkt 1 przewidziano przesłankę wydalenia członka rodziny niebędącego obywatelem UE, który nie będzie mógł wywieść dla siebie pochodnego prawa pobytu (z faktu przebywania z obywatelem UE, albowiem ten obywatel UE nie będzie prawa pobytu posiadał), lecz wciąż będzie pozostawał w zakresie regulacji ustawy o wjeździe </w:t>
      </w:r>
      <w:r w:rsidR="0065420E" w:rsidRPr="00774FA7">
        <w:rPr>
          <w:rFonts w:ascii="Times New Roman" w:eastAsia="Calibri" w:hAnsi="Times New Roman" w:cs="Times New Roman"/>
          <w:sz w:val="24"/>
          <w:szCs w:val="24"/>
        </w:rPr>
        <w:t xml:space="preserve">obywateli UE </w:t>
      </w:r>
      <w:r w:rsidRPr="00774FA7">
        <w:rPr>
          <w:rFonts w:ascii="Times New Roman" w:eastAsia="Calibri" w:hAnsi="Times New Roman" w:cs="Times New Roman"/>
          <w:sz w:val="24"/>
          <w:szCs w:val="24"/>
        </w:rPr>
        <w:t xml:space="preserve">. W </w:t>
      </w:r>
      <w:r w:rsidR="00A8463B" w:rsidRPr="00774FA7">
        <w:rPr>
          <w:rFonts w:ascii="Times New Roman" w:eastAsia="Calibri" w:hAnsi="Times New Roman" w:cs="Times New Roman"/>
          <w:sz w:val="24"/>
          <w:szCs w:val="24"/>
        </w:rPr>
        <w:t>przepisie tym</w:t>
      </w:r>
      <w:r w:rsidRPr="00774FA7">
        <w:rPr>
          <w:rFonts w:ascii="Times New Roman" w:eastAsia="Calibri" w:hAnsi="Times New Roman" w:cs="Times New Roman"/>
          <w:sz w:val="24"/>
          <w:szCs w:val="24"/>
        </w:rPr>
        <w:t xml:space="preserve"> przewidziano również możliwość wydalenia członka rodziny niebędącego obywatelem UE, który nie zachował prawa pobytu w Polsce na podstawie art. 19 ust. 2 i 3 lub art. 19a. Z kolei w ust. 2 pkt 2 projektodawca przewidział przesłankę wydalenia, która wprost odpowiada stanowi faktycznemu, który legł u podstaw wyroku Trybunału Sprawiedliwości UE z dnia 10 września 2019 r., sygn. akt C-94/18 (</w:t>
      </w:r>
      <w:proofErr w:type="spellStart"/>
      <w:r w:rsidRPr="00774FA7">
        <w:rPr>
          <w:rFonts w:ascii="Times New Roman" w:eastAsia="Calibri" w:hAnsi="Times New Roman" w:cs="Times New Roman"/>
          <w:sz w:val="24"/>
          <w:szCs w:val="24"/>
        </w:rPr>
        <w:t>Nalini</w:t>
      </w:r>
      <w:proofErr w:type="spellEnd"/>
      <w:r w:rsidRPr="00774FA7">
        <w:rPr>
          <w:rFonts w:ascii="Times New Roman" w:eastAsia="Calibri" w:hAnsi="Times New Roman" w:cs="Times New Roman"/>
          <w:sz w:val="24"/>
          <w:szCs w:val="24"/>
        </w:rPr>
        <w:t xml:space="preserve"> </w:t>
      </w:r>
      <w:proofErr w:type="spellStart"/>
      <w:r w:rsidRPr="00774FA7">
        <w:rPr>
          <w:rFonts w:ascii="Times New Roman" w:eastAsia="Calibri" w:hAnsi="Times New Roman" w:cs="Times New Roman"/>
          <w:sz w:val="24"/>
          <w:szCs w:val="24"/>
        </w:rPr>
        <w:t>Chenchooliah</w:t>
      </w:r>
      <w:proofErr w:type="spellEnd"/>
      <w:r w:rsidRPr="00774FA7">
        <w:rPr>
          <w:rFonts w:ascii="Times New Roman" w:eastAsia="Calibri" w:hAnsi="Times New Roman" w:cs="Times New Roman"/>
          <w:sz w:val="24"/>
          <w:szCs w:val="24"/>
        </w:rPr>
        <w:t xml:space="preserve"> przeciwko Minister for </w:t>
      </w:r>
      <w:proofErr w:type="spellStart"/>
      <w:r w:rsidRPr="00774FA7">
        <w:rPr>
          <w:rFonts w:ascii="Times New Roman" w:eastAsia="Calibri" w:hAnsi="Times New Roman" w:cs="Times New Roman"/>
          <w:sz w:val="24"/>
          <w:szCs w:val="24"/>
        </w:rPr>
        <w:t>Justice</w:t>
      </w:r>
      <w:proofErr w:type="spellEnd"/>
      <w:r w:rsidRPr="00774FA7">
        <w:rPr>
          <w:rFonts w:ascii="Times New Roman" w:eastAsia="Calibri" w:hAnsi="Times New Roman" w:cs="Times New Roman"/>
          <w:sz w:val="24"/>
          <w:szCs w:val="24"/>
        </w:rPr>
        <w:t xml:space="preserve"> and </w:t>
      </w:r>
      <w:proofErr w:type="spellStart"/>
      <w:r w:rsidRPr="00774FA7">
        <w:rPr>
          <w:rFonts w:ascii="Times New Roman" w:eastAsia="Calibri" w:hAnsi="Times New Roman" w:cs="Times New Roman"/>
          <w:sz w:val="24"/>
          <w:szCs w:val="24"/>
        </w:rPr>
        <w:t>Equality</w:t>
      </w:r>
      <w:proofErr w:type="spellEnd"/>
      <w:r w:rsidRPr="00774FA7">
        <w:rPr>
          <w:rFonts w:ascii="Times New Roman" w:eastAsia="Calibri" w:hAnsi="Times New Roman" w:cs="Times New Roman"/>
          <w:sz w:val="24"/>
          <w:szCs w:val="24"/>
        </w:rPr>
        <w:t xml:space="preserve">). Chodzi tu o sytuację członka rodziny obywatela UE, który nie przebywa już z tym obywatelem i jednocześnie nie zachował pochodnego prawa pobytu, z uwagi na wyjazd obywatela UE z Polski i w konsekwencji czego </w:t>
      </w:r>
      <w:r w:rsidR="00050C81" w:rsidRPr="00774FA7">
        <w:rPr>
          <w:rFonts w:ascii="Times New Roman" w:eastAsia="Calibri" w:hAnsi="Times New Roman" w:cs="Times New Roman"/>
          <w:sz w:val="24"/>
          <w:szCs w:val="24"/>
        </w:rPr>
        <w:t>nie mają do niego zastosowania przepisy</w:t>
      </w:r>
      <w:r w:rsidRPr="00774FA7">
        <w:rPr>
          <w:rFonts w:ascii="Times New Roman" w:eastAsia="Calibri" w:hAnsi="Times New Roman" w:cs="Times New Roman"/>
          <w:sz w:val="24"/>
          <w:szCs w:val="24"/>
        </w:rPr>
        <w:t xml:space="preserve"> ustawy o wjeździe obywateli UE, a przepisy ustawy o cudzoziemcach. Członek rodziny obywatela UE będący obywatelem państwa trzeciego w obecnym stanie prawnym podlegałby zobowiązaniu do powrotu wraz z orzeczeniem zakazu ponownego wjazdu. Z </w:t>
      </w:r>
      <w:r w:rsidR="00D84833" w:rsidRPr="00774FA7">
        <w:rPr>
          <w:rFonts w:ascii="Times New Roman" w:eastAsia="Calibri" w:hAnsi="Times New Roman" w:cs="Times New Roman"/>
          <w:sz w:val="24"/>
          <w:szCs w:val="24"/>
        </w:rPr>
        <w:t xml:space="preserve">ww. </w:t>
      </w:r>
      <w:r w:rsidRPr="00774FA7">
        <w:rPr>
          <w:rFonts w:ascii="Times New Roman" w:eastAsia="Calibri" w:hAnsi="Times New Roman" w:cs="Times New Roman"/>
          <w:sz w:val="24"/>
          <w:szCs w:val="24"/>
        </w:rPr>
        <w:t xml:space="preserve">orzeczenia C-94/18 wynika </w:t>
      </w:r>
      <w:r w:rsidR="00D84833" w:rsidRPr="00774FA7">
        <w:rPr>
          <w:rFonts w:ascii="Times New Roman" w:eastAsia="Calibri" w:hAnsi="Times New Roman" w:cs="Times New Roman"/>
          <w:sz w:val="24"/>
          <w:szCs w:val="24"/>
        </w:rPr>
        <w:t>jednakże</w:t>
      </w:r>
      <w:r w:rsidRPr="00774FA7">
        <w:rPr>
          <w:rFonts w:ascii="Times New Roman" w:eastAsia="Calibri" w:hAnsi="Times New Roman" w:cs="Times New Roman"/>
          <w:sz w:val="24"/>
          <w:szCs w:val="24"/>
        </w:rPr>
        <w:t xml:space="preserve">, iż osoba znajdująca się w opisanej wyżej sytuacji powinna podlegać uregulowaniom dyrektywy 2004/38/WE, a jej wydaleniu nie powinien towarzyszyć zakaz ponownego wjazdu. </w:t>
      </w:r>
    </w:p>
    <w:p w14:paraId="252E998D" w14:textId="038911FF" w:rsidR="00050C81" w:rsidRPr="00774FA7" w:rsidRDefault="00443F6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Za pośrednictwem ww. art. </w:t>
      </w:r>
      <w:r w:rsidR="000C4951" w:rsidRPr="00774FA7">
        <w:rPr>
          <w:rFonts w:ascii="Times New Roman" w:eastAsia="Calibri" w:hAnsi="Times New Roman" w:cs="Times New Roman"/>
          <w:sz w:val="24"/>
          <w:szCs w:val="24"/>
        </w:rPr>
        <w:t xml:space="preserve">65p </w:t>
      </w:r>
      <w:r w:rsidRPr="00774FA7">
        <w:rPr>
          <w:rFonts w:ascii="Times New Roman" w:eastAsia="Calibri" w:hAnsi="Times New Roman" w:cs="Times New Roman"/>
          <w:sz w:val="24"/>
          <w:szCs w:val="24"/>
        </w:rPr>
        <w:t xml:space="preserve">projektodawca dostosowuje przepisy ustawy o wjeździe obywateli UE do orzeczenia Trybunału w sprawie C-94/18 </w:t>
      </w:r>
      <w:proofErr w:type="spellStart"/>
      <w:r w:rsidRPr="00774FA7">
        <w:rPr>
          <w:rFonts w:ascii="Times New Roman" w:eastAsia="Calibri" w:hAnsi="Times New Roman" w:cs="Times New Roman"/>
          <w:sz w:val="24"/>
          <w:szCs w:val="24"/>
        </w:rPr>
        <w:t>Chenchooliah</w:t>
      </w:r>
      <w:proofErr w:type="spellEnd"/>
      <w:r w:rsidRPr="00774FA7">
        <w:rPr>
          <w:rFonts w:ascii="Times New Roman" w:eastAsia="Calibri" w:hAnsi="Times New Roman" w:cs="Times New Roman"/>
          <w:sz w:val="24"/>
          <w:szCs w:val="24"/>
        </w:rPr>
        <w:t xml:space="preserve"> oraz </w:t>
      </w:r>
      <w:r w:rsidR="00EB7695" w:rsidRPr="00774FA7">
        <w:rPr>
          <w:rFonts w:ascii="Times New Roman" w:eastAsia="Calibri" w:hAnsi="Times New Roman" w:cs="Times New Roman"/>
          <w:sz w:val="24"/>
          <w:szCs w:val="24"/>
        </w:rPr>
        <w:t xml:space="preserve">uzupełnia wdrożenie </w:t>
      </w:r>
      <w:r w:rsidRPr="00774FA7">
        <w:rPr>
          <w:rFonts w:ascii="Times New Roman" w:eastAsia="Calibri" w:hAnsi="Times New Roman" w:cs="Times New Roman"/>
          <w:sz w:val="24"/>
          <w:szCs w:val="24"/>
        </w:rPr>
        <w:t>do polskiego porządku prawnego art. 15 dyrektywy 2004/38/WE, w zakresie</w:t>
      </w:r>
      <w:r w:rsidR="00EB7695"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który pozwala na wydanie decyzji o wydaleniu obywatela UE oraz członka rodziny niebędącego obywatelem UE w sytuacji</w:t>
      </w:r>
      <w:r w:rsidR="00D71A60"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kiedy zaprzestali oni spełniana przesłanek prawa pobytu przewidzianych w ww. dyrektywie. </w:t>
      </w:r>
    </w:p>
    <w:p w14:paraId="0C35A08E" w14:textId="6E1504D9" w:rsidR="00050C81" w:rsidRPr="00774FA7" w:rsidRDefault="00443F6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sprawie C-94/18 Trybunał stwierdził, iż członek rodziny obywatela UE, który przestał spełniać przesłanki prawa pobytu w przyjmującym państwie członkowskim z uwagi na wyjazd obywatela UE z tego państwa i nie zachował jednocześnie prawa pobytu w tym państwie</w:t>
      </w:r>
      <w:r w:rsidR="00050C81"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może zostać wydalony tylko w oparciu o przepisy dyrektywy 2004/38/WE. Trybunał wskazał, iż „</w:t>
      </w:r>
      <w:r w:rsidRPr="00774FA7">
        <w:rPr>
          <w:rFonts w:ascii="Times New Roman" w:eastAsia="Calibri" w:hAnsi="Times New Roman" w:cs="Times New Roman"/>
          <w:i/>
          <w:sz w:val="24"/>
          <w:szCs w:val="24"/>
        </w:rPr>
        <w:t>utrata tego statusu skutkuje bowiem tym, że zainteresowana osoba nie korzysta już z prawa do przemieszczania się i prawa pobytu na terytorium przyjmującego państwa członkowskiego, które przez pewien czas jej przysługiwały, ponieważ nie spełnia ona już warunków, którym podlegają te prawa. Natomiast utrata ta nie oznacza – jak wynika z pkt 74 niniejszego wyroku – że dyrektywa 2004/38 nie ma już zastosowania do wydania przez przyjmujące państwo członkowskie decyzji o wydalen</w:t>
      </w:r>
      <w:r w:rsidR="00050C81" w:rsidRPr="00774FA7">
        <w:rPr>
          <w:rFonts w:ascii="Times New Roman" w:eastAsia="Calibri" w:hAnsi="Times New Roman" w:cs="Times New Roman"/>
          <w:i/>
          <w:sz w:val="24"/>
          <w:szCs w:val="24"/>
        </w:rPr>
        <w:t>iu tej osoby z takiego powodu</w:t>
      </w:r>
      <w:r w:rsidR="00050C81"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5E1BDA">
        <w:rPr>
          <w:rFonts w:ascii="Times New Roman" w:eastAsia="Calibri" w:hAnsi="Times New Roman" w:cs="Times New Roman"/>
          <w:sz w:val="24"/>
          <w:szCs w:val="24"/>
        </w:rPr>
        <w:t>.</w:t>
      </w:r>
    </w:p>
    <w:p w14:paraId="66E2EB4D" w14:textId="6A310FE7" w:rsidR="00050C81" w:rsidRPr="00774FA7" w:rsidRDefault="00443F6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W świetle obecnie obowiązującego prawa polskiego osoba taka</w:t>
      </w:r>
      <w:r w:rsidR="00E55798"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jak opisana w stanie faktycznym w sprawie C-94/18 </w:t>
      </w:r>
      <w:proofErr w:type="spellStart"/>
      <w:r w:rsidRPr="00774FA7">
        <w:rPr>
          <w:rFonts w:ascii="Times New Roman" w:eastAsia="Calibri" w:hAnsi="Times New Roman" w:cs="Times New Roman"/>
          <w:sz w:val="24"/>
          <w:szCs w:val="24"/>
        </w:rPr>
        <w:t>Chenchooliah</w:t>
      </w:r>
      <w:proofErr w:type="spellEnd"/>
      <w:r w:rsidR="00E55798"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podlegałaby zobowiązaniu do powrotu w oparciu o przepisy ustawy o cudzoziemcach</w:t>
      </w:r>
      <w:r w:rsidR="00E55798"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jako obywatel państwa trzeciego, który nie korzysta ze swobody przepływu osób na mocy prawa UE. Jej sytuacja prawna w kontekście nielegalnego pobytu na terytorium Rzeczypospolitej Polskiej zostałaby zdeterminowana m.</w:t>
      </w:r>
      <w:r w:rsidR="00E55798" w:rsidRPr="00774FA7">
        <w:rPr>
          <w:rFonts w:ascii="Times New Roman" w:eastAsia="Calibri" w:hAnsi="Times New Roman" w:cs="Times New Roman"/>
          <w:sz w:val="24"/>
          <w:szCs w:val="24"/>
        </w:rPr>
        <w:t> </w:t>
      </w:r>
      <w:r w:rsidRPr="00774FA7">
        <w:rPr>
          <w:rFonts w:ascii="Times New Roman" w:eastAsia="Calibri" w:hAnsi="Times New Roman" w:cs="Times New Roman"/>
          <w:sz w:val="24"/>
          <w:szCs w:val="24"/>
        </w:rPr>
        <w:t xml:space="preserve">in. przez przepisy Rozdziału 2 Działu VIII ustawy o cudzoziemcach regulujące instytucję zobowiązania cudzoziemca do powrotu. Z decyzją o zobowiązaniu cudzoziemca do powrotu, wydaną w oparciu o art. 302 ust. 1 pkt 1 ustawy o cudzoziemcach wiąże się obligatoryjne orzeczenie o zakazie ponownego wjazdu na terytorium Rzeczypospolitej Polskiej i innych państw obszaru </w:t>
      </w:r>
      <w:proofErr w:type="spellStart"/>
      <w:r w:rsidRPr="00774FA7">
        <w:rPr>
          <w:rFonts w:ascii="Times New Roman" w:eastAsia="Calibri" w:hAnsi="Times New Roman" w:cs="Times New Roman"/>
          <w:sz w:val="24"/>
          <w:szCs w:val="24"/>
        </w:rPr>
        <w:t>Schengen</w:t>
      </w:r>
      <w:proofErr w:type="spellEnd"/>
      <w:r w:rsidRPr="00774FA7">
        <w:rPr>
          <w:rFonts w:ascii="Times New Roman" w:eastAsia="Calibri" w:hAnsi="Times New Roman" w:cs="Times New Roman"/>
          <w:sz w:val="24"/>
          <w:szCs w:val="24"/>
        </w:rPr>
        <w:t xml:space="preserve"> (art. 318 ust. 1 ustawy o cudzoziemcach), względnie tylko terytorium Rzeczypospolitej Polskiej (art. 318 ust. 3 ustawy o cudzoziemcach). Tymczasem z wyroku w sprawie C-94/18 wynika, że cudzoziemiec znajdujący się w takiej sytuacji powinien podlegać środkowi odpowiadającemu wydaleniu, lecz poddanemu regulacji art. 15 dyrektywy 2004/38/WE</w:t>
      </w:r>
      <w:r w:rsidR="005E1BDA">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5E1BDA">
        <w:rPr>
          <w:rFonts w:ascii="Times New Roman" w:eastAsia="Calibri" w:hAnsi="Times New Roman" w:cs="Times New Roman"/>
          <w:sz w:val="24"/>
          <w:szCs w:val="24"/>
        </w:rPr>
        <w:t>W</w:t>
      </w:r>
      <w:r w:rsidRPr="00774FA7">
        <w:rPr>
          <w:rFonts w:ascii="Times New Roman" w:eastAsia="Calibri" w:hAnsi="Times New Roman" w:cs="Times New Roman"/>
          <w:sz w:val="24"/>
          <w:szCs w:val="24"/>
        </w:rPr>
        <w:t xml:space="preserve"> konsekwencji zatem również nie skutkujące</w:t>
      </w:r>
      <w:r w:rsidR="00F679EE" w:rsidRPr="00774FA7">
        <w:rPr>
          <w:rFonts w:ascii="Times New Roman" w:eastAsia="Calibri" w:hAnsi="Times New Roman" w:cs="Times New Roman"/>
          <w:sz w:val="24"/>
          <w:szCs w:val="24"/>
        </w:rPr>
        <w:t>mu</w:t>
      </w:r>
      <w:r w:rsidRPr="00774FA7">
        <w:rPr>
          <w:rFonts w:ascii="Times New Roman" w:eastAsia="Calibri" w:hAnsi="Times New Roman" w:cs="Times New Roman"/>
          <w:sz w:val="24"/>
          <w:szCs w:val="24"/>
        </w:rPr>
        <w:t xml:space="preserve"> powstaniem jakichkolwiek zakazów w zakresie ponownego wjazdu (art. 15 ust. 3). </w:t>
      </w:r>
    </w:p>
    <w:p w14:paraId="1713871C" w14:textId="77777777" w:rsidR="00EB7695" w:rsidRPr="00774FA7" w:rsidRDefault="00443F6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Uznano zatem za konieczne, aby stworzyć nową podstawę wydalenia z terytorium Rzeczypospolitej Polskiej, która będzie obejmować kompleksowo obywateli UE oraz członków ich rodzin. </w:t>
      </w:r>
    </w:p>
    <w:p w14:paraId="61D034DC" w14:textId="260D5FBC" w:rsidR="00050C81" w:rsidRPr="00774FA7" w:rsidRDefault="00443F6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Podstawa ta </w:t>
      </w:r>
      <w:r w:rsidR="00EB7695" w:rsidRPr="00774FA7">
        <w:rPr>
          <w:rFonts w:ascii="Times New Roman" w:eastAsia="Calibri" w:hAnsi="Times New Roman" w:cs="Times New Roman"/>
          <w:sz w:val="24"/>
          <w:szCs w:val="24"/>
        </w:rPr>
        <w:t xml:space="preserve">będzie się </w:t>
      </w:r>
      <w:r w:rsidRPr="00774FA7">
        <w:rPr>
          <w:rFonts w:ascii="Times New Roman" w:eastAsia="Calibri" w:hAnsi="Times New Roman" w:cs="Times New Roman"/>
          <w:sz w:val="24"/>
          <w:szCs w:val="24"/>
        </w:rPr>
        <w:t>wiązać</w:t>
      </w:r>
      <w:r w:rsidR="00F679EE"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 w przypadku obywateli UE – z brakiem posiadania prawa pobytu </w:t>
      </w:r>
      <w:r w:rsidR="00190E09" w:rsidRPr="00774FA7">
        <w:rPr>
          <w:rFonts w:ascii="Times New Roman" w:eastAsia="Calibri" w:hAnsi="Times New Roman" w:cs="Times New Roman"/>
          <w:sz w:val="24"/>
          <w:szCs w:val="24"/>
        </w:rPr>
        <w:t>na</w:t>
      </w:r>
      <w:r w:rsidRPr="00774FA7">
        <w:rPr>
          <w:rFonts w:ascii="Times New Roman" w:eastAsia="Calibri" w:hAnsi="Times New Roman" w:cs="Times New Roman"/>
          <w:sz w:val="24"/>
          <w:szCs w:val="24"/>
        </w:rPr>
        <w:t xml:space="preserve"> warunkach określonych w art. 16 lub </w:t>
      </w:r>
      <w:r w:rsidR="00152D18" w:rsidRPr="00774FA7">
        <w:rPr>
          <w:rFonts w:ascii="Times New Roman" w:eastAsia="Calibri" w:hAnsi="Times New Roman" w:cs="Times New Roman"/>
          <w:sz w:val="24"/>
          <w:szCs w:val="24"/>
        </w:rPr>
        <w:t xml:space="preserve">18 </w:t>
      </w:r>
      <w:r w:rsidRPr="00774FA7">
        <w:rPr>
          <w:rFonts w:ascii="Times New Roman" w:eastAsia="Calibri" w:hAnsi="Times New Roman" w:cs="Times New Roman"/>
          <w:sz w:val="24"/>
          <w:szCs w:val="24"/>
        </w:rPr>
        <w:t>ustawy</w:t>
      </w:r>
      <w:r w:rsidR="00F679EE" w:rsidRPr="00774FA7">
        <w:rPr>
          <w:rFonts w:ascii="Times New Roman" w:eastAsia="Calibri" w:hAnsi="Times New Roman" w:cs="Times New Roman"/>
          <w:sz w:val="24"/>
          <w:szCs w:val="24"/>
        </w:rPr>
        <w:t xml:space="preserve"> o wjeździe obywateli UE</w:t>
      </w:r>
      <w:r w:rsidRPr="00774FA7">
        <w:rPr>
          <w:rFonts w:ascii="Times New Roman" w:eastAsia="Calibri" w:hAnsi="Times New Roman" w:cs="Times New Roman"/>
          <w:sz w:val="24"/>
          <w:szCs w:val="24"/>
        </w:rPr>
        <w:t xml:space="preserve">. </w:t>
      </w:r>
      <w:r w:rsidR="00F679EE" w:rsidRPr="00774FA7">
        <w:rPr>
          <w:rFonts w:ascii="Times New Roman" w:eastAsia="Calibri" w:hAnsi="Times New Roman" w:cs="Times New Roman"/>
          <w:sz w:val="24"/>
          <w:szCs w:val="24"/>
        </w:rPr>
        <w:t>Brak posiadania prawa pobytu m</w:t>
      </w:r>
      <w:r w:rsidRPr="00774FA7">
        <w:rPr>
          <w:rFonts w:ascii="Times New Roman" w:eastAsia="Calibri" w:hAnsi="Times New Roman" w:cs="Times New Roman"/>
          <w:sz w:val="24"/>
          <w:szCs w:val="24"/>
        </w:rPr>
        <w:t xml:space="preserve">oże być </w:t>
      </w:r>
      <w:r w:rsidR="00F679EE" w:rsidRPr="00774FA7">
        <w:rPr>
          <w:rFonts w:ascii="Times New Roman" w:eastAsia="Calibri" w:hAnsi="Times New Roman" w:cs="Times New Roman"/>
          <w:sz w:val="24"/>
          <w:szCs w:val="24"/>
        </w:rPr>
        <w:t>albo skut</w:t>
      </w:r>
      <w:r w:rsidRPr="00774FA7">
        <w:rPr>
          <w:rFonts w:ascii="Times New Roman" w:eastAsia="Calibri" w:hAnsi="Times New Roman" w:cs="Times New Roman"/>
          <w:sz w:val="24"/>
          <w:szCs w:val="24"/>
        </w:rPr>
        <w:t>k</w:t>
      </w:r>
      <w:r w:rsidR="00F679EE" w:rsidRPr="00774FA7">
        <w:rPr>
          <w:rFonts w:ascii="Times New Roman" w:eastAsia="Calibri" w:hAnsi="Times New Roman" w:cs="Times New Roman"/>
          <w:sz w:val="24"/>
          <w:szCs w:val="24"/>
        </w:rPr>
        <w:t>iem</w:t>
      </w:r>
      <w:r w:rsidRPr="00774FA7">
        <w:rPr>
          <w:rFonts w:ascii="Times New Roman" w:eastAsia="Calibri" w:hAnsi="Times New Roman" w:cs="Times New Roman"/>
          <w:sz w:val="24"/>
          <w:szCs w:val="24"/>
        </w:rPr>
        <w:t xml:space="preserve"> utraty prawa pobytu przez obywatela UE w związku z zaprzestaniem spełniania warunków</w:t>
      </w:r>
      <w:r w:rsidR="00E60CC8">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albo</w:t>
      </w:r>
      <w:r w:rsidR="00F679EE" w:rsidRPr="00774FA7">
        <w:rPr>
          <w:rFonts w:ascii="Times New Roman" w:eastAsia="Calibri" w:hAnsi="Times New Roman" w:cs="Times New Roman"/>
          <w:sz w:val="24"/>
          <w:szCs w:val="24"/>
        </w:rPr>
        <w:t xml:space="preserve"> może </w:t>
      </w:r>
      <w:r w:rsidR="00E60CC8">
        <w:rPr>
          <w:rFonts w:ascii="Times New Roman" w:eastAsia="Calibri" w:hAnsi="Times New Roman" w:cs="Times New Roman"/>
          <w:sz w:val="24"/>
          <w:szCs w:val="24"/>
        </w:rPr>
        <w:t>wynikać z sytuacji</w:t>
      </w:r>
      <w:r w:rsidRPr="00774FA7">
        <w:rPr>
          <w:rFonts w:ascii="Times New Roman" w:eastAsia="Calibri" w:hAnsi="Times New Roman" w:cs="Times New Roman"/>
          <w:sz w:val="24"/>
          <w:szCs w:val="24"/>
        </w:rPr>
        <w:t>, w któr</w:t>
      </w:r>
      <w:r w:rsidR="00E60CC8">
        <w:rPr>
          <w:rFonts w:ascii="Times New Roman" w:eastAsia="Calibri" w:hAnsi="Times New Roman" w:cs="Times New Roman"/>
          <w:sz w:val="24"/>
          <w:szCs w:val="24"/>
        </w:rPr>
        <w:t>ej</w:t>
      </w:r>
      <w:r w:rsidRPr="00774FA7">
        <w:rPr>
          <w:rFonts w:ascii="Times New Roman" w:eastAsia="Calibri" w:hAnsi="Times New Roman" w:cs="Times New Roman"/>
          <w:sz w:val="24"/>
          <w:szCs w:val="24"/>
        </w:rPr>
        <w:t xml:space="preserve"> obywatel UE od początku pobytu na terytorium Rzeczypospolitej Polskiej ich nie spełnia</w:t>
      </w:r>
      <w:r w:rsidR="00F679EE" w:rsidRPr="00774FA7">
        <w:rPr>
          <w:rFonts w:ascii="Times New Roman" w:eastAsia="Calibri" w:hAnsi="Times New Roman" w:cs="Times New Roman"/>
          <w:sz w:val="24"/>
          <w:szCs w:val="24"/>
        </w:rPr>
        <w:t>ł</w:t>
      </w:r>
      <w:r w:rsidRPr="00774FA7">
        <w:rPr>
          <w:rFonts w:ascii="Times New Roman" w:eastAsia="Calibri" w:hAnsi="Times New Roman" w:cs="Times New Roman"/>
          <w:sz w:val="24"/>
          <w:szCs w:val="24"/>
        </w:rPr>
        <w:t xml:space="preserve">, a mimo to pozostał na </w:t>
      </w:r>
      <w:r w:rsidR="00E60CC8">
        <w:rPr>
          <w:rFonts w:ascii="Times New Roman" w:eastAsia="Calibri" w:hAnsi="Times New Roman" w:cs="Times New Roman"/>
          <w:sz w:val="24"/>
          <w:szCs w:val="24"/>
        </w:rPr>
        <w:t>tym terytorium przez</w:t>
      </w:r>
      <w:r w:rsidRPr="00774FA7">
        <w:rPr>
          <w:rFonts w:ascii="Times New Roman" w:eastAsia="Calibri" w:hAnsi="Times New Roman" w:cs="Times New Roman"/>
          <w:sz w:val="24"/>
          <w:szCs w:val="24"/>
        </w:rPr>
        <w:t xml:space="preserve"> okres dłuższy niż ten, z którym ustawa nie wiąże szczególnych warunków pobytu, tj. 3 albo 6 miesięcy (art. 15 ust. 1 pkt 1 i 2 zmienianej ustawy). </w:t>
      </w:r>
    </w:p>
    <w:p w14:paraId="2D112380" w14:textId="3FA2FB16" w:rsidR="00050C81" w:rsidRPr="00774FA7" w:rsidRDefault="00443F6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przypadku członka rodziny obywatela UE będącego jednocześnie obywatelem UE podstawa </w:t>
      </w:r>
      <w:r w:rsidR="00E55798" w:rsidRPr="00774FA7">
        <w:rPr>
          <w:rFonts w:ascii="Times New Roman" w:eastAsia="Calibri" w:hAnsi="Times New Roman" w:cs="Times New Roman"/>
          <w:sz w:val="24"/>
          <w:szCs w:val="24"/>
        </w:rPr>
        <w:t>wydalenia</w:t>
      </w:r>
      <w:r w:rsidRPr="00774FA7">
        <w:rPr>
          <w:rFonts w:ascii="Times New Roman" w:eastAsia="Calibri" w:hAnsi="Times New Roman" w:cs="Times New Roman"/>
          <w:sz w:val="24"/>
          <w:szCs w:val="24"/>
        </w:rPr>
        <w:t xml:space="preserve"> będzie wiązała się z sytuacją, w której albo przesta</w:t>
      </w:r>
      <w:r w:rsidR="00F679EE" w:rsidRPr="00774FA7">
        <w:rPr>
          <w:rFonts w:ascii="Times New Roman" w:eastAsia="Calibri" w:hAnsi="Times New Roman" w:cs="Times New Roman"/>
          <w:sz w:val="24"/>
          <w:szCs w:val="24"/>
        </w:rPr>
        <w:t>ł</w:t>
      </w:r>
      <w:r w:rsidRPr="00774FA7">
        <w:rPr>
          <w:rFonts w:ascii="Times New Roman" w:eastAsia="Calibri" w:hAnsi="Times New Roman" w:cs="Times New Roman"/>
          <w:sz w:val="24"/>
          <w:szCs w:val="24"/>
        </w:rPr>
        <w:t xml:space="preserve"> on spełniać warunki prawa pobytu określone w art. 18 (w sytuacji zaprzestania spełniania przewidzianych w art. 16 przesłanek pobytu przez obywatela UE) lub nie zachował prawa pobytu na podstawie art. 19 ust. 1 lub art. 19a. </w:t>
      </w:r>
    </w:p>
    <w:p w14:paraId="2117F558" w14:textId="5617148D" w:rsidR="00307C0E" w:rsidRPr="00774FA7" w:rsidRDefault="00F679EE"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Analogicznie w</w:t>
      </w:r>
      <w:r w:rsidR="00443F67" w:rsidRPr="00774FA7">
        <w:rPr>
          <w:rFonts w:ascii="Times New Roman" w:eastAsia="Calibri" w:hAnsi="Times New Roman" w:cs="Times New Roman"/>
          <w:sz w:val="24"/>
          <w:szCs w:val="24"/>
        </w:rPr>
        <w:t xml:space="preserve"> przypadku członka rodziny obywatela UE niebędącego obywatelem UE</w:t>
      </w:r>
      <w:r w:rsidRPr="00774FA7">
        <w:rPr>
          <w:rFonts w:ascii="Times New Roman" w:eastAsia="Calibri" w:hAnsi="Times New Roman" w:cs="Times New Roman"/>
          <w:sz w:val="24"/>
          <w:szCs w:val="24"/>
        </w:rPr>
        <w:t xml:space="preserve"> - </w:t>
      </w:r>
      <w:r w:rsidR="00443F67" w:rsidRPr="00774FA7">
        <w:rPr>
          <w:rFonts w:ascii="Times New Roman" w:eastAsia="Calibri" w:hAnsi="Times New Roman" w:cs="Times New Roman"/>
          <w:sz w:val="24"/>
          <w:szCs w:val="24"/>
        </w:rPr>
        <w:t xml:space="preserve">podstawa </w:t>
      </w:r>
      <w:r w:rsidR="00E60CC8" w:rsidRPr="00774FA7">
        <w:rPr>
          <w:rFonts w:ascii="Times New Roman" w:eastAsia="Calibri" w:hAnsi="Times New Roman" w:cs="Times New Roman"/>
          <w:sz w:val="24"/>
          <w:szCs w:val="24"/>
        </w:rPr>
        <w:t xml:space="preserve">jego </w:t>
      </w:r>
      <w:r w:rsidR="00443F67" w:rsidRPr="00774FA7">
        <w:rPr>
          <w:rFonts w:ascii="Times New Roman" w:eastAsia="Calibri" w:hAnsi="Times New Roman" w:cs="Times New Roman"/>
          <w:sz w:val="24"/>
          <w:szCs w:val="24"/>
        </w:rPr>
        <w:t xml:space="preserve">wydalenia będzie </w:t>
      </w:r>
      <w:r w:rsidRPr="00774FA7">
        <w:rPr>
          <w:rFonts w:ascii="Times New Roman" w:eastAsia="Calibri" w:hAnsi="Times New Roman" w:cs="Times New Roman"/>
          <w:sz w:val="24"/>
          <w:szCs w:val="24"/>
        </w:rPr>
        <w:t xml:space="preserve">się </w:t>
      </w:r>
      <w:r w:rsidR="00443F67" w:rsidRPr="00774FA7">
        <w:rPr>
          <w:rFonts w:ascii="Times New Roman" w:eastAsia="Calibri" w:hAnsi="Times New Roman" w:cs="Times New Roman"/>
          <w:sz w:val="24"/>
          <w:szCs w:val="24"/>
        </w:rPr>
        <w:t xml:space="preserve">wiązała z utratą pochodnego prawa pobytu (w sytuacji zaprzestania spełniania przewidzianych w art. 16 przesłanek pobytu przez obywatela UE) lub </w:t>
      </w:r>
      <w:r w:rsidRPr="00774FA7">
        <w:rPr>
          <w:rFonts w:ascii="Times New Roman" w:eastAsia="Calibri" w:hAnsi="Times New Roman" w:cs="Times New Roman"/>
          <w:sz w:val="24"/>
          <w:szCs w:val="24"/>
        </w:rPr>
        <w:t xml:space="preserve">będzie wynikiem </w:t>
      </w:r>
      <w:r w:rsidR="00443F67" w:rsidRPr="00774FA7">
        <w:rPr>
          <w:rFonts w:ascii="Times New Roman" w:eastAsia="Calibri" w:hAnsi="Times New Roman" w:cs="Times New Roman"/>
          <w:sz w:val="24"/>
          <w:szCs w:val="24"/>
        </w:rPr>
        <w:t>nie</w:t>
      </w:r>
      <w:r w:rsidRPr="00774FA7">
        <w:rPr>
          <w:rFonts w:ascii="Times New Roman" w:eastAsia="Calibri" w:hAnsi="Times New Roman" w:cs="Times New Roman"/>
          <w:sz w:val="24"/>
          <w:szCs w:val="24"/>
        </w:rPr>
        <w:t xml:space="preserve">zachowania </w:t>
      </w:r>
      <w:r w:rsidR="00443F67" w:rsidRPr="00774FA7">
        <w:rPr>
          <w:rFonts w:ascii="Times New Roman" w:eastAsia="Calibri" w:hAnsi="Times New Roman" w:cs="Times New Roman"/>
          <w:sz w:val="24"/>
          <w:szCs w:val="24"/>
        </w:rPr>
        <w:t>prawa pobytu na podstawie art. 19 ust. 2 lub 3 (</w:t>
      </w:r>
      <w:r w:rsidR="00E60CC8">
        <w:rPr>
          <w:rFonts w:ascii="Times New Roman" w:eastAsia="Calibri" w:hAnsi="Times New Roman" w:cs="Times New Roman"/>
          <w:sz w:val="24"/>
          <w:szCs w:val="24"/>
        </w:rPr>
        <w:t>np.</w:t>
      </w:r>
      <w:r w:rsidR="00E60CC8" w:rsidRPr="00774FA7">
        <w:rPr>
          <w:rFonts w:ascii="Times New Roman" w:eastAsia="Calibri" w:hAnsi="Times New Roman" w:cs="Times New Roman"/>
          <w:sz w:val="24"/>
          <w:szCs w:val="24"/>
        </w:rPr>
        <w:t xml:space="preserve"> </w:t>
      </w:r>
      <w:r w:rsidR="00443F67" w:rsidRPr="00774FA7">
        <w:rPr>
          <w:rFonts w:ascii="Times New Roman" w:eastAsia="Calibri" w:hAnsi="Times New Roman" w:cs="Times New Roman"/>
          <w:sz w:val="24"/>
          <w:szCs w:val="24"/>
        </w:rPr>
        <w:t xml:space="preserve">w przypadku śmierci obywatela UE, jeżeli przebywał z tym obywatelem w Polsce krócej niż </w:t>
      </w:r>
      <w:r w:rsidRPr="00774FA7">
        <w:rPr>
          <w:rFonts w:ascii="Times New Roman" w:eastAsia="Calibri" w:hAnsi="Times New Roman" w:cs="Times New Roman"/>
          <w:sz w:val="24"/>
          <w:szCs w:val="24"/>
        </w:rPr>
        <w:t xml:space="preserve">1 </w:t>
      </w:r>
      <w:r w:rsidR="00443F67" w:rsidRPr="00774FA7">
        <w:rPr>
          <w:rFonts w:ascii="Times New Roman" w:eastAsia="Calibri" w:hAnsi="Times New Roman" w:cs="Times New Roman"/>
          <w:sz w:val="24"/>
          <w:szCs w:val="24"/>
        </w:rPr>
        <w:t>rok). Dodatkowo wydalenie członka rodziny obywatela UE niebędącego obywatelem UE będzie mogło nastąpić w przypadku nie</w:t>
      </w:r>
      <w:r w:rsidRPr="00774FA7">
        <w:rPr>
          <w:rFonts w:ascii="Times New Roman" w:eastAsia="Calibri" w:hAnsi="Times New Roman" w:cs="Times New Roman"/>
          <w:sz w:val="24"/>
          <w:szCs w:val="24"/>
        </w:rPr>
        <w:t>posiadania prawa pobytu lub nie</w:t>
      </w:r>
      <w:r w:rsidR="00443F67" w:rsidRPr="00774FA7">
        <w:rPr>
          <w:rFonts w:ascii="Times New Roman" w:eastAsia="Calibri" w:hAnsi="Times New Roman" w:cs="Times New Roman"/>
          <w:sz w:val="24"/>
          <w:szCs w:val="24"/>
        </w:rPr>
        <w:t>zachowania tego prawa na podstawie art. 19 ust. 3 w związku z wyjazdem z Polski obywatela UE lub obywatela Rzeczypospolitej Polskiej.</w:t>
      </w:r>
      <w:r w:rsidR="007E46AC" w:rsidRPr="00774FA7">
        <w:rPr>
          <w:rFonts w:ascii="Times New Roman" w:eastAsia="Calibri" w:hAnsi="Times New Roman" w:cs="Times New Roman"/>
          <w:sz w:val="24"/>
          <w:szCs w:val="24"/>
        </w:rPr>
        <w:t xml:space="preserve"> </w:t>
      </w:r>
    </w:p>
    <w:p w14:paraId="7368AEBC" w14:textId="5CA16C3F" w:rsidR="008722B3" w:rsidRPr="00774FA7" w:rsidRDefault="005F5F72"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Wzorem </w:t>
      </w:r>
      <w:r w:rsidR="00076C40" w:rsidRPr="00774FA7">
        <w:rPr>
          <w:rFonts w:ascii="Times New Roman" w:eastAsia="Calibri" w:hAnsi="Times New Roman" w:cs="Times New Roman"/>
          <w:sz w:val="24"/>
          <w:szCs w:val="24"/>
        </w:rPr>
        <w:t xml:space="preserve">innych przepisów dotyczących ograniczenia swobody przepływu osób </w:t>
      </w:r>
      <w:r w:rsidR="006A6D31">
        <w:rPr>
          <w:rFonts w:ascii="Times New Roman" w:eastAsia="Calibri" w:hAnsi="Times New Roman" w:cs="Times New Roman"/>
          <w:sz w:val="24"/>
          <w:szCs w:val="24"/>
        </w:rPr>
        <w:t>przeredagowane</w:t>
      </w:r>
      <w:r w:rsidR="006A6D31" w:rsidRPr="00774FA7">
        <w:rPr>
          <w:rFonts w:ascii="Times New Roman" w:eastAsia="Calibri" w:hAnsi="Times New Roman" w:cs="Times New Roman"/>
          <w:sz w:val="24"/>
          <w:szCs w:val="24"/>
        </w:rPr>
        <w:t xml:space="preserve"> </w:t>
      </w:r>
      <w:r w:rsidR="006A6D31">
        <w:rPr>
          <w:rFonts w:ascii="Times New Roman" w:eastAsia="Calibri" w:hAnsi="Times New Roman" w:cs="Times New Roman"/>
          <w:sz w:val="24"/>
          <w:szCs w:val="24"/>
        </w:rPr>
        <w:t>zostały</w:t>
      </w:r>
      <w:r w:rsidR="006A6D31" w:rsidRPr="00774FA7">
        <w:rPr>
          <w:rFonts w:ascii="Times New Roman" w:eastAsia="Calibri" w:hAnsi="Times New Roman" w:cs="Times New Roman"/>
          <w:sz w:val="24"/>
          <w:szCs w:val="24"/>
        </w:rPr>
        <w:t xml:space="preserve"> </w:t>
      </w:r>
      <w:r w:rsidR="00076C40" w:rsidRPr="00774FA7">
        <w:rPr>
          <w:rFonts w:ascii="Times New Roman" w:eastAsia="Calibri" w:hAnsi="Times New Roman" w:cs="Times New Roman"/>
          <w:sz w:val="24"/>
          <w:szCs w:val="24"/>
        </w:rPr>
        <w:t>art. 66 i</w:t>
      </w:r>
      <w:r w:rsidR="008722B3" w:rsidRPr="00774FA7">
        <w:rPr>
          <w:rFonts w:ascii="Times New Roman" w:eastAsia="Calibri" w:hAnsi="Times New Roman" w:cs="Times New Roman"/>
          <w:sz w:val="24"/>
          <w:szCs w:val="24"/>
        </w:rPr>
        <w:t xml:space="preserve"> 67</w:t>
      </w:r>
      <w:r w:rsidR="00076C40" w:rsidRPr="00774FA7">
        <w:rPr>
          <w:rFonts w:ascii="Times New Roman" w:eastAsia="Calibri" w:hAnsi="Times New Roman" w:cs="Times New Roman"/>
          <w:sz w:val="24"/>
          <w:szCs w:val="24"/>
        </w:rPr>
        <w:t xml:space="preserve"> </w:t>
      </w:r>
      <w:r w:rsidR="008722B3" w:rsidRPr="00774FA7">
        <w:rPr>
          <w:rFonts w:ascii="Times New Roman" w:eastAsia="Calibri" w:hAnsi="Times New Roman" w:cs="Times New Roman"/>
          <w:sz w:val="24"/>
          <w:szCs w:val="24"/>
        </w:rPr>
        <w:t xml:space="preserve">ustawy o wjeździe obywateli UE. </w:t>
      </w:r>
    </w:p>
    <w:p w14:paraId="4E049EBD" w14:textId="5AA61E33" w:rsidR="000F6C23" w:rsidRPr="000F6C23" w:rsidRDefault="000F6C23" w:rsidP="000F6C23">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Projekt ustawy </w:t>
      </w:r>
      <w:r w:rsidR="006A6D31">
        <w:rPr>
          <w:rFonts w:ascii="Times New Roman" w:eastAsia="Calibri" w:hAnsi="Times New Roman" w:cs="Times New Roman"/>
          <w:sz w:val="24"/>
          <w:szCs w:val="24"/>
        </w:rPr>
        <w:t xml:space="preserve">wprowadza </w:t>
      </w:r>
      <w:r>
        <w:rPr>
          <w:rFonts w:ascii="Times New Roman" w:eastAsia="Calibri" w:hAnsi="Times New Roman" w:cs="Times New Roman"/>
          <w:sz w:val="24"/>
          <w:szCs w:val="24"/>
        </w:rPr>
        <w:t>również zmian w przepisach dotyczących wydaleń obywateli UE z uwagi na</w:t>
      </w:r>
      <w:r w:rsidRPr="000F6C23">
        <w:t xml:space="preserve"> </w:t>
      </w:r>
      <w:r w:rsidRPr="000F6C23">
        <w:rPr>
          <w:rFonts w:ascii="Times New Roman" w:eastAsia="Calibri" w:hAnsi="Times New Roman" w:cs="Times New Roman"/>
          <w:sz w:val="24"/>
          <w:szCs w:val="24"/>
        </w:rPr>
        <w:t>zagrożenie dla obronności lub bezpieczeństwa państwa albo ochrony bezpieczeństwa i porządku publicznego</w:t>
      </w:r>
      <w:r>
        <w:rPr>
          <w:rFonts w:ascii="Times New Roman" w:eastAsia="Calibri" w:hAnsi="Times New Roman" w:cs="Times New Roman"/>
          <w:sz w:val="24"/>
          <w:szCs w:val="24"/>
        </w:rPr>
        <w:t>. W tym miejscu należy podkreślić, iż d</w:t>
      </w:r>
      <w:r w:rsidRPr="000F6C23">
        <w:rPr>
          <w:rFonts w:ascii="Times New Roman" w:eastAsia="Calibri" w:hAnsi="Times New Roman" w:cs="Times New Roman"/>
          <w:sz w:val="24"/>
          <w:szCs w:val="24"/>
        </w:rPr>
        <w:t xml:space="preserve">yrektywa 2004/38/WE wprowadza trzy stopnie ochrony przed wydaleniem zależne od stopnia zintegrowania obywatela UE lub członka rodziny niebędącego obywatelem UE w państwie przyjmującym. </w:t>
      </w:r>
      <w:r>
        <w:rPr>
          <w:rFonts w:ascii="Times New Roman" w:eastAsia="Calibri" w:hAnsi="Times New Roman" w:cs="Times New Roman"/>
          <w:sz w:val="24"/>
          <w:szCs w:val="24"/>
        </w:rPr>
        <w:t>Motyw 23 oraz 24 ww. dyrektywy stanowią, iż w</w:t>
      </w:r>
      <w:r w:rsidRPr="000F6C23">
        <w:rPr>
          <w:rFonts w:ascii="Times New Roman" w:eastAsia="Calibri" w:hAnsi="Times New Roman" w:cs="Times New Roman"/>
          <w:sz w:val="24"/>
          <w:szCs w:val="24"/>
        </w:rPr>
        <w:t>ydalenie obywateli Unii i członków ich rodziny uzasadnione względami porządku publicznego lub bezpieczeństwa publicznego stanowi środek mogący wywołać poważne szkody dla osób, które korzystając z praw i swobód przyznanych im w Traktacie, rzeczywiście zintegrowały się w przyjmującym Państwie Członkowskim. Zakres takich środków powinien zatem zostać ograniczony zgodnie z zasadą proporcjonalności, aby uwzględnić stopień integracji danej osoby, długość jej pobytu w przyjmującym Państwie Członkowskim, jej wiek, stan zdrowia, sytuację rodzinną i ekonomiczną ora</w:t>
      </w:r>
      <w:r>
        <w:rPr>
          <w:rFonts w:ascii="Times New Roman" w:eastAsia="Calibri" w:hAnsi="Times New Roman" w:cs="Times New Roman"/>
          <w:sz w:val="24"/>
          <w:szCs w:val="24"/>
        </w:rPr>
        <w:t xml:space="preserve">z związki z krajem pochodzenia. </w:t>
      </w:r>
      <w:r w:rsidRPr="000F6C23">
        <w:rPr>
          <w:rFonts w:ascii="Times New Roman" w:eastAsia="Calibri" w:hAnsi="Times New Roman" w:cs="Times New Roman"/>
          <w:sz w:val="24"/>
          <w:szCs w:val="24"/>
        </w:rPr>
        <w:t>W konsekwencji stopień ochrony przed wydaleniem powinien być tym większy, im większy jest stopień integracji obywateli Unii i członków ich rodziny w przyjmującym Państwie Członkowskim. Środek wydalenia wobec obywateli Unii, którzy przez wiele lat zamieszkiwali w przyjmującym Państwie Członkowskim, w szczególności jeżeli urodzili się tam i zamieszkiwali przez całe swoje życie, należy stosować jedynie w wyjątkowych okolicznościach, w których istnieją nadrzędne względy bezpieczeństwa publicznego. Ponadto takie wyjątkowe okoliczności powinny mieć zastosowanie do środka wydalenia podejmowanego wobec nieletnich, w celu ochrony ich związków z rodziną, zgodnie z Konwencją Narodów Zjednoczonych o prawach dziecka z dnia 20 listopada 1989 r.</w:t>
      </w:r>
      <w:r>
        <w:rPr>
          <w:rFonts w:ascii="Times New Roman" w:eastAsia="Calibri" w:hAnsi="Times New Roman" w:cs="Times New Roman"/>
          <w:sz w:val="24"/>
          <w:szCs w:val="24"/>
        </w:rPr>
        <w:t xml:space="preserve"> Natomiast zgodnie z art. 28</w:t>
      </w:r>
      <w:r w:rsidRPr="000F6C23">
        <w:rPr>
          <w:rFonts w:ascii="Times New Roman" w:eastAsia="Calibri" w:hAnsi="Times New Roman" w:cs="Times New Roman"/>
          <w:sz w:val="24"/>
          <w:szCs w:val="24"/>
        </w:rPr>
        <w:t xml:space="preserve"> dyrektywy</w:t>
      </w:r>
      <w:r>
        <w:rPr>
          <w:rFonts w:ascii="Times New Roman" w:eastAsia="Calibri" w:hAnsi="Times New Roman" w:cs="Times New Roman"/>
          <w:sz w:val="24"/>
          <w:szCs w:val="24"/>
        </w:rPr>
        <w:t xml:space="preserve"> 2004/38/WE</w:t>
      </w:r>
      <w:r w:rsidRPr="000F6C23">
        <w:rPr>
          <w:rFonts w:ascii="Times New Roman" w:eastAsia="Calibri" w:hAnsi="Times New Roman" w:cs="Times New Roman"/>
          <w:sz w:val="24"/>
          <w:szCs w:val="24"/>
        </w:rPr>
        <w:t xml:space="preserve"> przed podjęciem decyzji o wydaleniu ze względów porządku publicznego lub bezpieczeństwa publicznego, przyjmujące Państwo Członkowskie uwzględnia informacje dotyczące długości pobytu danej osoby na jego terytorium, jego/jej wieku, stanu zdrowia, sytuacji rodzinnej i ekonomicznej, integracji społecznej i kulturalnej w przyjmującym Państwie Członkowskim oraz stopień jego więzi z krajem pochodzenia. Przyjmujące Państwo Członkowskie nie może podjąć decyzji o wydaleniu wobec obywateli Unii lub członków ich rodzin, bez względu na przynależność państwową, którzy posiadają prawo stałego pobytu na jego terytorium, z wyjątkiem poważnych względów porządku publicznego lub bezpieczeństwa publicznego. Decyzja o wydaleniu nie można zostać podjęta wobec obywateli Unii, z wyjątkiem decyzji uzasadnionej nadrzędnymi względami bezpieczeństwa publicznego określonymi przez Państwa Członkowskie, jeżeli:</w:t>
      </w:r>
    </w:p>
    <w:p w14:paraId="224AA250" w14:textId="77777777" w:rsidR="000F6C23" w:rsidRPr="000F6C23" w:rsidRDefault="000F6C23" w:rsidP="000F6C23">
      <w:pPr>
        <w:spacing w:after="0" w:line="288" w:lineRule="auto"/>
        <w:ind w:firstLine="709"/>
        <w:jc w:val="both"/>
        <w:rPr>
          <w:rFonts w:ascii="Times New Roman" w:eastAsia="Calibri" w:hAnsi="Times New Roman" w:cs="Times New Roman"/>
          <w:sz w:val="24"/>
          <w:szCs w:val="24"/>
        </w:rPr>
      </w:pPr>
      <w:r w:rsidRPr="000F6C23">
        <w:rPr>
          <w:rFonts w:ascii="Times New Roman" w:eastAsia="Calibri" w:hAnsi="Times New Roman" w:cs="Times New Roman"/>
          <w:sz w:val="24"/>
          <w:szCs w:val="24"/>
        </w:rPr>
        <w:t>a) zamieszkiwali oni w przyjmującym Państwie Członkowskim przez poprzednie dziesięć lat; lub</w:t>
      </w:r>
    </w:p>
    <w:p w14:paraId="24418EE3" w14:textId="413B40C0" w:rsidR="000F6C23" w:rsidRDefault="000F6C23" w:rsidP="000F6C23">
      <w:pPr>
        <w:spacing w:after="0" w:line="288" w:lineRule="auto"/>
        <w:ind w:firstLine="709"/>
        <w:jc w:val="both"/>
        <w:rPr>
          <w:rFonts w:ascii="Times New Roman" w:eastAsia="Calibri" w:hAnsi="Times New Roman" w:cs="Times New Roman"/>
          <w:sz w:val="24"/>
          <w:szCs w:val="24"/>
        </w:rPr>
      </w:pPr>
      <w:r w:rsidRPr="000F6C23">
        <w:rPr>
          <w:rFonts w:ascii="Times New Roman" w:eastAsia="Calibri" w:hAnsi="Times New Roman" w:cs="Times New Roman"/>
          <w:sz w:val="24"/>
          <w:szCs w:val="24"/>
        </w:rPr>
        <w:t xml:space="preserve">b) są nieletni, z wyjątkiem przypadków, w których wydalenie jest konieczne ze względu na dobro dziecka zgodnie z Konwencją Narodów Zjednoczonych o prawach dziecka z dnia 20 listopada 1989 r. Zgodnie zatem z zacytowanym wyżej przepisem dyrektywy w przypadku obywatela UE lub członka rodziny nie będącego obywatela UE posiadającego prawo pobytu wydalenie może nastąpić ze względu porządku publicznego lub bezpieczeństwa publicznego, w przypadku obywatela UE lub członka rodziny nie będącego obywatela UE, </w:t>
      </w:r>
      <w:r w:rsidRPr="000F6C23">
        <w:rPr>
          <w:rFonts w:ascii="Times New Roman" w:eastAsia="Calibri" w:hAnsi="Times New Roman" w:cs="Times New Roman"/>
          <w:sz w:val="24"/>
          <w:szCs w:val="24"/>
        </w:rPr>
        <w:lastRenderedPageBreak/>
        <w:t>który posiadają prawo stałego pobytu wydalenie może mieć miejsce w przypadku poważnego naruszenia porządku publicznego lub bezpieczeństwa publicznego. Natomiast w stosunku do obywatela UE lub członka rodziny nie będącego obywatela UE, przebywającego w przyjmującym państwie członkowskim przez okres 10 lat wydalenie może mieć miejsce tylko w przypadku naruszenia nadrzędnych względów bezpieczeństwa publicznego</w:t>
      </w:r>
      <w:r w:rsidR="00E00CE9">
        <w:rPr>
          <w:rFonts w:ascii="Times New Roman" w:eastAsia="Calibri" w:hAnsi="Times New Roman" w:cs="Times New Roman"/>
          <w:sz w:val="24"/>
          <w:szCs w:val="24"/>
        </w:rPr>
        <w:t>.</w:t>
      </w:r>
    </w:p>
    <w:p w14:paraId="389ECE52" w14:textId="34A5A16D" w:rsidR="008722B3" w:rsidRPr="00774FA7" w:rsidRDefault="008722B3"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art. 66 ust. 1 wskazano, że obywatelowi UE lub członkowi rodziny niebędącemu obywatelem UE, którzy nie posiadają prawa stałego pobytu, może być wydana decyzja o wydaleniu z terytorium Rzeczypospolitej Polskiej w przypadku</w:t>
      </w:r>
      <w:r w:rsidR="00E60CC8">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gdy wymagają tego względy obronności lub bezpieczeństwa państwa lub ochrony bezpieczeństwa i porządku publicznego, lub ich pobyt na tym terytorium stanowi zagrożenie dla zdrowia publicznego. </w:t>
      </w:r>
      <w:r w:rsidR="005B0630" w:rsidRPr="00774FA7">
        <w:rPr>
          <w:rFonts w:ascii="Times New Roman" w:eastAsia="Calibri" w:hAnsi="Times New Roman" w:cs="Times New Roman"/>
          <w:sz w:val="24"/>
          <w:szCs w:val="24"/>
        </w:rPr>
        <w:t>W stosunku do obecnie obowiązującego przepisu art. 66 ust. 1 przepis ten różni się tylko tym, że przesłanki w nim wymienione zapisano w odrębnych punktach.</w:t>
      </w:r>
    </w:p>
    <w:p w14:paraId="45D9CA90" w14:textId="286B546E" w:rsidR="008722B3" w:rsidRPr="00774FA7" w:rsidRDefault="008722B3"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Zmiana brzmienia art. 66 ust. 4 ustawy o wjeździe obywateli UE ma charakter porządkujący. W miejsce nieobowiązującej już ustawy z dnia 6 września 2001 r. o chorobach zakaźnych i zakażeniach wprowadzono odesłanie do ustawy z dnia 5 grudnia 2008 r. o zapobieganiu oraz zwalczaniu zakażeń i chorób zakaźnych u ludzi (Dz. U. z</w:t>
      </w:r>
      <w:r w:rsidR="00BE39AD">
        <w:rPr>
          <w:rFonts w:ascii="Times New Roman" w:eastAsia="Calibri" w:hAnsi="Times New Roman" w:cs="Times New Roman"/>
          <w:sz w:val="24"/>
          <w:szCs w:val="24"/>
        </w:rPr>
        <w:t xml:space="preserve"> 2020 r. poz.1845 i 2112</w:t>
      </w:r>
      <w:r w:rsidRPr="00774FA7">
        <w:rPr>
          <w:rFonts w:ascii="Times New Roman" w:eastAsia="Calibri" w:hAnsi="Times New Roman" w:cs="Times New Roman"/>
          <w:sz w:val="24"/>
          <w:szCs w:val="24"/>
        </w:rPr>
        <w:t>).</w:t>
      </w:r>
    </w:p>
    <w:p w14:paraId="2F2BF5AE" w14:textId="7B31A124" w:rsidR="00076C40" w:rsidRPr="00774FA7" w:rsidRDefault="00E60CC8"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w:t>
      </w:r>
      <w:r w:rsidR="005B0630" w:rsidRPr="00774FA7">
        <w:rPr>
          <w:rFonts w:ascii="Times New Roman" w:eastAsia="Calibri" w:hAnsi="Times New Roman" w:cs="Times New Roman"/>
          <w:sz w:val="24"/>
          <w:szCs w:val="24"/>
        </w:rPr>
        <w:t xml:space="preserve"> </w:t>
      </w:r>
      <w:r w:rsidR="00076C40" w:rsidRPr="00774FA7">
        <w:rPr>
          <w:rFonts w:ascii="Times New Roman" w:eastAsia="Calibri" w:hAnsi="Times New Roman" w:cs="Times New Roman"/>
          <w:sz w:val="24"/>
          <w:szCs w:val="24"/>
        </w:rPr>
        <w:t xml:space="preserve">art. 67 </w:t>
      </w:r>
      <w:r>
        <w:rPr>
          <w:rFonts w:ascii="Times New Roman" w:eastAsia="Calibri" w:hAnsi="Times New Roman" w:cs="Times New Roman"/>
          <w:sz w:val="24"/>
          <w:szCs w:val="24"/>
        </w:rPr>
        <w:t>została wprowadzona jedynie zmiana redakcyjna.</w:t>
      </w:r>
      <w:r w:rsidR="00076C40" w:rsidRPr="00774FA7">
        <w:rPr>
          <w:rFonts w:ascii="Times New Roman" w:eastAsia="Calibri" w:hAnsi="Times New Roman" w:cs="Times New Roman"/>
          <w:sz w:val="24"/>
          <w:szCs w:val="24"/>
        </w:rPr>
        <w:t xml:space="preserve"> </w:t>
      </w:r>
    </w:p>
    <w:p w14:paraId="0544373D" w14:textId="0ED603B6" w:rsidR="00076C40" w:rsidRPr="00774FA7" w:rsidRDefault="00076C40" w:rsidP="000F6C23">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Zmiany proponowane w art. 68 ust. 1 ustawy o wjeździe obywateli UE wynikają z dostosowania polskiego prawa do wyroków Trybunał Sprawiedliwości Unii Europejskiej w sprawie C-400/12 M.G oraz w sprawach połączonych</w:t>
      </w:r>
      <w:r w:rsidRPr="00774FA7">
        <w:rPr>
          <w:rFonts w:ascii="Times New Roman" w:eastAsia="Calibri" w:hAnsi="Times New Roman" w:cs="Times New Roman"/>
          <w:bCs/>
          <w:sz w:val="24"/>
          <w:szCs w:val="24"/>
        </w:rPr>
        <w:t xml:space="preserve"> C-316/16 B i C-424/16 Franco </w:t>
      </w:r>
      <w:proofErr w:type="spellStart"/>
      <w:r w:rsidRPr="00774FA7">
        <w:rPr>
          <w:rFonts w:ascii="Times New Roman" w:eastAsia="Calibri" w:hAnsi="Times New Roman" w:cs="Times New Roman"/>
          <w:bCs/>
          <w:sz w:val="24"/>
          <w:szCs w:val="24"/>
        </w:rPr>
        <w:t>Vomero</w:t>
      </w:r>
      <w:proofErr w:type="spellEnd"/>
      <w:r w:rsidRPr="00774FA7">
        <w:rPr>
          <w:rFonts w:ascii="Times New Roman" w:eastAsia="Calibri" w:hAnsi="Times New Roman" w:cs="Times New Roman"/>
          <w:sz w:val="24"/>
          <w:szCs w:val="24"/>
        </w:rPr>
        <w:t>. W wyroku w sprawie C-400/12 M.G stwierdzono, iż wykładni art. 28 ust. 3 lit. a) dyrektywy 2004/38/WE należy dokonywać w ten sposób, iż dziesięcioletni okres pobytu, o którym mowa w tym przepisie, powinien być zasadniczo nieprzerwany, a oblicza się go wstecz, od dnia wydania decyzji o wydaleniu danej osoby. Stanowisko to Trybunał Sprawiedliwości Unii Europejskiej  podtrzymał także w wyroku w sprawach</w:t>
      </w:r>
      <w:r w:rsidRPr="00774FA7">
        <w:rPr>
          <w:rFonts w:ascii="Times New Roman" w:eastAsia="Calibri" w:hAnsi="Times New Roman" w:cs="Times New Roman"/>
          <w:bCs/>
          <w:sz w:val="24"/>
          <w:szCs w:val="24"/>
        </w:rPr>
        <w:t xml:space="preserve"> C-316/16 B i C-424/16 Franco </w:t>
      </w:r>
      <w:proofErr w:type="spellStart"/>
      <w:r w:rsidRPr="00774FA7">
        <w:rPr>
          <w:rFonts w:ascii="Times New Roman" w:eastAsia="Calibri" w:hAnsi="Times New Roman" w:cs="Times New Roman"/>
          <w:bCs/>
          <w:sz w:val="24"/>
          <w:szCs w:val="24"/>
        </w:rPr>
        <w:t>Vomero</w:t>
      </w:r>
      <w:proofErr w:type="spellEnd"/>
      <w:r w:rsidRPr="00774FA7">
        <w:rPr>
          <w:rFonts w:ascii="Times New Roman" w:eastAsia="Calibri" w:hAnsi="Times New Roman" w:cs="Times New Roman"/>
          <w:bCs/>
          <w:sz w:val="24"/>
          <w:szCs w:val="24"/>
        </w:rPr>
        <w:t>.</w:t>
      </w:r>
      <w:r w:rsidRPr="00774FA7">
        <w:rPr>
          <w:rFonts w:ascii="Times New Roman" w:eastAsia="Calibri" w:hAnsi="Times New Roman" w:cs="Times New Roman"/>
          <w:sz w:val="24"/>
          <w:szCs w:val="24"/>
        </w:rPr>
        <w:t xml:space="preserve"> Z uwagi na powyższe</w:t>
      </w:r>
      <w:r w:rsidR="00E60CC8">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 art. 68 ust. 1 doprecyzowano</w:t>
      </w:r>
      <w:r w:rsidR="00C1306E" w:rsidRPr="00774FA7">
        <w:rPr>
          <w:rFonts w:ascii="Times New Roman" w:eastAsia="Calibri" w:hAnsi="Times New Roman" w:cs="Times New Roman"/>
          <w:sz w:val="24"/>
          <w:szCs w:val="24"/>
        </w:rPr>
        <w:t xml:space="preserve"> w taki sposób</w:t>
      </w:r>
      <w:r w:rsidRPr="00774FA7">
        <w:rPr>
          <w:rFonts w:ascii="Times New Roman" w:eastAsia="Calibri" w:hAnsi="Times New Roman" w:cs="Times New Roman"/>
          <w:sz w:val="24"/>
          <w:szCs w:val="24"/>
        </w:rPr>
        <w:t xml:space="preserve">, iż szczególna ochrona przed wydaleniem jest przyznawana obywatelowi UE, który przebywa na terytorium Rzeczypospolitej Polskiej przez okres 10 lat bezpośrednio poprzedzających wydanie decyzji o wydaleniu. </w:t>
      </w:r>
    </w:p>
    <w:p w14:paraId="2507D077" w14:textId="48455823"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Ponadto w wyrokach w sprawach</w:t>
      </w:r>
      <w:r w:rsidRPr="00774FA7">
        <w:rPr>
          <w:rFonts w:ascii="Times New Roman" w:eastAsia="Calibri" w:hAnsi="Times New Roman" w:cs="Times New Roman"/>
          <w:bCs/>
          <w:sz w:val="24"/>
          <w:szCs w:val="24"/>
        </w:rPr>
        <w:t xml:space="preserve"> C-316/16 B i C-424/16 </w:t>
      </w:r>
      <w:r w:rsidRPr="00774FA7">
        <w:rPr>
          <w:rFonts w:ascii="Times New Roman" w:eastAsia="Calibri" w:hAnsi="Times New Roman" w:cs="Times New Roman"/>
          <w:sz w:val="24"/>
          <w:szCs w:val="24"/>
        </w:rPr>
        <w:t xml:space="preserve">Trybunał podkreślił, iż obywatel UE może korzystać ze zwiększonej ochrony przed wydaleniem przewidzianej w art. 28 ust. 3 lit a dyrektywy 2004/38/WE tylko w sytuacji, kiedy posiada prawo stałego pobytu nabyte na mocy art. 16 ww. dyrektywy. </w:t>
      </w:r>
      <w:r w:rsidR="00E60CC8">
        <w:rPr>
          <w:rFonts w:ascii="Times New Roman" w:eastAsia="Calibri" w:hAnsi="Times New Roman" w:cs="Times New Roman"/>
          <w:sz w:val="24"/>
          <w:szCs w:val="24"/>
        </w:rPr>
        <w:t>W związku z tym</w:t>
      </w:r>
      <w:r w:rsidRPr="00774FA7">
        <w:rPr>
          <w:rFonts w:ascii="Times New Roman" w:eastAsia="Calibri" w:hAnsi="Times New Roman" w:cs="Times New Roman"/>
          <w:sz w:val="24"/>
          <w:szCs w:val="24"/>
        </w:rPr>
        <w:t xml:space="preserve"> art. 68 ust. 1 </w:t>
      </w:r>
      <w:r w:rsidR="00A235F1" w:rsidRPr="00774FA7">
        <w:rPr>
          <w:rFonts w:ascii="Times New Roman" w:eastAsia="Calibri" w:hAnsi="Times New Roman" w:cs="Times New Roman"/>
          <w:sz w:val="24"/>
          <w:szCs w:val="24"/>
        </w:rPr>
        <w:t xml:space="preserve">został uzupełniony </w:t>
      </w:r>
      <w:r w:rsidRPr="00774FA7">
        <w:rPr>
          <w:rFonts w:ascii="Times New Roman" w:eastAsia="Calibri" w:hAnsi="Times New Roman" w:cs="Times New Roman"/>
          <w:sz w:val="24"/>
          <w:szCs w:val="24"/>
        </w:rPr>
        <w:t xml:space="preserve">o odniesienie do posiadania przez obywatela UE prawa stałego pobytu. </w:t>
      </w:r>
      <w:r w:rsidR="008526E9" w:rsidRPr="00774FA7">
        <w:rPr>
          <w:rFonts w:ascii="Times New Roman" w:eastAsia="Calibri" w:hAnsi="Times New Roman" w:cs="Times New Roman"/>
          <w:sz w:val="24"/>
          <w:szCs w:val="24"/>
        </w:rPr>
        <w:t>D</w:t>
      </w:r>
      <w:r w:rsidRPr="00774FA7">
        <w:rPr>
          <w:rFonts w:ascii="Times New Roman" w:eastAsia="Calibri" w:hAnsi="Times New Roman" w:cs="Times New Roman"/>
          <w:sz w:val="24"/>
          <w:szCs w:val="24"/>
        </w:rPr>
        <w:t xml:space="preserve">odatkowo </w:t>
      </w:r>
      <w:r w:rsidR="00E60CC8">
        <w:rPr>
          <w:rFonts w:ascii="Times New Roman" w:eastAsia="Calibri" w:hAnsi="Times New Roman" w:cs="Times New Roman"/>
          <w:sz w:val="24"/>
          <w:szCs w:val="24"/>
        </w:rPr>
        <w:t xml:space="preserve">przepis </w:t>
      </w:r>
      <w:r w:rsidRPr="00774FA7">
        <w:rPr>
          <w:rFonts w:ascii="Times New Roman" w:eastAsia="Calibri" w:hAnsi="Times New Roman" w:cs="Times New Roman"/>
          <w:sz w:val="24"/>
          <w:szCs w:val="24"/>
        </w:rPr>
        <w:t xml:space="preserve">ust. 1  został uzupełniony o odniesienie do pojęcia „nadrzędne względy bezpieczeństwa publicznego”, w celu pełnego odzwierciedlenia normy przewidzianej w art. 28 ust. 3 dyrektywy 2004/38/WE. </w:t>
      </w:r>
    </w:p>
    <w:p w14:paraId="37D52CA3" w14:textId="36A3C0CC"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Nowelizacja art. 68 ust. 1 uwzględnia także tezy zawarte w orzeczeniach w sprawie C-348/09 P.I. oraz C-145/09 </w:t>
      </w:r>
      <w:proofErr w:type="spellStart"/>
      <w:r w:rsidRPr="00774FA7">
        <w:rPr>
          <w:rFonts w:ascii="Times New Roman" w:eastAsia="Calibri" w:hAnsi="Times New Roman" w:cs="Times New Roman"/>
          <w:sz w:val="24"/>
          <w:szCs w:val="24"/>
        </w:rPr>
        <w:t>Tsakouridis</w:t>
      </w:r>
      <w:proofErr w:type="spellEnd"/>
      <w:r w:rsidRPr="00774FA7">
        <w:rPr>
          <w:rFonts w:ascii="Times New Roman" w:eastAsia="Calibri" w:hAnsi="Times New Roman" w:cs="Times New Roman"/>
          <w:sz w:val="24"/>
          <w:szCs w:val="24"/>
        </w:rPr>
        <w:t xml:space="preserve">, które wskazują reguły interpretacyjne pojęcia „nadrzędne względy bezpieczeństwa publicznego”. W niniejszych wyrokach Trybunał Sprawiedliwości dokonał interpretacji </w:t>
      </w:r>
      <w:r w:rsidR="008526E9" w:rsidRPr="00774FA7">
        <w:rPr>
          <w:rFonts w:ascii="Times New Roman" w:eastAsia="Calibri" w:hAnsi="Times New Roman" w:cs="Times New Roman"/>
          <w:sz w:val="24"/>
          <w:szCs w:val="24"/>
        </w:rPr>
        <w:t xml:space="preserve">tego </w:t>
      </w:r>
      <w:r w:rsidRPr="00774FA7">
        <w:rPr>
          <w:rFonts w:ascii="Times New Roman" w:eastAsia="Calibri" w:hAnsi="Times New Roman" w:cs="Times New Roman"/>
          <w:sz w:val="24"/>
          <w:szCs w:val="24"/>
        </w:rPr>
        <w:t xml:space="preserve">pojęcia wskazując m. in., iż wykładni art. 28 ust. 3 </w:t>
      </w:r>
      <w:r w:rsidRPr="00774FA7">
        <w:rPr>
          <w:rFonts w:ascii="Times New Roman" w:eastAsia="Calibri" w:hAnsi="Times New Roman" w:cs="Times New Roman"/>
          <w:sz w:val="24"/>
          <w:szCs w:val="24"/>
        </w:rPr>
        <w:lastRenderedPageBreak/>
        <w:t xml:space="preserve">lit. a dyrektywy 2004/38/WE należy dokonywać w ten sposób, że państwa członkowskie mają prawo uznać, że przestępstwa takie jak wymienione w art. 83 ust. 1 akapit drugi TFUE, stanowią szczególnie poważne naruszenie jednego z podstawowych interesów społeczeństwa, które może stanowić bezpośrednie zagrożenie spokoju i fizycznego bezpieczeństwa ludności, a tym samym mieścić się w pojęciu „nadrzędnych względów bezpieczeństwa publicznego”, co z kolei może uzasadniać wydalenie na podstawie art. 28 ust. 3. Natomiast art. 83 ust. 1 akapit drugi TFUE, jako szczególnie poważne przestępstwa wskazuje: terroryzm, handel ludźmi oraz seksualne wykorzystywanie kobiet i dzieci, nielegalny handel narkotykami, nielegalny handel bronią, pranie pieniędzy, korupcję, fałszowanie środków płatniczych, przestępczość komputerową i przestępczość zorganizowaną. </w:t>
      </w:r>
      <w:r w:rsidR="00E60CC8">
        <w:rPr>
          <w:rFonts w:ascii="Times New Roman" w:eastAsia="Calibri" w:hAnsi="Times New Roman" w:cs="Times New Roman"/>
          <w:sz w:val="24"/>
          <w:szCs w:val="24"/>
        </w:rPr>
        <w:t>Wymienione rodzaje przestępstw</w:t>
      </w:r>
      <w:r w:rsidR="00A235F1" w:rsidRPr="00774FA7">
        <w:rPr>
          <w:rFonts w:ascii="Times New Roman" w:eastAsia="Calibri" w:hAnsi="Times New Roman" w:cs="Times New Roman"/>
          <w:sz w:val="24"/>
          <w:szCs w:val="24"/>
        </w:rPr>
        <w:t xml:space="preserve"> zostały uwzględnione w projektowanym </w:t>
      </w:r>
      <w:r w:rsidRPr="00774FA7">
        <w:rPr>
          <w:rFonts w:ascii="Times New Roman" w:eastAsia="Calibri" w:hAnsi="Times New Roman" w:cs="Times New Roman"/>
          <w:sz w:val="24"/>
          <w:szCs w:val="24"/>
        </w:rPr>
        <w:t>art. 68</w:t>
      </w:r>
      <w:r w:rsidR="00D645FE" w:rsidRPr="00774FA7">
        <w:rPr>
          <w:rFonts w:ascii="Times New Roman" w:eastAsia="Calibri" w:hAnsi="Times New Roman" w:cs="Times New Roman"/>
          <w:sz w:val="24"/>
          <w:szCs w:val="24"/>
        </w:rPr>
        <w:t xml:space="preserve"> ust. 1</w:t>
      </w:r>
      <w:r w:rsidRPr="00774FA7">
        <w:rPr>
          <w:rFonts w:ascii="Times New Roman" w:eastAsia="Calibri" w:hAnsi="Times New Roman" w:cs="Times New Roman"/>
          <w:sz w:val="24"/>
          <w:szCs w:val="24"/>
        </w:rPr>
        <w:t>.</w:t>
      </w:r>
    </w:p>
    <w:p w14:paraId="7A5A6100" w14:textId="74847978" w:rsidR="00D645FE" w:rsidRPr="00774FA7" w:rsidRDefault="00D927B4"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art. 68 ust. 2 przewidziano, iż p</w:t>
      </w:r>
      <w:r w:rsidR="00D645FE" w:rsidRPr="00774FA7">
        <w:rPr>
          <w:rFonts w:ascii="Times New Roman" w:eastAsia="Calibri" w:hAnsi="Times New Roman" w:cs="Times New Roman"/>
          <w:sz w:val="24"/>
          <w:szCs w:val="24"/>
        </w:rPr>
        <w:t>obyt na terytorium Rzeczypospolitej Polskiej,</w:t>
      </w:r>
      <w:r w:rsidRPr="00774FA7">
        <w:rPr>
          <w:rFonts w:ascii="Times New Roman" w:eastAsia="Calibri" w:hAnsi="Times New Roman" w:cs="Times New Roman"/>
          <w:sz w:val="24"/>
          <w:szCs w:val="24"/>
        </w:rPr>
        <w:t xml:space="preserve"> uprawniający do szczególnej ochrony przed wydaleniem</w:t>
      </w:r>
      <w:r w:rsidR="00D645FE" w:rsidRPr="00774FA7">
        <w:rPr>
          <w:rFonts w:ascii="Times New Roman" w:eastAsia="Calibri" w:hAnsi="Times New Roman" w:cs="Times New Roman"/>
          <w:sz w:val="24"/>
          <w:szCs w:val="24"/>
        </w:rPr>
        <w:t>, przerywa odbywanie kary pozbawienia wolności przez obywatela UE</w:t>
      </w:r>
      <w:r w:rsidR="00667A8D" w:rsidRPr="00774FA7">
        <w:rPr>
          <w:rFonts w:ascii="Times New Roman" w:eastAsia="Calibri" w:hAnsi="Times New Roman" w:cs="Times New Roman"/>
          <w:sz w:val="24"/>
          <w:szCs w:val="24"/>
        </w:rPr>
        <w:t xml:space="preserve">.  </w:t>
      </w:r>
      <w:r w:rsidR="00EA2D42">
        <w:rPr>
          <w:rFonts w:ascii="Times New Roman" w:eastAsia="Calibri" w:hAnsi="Times New Roman" w:cs="Times New Roman"/>
          <w:sz w:val="24"/>
          <w:szCs w:val="24"/>
        </w:rPr>
        <w:t>P</w:t>
      </w:r>
      <w:r w:rsidR="00667A8D" w:rsidRPr="00774FA7">
        <w:rPr>
          <w:rFonts w:ascii="Times New Roman" w:eastAsia="Calibri" w:hAnsi="Times New Roman" w:cs="Times New Roman"/>
          <w:sz w:val="24"/>
          <w:szCs w:val="24"/>
        </w:rPr>
        <w:t xml:space="preserve">rzepis stanowi wdrożenie do prawa polskiego postanowień wyroku Trybunału Sprawiedliwości Unii Europejskiej w sprawie C-378/12 </w:t>
      </w:r>
      <w:proofErr w:type="spellStart"/>
      <w:r w:rsidR="00667A8D" w:rsidRPr="00774FA7">
        <w:rPr>
          <w:rFonts w:ascii="Times New Roman" w:eastAsia="Calibri" w:hAnsi="Times New Roman" w:cs="Times New Roman"/>
          <w:sz w:val="24"/>
          <w:szCs w:val="24"/>
        </w:rPr>
        <w:t>Onuekwere</w:t>
      </w:r>
      <w:proofErr w:type="spellEnd"/>
      <w:r w:rsidR="00667A8D" w:rsidRPr="00774FA7">
        <w:rPr>
          <w:rFonts w:ascii="Times New Roman" w:eastAsia="Calibri" w:hAnsi="Times New Roman" w:cs="Times New Roman"/>
          <w:sz w:val="24"/>
          <w:szCs w:val="24"/>
        </w:rPr>
        <w:t>.</w:t>
      </w:r>
    </w:p>
    <w:p w14:paraId="081E4707" w14:textId="416B49DF"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art. 68 dodano ust. 3 i 4, które uwzględniają wyrok Trybunał Sprawiedliwości Unii Europejskiej w sprawach połączonych</w:t>
      </w:r>
      <w:r w:rsidRPr="00774FA7">
        <w:rPr>
          <w:rFonts w:ascii="Times New Roman" w:eastAsia="Calibri" w:hAnsi="Times New Roman" w:cs="Times New Roman"/>
          <w:bCs/>
          <w:sz w:val="24"/>
          <w:szCs w:val="24"/>
        </w:rPr>
        <w:t xml:space="preserve"> C-316/16 B i C-424/16 Franco </w:t>
      </w:r>
      <w:proofErr w:type="spellStart"/>
      <w:r w:rsidRPr="00774FA7">
        <w:rPr>
          <w:rFonts w:ascii="Times New Roman" w:eastAsia="Calibri" w:hAnsi="Times New Roman" w:cs="Times New Roman"/>
          <w:bCs/>
          <w:sz w:val="24"/>
          <w:szCs w:val="24"/>
        </w:rPr>
        <w:t>Vomero</w:t>
      </w:r>
      <w:proofErr w:type="spellEnd"/>
      <w:r w:rsidRPr="00774FA7">
        <w:rPr>
          <w:rFonts w:ascii="Times New Roman" w:eastAsia="Calibri" w:hAnsi="Times New Roman" w:cs="Times New Roman"/>
          <w:bCs/>
          <w:sz w:val="24"/>
          <w:szCs w:val="24"/>
        </w:rPr>
        <w:t xml:space="preserve">. </w:t>
      </w:r>
      <w:r w:rsidR="00EA2D42">
        <w:rPr>
          <w:rFonts w:ascii="Times New Roman" w:eastAsia="Calibri" w:hAnsi="Times New Roman" w:cs="Times New Roman"/>
          <w:bCs/>
          <w:sz w:val="24"/>
          <w:szCs w:val="24"/>
        </w:rPr>
        <w:t>Orzeczenie</w:t>
      </w:r>
      <w:r w:rsidRPr="00774FA7">
        <w:rPr>
          <w:rFonts w:ascii="Times New Roman" w:eastAsia="Calibri" w:hAnsi="Times New Roman" w:cs="Times New Roman"/>
          <w:bCs/>
          <w:sz w:val="24"/>
          <w:szCs w:val="24"/>
        </w:rPr>
        <w:t xml:space="preserve"> </w:t>
      </w:r>
      <w:r w:rsidRPr="00774FA7">
        <w:rPr>
          <w:rFonts w:ascii="Times New Roman" w:eastAsia="Calibri" w:hAnsi="Times New Roman" w:cs="Times New Roman"/>
          <w:sz w:val="24"/>
          <w:szCs w:val="24"/>
        </w:rPr>
        <w:t xml:space="preserve">dotyczy między innymi kwestii obliczania okresu dziesięcioletniego pobytu na terytorium Rzeczypospolitej Polskiej, który uprawnia do szczególnej ochrony przed wydaleniem. Trybunał Sprawiedliwości Unii Europejskiej wskazał w nim, iż: </w:t>
      </w:r>
      <w:r w:rsidRPr="00774FA7">
        <w:rPr>
          <w:rFonts w:ascii="Times New Roman" w:eastAsia="Calibri" w:hAnsi="Times New Roman" w:cs="Times New Roman"/>
          <w:i/>
          <w:sz w:val="24"/>
          <w:szCs w:val="24"/>
        </w:rPr>
        <w:t>„art.</w:t>
      </w:r>
      <w:r w:rsidRPr="00774FA7">
        <w:rPr>
          <w:rFonts w:ascii="Times New Roman" w:eastAsia="Calibri" w:hAnsi="Times New Roman" w:cs="Times New Roman"/>
          <w:bCs/>
          <w:i/>
          <w:sz w:val="24"/>
          <w:szCs w:val="24"/>
        </w:rPr>
        <w:t> 28 ust. 3 lit. a) dyrektywy 2004/38 należy interpretować w ten sposób, iż w przypadku obywatela Unii, który odbywa karę pozbawienia wolności i wobec którego została wydana decyzja o wydaleniu, ustanowiony w tym przepisie warunek „[zamieszkiwania] w przyjmującym państwie członkowskim przez poprzednie dziesięć lat” może zostać spełniony, o ile całościowa ocena sytuacji zainteresowanego z uwzględnieniem wszystkich istotnych aspektów prowadzi do stwierdzenia, że niezależnie od wspomnianego pozbawienia wolności więzy integracyjne łączące zainteresowanego z przyjmującym państwem członkowskim nie zostały zerwane. Wśród tych aspektów znajdują się w szczególności siła więzów integracyjnych zadzierzgniętych w przyjmującym państwie członkowskim przed umieszczeniem zainteresowanego w zakładzie karnym, charakter przestępstwa, które było przyczyną odbywania przez niego kary pozbawienia wolności, oraz okoliczności popełnienia przestępstwa, a także zachowanie zainteresowanego w okresie odbywania kary.”</w:t>
      </w:r>
      <w:r w:rsidR="00EA2D42">
        <w:rPr>
          <w:rFonts w:ascii="Times New Roman" w:eastAsia="Calibri" w:hAnsi="Times New Roman" w:cs="Times New Roman"/>
          <w:bCs/>
          <w:i/>
          <w:sz w:val="24"/>
          <w:szCs w:val="24"/>
        </w:rPr>
        <w:t>.</w:t>
      </w:r>
    </w:p>
    <w:p w14:paraId="0C979AE8" w14:textId="33F95249" w:rsidR="00450AF9" w:rsidRPr="00774FA7" w:rsidRDefault="00BC7FC2"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zaproponowana w art. 68a polegająca na dodaniu ust. 4 wynika z dostosowania polskiego prawa do orzeczenia Trybunał Sprawiedliwości Unii Europejskiej w sprawie C-94/18 </w:t>
      </w:r>
      <w:proofErr w:type="spellStart"/>
      <w:r w:rsidRPr="00774FA7">
        <w:rPr>
          <w:rFonts w:ascii="Times New Roman" w:eastAsia="Calibri" w:hAnsi="Times New Roman" w:cs="Times New Roman"/>
          <w:sz w:val="24"/>
          <w:szCs w:val="24"/>
        </w:rPr>
        <w:t>Chenchooliah</w:t>
      </w:r>
      <w:proofErr w:type="spellEnd"/>
      <w:r w:rsidRPr="00774FA7">
        <w:rPr>
          <w:rFonts w:ascii="Times New Roman" w:eastAsia="Calibri" w:hAnsi="Times New Roman" w:cs="Times New Roman"/>
          <w:sz w:val="24"/>
          <w:szCs w:val="24"/>
        </w:rPr>
        <w:t xml:space="preserve">. </w:t>
      </w:r>
      <w:r w:rsidR="00EA2D42">
        <w:rPr>
          <w:rFonts w:ascii="Times New Roman" w:eastAsia="Calibri" w:hAnsi="Times New Roman" w:cs="Times New Roman"/>
          <w:sz w:val="24"/>
          <w:szCs w:val="24"/>
        </w:rPr>
        <w:t>Projektowany przepis uwzględnia</w:t>
      </w:r>
      <w:r w:rsidRPr="00774FA7">
        <w:rPr>
          <w:rFonts w:ascii="Times New Roman" w:eastAsia="Calibri" w:hAnsi="Times New Roman" w:cs="Times New Roman"/>
          <w:sz w:val="24"/>
          <w:szCs w:val="24"/>
        </w:rPr>
        <w:t xml:space="preserve"> now</w:t>
      </w:r>
      <w:r w:rsidR="00EA2D42">
        <w:rPr>
          <w:rFonts w:ascii="Times New Roman" w:eastAsia="Calibri" w:hAnsi="Times New Roman" w:cs="Times New Roman"/>
          <w:sz w:val="24"/>
          <w:szCs w:val="24"/>
        </w:rPr>
        <w:t>ą</w:t>
      </w:r>
      <w:r w:rsidRPr="00774FA7">
        <w:rPr>
          <w:rFonts w:ascii="Times New Roman" w:eastAsia="Calibri" w:hAnsi="Times New Roman" w:cs="Times New Roman"/>
          <w:sz w:val="24"/>
          <w:szCs w:val="24"/>
        </w:rPr>
        <w:t xml:space="preserve"> podstaw</w:t>
      </w:r>
      <w:r w:rsidR="00EA2D42">
        <w:rPr>
          <w:rFonts w:ascii="Times New Roman" w:eastAsia="Calibri" w:hAnsi="Times New Roman" w:cs="Times New Roman"/>
          <w:sz w:val="24"/>
          <w:szCs w:val="24"/>
        </w:rPr>
        <w:t>ę</w:t>
      </w:r>
      <w:r w:rsidRPr="00774FA7">
        <w:rPr>
          <w:rFonts w:ascii="Times New Roman" w:eastAsia="Calibri" w:hAnsi="Times New Roman" w:cs="Times New Roman"/>
          <w:sz w:val="24"/>
          <w:szCs w:val="24"/>
        </w:rPr>
        <w:t xml:space="preserve"> wydalenia obywatela UE oraz członka rodziny niebędącego obywatelem UE, w przypadku </w:t>
      </w:r>
      <w:r w:rsidR="00450AF9" w:rsidRPr="00774FA7">
        <w:rPr>
          <w:rFonts w:ascii="Times New Roman" w:eastAsia="Calibri" w:hAnsi="Times New Roman" w:cs="Times New Roman"/>
          <w:sz w:val="24"/>
          <w:szCs w:val="24"/>
        </w:rPr>
        <w:t xml:space="preserve">gdy </w:t>
      </w:r>
      <w:r w:rsidRPr="00774FA7">
        <w:rPr>
          <w:rFonts w:ascii="Times New Roman" w:eastAsia="Calibri" w:hAnsi="Times New Roman" w:cs="Times New Roman"/>
          <w:sz w:val="24"/>
          <w:szCs w:val="24"/>
        </w:rPr>
        <w:t xml:space="preserve"> </w:t>
      </w:r>
      <w:r w:rsidR="00450AF9" w:rsidRPr="00774FA7">
        <w:rPr>
          <w:rFonts w:ascii="Times New Roman" w:eastAsia="Calibri" w:hAnsi="Times New Roman" w:cs="Times New Roman"/>
          <w:sz w:val="24"/>
          <w:szCs w:val="24"/>
        </w:rPr>
        <w:t xml:space="preserve">nie posiadają </w:t>
      </w:r>
      <w:r w:rsidRPr="00774FA7">
        <w:rPr>
          <w:rFonts w:ascii="Times New Roman" w:eastAsia="Calibri" w:hAnsi="Times New Roman" w:cs="Times New Roman"/>
          <w:sz w:val="24"/>
          <w:szCs w:val="24"/>
        </w:rPr>
        <w:t>prawa pobytu lub nie</w:t>
      </w:r>
      <w:r w:rsidR="00450AF9"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zachowa</w:t>
      </w:r>
      <w:r w:rsidR="00450AF9" w:rsidRPr="00774FA7">
        <w:rPr>
          <w:rFonts w:ascii="Times New Roman" w:eastAsia="Calibri" w:hAnsi="Times New Roman" w:cs="Times New Roman"/>
          <w:sz w:val="24"/>
          <w:szCs w:val="24"/>
        </w:rPr>
        <w:t>li</w:t>
      </w:r>
      <w:r w:rsidRPr="00774FA7">
        <w:rPr>
          <w:rFonts w:ascii="Times New Roman" w:eastAsia="Calibri" w:hAnsi="Times New Roman" w:cs="Times New Roman"/>
          <w:sz w:val="24"/>
          <w:szCs w:val="24"/>
        </w:rPr>
        <w:t xml:space="preserve"> prawa pobytu (projektowany art. 65</w:t>
      </w:r>
      <w:r w:rsidR="00446F70">
        <w:rPr>
          <w:rFonts w:ascii="Times New Roman" w:eastAsia="Calibri" w:hAnsi="Times New Roman" w:cs="Times New Roman"/>
          <w:sz w:val="24"/>
          <w:szCs w:val="24"/>
        </w:rPr>
        <w:t>p</w:t>
      </w:r>
      <w:r w:rsidRPr="00774FA7">
        <w:rPr>
          <w:rFonts w:ascii="Times New Roman" w:eastAsia="Calibri" w:hAnsi="Times New Roman" w:cs="Times New Roman"/>
          <w:sz w:val="24"/>
          <w:szCs w:val="24"/>
        </w:rPr>
        <w:t xml:space="preserve">). </w:t>
      </w:r>
    </w:p>
    <w:p w14:paraId="2F1E7513" w14:textId="09DDF566" w:rsidR="00BC7FC2" w:rsidRPr="00774FA7" w:rsidRDefault="00BC7FC2"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Obecnie obowiązujące przepisy art. 68a ust. 1-3 określają przypadki, w których konieczne jest zastosowanie zasady proporcjonalności, zgodnie z art. 27 dyrektywy 2004/38/WE. Zasada proporcjonalności dotyczy tylko decyzji o wydaleniu orzekanych z uwagi na względy porządku publicznego, bezpieczeństwa publicznego lub zdrowia </w:t>
      </w:r>
      <w:r w:rsidRPr="00774FA7">
        <w:rPr>
          <w:rFonts w:ascii="Times New Roman" w:eastAsia="Calibri" w:hAnsi="Times New Roman" w:cs="Times New Roman"/>
          <w:sz w:val="24"/>
          <w:szCs w:val="24"/>
        </w:rPr>
        <w:lastRenderedPageBreak/>
        <w:t>publicznego. Nie będzie ona dotyczyła sytuacji</w:t>
      </w:r>
      <w:r w:rsidR="00450AF9" w:rsidRPr="00774FA7">
        <w:rPr>
          <w:rFonts w:ascii="Times New Roman" w:eastAsia="Calibri" w:hAnsi="Times New Roman" w:cs="Times New Roman"/>
          <w:sz w:val="24"/>
          <w:szCs w:val="24"/>
        </w:rPr>
        <w:t>, o których mowa w ww. art. 65</w:t>
      </w:r>
      <w:r w:rsidR="00446F70">
        <w:rPr>
          <w:rFonts w:ascii="Times New Roman" w:eastAsia="Calibri" w:hAnsi="Times New Roman" w:cs="Times New Roman"/>
          <w:sz w:val="24"/>
          <w:szCs w:val="24"/>
        </w:rPr>
        <w:t>p</w:t>
      </w:r>
      <w:r w:rsidRPr="00774FA7">
        <w:rPr>
          <w:rFonts w:ascii="Times New Roman" w:eastAsia="Calibri" w:hAnsi="Times New Roman" w:cs="Times New Roman"/>
          <w:sz w:val="24"/>
          <w:szCs w:val="24"/>
        </w:rPr>
        <w:t>. Z uwagi na powyższe konieczne jest wyłączenie stosowania zasad określonych w art. 68a ust. 1-3 w stosunku do wydaleń opartych na przesłan</w:t>
      </w:r>
      <w:r w:rsidR="00D645FE" w:rsidRPr="00774FA7">
        <w:rPr>
          <w:rFonts w:ascii="Times New Roman" w:eastAsia="Calibri" w:hAnsi="Times New Roman" w:cs="Times New Roman"/>
          <w:sz w:val="24"/>
          <w:szCs w:val="24"/>
        </w:rPr>
        <w:t>kach</w:t>
      </w:r>
      <w:r w:rsidRPr="00774FA7">
        <w:rPr>
          <w:rFonts w:ascii="Times New Roman" w:eastAsia="Calibri" w:hAnsi="Times New Roman" w:cs="Times New Roman"/>
          <w:sz w:val="24"/>
          <w:szCs w:val="24"/>
        </w:rPr>
        <w:t xml:space="preserve"> z art. 65</w:t>
      </w:r>
      <w:r w:rsidR="00446F70">
        <w:rPr>
          <w:rFonts w:ascii="Times New Roman" w:eastAsia="Calibri" w:hAnsi="Times New Roman" w:cs="Times New Roman"/>
          <w:sz w:val="24"/>
          <w:szCs w:val="24"/>
        </w:rPr>
        <w:t>p</w:t>
      </w:r>
      <w:r w:rsidRPr="00774FA7">
        <w:rPr>
          <w:rFonts w:ascii="Times New Roman" w:eastAsia="Calibri" w:hAnsi="Times New Roman" w:cs="Times New Roman"/>
          <w:sz w:val="24"/>
          <w:szCs w:val="24"/>
        </w:rPr>
        <w:t xml:space="preserve">. </w:t>
      </w:r>
    </w:p>
    <w:p w14:paraId="061045B0" w14:textId="4555F11C" w:rsidR="00076C40" w:rsidRPr="00774FA7" w:rsidRDefault="0046308F"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Zaproponowana </w:t>
      </w:r>
      <w:r w:rsidR="00076C40" w:rsidRPr="00774FA7">
        <w:rPr>
          <w:rFonts w:ascii="Times New Roman" w:eastAsia="Calibri" w:hAnsi="Times New Roman" w:cs="Times New Roman"/>
          <w:sz w:val="24"/>
          <w:szCs w:val="24"/>
        </w:rPr>
        <w:t xml:space="preserve">w art. 71 </w:t>
      </w:r>
      <w:r w:rsidR="00D645FE" w:rsidRPr="00774FA7">
        <w:rPr>
          <w:rFonts w:ascii="Times New Roman" w:eastAsia="Calibri" w:hAnsi="Times New Roman" w:cs="Times New Roman"/>
          <w:sz w:val="24"/>
          <w:szCs w:val="24"/>
        </w:rPr>
        <w:t xml:space="preserve">w </w:t>
      </w:r>
      <w:r w:rsidR="00076C40" w:rsidRPr="00774FA7">
        <w:rPr>
          <w:rFonts w:ascii="Times New Roman" w:eastAsia="Calibri" w:hAnsi="Times New Roman" w:cs="Times New Roman"/>
          <w:sz w:val="24"/>
          <w:szCs w:val="24"/>
        </w:rPr>
        <w:t xml:space="preserve">ust. 2 ustawy o wjeździe obywateli UE </w:t>
      </w:r>
      <w:r w:rsidR="001A183F" w:rsidRPr="00774FA7">
        <w:rPr>
          <w:rFonts w:ascii="Times New Roman" w:eastAsia="Calibri" w:hAnsi="Times New Roman" w:cs="Times New Roman"/>
          <w:sz w:val="24"/>
          <w:szCs w:val="24"/>
        </w:rPr>
        <w:t>zmiana polega na przeredagowaniu tego przepisu na wzór przepisów ustawy o cudzoziemcach.</w:t>
      </w:r>
      <w:r w:rsidR="00C479B4" w:rsidRPr="00C479B4">
        <w:t xml:space="preserve"> </w:t>
      </w:r>
      <w:r w:rsidR="00C479B4">
        <w:rPr>
          <w:rFonts w:ascii="Times New Roman" w:eastAsia="Calibri" w:hAnsi="Times New Roman" w:cs="Times New Roman"/>
          <w:sz w:val="24"/>
          <w:szCs w:val="24"/>
        </w:rPr>
        <w:t>Zgodnie z zaproponowanym brzmieniem przepisu o</w:t>
      </w:r>
      <w:r w:rsidR="00C479B4" w:rsidRPr="00C479B4">
        <w:rPr>
          <w:rFonts w:ascii="Times New Roman" w:eastAsia="Calibri" w:hAnsi="Times New Roman" w:cs="Times New Roman"/>
          <w:sz w:val="24"/>
          <w:szCs w:val="24"/>
        </w:rPr>
        <w:t>rgan orzekający o wydaleniu będzie indywidualnie oceniał</w:t>
      </w:r>
      <w:r w:rsidR="006A6D31">
        <w:rPr>
          <w:rFonts w:ascii="Times New Roman" w:eastAsia="Calibri" w:hAnsi="Times New Roman" w:cs="Times New Roman"/>
          <w:sz w:val="24"/>
          <w:szCs w:val="24"/>
        </w:rPr>
        <w:t>,</w:t>
      </w:r>
      <w:r w:rsidR="00C479B4" w:rsidRPr="00C479B4">
        <w:rPr>
          <w:rFonts w:ascii="Times New Roman" w:eastAsia="Calibri" w:hAnsi="Times New Roman" w:cs="Times New Roman"/>
          <w:sz w:val="24"/>
          <w:szCs w:val="24"/>
        </w:rPr>
        <w:t xml:space="preserve"> czy stopień naruszenia prawa, którego dopuścił się obywatel UE lub członek rodziny niebędący oby</w:t>
      </w:r>
      <w:r w:rsidR="00C479B4">
        <w:rPr>
          <w:rFonts w:ascii="Times New Roman" w:eastAsia="Calibri" w:hAnsi="Times New Roman" w:cs="Times New Roman"/>
          <w:sz w:val="24"/>
          <w:szCs w:val="24"/>
        </w:rPr>
        <w:t>watelem UE przemawia za tym aby w decyzji o wydaleniu</w:t>
      </w:r>
      <w:r w:rsidR="00C479B4" w:rsidRPr="00C479B4">
        <w:rPr>
          <w:rFonts w:ascii="Times New Roman" w:eastAsia="Calibri" w:hAnsi="Times New Roman" w:cs="Times New Roman"/>
          <w:sz w:val="24"/>
          <w:szCs w:val="24"/>
        </w:rPr>
        <w:t xml:space="preserve">, nie określać terminu opuszczenia terytorium Rzeczypospolitej Polskiej albo określić termin krótszy niż 31 dni. </w:t>
      </w:r>
      <w:r w:rsidR="001A183F"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Dodatkowo</w:t>
      </w:r>
      <w:r w:rsidR="00D645FE" w:rsidRPr="00774FA7">
        <w:rPr>
          <w:rFonts w:ascii="Times New Roman" w:eastAsia="Calibri" w:hAnsi="Times New Roman" w:cs="Times New Roman"/>
          <w:sz w:val="24"/>
          <w:szCs w:val="24"/>
        </w:rPr>
        <w:t xml:space="preserve"> </w:t>
      </w:r>
      <w:r w:rsidR="001A183F" w:rsidRPr="00774FA7">
        <w:rPr>
          <w:rFonts w:ascii="Times New Roman" w:eastAsia="Calibri" w:hAnsi="Times New Roman" w:cs="Times New Roman"/>
          <w:sz w:val="24"/>
          <w:szCs w:val="24"/>
        </w:rPr>
        <w:t xml:space="preserve">dodano </w:t>
      </w:r>
      <w:r w:rsidR="00DC5C7D" w:rsidRPr="00774FA7">
        <w:rPr>
          <w:rFonts w:ascii="Times New Roman" w:eastAsia="Calibri" w:hAnsi="Times New Roman" w:cs="Times New Roman"/>
          <w:sz w:val="24"/>
          <w:szCs w:val="24"/>
        </w:rPr>
        <w:t>ust. 2a</w:t>
      </w:r>
      <w:r w:rsidR="001A183F" w:rsidRPr="00774FA7">
        <w:rPr>
          <w:rFonts w:ascii="Times New Roman" w:eastAsia="Calibri" w:hAnsi="Times New Roman" w:cs="Times New Roman"/>
          <w:sz w:val="24"/>
          <w:szCs w:val="24"/>
        </w:rPr>
        <w:t xml:space="preserve">, który stanowi, że </w:t>
      </w:r>
      <w:r w:rsidR="00DC5C7D" w:rsidRPr="00774FA7">
        <w:rPr>
          <w:rFonts w:ascii="Times New Roman" w:eastAsia="Calibri" w:hAnsi="Times New Roman" w:cs="Times New Roman"/>
          <w:sz w:val="24"/>
          <w:szCs w:val="24"/>
        </w:rPr>
        <w:t>w decyzji o wydaleni</w:t>
      </w:r>
      <w:r w:rsidR="001A183F" w:rsidRPr="00774FA7">
        <w:rPr>
          <w:rFonts w:ascii="Times New Roman" w:eastAsia="Calibri" w:hAnsi="Times New Roman" w:cs="Times New Roman"/>
          <w:sz w:val="24"/>
          <w:szCs w:val="24"/>
        </w:rPr>
        <w:t>u,</w:t>
      </w:r>
      <w:r w:rsidR="00DC5C7D" w:rsidRPr="00774FA7">
        <w:rPr>
          <w:rFonts w:ascii="Times New Roman" w:eastAsia="Calibri" w:hAnsi="Times New Roman" w:cs="Times New Roman"/>
          <w:sz w:val="24"/>
          <w:szCs w:val="24"/>
        </w:rPr>
        <w:t xml:space="preserve"> w której nie określono terminu opuszczenia Pol</w:t>
      </w:r>
      <w:r w:rsidR="00D645FE" w:rsidRPr="00774FA7">
        <w:rPr>
          <w:rFonts w:ascii="Times New Roman" w:eastAsia="Calibri" w:hAnsi="Times New Roman" w:cs="Times New Roman"/>
          <w:sz w:val="24"/>
          <w:szCs w:val="24"/>
        </w:rPr>
        <w:t>s</w:t>
      </w:r>
      <w:r w:rsidR="00DC5C7D" w:rsidRPr="00774FA7">
        <w:rPr>
          <w:rFonts w:ascii="Times New Roman" w:eastAsia="Calibri" w:hAnsi="Times New Roman" w:cs="Times New Roman"/>
          <w:sz w:val="24"/>
          <w:szCs w:val="24"/>
        </w:rPr>
        <w:t xml:space="preserve">ki, wskazuje się państwo, do którego następuje wydalenie. Przepis </w:t>
      </w:r>
      <w:r w:rsidR="00D645FE" w:rsidRPr="00774FA7">
        <w:rPr>
          <w:rFonts w:ascii="Times New Roman" w:eastAsia="Calibri" w:hAnsi="Times New Roman" w:cs="Times New Roman"/>
          <w:sz w:val="24"/>
          <w:szCs w:val="24"/>
        </w:rPr>
        <w:t xml:space="preserve">ten </w:t>
      </w:r>
      <w:r w:rsidR="00DC5C7D" w:rsidRPr="00774FA7">
        <w:rPr>
          <w:rFonts w:ascii="Times New Roman" w:eastAsia="Calibri" w:hAnsi="Times New Roman" w:cs="Times New Roman"/>
          <w:sz w:val="24"/>
          <w:szCs w:val="24"/>
        </w:rPr>
        <w:t xml:space="preserve">jest wzorowany na rozwiązaniach </w:t>
      </w:r>
      <w:r w:rsidR="001A183F" w:rsidRPr="00774FA7">
        <w:rPr>
          <w:rFonts w:ascii="Times New Roman" w:eastAsia="Calibri" w:hAnsi="Times New Roman" w:cs="Times New Roman"/>
          <w:sz w:val="24"/>
          <w:szCs w:val="24"/>
        </w:rPr>
        <w:t xml:space="preserve">z </w:t>
      </w:r>
      <w:r w:rsidR="00DC5C7D" w:rsidRPr="00774FA7">
        <w:rPr>
          <w:rFonts w:ascii="Times New Roman" w:eastAsia="Calibri" w:hAnsi="Times New Roman" w:cs="Times New Roman"/>
          <w:sz w:val="24"/>
          <w:szCs w:val="24"/>
        </w:rPr>
        <w:t>art. 315 ust. 4 ustawy o cudzoziemcach.</w:t>
      </w:r>
      <w:r w:rsidR="001A183F"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Z kolei w</w:t>
      </w:r>
      <w:r w:rsidR="00076C40" w:rsidRPr="00774FA7">
        <w:rPr>
          <w:rFonts w:ascii="Times New Roman" w:eastAsia="Calibri" w:hAnsi="Times New Roman" w:cs="Times New Roman"/>
          <w:sz w:val="24"/>
          <w:szCs w:val="24"/>
        </w:rPr>
        <w:t xml:space="preserve"> dodawanym ust. 2</w:t>
      </w:r>
      <w:r w:rsidR="00DC5C7D" w:rsidRPr="00774FA7">
        <w:rPr>
          <w:rFonts w:ascii="Times New Roman" w:eastAsia="Calibri" w:hAnsi="Times New Roman" w:cs="Times New Roman"/>
          <w:sz w:val="24"/>
          <w:szCs w:val="24"/>
        </w:rPr>
        <w:t>b</w:t>
      </w:r>
      <w:r w:rsidR="00076C40" w:rsidRPr="00774FA7">
        <w:rPr>
          <w:rFonts w:ascii="Times New Roman" w:eastAsia="Calibri" w:hAnsi="Times New Roman" w:cs="Times New Roman"/>
          <w:sz w:val="24"/>
          <w:szCs w:val="24"/>
        </w:rPr>
        <w:t xml:space="preserve"> wprowadzono zasadę, że decyzje o wydaleniu</w:t>
      </w:r>
      <w:r w:rsidR="001A183F" w:rsidRPr="00774FA7">
        <w:rPr>
          <w:rFonts w:ascii="Times New Roman" w:eastAsia="Calibri" w:hAnsi="Times New Roman" w:cs="Times New Roman"/>
          <w:sz w:val="24"/>
          <w:szCs w:val="24"/>
        </w:rPr>
        <w:t>,</w:t>
      </w:r>
      <w:r w:rsidR="00DC5C7D" w:rsidRPr="00774FA7">
        <w:t xml:space="preserve"> </w:t>
      </w:r>
      <w:r w:rsidR="00DC5C7D" w:rsidRPr="00774FA7">
        <w:rPr>
          <w:rFonts w:ascii="Times New Roman" w:eastAsia="Calibri" w:hAnsi="Times New Roman" w:cs="Times New Roman"/>
          <w:sz w:val="24"/>
          <w:szCs w:val="24"/>
        </w:rPr>
        <w:t>w których nie określono terminu opuszczenia terytorium Rzeczypospolitej Polskiej</w:t>
      </w:r>
      <w:r w:rsidR="001A183F" w:rsidRPr="00774FA7">
        <w:rPr>
          <w:rFonts w:ascii="Times New Roman" w:eastAsia="Calibri" w:hAnsi="Times New Roman" w:cs="Times New Roman"/>
          <w:sz w:val="24"/>
          <w:szCs w:val="24"/>
        </w:rPr>
        <w:t>,</w:t>
      </w:r>
      <w:r w:rsidR="00076C40" w:rsidRPr="00774FA7">
        <w:rPr>
          <w:rFonts w:ascii="Times New Roman" w:eastAsia="Calibri" w:hAnsi="Times New Roman" w:cs="Times New Roman"/>
          <w:sz w:val="24"/>
          <w:szCs w:val="24"/>
        </w:rPr>
        <w:t xml:space="preserve"> podlegają przymusowemu wykonaniu</w:t>
      </w:r>
      <w:r w:rsidR="001B47B2" w:rsidRPr="00774FA7">
        <w:rPr>
          <w:rFonts w:ascii="Times New Roman" w:eastAsia="Calibri" w:hAnsi="Times New Roman" w:cs="Times New Roman"/>
          <w:sz w:val="24"/>
          <w:szCs w:val="24"/>
        </w:rPr>
        <w:t>.</w:t>
      </w:r>
    </w:p>
    <w:p w14:paraId="394E2B02" w14:textId="231BFAFC"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w art. 72 ust. 2 ustawy o wjeździe obywateli UE ma na celu dostosowanie </w:t>
      </w:r>
      <w:r w:rsidR="000E7B01" w:rsidRPr="00774FA7">
        <w:rPr>
          <w:rFonts w:ascii="Times New Roman" w:eastAsia="Calibri" w:hAnsi="Times New Roman" w:cs="Times New Roman"/>
          <w:sz w:val="24"/>
          <w:szCs w:val="24"/>
        </w:rPr>
        <w:t xml:space="preserve">jego </w:t>
      </w:r>
      <w:r w:rsidRPr="00774FA7">
        <w:rPr>
          <w:rFonts w:ascii="Times New Roman" w:eastAsia="Calibri" w:hAnsi="Times New Roman" w:cs="Times New Roman"/>
          <w:sz w:val="24"/>
          <w:szCs w:val="24"/>
        </w:rPr>
        <w:t>treści do zmienionego brzmienia art. 68.</w:t>
      </w:r>
    </w:p>
    <w:p w14:paraId="06D4BCCE" w14:textId="1ADB3890"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art. 73 ust. 1 ustawy o wjeździe obywateli UE zaproponowano zmianę organu właściwego do wydawania decyzji o wydaleniu obywateli UE oraz członków rodziny niebędących obywatelami UE. Podobnie</w:t>
      </w:r>
      <w:r w:rsidR="00D645FE"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jak przewiduje to ustawa o cudzoziemcach</w:t>
      </w:r>
      <w:r w:rsidR="00D645FE"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decyzja o wydaleniu obywateli UE oraz członków rodzin niebędących obywatelami UE będzie wydawana</w:t>
      </w:r>
      <w:r w:rsidR="00D645FE"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z urzędu lub na wniosek, przez komendanta oddziału Straży Granicznej lub komendanta placówki Straży Granicznej. Zgodnie z obowiązującym</w:t>
      </w:r>
      <w:r w:rsidR="00446F70">
        <w:rPr>
          <w:rFonts w:ascii="Times New Roman" w:eastAsia="Calibri" w:hAnsi="Times New Roman" w:cs="Times New Roman"/>
          <w:sz w:val="24"/>
          <w:szCs w:val="24"/>
        </w:rPr>
        <w:t>i</w:t>
      </w:r>
      <w:r w:rsidRPr="00774FA7">
        <w:rPr>
          <w:rFonts w:ascii="Times New Roman" w:eastAsia="Calibri" w:hAnsi="Times New Roman" w:cs="Times New Roman"/>
          <w:sz w:val="24"/>
          <w:szCs w:val="24"/>
        </w:rPr>
        <w:t xml:space="preserve"> </w:t>
      </w:r>
      <w:r w:rsidR="00446F70">
        <w:rPr>
          <w:rFonts w:ascii="Times New Roman" w:eastAsia="Calibri" w:hAnsi="Times New Roman" w:cs="Times New Roman"/>
          <w:sz w:val="24"/>
          <w:szCs w:val="24"/>
        </w:rPr>
        <w:t xml:space="preserve">przepisami </w:t>
      </w:r>
      <w:r w:rsidRPr="00774FA7">
        <w:rPr>
          <w:rFonts w:ascii="Times New Roman" w:eastAsia="Calibri" w:hAnsi="Times New Roman" w:cs="Times New Roman"/>
          <w:sz w:val="24"/>
          <w:szCs w:val="24"/>
        </w:rPr>
        <w:t xml:space="preserve">decyzja o wydaleniu z terytorium Rzeczypospolitej Polskiej jest wydawana przez wojewodę, z urzędu lub na wniosek Ministra Obrony Narodowej, Szefa Agencji Bezpieczeństwa Wewnętrznego, Szefa Agencji Wywiadu, Komendanta Głównego Straży Granicznej, organu Krajowej Administracji Skarbowej, </w:t>
      </w:r>
      <w:r w:rsidR="00B61E41" w:rsidRPr="00774FA7">
        <w:rPr>
          <w:rFonts w:ascii="Times New Roman" w:eastAsia="Calibri" w:hAnsi="Times New Roman" w:cs="Times New Roman"/>
          <w:sz w:val="24"/>
          <w:szCs w:val="24"/>
        </w:rPr>
        <w:t>Komendanta Głównego</w:t>
      </w:r>
      <w:r w:rsidRPr="00774FA7">
        <w:rPr>
          <w:rFonts w:ascii="Times New Roman" w:eastAsia="Calibri" w:hAnsi="Times New Roman" w:cs="Times New Roman"/>
          <w:sz w:val="24"/>
          <w:szCs w:val="24"/>
        </w:rPr>
        <w:t xml:space="preserve"> Policji. Przekazanie uprawnień do wydawania decyzji o wydaleniu wyłącznie organom Straży Granicznej ma na celu likwidację podziału kompetencji do orzekania w sprawach zobowiązania do powrotu cudzoziemców przez Straż Graniczną i do orzekania w sprawach wydalenia obywateli UE i członków rodzin niebędących obywatelami UE przez wojewodę. Wprowadzenie przedmiotowych uregulowań ma dodatkowo na celu uproszczenie procedur w sprawach wydaleń obywateli UE i członków rodzin niebędących obywatelami UE, przyspieszenie postępowania w tych sprawach i ujednolicenie orzecznictwa z tego zakresu. Proponowane rozwiązania mają również na celu poprawę efektywności działań Straży Granicznej, ponieważ jeden organ będzie orzekał o wydaleniu oraz o ewentualnym wykonaniu tych decyzji. Ponadto proponowana zmiana odciąży wojewodów. Organem wyższego stopnia, w rozumieniu Kodeksu postępowania administracyjnego, w stosunku do komendanta oddziału Straży Granicznej lub komendanta placówki Straży Granicznej w sprawach o wydalenie</w:t>
      </w:r>
      <w:r w:rsidR="00D645FE"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będzie Szef Urzędu do Spraw Cudzoziemców. Zaproponowane rozwiązanie jest analogiczne do rozwiązania zastosowanego w przedmiotowym zakresie w ustawie o cudzoziemcach. Powyższe pozwoli na zachowanie spójności systemowej z rozwiązaniami, które są stosowane powszechnie i które zostały </w:t>
      </w:r>
      <w:r w:rsidRPr="00774FA7">
        <w:rPr>
          <w:rFonts w:ascii="Times New Roman" w:eastAsia="Calibri" w:hAnsi="Times New Roman" w:cs="Times New Roman"/>
          <w:sz w:val="24"/>
          <w:szCs w:val="24"/>
        </w:rPr>
        <w:lastRenderedPageBreak/>
        <w:t>sprawdzone w praktyce, a które jednoczenie nie zaniżają poziomu gwarancji wywodzonych z dyrektywy 2004/38/WE</w:t>
      </w:r>
    </w:p>
    <w:p w14:paraId="2A5BCC7B" w14:textId="58099BA4"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73 ust. 1 pkt 2 ujednolicono katalog organów, które będą miały możliwość wnioskowania o wydalenie obywateli UE i członków rodzin niebędących obywatelami UE z </w:t>
      </w:r>
      <w:r w:rsidR="00AE20D9" w:rsidRPr="00774FA7">
        <w:rPr>
          <w:rFonts w:ascii="Times New Roman" w:eastAsia="Calibri" w:hAnsi="Times New Roman" w:cs="Times New Roman"/>
          <w:sz w:val="24"/>
          <w:szCs w:val="24"/>
        </w:rPr>
        <w:t xml:space="preserve">katalogiem przewidzianym w </w:t>
      </w:r>
      <w:r w:rsidRPr="00774FA7">
        <w:rPr>
          <w:rFonts w:ascii="Times New Roman" w:eastAsia="Calibri" w:hAnsi="Times New Roman" w:cs="Times New Roman"/>
          <w:sz w:val="24"/>
          <w:szCs w:val="24"/>
        </w:rPr>
        <w:t>art. 310 ust. 1 pkt 2 ustawy o cudzoziemcach, aby zachować opisaną wyżej spójność systemową.</w:t>
      </w:r>
    </w:p>
    <w:p w14:paraId="1EC05384" w14:textId="77777777"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Nadanie nowego brzmienia art. 73 ust. 3 wynika ze zmiany organu właściwego do wydawania decyzji w sprawie wydalenia obywateli UE oraz członków rodzin niebędących obywatelami UE.</w:t>
      </w:r>
    </w:p>
    <w:p w14:paraId="5350B7B5" w14:textId="22595176"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Brzmienie art. 73a zostało zmodyfikowane ze względu na zmianę organu właściwego do wydawania decyzji w sprawie wydalenia obywateli UE oraz członków rodzin niebędących obywatelami UE. Treść </w:t>
      </w:r>
      <w:r w:rsidR="00A36EC9" w:rsidRPr="00774FA7">
        <w:rPr>
          <w:rFonts w:ascii="Times New Roman" w:eastAsia="Calibri" w:hAnsi="Times New Roman" w:cs="Times New Roman"/>
          <w:sz w:val="24"/>
          <w:szCs w:val="24"/>
        </w:rPr>
        <w:t xml:space="preserve">tego </w:t>
      </w:r>
      <w:r w:rsidRPr="00774FA7">
        <w:rPr>
          <w:rFonts w:ascii="Times New Roman" w:eastAsia="Calibri" w:hAnsi="Times New Roman" w:cs="Times New Roman"/>
          <w:sz w:val="24"/>
          <w:szCs w:val="24"/>
        </w:rPr>
        <w:t xml:space="preserve">przepisu </w:t>
      </w:r>
      <w:r w:rsidR="00A36EC9" w:rsidRPr="00774FA7">
        <w:rPr>
          <w:rFonts w:ascii="Times New Roman" w:eastAsia="Calibri" w:hAnsi="Times New Roman" w:cs="Times New Roman"/>
          <w:sz w:val="24"/>
          <w:szCs w:val="24"/>
        </w:rPr>
        <w:t xml:space="preserve">jest </w:t>
      </w:r>
      <w:r w:rsidRPr="00774FA7">
        <w:rPr>
          <w:rFonts w:ascii="Times New Roman" w:eastAsia="Calibri" w:hAnsi="Times New Roman" w:cs="Times New Roman"/>
          <w:sz w:val="24"/>
          <w:szCs w:val="24"/>
        </w:rPr>
        <w:t xml:space="preserve">wzorowana na art. 324 ustawy o cudzoziemcach  i analogicznie, jak ww. regulacje, ma na w celu zachowania spójności systemowej. </w:t>
      </w:r>
    </w:p>
    <w:p w14:paraId="5AA482E7" w14:textId="0C5709B9" w:rsidR="00076C40" w:rsidRPr="00774FA7" w:rsidRDefault="00446F70"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R</w:t>
      </w:r>
      <w:r w:rsidR="00076C40" w:rsidRPr="00774FA7">
        <w:rPr>
          <w:rFonts w:ascii="Times New Roman" w:eastAsia="Calibri" w:hAnsi="Times New Roman" w:cs="Times New Roman"/>
          <w:sz w:val="24"/>
          <w:szCs w:val="24"/>
        </w:rPr>
        <w:t>ozwiązania przewidziane w art. 73a ust. 2 obecnie obowiązującej ustawy o wjeździe obywateli UE zostały przeniesione do projektowanego art. 8a.</w:t>
      </w:r>
    </w:p>
    <w:p w14:paraId="743EC430" w14:textId="7263FA2C" w:rsidR="00076C40" w:rsidRPr="00774FA7" w:rsidRDefault="00A36EC9"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Przepis a</w:t>
      </w:r>
      <w:r w:rsidR="00076C40" w:rsidRPr="00774FA7">
        <w:rPr>
          <w:rFonts w:ascii="Times New Roman" w:eastAsia="Calibri" w:hAnsi="Times New Roman" w:cs="Times New Roman"/>
          <w:sz w:val="24"/>
          <w:szCs w:val="24"/>
        </w:rPr>
        <w:t xml:space="preserve">rt. 73d </w:t>
      </w:r>
      <w:r w:rsidRPr="00774FA7">
        <w:rPr>
          <w:rFonts w:ascii="Times New Roman" w:eastAsia="Calibri" w:hAnsi="Times New Roman" w:cs="Times New Roman"/>
          <w:sz w:val="24"/>
          <w:szCs w:val="24"/>
        </w:rPr>
        <w:t xml:space="preserve">ustanawia Szefa Urzędu </w:t>
      </w:r>
      <w:r w:rsidR="00076C40" w:rsidRPr="00774FA7">
        <w:rPr>
          <w:rFonts w:ascii="Times New Roman" w:eastAsia="Calibri" w:hAnsi="Times New Roman" w:cs="Times New Roman"/>
          <w:sz w:val="24"/>
          <w:szCs w:val="24"/>
        </w:rPr>
        <w:t>organ</w:t>
      </w:r>
      <w:r w:rsidRPr="00774FA7">
        <w:rPr>
          <w:rFonts w:ascii="Times New Roman" w:eastAsia="Calibri" w:hAnsi="Times New Roman" w:cs="Times New Roman"/>
          <w:sz w:val="24"/>
          <w:szCs w:val="24"/>
        </w:rPr>
        <w:t>em</w:t>
      </w:r>
      <w:r w:rsidR="00076C40" w:rsidRPr="00774FA7">
        <w:rPr>
          <w:rFonts w:ascii="Times New Roman" w:eastAsia="Calibri" w:hAnsi="Times New Roman" w:cs="Times New Roman"/>
          <w:sz w:val="24"/>
          <w:szCs w:val="24"/>
        </w:rPr>
        <w:t xml:space="preserve"> wyższego stopnia, w rozumieniu Kodeksu postępowania administracyjnego, w stosunku do komendanta oddziału Straży Granicznej lub komendanta placówki Straży Granicznej</w:t>
      </w:r>
      <w:r w:rsidR="00446F70" w:rsidRPr="00446F70">
        <w:rPr>
          <w:rFonts w:ascii="Times New Roman" w:eastAsia="Calibri" w:hAnsi="Times New Roman" w:cs="Times New Roman"/>
          <w:sz w:val="24"/>
          <w:szCs w:val="24"/>
        </w:rPr>
        <w:t xml:space="preserve"> </w:t>
      </w:r>
      <w:r w:rsidR="00446F70" w:rsidRPr="00774FA7">
        <w:rPr>
          <w:rFonts w:ascii="Times New Roman" w:eastAsia="Calibri" w:hAnsi="Times New Roman" w:cs="Times New Roman"/>
          <w:sz w:val="24"/>
          <w:szCs w:val="24"/>
        </w:rPr>
        <w:t>w sprawach o wydalenie lub o uchylenie decyzji o wydaleniu obywatela UE</w:t>
      </w:r>
      <w:r w:rsidR="00446F70" w:rsidRPr="00774FA7" w:rsidDel="00A36EC9">
        <w:rPr>
          <w:rFonts w:ascii="Times New Roman" w:eastAsia="Calibri" w:hAnsi="Times New Roman" w:cs="Times New Roman"/>
          <w:sz w:val="24"/>
          <w:szCs w:val="24"/>
        </w:rPr>
        <w:t xml:space="preserve"> </w:t>
      </w:r>
      <w:r w:rsidR="00446F70" w:rsidRPr="00774FA7">
        <w:rPr>
          <w:rFonts w:ascii="Times New Roman" w:eastAsia="Calibri" w:hAnsi="Times New Roman" w:cs="Times New Roman"/>
          <w:sz w:val="24"/>
          <w:szCs w:val="24"/>
        </w:rPr>
        <w:t>lub członka ro</w:t>
      </w:r>
      <w:r w:rsidR="004C3C1F">
        <w:rPr>
          <w:rFonts w:ascii="Times New Roman" w:eastAsia="Calibri" w:hAnsi="Times New Roman" w:cs="Times New Roman"/>
          <w:sz w:val="24"/>
          <w:szCs w:val="24"/>
        </w:rPr>
        <w:t>dziny niebędącego obywatelem UE</w:t>
      </w:r>
      <w:r w:rsidR="00076C40" w:rsidRPr="00774FA7">
        <w:rPr>
          <w:rFonts w:ascii="Times New Roman" w:eastAsia="Calibri" w:hAnsi="Times New Roman" w:cs="Times New Roman"/>
          <w:sz w:val="24"/>
          <w:szCs w:val="24"/>
        </w:rPr>
        <w:t xml:space="preserve">. </w:t>
      </w:r>
    </w:p>
    <w:p w14:paraId="26F95156" w14:textId="77777777"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Nadanie nowego brzmienia art. 74 ust. 4 ustawy o wjeździe obywateli UE wynika ze zmiany organu właściwego do wydawania decyzji w sprawie wydalenia obywateli UE oraz członków rodzin niebędących obywatelami UE.</w:t>
      </w:r>
    </w:p>
    <w:p w14:paraId="350B5EB6" w14:textId="5CDFA423" w:rsidR="00A36EC9"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Zmiana w art. 74a ustawy o wjeździe obywateli UE przewiduje dodanie dwóch nowych ustępów regulujących kwestie kosztów związanych z wydaniem i przymusowym wy</w:t>
      </w:r>
      <w:r w:rsidR="00D8770B">
        <w:rPr>
          <w:rFonts w:ascii="Times New Roman" w:eastAsia="Calibri" w:hAnsi="Times New Roman" w:cs="Times New Roman"/>
          <w:sz w:val="24"/>
          <w:szCs w:val="24"/>
        </w:rPr>
        <w:t>kon</w:t>
      </w:r>
      <w:r w:rsidRPr="00774FA7">
        <w:rPr>
          <w:rFonts w:ascii="Times New Roman" w:eastAsia="Calibri" w:hAnsi="Times New Roman" w:cs="Times New Roman"/>
          <w:sz w:val="24"/>
          <w:szCs w:val="24"/>
        </w:rPr>
        <w:t>anie</w:t>
      </w:r>
      <w:r w:rsidR="008526E9" w:rsidRPr="00774FA7">
        <w:rPr>
          <w:rFonts w:ascii="Times New Roman" w:eastAsia="Calibri" w:hAnsi="Times New Roman" w:cs="Times New Roman"/>
          <w:sz w:val="24"/>
          <w:szCs w:val="24"/>
        </w:rPr>
        <w:t>m</w:t>
      </w:r>
      <w:r w:rsidRPr="00774FA7">
        <w:rPr>
          <w:rFonts w:ascii="Times New Roman" w:eastAsia="Calibri" w:hAnsi="Times New Roman" w:cs="Times New Roman"/>
          <w:sz w:val="24"/>
          <w:szCs w:val="24"/>
        </w:rPr>
        <w:t xml:space="preserve"> decyzji o wydaleniu. Art. 74</w:t>
      </w:r>
      <w:r w:rsidR="00A36EC9" w:rsidRPr="00774FA7">
        <w:rPr>
          <w:rFonts w:ascii="Times New Roman" w:eastAsia="Calibri" w:hAnsi="Times New Roman" w:cs="Times New Roman"/>
          <w:sz w:val="24"/>
          <w:szCs w:val="24"/>
        </w:rPr>
        <w:t>a</w:t>
      </w:r>
      <w:r w:rsidRPr="00774FA7">
        <w:rPr>
          <w:rFonts w:ascii="Times New Roman" w:eastAsia="Calibri" w:hAnsi="Times New Roman" w:cs="Times New Roman"/>
          <w:sz w:val="24"/>
          <w:szCs w:val="24"/>
        </w:rPr>
        <w:t xml:space="preserve"> ust. 4 stanowi, że ww.  koszty ustala się, gdy decyzja o wydaleniu obywatela UE lub członka rodziny niebędącego obywatelem UE stała się ostateczna, a w przypadku wydania takiej decyzji przez organ wyższego stopnia – gdy decyzja ostateczna została doręczona, chyba że podlega ona natychmiastowemu wykonaniu. Przepis ten </w:t>
      </w:r>
      <w:r w:rsidR="00A36EC9" w:rsidRPr="00774FA7">
        <w:rPr>
          <w:rFonts w:ascii="Times New Roman" w:eastAsia="Calibri" w:hAnsi="Times New Roman" w:cs="Times New Roman"/>
          <w:sz w:val="24"/>
          <w:szCs w:val="24"/>
        </w:rPr>
        <w:t xml:space="preserve">jest </w:t>
      </w:r>
      <w:r w:rsidRPr="00774FA7">
        <w:rPr>
          <w:rFonts w:ascii="Times New Roman" w:eastAsia="Calibri" w:hAnsi="Times New Roman" w:cs="Times New Roman"/>
          <w:sz w:val="24"/>
          <w:szCs w:val="24"/>
        </w:rPr>
        <w:t>wzorowany na art. 336 ust. 2a ustawy o cudzoziemcach</w:t>
      </w:r>
      <w:r w:rsidR="00A36EC9" w:rsidRPr="00774FA7">
        <w:rPr>
          <w:rFonts w:ascii="Times New Roman" w:eastAsia="Calibri" w:hAnsi="Times New Roman" w:cs="Times New Roman"/>
          <w:sz w:val="24"/>
          <w:szCs w:val="24"/>
        </w:rPr>
        <w:t xml:space="preserve">, co ma służyć </w:t>
      </w:r>
      <w:r w:rsidRPr="00774FA7">
        <w:rPr>
          <w:rFonts w:ascii="Times New Roman" w:eastAsia="Calibri" w:hAnsi="Times New Roman" w:cs="Times New Roman"/>
          <w:sz w:val="24"/>
          <w:szCs w:val="24"/>
        </w:rPr>
        <w:t>zachowa</w:t>
      </w:r>
      <w:r w:rsidR="00A36EC9" w:rsidRPr="00774FA7">
        <w:rPr>
          <w:rFonts w:ascii="Times New Roman" w:eastAsia="Calibri" w:hAnsi="Times New Roman" w:cs="Times New Roman"/>
          <w:sz w:val="24"/>
          <w:szCs w:val="24"/>
        </w:rPr>
        <w:t>niu</w:t>
      </w:r>
      <w:r w:rsidRPr="00774FA7">
        <w:rPr>
          <w:rFonts w:ascii="Times New Roman" w:eastAsia="Calibri" w:hAnsi="Times New Roman" w:cs="Times New Roman"/>
          <w:sz w:val="24"/>
          <w:szCs w:val="24"/>
        </w:rPr>
        <w:t xml:space="preserve"> spójnoś</w:t>
      </w:r>
      <w:r w:rsidR="00A36EC9" w:rsidRPr="00774FA7">
        <w:rPr>
          <w:rFonts w:ascii="Times New Roman" w:eastAsia="Calibri" w:hAnsi="Times New Roman" w:cs="Times New Roman"/>
          <w:sz w:val="24"/>
          <w:szCs w:val="24"/>
        </w:rPr>
        <w:t>ci</w:t>
      </w:r>
      <w:r w:rsidRPr="00774FA7">
        <w:rPr>
          <w:rFonts w:ascii="Times New Roman" w:eastAsia="Calibri" w:hAnsi="Times New Roman" w:cs="Times New Roman"/>
          <w:sz w:val="24"/>
          <w:szCs w:val="24"/>
        </w:rPr>
        <w:t xml:space="preserve"> systemow</w:t>
      </w:r>
      <w:r w:rsidR="00A36EC9" w:rsidRPr="00774FA7">
        <w:rPr>
          <w:rFonts w:ascii="Times New Roman" w:eastAsia="Calibri" w:hAnsi="Times New Roman" w:cs="Times New Roman"/>
          <w:sz w:val="24"/>
          <w:szCs w:val="24"/>
        </w:rPr>
        <w:t>ej</w:t>
      </w:r>
      <w:r w:rsidRPr="00774FA7">
        <w:rPr>
          <w:rFonts w:ascii="Times New Roman" w:eastAsia="Calibri" w:hAnsi="Times New Roman" w:cs="Times New Roman"/>
          <w:sz w:val="24"/>
          <w:szCs w:val="24"/>
        </w:rPr>
        <w:t xml:space="preserve">, o której mowa wyżej. </w:t>
      </w:r>
    </w:p>
    <w:p w14:paraId="45B2194C" w14:textId="22D094E9" w:rsidR="00076C40" w:rsidRPr="00774FA7" w:rsidRDefault="001C1453" w:rsidP="004F6DC6">
      <w:pPr>
        <w:spacing w:after="0" w:line="288"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Dodawany </w:t>
      </w:r>
      <w:r w:rsidRPr="00774FA7">
        <w:rPr>
          <w:rFonts w:ascii="Times New Roman" w:eastAsia="Calibri" w:hAnsi="Times New Roman" w:cs="Times New Roman"/>
          <w:sz w:val="24"/>
          <w:szCs w:val="24"/>
        </w:rPr>
        <w:t>ust. 5</w:t>
      </w:r>
      <w:r>
        <w:rPr>
          <w:rFonts w:ascii="Times New Roman" w:eastAsia="Calibri" w:hAnsi="Times New Roman" w:cs="Times New Roman"/>
          <w:sz w:val="24"/>
          <w:szCs w:val="24"/>
        </w:rPr>
        <w:t xml:space="preserve"> w</w:t>
      </w:r>
      <w:r w:rsidR="00076C40" w:rsidRPr="00774FA7">
        <w:rPr>
          <w:rFonts w:ascii="Times New Roman" w:eastAsia="Calibri" w:hAnsi="Times New Roman" w:cs="Times New Roman"/>
          <w:sz w:val="24"/>
          <w:szCs w:val="24"/>
        </w:rPr>
        <w:t xml:space="preserve"> art. 7</w:t>
      </w:r>
      <w:r w:rsidR="0099474B" w:rsidRPr="00774FA7">
        <w:rPr>
          <w:rFonts w:ascii="Times New Roman" w:eastAsia="Calibri" w:hAnsi="Times New Roman" w:cs="Times New Roman"/>
          <w:sz w:val="24"/>
          <w:szCs w:val="24"/>
        </w:rPr>
        <w:t>4a</w:t>
      </w:r>
      <w:r w:rsidR="00076C40"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zast</w:t>
      </w:r>
      <w:r>
        <w:rPr>
          <w:rFonts w:ascii="Times New Roman" w:eastAsia="Calibri" w:hAnsi="Times New Roman" w:cs="Times New Roman"/>
          <w:sz w:val="24"/>
          <w:szCs w:val="24"/>
        </w:rPr>
        <w:t>ępuje</w:t>
      </w:r>
      <w:r w:rsidRPr="00774FA7">
        <w:rPr>
          <w:rFonts w:ascii="Times New Roman" w:eastAsia="Calibri" w:hAnsi="Times New Roman" w:cs="Times New Roman"/>
          <w:sz w:val="24"/>
          <w:szCs w:val="24"/>
        </w:rPr>
        <w:t xml:space="preserve"> </w:t>
      </w:r>
      <w:r w:rsidR="00076C40" w:rsidRPr="00774FA7">
        <w:rPr>
          <w:rFonts w:ascii="Times New Roman" w:eastAsia="Calibri" w:hAnsi="Times New Roman" w:cs="Times New Roman"/>
          <w:sz w:val="24"/>
          <w:szCs w:val="24"/>
        </w:rPr>
        <w:t xml:space="preserve">odesłanie do art. 336 ust. 3 ustawy o cudzoziemcach znajdujące się w </w:t>
      </w:r>
      <w:r>
        <w:rPr>
          <w:rFonts w:ascii="Times New Roman" w:eastAsia="Calibri" w:hAnsi="Times New Roman" w:cs="Times New Roman"/>
          <w:sz w:val="24"/>
          <w:szCs w:val="24"/>
        </w:rPr>
        <w:t xml:space="preserve">obecnym </w:t>
      </w:r>
      <w:r w:rsidR="00076C40" w:rsidRPr="00774FA7">
        <w:rPr>
          <w:rFonts w:ascii="Times New Roman" w:eastAsia="Calibri" w:hAnsi="Times New Roman" w:cs="Times New Roman"/>
          <w:sz w:val="24"/>
          <w:szCs w:val="24"/>
        </w:rPr>
        <w:t>art. 2a ust. 1 ustawy o wjeździe obywateli UE.</w:t>
      </w:r>
    </w:p>
    <w:p w14:paraId="5C815645" w14:textId="2BCCFCD9" w:rsidR="00076C40" w:rsidRPr="00774FA7" w:rsidRDefault="009312AB" w:rsidP="001C1453">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Za pośrednictwem nowoprojektowanych przepisów art. 74aa i art. 74ab </w:t>
      </w:r>
      <w:r w:rsidR="001C1453">
        <w:rPr>
          <w:rFonts w:ascii="Times New Roman" w:eastAsia="Calibri" w:hAnsi="Times New Roman" w:cs="Times New Roman"/>
          <w:sz w:val="24"/>
          <w:szCs w:val="24"/>
        </w:rPr>
        <w:t xml:space="preserve">zostają </w:t>
      </w:r>
      <w:r w:rsidRPr="00774FA7">
        <w:rPr>
          <w:rFonts w:ascii="Times New Roman" w:eastAsia="Calibri" w:hAnsi="Times New Roman" w:cs="Times New Roman"/>
          <w:sz w:val="24"/>
          <w:szCs w:val="24"/>
        </w:rPr>
        <w:t xml:space="preserve">przeniesione do ustawy o wjeździe obywateli UE regulacje dotyczące decyzji o ustaleniu wysokości kosztów wydalenia </w:t>
      </w:r>
      <w:r w:rsidR="001C1453">
        <w:rPr>
          <w:rFonts w:ascii="Times New Roman" w:eastAsia="Calibri" w:hAnsi="Times New Roman" w:cs="Times New Roman"/>
          <w:sz w:val="24"/>
          <w:szCs w:val="24"/>
        </w:rPr>
        <w:t>–  obowiązujące przepisy odsyłają w ww. zakresie do</w:t>
      </w:r>
      <w:r w:rsidR="00076C40" w:rsidRPr="00774FA7">
        <w:rPr>
          <w:rFonts w:ascii="Times New Roman" w:eastAsia="Calibri" w:hAnsi="Times New Roman" w:cs="Times New Roman"/>
          <w:sz w:val="24"/>
          <w:szCs w:val="24"/>
        </w:rPr>
        <w:t xml:space="preserve"> art. 337 ust. 1, art. 340 oraz art. 341 ustawy o cudzoziemcach. </w:t>
      </w:r>
      <w:r w:rsidRPr="00774FA7">
        <w:rPr>
          <w:rFonts w:ascii="Times New Roman" w:eastAsia="Calibri" w:hAnsi="Times New Roman" w:cs="Times New Roman"/>
          <w:sz w:val="24"/>
          <w:szCs w:val="24"/>
        </w:rPr>
        <w:t xml:space="preserve">Powyższe </w:t>
      </w:r>
      <w:r w:rsidR="001C1453">
        <w:rPr>
          <w:rFonts w:ascii="Times New Roman" w:eastAsia="Calibri" w:hAnsi="Times New Roman" w:cs="Times New Roman"/>
          <w:sz w:val="24"/>
          <w:szCs w:val="24"/>
        </w:rPr>
        <w:t>s</w:t>
      </w:r>
      <w:r w:rsidRPr="00774FA7">
        <w:rPr>
          <w:rFonts w:ascii="Times New Roman" w:eastAsia="Calibri" w:hAnsi="Times New Roman" w:cs="Times New Roman"/>
          <w:sz w:val="24"/>
          <w:szCs w:val="24"/>
        </w:rPr>
        <w:t xml:space="preserve">powoduje, że kwestie kosztów </w:t>
      </w:r>
      <w:r w:rsidR="001C1453">
        <w:rPr>
          <w:rFonts w:ascii="Times New Roman" w:eastAsia="Calibri" w:hAnsi="Times New Roman" w:cs="Times New Roman"/>
          <w:sz w:val="24"/>
          <w:szCs w:val="24"/>
        </w:rPr>
        <w:t>zostaną</w:t>
      </w:r>
      <w:r w:rsidRPr="00774FA7">
        <w:rPr>
          <w:rFonts w:ascii="Times New Roman" w:eastAsia="Calibri" w:hAnsi="Times New Roman" w:cs="Times New Roman"/>
          <w:sz w:val="24"/>
          <w:szCs w:val="24"/>
        </w:rPr>
        <w:t xml:space="preserve"> kompleksowo i wyczerpująco </w:t>
      </w:r>
      <w:r w:rsidR="001C1453">
        <w:rPr>
          <w:rFonts w:ascii="Times New Roman" w:eastAsia="Calibri" w:hAnsi="Times New Roman" w:cs="Times New Roman"/>
          <w:sz w:val="24"/>
          <w:szCs w:val="24"/>
        </w:rPr>
        <w:t xml:space="preserve">uregulowane </w:t>
      </w:r>
      <w:r w:rsidRPr="00774FA7">
        <w:rPr>
          <w:rFonts w:ascii="Times New Roman" w:eastAsia="Calibri" w:hAnsi="Times New Roman" w:cs="Times New Roman"/>
          <w:sz w:val="24"/>
          <w:szCs w:val="24"/>
        </w:rPr>
        <w:t>w jednym akcie prawnym.</w:t>
      </w:r>
    </w:p>
    <w:p w14:paraId="68D770DA" w14:textId="720CD743"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Nadanie nowego brzmienia art. 75 i art. 76 jest konsekwencją wprowadz</w:t>
      </w:r>
      <w:r w:rsidR="001C1453">
        <w:rPr>
          <w:rFonts w:ascii="Times New Roman" w:eastAsia="Calibri" w:hAnsi="Times New Roman" w:cs="Times New Roman"/>
          <w:sz w:val="24"/>
          <w:szCs w:val="24"/>
        </w:rPr>
        <w:t>a</w:t>
      </w:r>
      <w:r w:rsidRPr="00774FA7">
        <w:rPr>
          <w:rFonts w:ascii="Times New Roman" w:eastAsia="Calibri" w:hAnsi="Times New Roman" w:cs="Times New Roman"/>
          <w:sz w:val="24"/>
          <w:szCs w:val="24"/>
        </w:rPr>
        <w:t xml:space="preserve">nej projektowaną ustawą zmiany organu odpowiedzialnego za wydawanie decyzji o wydaleniu z wojewody na </w:t>
      </w:r>
      <w:r w:rsidR="008526E9" w:rsidRPr="00774FA7">
        <w:rPr>
          <w:rFonts w:ascii="Times New Roman" w:eastAsia="Calibri" w:hAnsi="Times New Roman" w:cs="Times New Roman"/>
          <w:sz w:val="24"/>
          <w:szCs w:val="24"/>
        </w:rPr>
        <w:t>k</w:t>
      </w:r>
      <w:r w:rsidRPr="00774FA7">
        <w:rPr>
          <w:rFonts w:ascii="Times New Roman" w:eastAsia="Calibri" w:hAnsi="Times New Roman" w:cs="Times New Roman"/>
          <w:sz w:val="24"/>
          <w:szCs w:val="24"/>
        </w:rPr>
        <w:t xml:space="preserve">omendanta oddziału Straży Granicznej lub komendanta placówki Straży Granicznej. Powyższe jest zgodne z art. 33 ust. 2 dyrektywy 2004/38/WE.  </w:t>
      </w:r>
    </w:p>
    <w:p w14:paraId="2C114898" w14:textId="6EA6AD38" w:rsidR="00076C40" w:rsidRPr="00774FA7" w:rsidRDefault="001C1453" w:rsidP="00E00CE9">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W projekcie zaproponowano </w:t>
      </w:r>
      <w:r w:rsidR="00076C40" w:rsidRPr="00774FA7">
        <w:rPr>
          <w:rFonts w:ascii="Times New Roman" w:eastAsia="Calibri" w:hAnsi="Times New Roman" w:cs="Times New Roman"/>
          <w:sz w:val="24"/>
          <w:szCs w:val="24"/>
        </w:rPr>
        <w:t xml:space="preserve"> również </w:t>
      </w:r>
      <w:r>
        <w:rPr>
          <w:rFonts w:ascii="Times New Roman" w:eastAsia="Calibri" w:hAnsi="Times New Roman" w:cs="Times New Roman"/>
          <w:sz w:val="24"/>
          <w:szCs w:val="24"/>
        </w:rPr>
        <w:t xml:space="preserve">zmianę </w:t>
      </w:r>
      <w:r w:rsidR="00076C40" w:rsidRPr="00774FA7">
        <w:rPr>
          <w:rFonts w:ascii="Times New Roman" w:eastAsia="Calibri" w:hAnsi="Times New Roman" w:cs="Times New Roman"/>
          <w:sz w:val="24"/>
          <w:szCs w:val="24"/>
        </w:rPr>
        <w:t>art. 77 ustawy o wjeździe obywateli UE dotycząc</w:t>
      </w:r>
      <w:r>
        <w:rPr>
          <w:rFonts w:ascii="Times New Roman" w:eastAsia="Calibri" w:hAnsi="Times New Roman" w:cs="Times New Roman"/>
          <w:sz w:val="24"/>
          <w:szCs w:val="24"/>
        </w:rPr>
        <w:t>ego</w:t>
      </w:r>
      <w:r w:rsidR="00076C40" w:rsidRPr="00774FA7">
        <w:rPr>
          <w:rFonts w:ascii="Times New Roman" w:eastAsia="Calibri" w:hAnsi="Times New Roman" w:cs="Times New Roman"/>
          <w:sz w:val="24"/>
          <w:szCs w:val="24"/>
        </w:rPr>
        <w:t xml:space="preserve"> przechowywania danych obywatela UE lub członka rodziny niebędącego obywatelem UE w wykazie cudzoziemców, wobec których wydano decyzję o wydaleniu ze względu na zagrożenie dla obronności lub bezpieczeństwa państwa albo ochrony bezpieczeństwa i porządku publicznego</w:t>
      </w:r>
      <w:r w:rsidR="00E00CE9">
        <w:rPr>
          <w:rFonts w:ascii="Times New Roman" w:eastAsia="Calibri" w:hAnsi="Times New Roman" w:cs="Times New Roman"/>
          <w:sz w:val="24"/>
          <w:szCs w:val="24"/>
        </w:rPr>
        <w:t>, bez względu na stopień zagrożenia.</w:t>
      </w:r>
      <w:r w:rsidR="00E00CE9" w:rsidRPr="00E00CE9">
        <w:t xml:space="preserve"> </w:t>
      </w:r>
      <w:r w:rsidR="00E00CE9" w:rsidRPr="00E00CE9">
        <w:rPr>
          <w:rFonts w:ascii="Times New Roman" w:eastAsia="Calibri" w:hAnsi="Times New Roman" w:cs="Times New Roman"/>
          <w:sz w:val="24"/>
          <w:szCs w:val="24"/>
        </w:rPr>
        <w:t>Pozwala na to przepis art. 15 ust. 1 i 3 dyrektywy 2004/38/WE, zgodnie z którym procedury przewidziane w art. 30 i 31 stosuje się analogicznie do wszystkich decyzji ograniczających swobodne przemieszczanie się obywateli Unii i członków ich rodziny, uzasadnionych względami innymi niż porządku publicznego, bezpieczeństwa publicznego lub zdrowia publicznego. Przyjmujące Państwo Członkowskie nie może nałożyć zakazu wjazdu w kontekście decyzji o wydaleniu, do której zastosowanie ma ust. 1. Z brzmienia zacytowanego wyżej przepisu wyraźnie wynika, iż państwa członkowskie maja prawo nałożyć zakaz wjazdu w kontekście decyzji o wydaleniu wydanych w oparciu o kwestie porządku publicznego, bezpieczeństwa public</w:t>
      </w:r>
      <w:r w:rsidR="00E00CE9">
        <w:rPr>
          <w:rFonts w:ascii="Times New Roman" w:eastAsia="Calibri" w:hAnsi="Times New Roman" w:cs="Times New Roman"/>
          <w:sz w:val="24"/>
          <w:szCs w:val="24"/>
        </w:rPr>
        <w:t xml:space="preserve">znego lub zdrowia publicznego. </w:t>
      </w:r>
      <w:r w:rsidR="00076C40" w:rsidRPr="00774FA7">
        <w:rPr>
          <w:rFonts w:ascii="Times New Roman" w:eastAsia="Calibri" w:hAnsi="Times New Roman" w:cs="Times New Roman"/>
          <w:sz w:val="24"/>
          <w:szCs w:val="24"/>
        </w:rPr>
        <w:t xml:space="preserve">Brzmienie </w:t>
      </w:r>
      <w:r w:rsidR="009312AB" w:rsidRPr="00774FA7">
        <w:rPr>
          <w:rFonts w:ascii="Times New Roman" w:eastAsia="Calibri" w:hAnsi="Times New Roman" w:cs="Times New Roman"/>
          <w:sz w:val="24"/>
          <w:szCs w:val="24"/>
        </w:rPr>
        <w:t xml:space="preserve">tego </w:t>
      </w:r>
      <w:r w:rsidR="00076C40" w:rsidRPr="00774FA7">
        <w:rPr>
          <w:rFonts w:ascii="Times New Roman" w:eastAsia="Calibri" w:hAnsi="Times New Roman" w:cs="Times New Roman"/>
          <w:sz w:val="24"/>
          <w:szCs w:val="24"/>
        </w:rPr>
        <w:t xml:space="preserve">przepisu zostało ujednolicone z brzmieniem </w:t>
      </w:r>
      <w:r w:rsidR="009312AB" w:rsidRPr="00774FA7">
        <w:rPr>
          <w:rFonts w:ascii="Times New Roman" w:eastAsia="Calibri" w:hAnsi="Times New Roman" w:cs="Times New Roman"/>
          <w:sz w:val="24"/>
          <w:szCs w:val="24"/>
        </w:rPr>
        <w:t xml:space="preserve">odpowiednich </w:t>
      </w:r>
      <w:r w:rsidR="00076C40" w:rsidRPr="00774FA7">
        <w:rPr>
          <w:rFonts w:ascii="Times New Roman" w:eastAsia="Calibri" w:hAnsi="Times New Roman" w:cs="Times New Roman"/>
          <w:sz w:val="24"/>
          <w:szCs w:val="24"/>
        </w:rPr>
        <w:t>przepisów ustawy o cudzoziemcach w celu zachowania spójności systemowej. Zaproponowana zmiana ma także na celu</w:t>
      </w:r>
      <w:r w:rsidR="0099474B" w:rsidRPr="00774FA7">
        <w:t xml:space="preserve"> </w:t>
      </w:r>
      <w:r w:rsidR="0099474B" w:rsidRPr="00774FA7">
        <w:rPr>
          <w:rFonts w:ascii="Times New Roman" w:eastAsia="Calibri" w:hAnsi="Times New Roman" w:cs="Times New Roman"/>
          <w:sz w:val="24"/>
          <w:szCs w:val="24"/>
        </w:rPr>
        <w:t>wprowadzenie bardziej szczegółowych regulacji w zakresie umieszczania danych obywatela UE lub członka rodziny niebędącego obywatelem UE w wykazie, korygowania wpisów i ich usuwania z wykazu.</w:t>
      </w:r>
    </w:p>
    <w:p w14:paraId="2E1AAA30" w14:textId="725C77D9"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związku z wprowadzeniem w art. 41</w:t>
      </w:r>
      <w:r w:rsidR="0099474B" w:rsidRPr="00774FA7">
        <w:rPr>
          <w:rFonts w:ascii="Times New Roman" w:eastAsia="Calibri" w:hAnsi="Times New Roman" w:cs="Times New Roman"/>
          <w:sz w:val="24"/>
          <w:szCs w:val="24"/>
        </w:rPr>
        <w:t>a</w:t>
      </w:r>
      <w:r w:rsidRPr="00774FA7">
        <w:rPr>
          <w:rFonts w:ascii="Times New Roman" w:eastAsia="Calibri" w:hAnsi="Times New Roman" w:cs="Times New Roman"/>
          <w:sz w:val="24"/>
          <w:szCs w:val="24"/>
        </w:rPr>
        <w:t xml:space="preserve"> ustawy o wjeździe obywateli UE instytucji zaświadczenia dla obywatela UE lub członka rodziny obywatela UE potwierdzającego istnienie domniemania, że są ofiarami handlu ludźmi w rozumieniu art. 115 § 22 Kodeksu karnego konieczne było uzupełnienie ww. ustawy o przepis dotyczący zawieszania wpisów w wykazie cudzoziemców, których pobyt jest niepożądany w sytuacji posiadania przez obywatela UE lub członka rodziny obywatela UE zaświadczenia, o którym mowa w art. 41</w:t>
      </w:r>
      <w:r w:rsidR="0099474B" w:rsidRPr="00774FA7">
        <w:rPr>
          <w:rFonts w:ascii="Times New Roman" w:eastAsia="Calibri" w:hAnsi="Times New Roman" w:cs="Times New Roman"/>
          <w:sz w:val="24"/>
          <w:szCs w:val="24"/>
        </w:rPr>
        <w:t>a</w:t>
      </w:r>
      <w:r w:rsidR="00190E09" w:rsidRPr="00774FA7">
        <w:rPr>
          <w:rFonts w:ascii="Times New Roman" w:eastAsia="Calibri" w:hAnsi="Times New Roman" w:cs="Times New Roman"/>
          <w:sz w:val="24"/>
          <w:szCs w:val="24"/>
        </w:rPr>
        <w:t>.</w:t>
      </w:r>
      <w:r w:rsidR="008567F2" w:rsidRPr="00774FA7">
        <w:rPr>
          <w:rFonts w:ascii="Times New Roman" w:eastAsia="Calibri" w:hAnsi="Times New Roman" w:cs="Times New Roman"/>
          <w:sz w:val="24"/>
          <w:szCs w:val="24"/>
        </w:rPr>
        <w:t xml:space="preserve"> Powyższe nastąpiło poprzez dodanie </w:t>
      </w:r>
      <w:r w:rsidRPr="00774FA7">
        <w:rPr>
          <w:rFonts w:ascii="Times New Roman" w:eastAsia="Calibri" w:hAnsi="Times New Roman" w:cs="Times New Roman"/>
          <w:sz w:val="24"/>
          <w:szCs w:val="24"/>
        </w:rPr>
        <w:t xml:space="preserve">art. 77a </w:t>
      </w:r>
      <w:r w:rsidR="002B1FA7" w:rsidRPr="00774FA7">
        <w:rPr>
          <w:rFonts w:ascii="Times New Roman" w:eastAsia="Calibri" w:hAnsi="Times New Roman" w:cs="Times New Roman"/>
          <w:sz w:val="24"/>
          <w:szCs w:val="24"/>
        </w:rPr>
        <w:t xml:space="preserve">do </w:t>
      </w:r>
      <w:r w:rsidRPr="00774FA7">
        <w:rPr>
          <w:rFonts w:ascii="Times New Roman" w:eastAsia="Calibri" w:hAnsi="Times New Roman" w:cs="Times New Roman"/>
          <w:sz w:val="24"/>
          <w:szCs w:val="24"/>
        </w:rPr>
        <w:t>ustawy o wjeździe obywateli UE.</w:t>
      </w:r>
    </w:p>
    <w:p w14:paraId="4FFFCB67" w14:textId="4B5ECE20" w:rsidR="00076C40" w:rsidRPr="00774FA7" w:rsidRDefault="00076C40" w:rsidP="004F6DC6">
      <w:pPr>
        <w:spacing w:after="0" w:line="288" w:lineRule="auto"/>
        <w:ind w:left="142"/>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ab/>
        <w:t>Po rozdziale 5 dodano nowy rozdział 5a, który reguluje</w:t>
      </w:r>
      <w:r w:rsidRPr="00774FA7">
        <w:rPr>
          <w:rFonts w:ascii="Times New Roman" w:eastAsia="Calibri" w:hAnsi="Times New Roman" w:cs="Times New Roman"/>
          <w:bCs/>
          <w:sz w:val="24"/>
          <w:szCs w:val="24"/>
        </w:rPr>
        <w:t xml:space="preserve"> postępowani</w:t>
      </w:r>
      <w:r w:rsidR="001C1453">
        <w:rPr>
          <w:rFonts w:ascii="Times New Roman" w:eastAsia="Calibri" w:hAnsi="Times New Roman" w:cs="Times New Roman"/>
          <w:bCs/>
          <w:sz w:val="24"/>
          <w:szCs w:val="24"/>
        </w:rPr>
        <w:t>e</w:t>
      </w:r>
      <w:r w:rsidRPr="00774FA7">
        <w:rPr>
          <w:rFonts w:ascii="Times New Roman" w:eastAsia="Calibri" w:hAnsi="Times New Roman" w:cs="Times New Roman"/>
          <w:bCs/>
          <w:sz w:val="24"/>
          <w:szCs w:val="24"/>
        </w:rPr>
        <w:t xml:space="preserve"> w sprawie zatrzymania</w:t>
      </w:r>
      <w:r w:rsidRPr="00774FA7">
        <w:rPr>
          <w:rFonts w:ascii="Times New Roman" w:eastAsia="Calibri" w:hAnsi="Times New Roman" w:cs="Times New Roman"/>
          <w:sz w:val="24"/>
          <w:szCs w:val="24"/>
        </w:rPr>
        <w:t xml:space="preserve"> obywatela UE albo członka rodziny niebędącego obywatelem UE</w:t>
      </w:r>
      <w:r w:rsidRPr="00774FA7">
        <w:rPr>
          <w:rFonts w:ascii="Times New Roman" w:eastAsia="Calibri" w:hAnsi="Times New Roman" w:cs="Times New Roman"/>
          <w:bCs/>
          <w:sz w:val="24"/>
          <w:szCs w:val="24"/>
        </w:rPr>
        <w:t xml:space="preserve">, </w:t>
      </w:r>
      <w:r w:rsidR="002B1FA7" w:rsidRPr="00774FA7">
        <w:rPr>
          <w:rFonts w:ascii="Times New Roman" w:eastAsia="Calibri" w:hAnsi="Times New Roman" w:cs="Times New Roman"/>
          <w:bCs/>
          <w:sz w:val="24"/>
          <w:szCs w:val="24"/>
        </w:rPr>
        <w:t xml:space="preserve">umieszczenia </w:t>
      </w:r>
      <w:r w:rsidRPr="00774FA7">
        <w:rPr>
          <w:rFonts w:ascii="Times New Roman" w:eastAsia="Calibri" w:hAnsi="Times New Roman" w:cs="Times New Roman"/>
          <w:bCs/>
          <w:sz w:val="24"/>
          <w:szCs w:val="24"/>
        </w:rPr>
        <w:t>go w strzeżonym ośrodku</w:t>
      </w:r>
      <w:r w:rsidR="008526E9" w:rsidRPr="00774FA7">
        <w:rPr>
          <w:rFonts w:ascii="Times New Roman" w:eastAsia="Calibri" w:hAnsi="Times New Roman" w:cs="Times New Roman"/>
          <w:bCs/>
          <w:sz w:val="24"/>
          <w:szCs w:val="24"/>
        </w:rPr>
        <w:t>, zwolnienia go ze strzeżonego ośrodka</w:t>
      </w:r>
      <w:r w:rsidR="006D6586" w:rsidRPr="00774FA7">
        <w:rPr>
          <w:rFonts w:ascii="Times New Roman" w:eastAsia="Calibri" w:hAnsi="Times New Roman" w:cs="Times New Roman"/>
          <w:bCs/>
          <w:sz w:val="24"/>
          <w:szCs w:val="24"/>
        </w:rPr>
        <w:t>,</w:t>
      </w:r>
      <w:r w:rsidRPr="00774FA7">
        <w:rPr>
          <w:rFonts w:ascii="Times New Roman" w:eastAsia="Calibri" w:hAnsi="Times New Roman" w:cs="Times New Roman"/>
          <w:bCs/>
          <w:sz w:val="24"/>
          <w:szCs w:val="24"/>
        </w:rPr>
        <w:t xml:space="preserve"> lub </w:t>
      </w:r>
      <w:r w:rsidR="008567F2" w:rsidRPr="00774FA7">
        <w:rPr>
          <w:rFonts w:ascii="Times New Roman" w:eastAsia="Calibri" w:hAnsi="Times New Roman" w:cs="Times New Roman"/>
          <w:bCs/>
          <w:sz w:val="24"/>
          <w:szCs w:val="24"/>
        </w:rPr>
        <w:t xml:space="preserve">zastosowania </w:t>
      </w:r>
      <w:r w:rsidRPr="00774FA7">
        <w:rPr>
          <w:rFonts w:ascii="Times New Roman" w:eastAsia="Calibri" w:hAnsi="Times New Roman" w:cs="Times New Roman"/>
          <w:bCs/>
          <w:sz w:val="24"/>
          <w:szCs w:val="24"/>
        </w:rPr>
        <w:t xml:space="preserve">wobec niego aresztu dla cudzoziemców. Przepisy te są wzorowane na rozwiązaniach ustawy o cudzoziemcach i zastępują dotychczasowe odesłanie do ustawy o cudzoziemcach </w:t>
      </w:r>
      <w:r w:rsidR="002B1FA7" w:rsidRPr="00774FA7">
        <w:rPr>
          <w:rFonts w:ascii="Times New Roman" w:eastAsia="Calibri" w:hAnsi="Times New Roman" w:cs="Times New Roman"/>
          <w:bCs/>
          <w:sz w:val="24"/>
          <w:szCs w:val="24"/>
        </w:rPr>
        <w:t>zamieszczone w</w:t>
      </w:r>
      <w:r w:rsidRPr="00774FA7">
        <w:rPr>
          <w:rFonts w:ascii="Times New Roman" w:eastAsia="Calibri" w:hAnsi="Times New Roman" w:cs="Times New Roman"/>
          <w:bCs/>
          <w:sz w:val="24"/>
          <w:szCs w:val="24"/>
        </w:rPr>
        <w:t xml:space="preserve"> art. 2a ust. 1 ustawy o wjeździe obywateli UE. W konsekwencji</w:t>
      </w:r>
      <w:r w:rsidR="002B1FA7" w:rsidRPr="00774FA7">
        <w:rPr>
          <w:rFonts w:ascii="Times New Roman" w:eastAsia="Calibri" w:hAnsi="Times New Roman" w:cs="Times New Roman"/>
          <w:bCs/>
          <w:sz w:val="24"/>
          <w:szCs w:val="24"/>
        </w:rPr>
        <w:t xml:space="preserve"> powyższego </w:t>
      </w:r>
      <w:r w:rsidRPr="00774FA7">
        <w:rPr>
          <w:rFonts w:ascii="Times New Roman" w:eastAsia="Calibri" w:hAnsi="Times New Roman" w:cs="Times New Roman"/>
          <w:bCs/>
          <w:sz w:val="24"/>
          <w:szCs w:val="24"/>
        </w:rPr>
        <w:t xml:space="preserve">w art. 2a ust. 1 pozostały odesłania do przepisów ustawy o cudzoziemcach, których nie można było przenieść na grunt ustawy o wjeździe obywateli UE, tj. przepisów wydanych na podstawie </w:t>
      </w:r>
      <w:r w:rsidRPr="00774FA7">
        <w:rPr>
          <w:rFonts w:ascii="Times New Roman" w:eastAsia="Calibri" w:hAnsi="Times New Roman" w:cs="Times New Roman"/>
          <w:sz w:val="24"/>
          <w:szCs w:val="24"/>
        </w:rPr>
        <w:t>art. 394 ust. 6, art. 395 ust. 1, art. 396, art. 397, art. 402, art. 404, art. 405, art. 407, art. 410-426 oraz przepisów wydanych na podstawie art. 427.</w:t>
      </w:r>
    </w:p>
    <w:p w14:paraId="232B11B3" w14:textId="5740F0CB" w:rsidR="00076C40" w:rsidRPr="00774FA7" w:rsidRDefault="00076C40" w:rsidP="004F6DC6">
      <w:pPr>
        <w:spacing w:after="0" w:line="288" w:lineRule="auto"/>
        <w:ind w:left="142"/>
        <w:jc w:val="both"/>
        <w:rPr>
          <w:rFonts w:ascii="Times New Roman" w:eastAsia="Calibri" w:hAnsi="Times New Roman" w:cs="Times New Roman"/>
          <w:sz w:val="24"/>
          <w:szCs w:val="24"/>
        </w:rPr>
      </w:pPr>
      <w:r w:rsidRPr="00774FA7">
        <w:rPr>
          <w:rFonts w:ascii="Times New Roman" w:eastAsia="Calibri" w:hAnsi="Times New Roman" w:cs="Times New Roman"/>
          <w:bCs/>
          <w:sz w:val="24"/>
          <w:szCs w:val="24"/>
        </w:rPr>
        <w:tab/>
        <w:t xml:space="preserve">Projektowany art. 78a reguluje kwestie zatrzymania </w:t>
      </w:r>
      <w:r w:rsidRPr="00774FA7">
        <w:rPr>
          <w:rFonts w:ascii="Times New Roman" w:eastAsia="Calibri" w:hAnsi="Times New Roman" w:cs="Times New Roman"/>
          <w:sz w:val="24"/>
          <w:szCs w:val="24"/>
        </w:rPr>
        <w:t xml:space="preserve">obywatela UE albo członka rodziny niebędącego obywatelem UE i odzwierciedla rozwiązania przewidziane w art. 394 ustawy o cudzoziemcach, ażeby zachować spójność systemową z rozwiązaniami, które są </w:t>
      </w:r>
      <w:r w:rsidR="003A192B">
        <w:rPr>
          <w:rFonts w:ascii="Times New Roman" w:eastAsia="Calibri" w:hAnsi="Times New Roman" w:cs="Times New Roman"/>
          <w:sz w:val="24"/>
          <w:szCs w:val="24"/>
        </w:rPr>
        <w:t xml:space="preserve">już </w:t>
      </w:r>
      <w:r w:rsidRPr="00774FA7">
        <w:rPr>
          <w:rFonts w:ascii="Times New Roman" w:eastAsia="Calibri" w:hAnsi="Times New Roman" w:cs="Times New Roman"/>
          <w:sz w:val="24"/>
          <w:szCs w:val="24"/>
        </w:rPr>
        <w:t xml:space="preserve">stosowane </w:t>
      </w:r>
      <w:r w:rsidR="003A192B">
        <w:rPr>
          <w:rFonts w:ascii="Times New Roman" w:eastAsia="Calibri" w:hAnsi="Times New Roman" w:cs="Times New Roman"/>
          <w:sz w:val="24"/>
          <w:szCs w:val="24"/>
        </w:rPr>
        <w:t xml:space="preserve">i </w:t>
      </w:r>
      <w:r w:rsidRPr="00774FA7">
        <w:rPr>
          <w:rFonts w:ascii="Times New Roman" w:eastAsia="Calibri" w:hAnsi="Times New Roman" w:cs="Times New Roman"/>
          <w:sz w:val="24"/>
          <w:szCs w:val="24"/>
        </w:rPr>
        <w:t xml:space="preserve">zostały sprawdzone w praktyce, a jednoczenie nie zaniżają poziomu gwarancji wywodzonych z dyrektywy 2004/38/WE. </w:t>
      </w:r>
    </w:p>
    <w:p w14:paraId="4652CD5A" w14:textId="4EAC8F90" w:rsidR="00076C40" w:rsidRPr="00774FA7" w:rsidRDefault="00076C40" w:rsidP="004F6DC6">
      <w:pPr>
        <w:spacing w:after="0" w:line="288" w:lineRule="auto"/>
        <w:ind w:left="142" w:firstLine="566"/>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 xml:space="preserve">Art. 78b określa przypadki, w których umieszcza się obywatela UE lub członka rodziny niebędącego obywatelem UE w strzeżonym ośrodku. </w:t>
      </w:r>
    </w:p>
    <w:p w14:paraId="719CE0EA" w14:textId="4D0C72AF" w:rsidR="00076C40" w:rsidRPr="00774FA7" w:rsidRDefault="003A192B" w:rsidP="004F6DC6">
      <w:pPr>
        <w:spacing w:after="0" w:line="288" w:lineRule="auto"/>
        <w:ind w:left="142" w:firstLine="566"/>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076C40" w:rsidRPr="00774FA7">
        <w:rPr>
          <w:rFonts w:ascii="Times New Roman" w:eastAsia="Calibri" w:hAnsi="Times New Roman" w:cs="Times New Roman"/>
          <w:sz w:val="24"/>
          <w:szCs w:val="24"/>
        </w:rPr>
        <w:t xml:space="preserve">rt. 78c określa sytuacje, w których umieszcza się obywatela UE albo członka rodziny niebędącego obywatelem UE w areszcie dla cudzoziemców. </w:t>
      </w:r>
    </w:p>
    <w:p w14:paraId="2A6D6E70" w14:textId="72C635A5" w:rsidR="00076C40" w:rsidRPr="00774FA7" w:rsidRDefault="00076C40" w:rsidP="004F6DC6">
      <w:pPr>
        <w:spacing w:after="0" w:line="288" w:lineRule="auto"/>
        <w:ind w:left="142" w:firstLine="566"/>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Proponowane brzmienie art. 78d–78g</w:t>
      </w:r>
      <w:r w:rsidR="008316AA">
        <w:rPr>
          <w:rFonts w:ascii="Times New Roman" w:eastAsia="Calibri" w:hAnsi="Times New Roman" w:cs="Times New Roman"/>
          <w:sz w:val="24"/>
          <w:szCs w:val="24"/>
        </w:rPr>
        <w:t xml:space="preserve"> ust. 1, 2 oraz 4-6</w:t>
      </w:r>
      <w:r w:rsidRPr="00774FA7">
        <w:rPr>
          <w:rFonts w:ascii="Times New Roman" w:eastAsia="Calibri" w:hAnsi="Times New Roman" w:cs="Times New Roman"/>
          <w:sz w:val="24"/>
          <w:szCs w:val="24"/>
        </w:rPr>
        <w:t xml:space="preserve"> jest analogiczne do rozwiązań przewidzianych  odpowiednio w art. 400, art. 401, art. 403 oraz art. 406 ustawy o cudzoziemcach</w:t>
      </w:r>
      <w:r w:rsidR="008316AA" w:rsidRPr="008316AA">
        <w:t xml:space="preserve"> </w:t>
      </w:r>
      <w:r w:rsidR="008316AA" w:rsidRPr="008316AA">
        <w:rPr>
          <w:rFonts w:ascii="Times New Roman" w:eastAsia="Calibri" w:hAnsi="Times New Roman" w:cs="Times New Roman"/>
          <w:sz w:val="24"/>
          <w:szCs w:val="24"/>
        </w:rPr>
        <w:t>z tą różnicą, że zrezygnowa</w:t>
      </w:r>
      <w:r w:rsidR="008316AA">
        <w:rPr>
          <w:rFonts w:ascii="Times New Roman" w:eastAsia="Calibri" w:hAnsi="Times New Roman" w:cs="Times New Roman"/>
          <w:sz w:val="24"/>
          <w:szCs w:val="24"/>
        </w:rPr>
        <w:t>no</w:t>
      </w:r>
      <w:r w:rsidR="008316AA" w:rsidRPr="008316AA">
        <w:rPr>
          <w:rFonts w:ascii="Times New Roman" w:eastAsia="Calibri" w:hAnsi="Times New Roman" w:cs="Times New Roman"/>
          <w:sz w:val="24"/>
          <w:szCs w:val="24"/>
        </w:rPr>
        <w:t xml:space="preserve"> z wprowadzenia do porządku prawnego regulacji określającej przedłużenie okresu pobytu wobec obywatela UE albo członka rodziny niebędącego obywatelem UE przebywającego w strzeżonym ośrodku albo areszcie dla cudzoziemców</w:t>
      </w:r>
      <w:r w:rsidR="008316AA">
        <w:rPr>
          <w:rFonts w:ascii="Times New Roman" w:eastAsia="Calibri" w:hAnsi="Times New Roman" w:cs="Times New Roman"/>
          <w:sz w:val="24"/>
          <w:szCs w:val="24"/>
        </w:rPr>
        <w:t>. Z kolei t</w:t>
      </w:r>
      <w:r w:rsidR="00604E4B">
        <w:rPr>
          <w:rFonts w:ascii="Times New Roman" w:eastAsia="Calibri" w:hAnsi="Times New Roman" w:cs="Times New Roman"/>
          <w:sz w:val="24"/>
          <w:szCs w:val="24"/>
        </w:rPr>
        <w:t xml:space="preserve">reść </w:t>
      </w:r>
      <w:r w:rsidR="00604E4B" w:rsidRPr="00604E4B">
        <w:rPr>
          <w:rFonts w:ascii="Times New Roman" w:eastAsia="Calibri" w:hAnsi="Times New Roman" w:cs="Times New Roman"/>
          <w:sz w:val="24"/>
          <w:szCs w:val="24"/>
        </w:rPr>
        <w:t xml:space="preserve">projektowanego art. 78g ust. 3 </w:t>
      </w:r>
      <w:r w:rsidR="00604E4B">
        <w:rPr>
          <w:rFonts w:ascii="Times New Roman" w:eastAsia="Calibri" w:hAnsi="Times New Roman" w:cs="Times New Roman"/>
          <w:sz w:val="24"/>
          <w:szCs w:val="24"/>
        </w:rPr>
        <w:t xml:space="preserve">wzorowana jest na rozwiązaniach przyjętych w </w:t>
      </w:r>
      <w:r w:rsidR="00604E4B" w:rsidRPr="00604E4B">
        <w:rPr>
          <w:rFonts w:ascii="Times New Roman" w:eastAsia="Calibri" w:hAnsi="Times New Roman" w:cs="Times New Roman"/>
          <w:sz w:val="24"/>
          <w:szCs w:val="24"/>
        </w:rPr>
        <w:t>art. 254 § 2 Kodeksu postępowania karnego.</w:t>
      </w:r>
      <w:r w:rsidR="00604E4B">
        <w:rPr>
          <w:rFonts w:ascii="Times New Roman" w:eastAsia="Calibri" w:hAnsi="Times New Roman" w:cs="Times New Roman"/>
          <w:sz w:val="24"/>
          <w:szCs w:val="24"/>
        </w:rPr>
        <w:t xml:space="preserve"> </w:t>
      </w:r>
      <w:r w:rsidR="00604E4B" w:rsidRPr="00604E4B">
        <w:rPr>
          <w:rFonts w:ascii="Times New Roman" w:eastAsia="Calibri" w:hAnsi="Times New Roman" w:cs="Times New Roman"/>
          <w:sz w:val="24"/>
          <w:szCs w:val="24"/>
        </w:rPr>
        <w:t xml:space="preserve">Należy podkreślić, iż celem wprowadzenia rozwiązań ograniczających możliwość składania zażaleń do sądu na postanowienie Straży Granicznej o odmowie uwzględnienia wniosku o zwolnienie obywatela UE lub członka jego rodziny niebędącego obywatelem UE ze strzeżonego ośrodka lub z aresztu dla cudzoziemców było zminimalizowanie możliwości </w:t>
      </w:r>
      <w:r w:rsidR="006A6D31" w:rsidRPr="00604E4B">
        <w:rPr>
          <w:rFonts w:ascii="Times New Roman" w:eastAsia="Calibri" w:hAnsi="Times New Roman" w:cs="Times New Roman"/>
          <w:sz w:val="24"/>
          <w:szCs w:val="24"/>
        </w:rPr>
        <w:t>wielokrotne</w:t>
      </w:r>
      <w:r w:rsidR="006A6D31">
        <w:rPr>
          <w:rFonts w:ascii="Times New Roman" w:eastAsia="Calibri" w:hAnsi="Times New Roman" w:cs="Times New Roman"/>
          <w:sz w:val="24"/>
          <w:szCs w:val="24"/>
        </w:rPr>
        <w:t xml:space="preserve">go i często </w:t>
      </w:r>
      <w:r w:rsidR="006A6D31" w:rsidRPr="00604E4B">
        <w:rPr>
          <w:rFonts w:ascii="Times New Roman" w:eastAsia="Calibri" w:hAnsi="Times New Roman" w:cs="Times New Roman"/>
          <w:sz w:val="24"/>
          <w:szCs w:val="24"/>
        </w:rPr>
        <w:t xml:space="preserve"> </w:t>
      </w:r>
      <w:r w:rsidR="00604E4B" w:rsidRPr="00604E4B">
        <w:rPr>
          <w:rFonts w:ascii="Times New Roman" w:eastAsia="Calibri" w:hAnsi="Times New Roman" w:cs="Times New Roman"/>
          <w:sz w:val="24"/>
          <w:szCs w:val="24"/>
        </w:rPr>
        <w:t xml:space="preserve">bezzasadnego </w:t>
      </w:r>
      <w:r w:rsidR="006A6D31" w:rsidRPr="00604E4B">
        <w:rPr>
          <w:rFonts w:ascii="Times New Roman" w:eastAsia="Calibri" w:hAnsi="Times New Roman" w:cs="Times New Roman"/>
          <w:sz w:val="24"/>
          <w:szCs w:val="24"/>
        </w:rPr>
        <w:t>składania</w:t>
      </w:r>
      <w:r w:rsidR="006A6D31">
        <w:rPr>
          <w:rFonts w:ascii="Times New Roman" w:eastAsia="Calibri" w:hAnsi="Times New Roman" w:cs="Times New Roman"/>
          <w:sz w:val="24"/>
          <w:szCs w:val="24"/>
        </w:rPr>
        <w:t xml:space="preserve"> </w:t>
      </w:r>
      <w:r w:rsidR="00604E4B" w:rsidRPr="00604E4B">
        <w:rPr>
          <w:rFonts w:ascii="Times New Roman" w:eastAsia="Calibri" w:hAnsi="Times New Roman" w:cs="Times New Roman"/>
          <w:sz w:val="24"/>
          <w:szCs w:val="24"/>
        </w:rPr>
        <w:t xml:space="preserve">ww. zażaleń do sądu.   </w:t>
      </w:r>
    </w:p>
    <w:p w14:paraId="43329B39" w14:textId="43414C0C"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Nadanie nowego brzmienia art. 79 i dodanie art. 79a jest związane z wprowadzeniem w ustawie o wjeździe obywateli UE przepisów dotyczących wydawania zaświadczeń, o których mowa w art. 41</w:t>
      </w:r>
      <w:r w:rsidR="00892CDF" w:rsidRPr="00774FA7">
        <w:rPr>
          <w:rFonts w:ascii="Times New Roman" w:eastAsia="Calibri" w:hAnsi="Times New Roman" w:cs="Times New Roman"/>
          <w:sz w:val="24"/>
          <w:szCs w:val="24"/>
        </w:rPr>
        <w:t>a</w:t>
      </w:r>
      <w:r w:rsidRPr="00774FA7">
        <w:rPr>
          <w:rFonts w:ascii="Times New Roman" w:eastAsia="Calibri" w:hAnsi="Times New Roman" w:cs="Times New Roman"/>
          <w:sz w:val="24"/>
          <w:szCs w:val="24"/>
        </w:rPr>
        <w:t>. W konsekwencji należało uzupełnić ustawę o uregulowania dotyczące prowadzenia rejestru wydanych zaświadczeń, o których mowa w art. 41</w:t>
      </w:r>
      <w:r w:rsidR="00892CDF" w:rsidRPr="00774FA7">
        <w:rPr>
          <w:rFonts w:ascii="Times New Roman" w:eastAsia="Calibri" w:hAnsi="Times New Roman" w:cs="Times New Roman"/>
          <w:sz w:val="24"/>
          <w:szCs w:val="24"/>
        </w:rPr>
        <w:t>a</w:t>
      </w:r>
      <w:r w:rsidRPr="00774FA7">
        <w:rPr>
          <w:rFonts w:ascii="Times New Roman" w:eastAsia="Calibri" w:hAnsi="Times New Roman" w:cs="Times New Roman"/>
          <w:sz w:val="24"/>
          <w:szCs w:val="24"/>
        </w:rPr>
        <w:t xml:space="preserve"> i wskazać organ prowadzący ten rejestr.</w:t>
      </w:r>
    </w:p>
    <w:p w14:paraId="33AFB72D" w14:textId="73A80CA0" w:rsidR="008321F7"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Zmiany przewidziane w art. 80 </w:t>
      </w:r>
      <w:r w:rsidR="002B1FA7" w:rsidRPr="00774FA7">
        <w:rPr>
          <w:rFonts w:ascii="Times New Roman" w:eastAsia="Calibri" w:hAnsi="Times New Roman" w:cs="Times New Roman"/>
          <w:sz w:val="24"/>
          <w:szCs w:val="24"/>
        </w:rPr>
        <w:t xml:space="preserve">w obrębie punktów </w:t>
      </w:r>
      <w:r w:rsidRPr="00774FA7">
        <w:rPr>
          <w:rFonts w:ascii="Times New Roman" w:eastAsia="Calibri" w:hAnsi="Times New Roman" w:cs="Times New Roman"/>
          <w:sz w:val="24"/>
          <w:szCs w:val="24"/>
        </w:rPr>
        <w:t>1-4 dotyczą zakresu danych przechowywanych w rejestrach kart pobytowych oraz kart stałego pobytu prowadzonych na podstawie ustawy o wjeździe</w:t>
      </w:r>
      <w:r w:rsidR="006D6586" w:rsidRPr="00774FA7">
        <w:rPr>
          <w:rFonts w:ascii="Times New Roman" w:eastAsia="Calibri" w:hAnsi="Times New Roman" w:cs="Times New Roman"/>
          <w:sz w:val="24"/>
          <w:szCs w:val="24"/>
        </w:rPr>
        <w:t xml:space="preserve"> obywateli UE</w:t>
      </w:r>
      <w:r w:rsidRPr="00774FA7">
        <w:rPr>
          <w:rFonts w:ascii="Times New Roman" w:eastAsia="Calibri" w:hAnsi="Times New Roman" w:cs="Times New Roman"/>
          <w:sz w:val="24"/>
          <w:szCs w:val="24"/>
        </w:rPr>
        <w:t xml:space="preserve">. </w:t>
      </w:r>
    </w:p>
    <w:p w14:paraId="38E5BFCC" w14:textId="08B0CEEA" w:rsidR="008321F7" w:rsidRPr="00774FA7" w:rsidRDefault="00D307C6"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w art. 80 pkt 1 lit. a i d </w:t>
      </w:r>
      <w:r w:rsidR="00E97193" w:rsidRPr="00774FA7">
        <w:rPr>
          <w:rFonts w:ascii="Times New Roman" w:eastAsia="Calibri" w:hAnsi="Times New Roman" w:cs="Times New Roman"/>
          <w:sz w:val="24"/>
          <w:szCs w:val="24"/>
        </w:rPr>
        <w:t xml:space="preserve">jest konsekwencją </w:t>
      </w:r>
      <w:r w:rsidRPr="00774FA7">
        <w:rPr>
          <w:rFonts w:ascii="Times New Roman" w:eastAsia="Calibri" w:hAnsi="Times New Roman" w:cs="Times New Roman"/>
          <w:sz w:val="24"/>
          <w:szCs w:val="24"/>
        </w:rPr>
        <w:t>wprowadzenia procedury wydania nowego zaświadczenia o zar</w:t>
      </w:r>
      <w:r w:rsidR="00E97193" w:rsidRPr="00774FA7">
        <w:rPr>
          <w:rFonts w:ascii="Times New Roman" w:eastAsia="Calibri" w:hAnsi="Times New Roman" w:cs="Times New Roman"/>
          <w:sz w:val="24"/>
          <w:szCs w:val="24"/>
        </w:rPr>
        <w:t>ejestrowaniu pobytu lub wymiany</w:t>
      </w:r>
      <w:r w:rsidRPr="00774FA7">
        <w:rPr>
          <w:rFonts w:ascii="Times New Roman" w:eastAsia="Calibri" w:hAnsi="Times New Roman" w:cs="Times New Roman"/>
          <w:sz w:val="24"/>
          <w:szCs w:val="24"/>
        </w:rPr>
        <w:t xml:space="preserve"> zaświadczenia o zarejestrowaniu pobytu oraz wprowadzenia odrębnych formatów dokumentów dla obywateli Zjednoczonego Królestwa. </w:t>
      </w:r>
      <w:r w:rsidR="00076C40" w:rsidRPr="00774FA7">
        <w:rPr>
          <w:rFonts w:ascii="Times New Roman" w:eastAsia="Calibri" w:hAnsi="Times New Roman" w:cs="Times New Roman"/>
          <w:sz w:val="24"/>
          <w:szCs w:val="24"/>
        </w:rPr>
        <w:t>Zmiana w pkt 1 lit. f art. 80 została zaproponowana z uwagi na zmianę formatu wydawanych zaświadczeń</w:t>
      </w:r>
      <w:r w:rsidR="00A677FC" w:rsidRPr="00774FA7">
        <w:rPr>
          <w:rFonts w:ascii="Times New Roman" w:eastAsia="Calibri" w:hAnsi="Times New Roman" w:cs="Times New Roman"/>
          <w:sz w:val="24"/>
          <w:szCs w:val="24"/>
        </w:rPr>
        <w:t xml:space="preserve"> oraz wprowadzenie procedury wydania nowego </w:t>
      </w:r>
      <w:r w:rsidR="0096448F" w:rsidRPr="00774FA7">
        <w:rPr>
          <w:rFonts w:ascii="Times New Roman" w:eastAsia="Calibri" w:hAnsi="Times New Roman" w:cs="Times New Roman"/>
          <w:sz w:val="24"/>
          <w:szCs w:val="24"/>
        </w:rPr>
        <w:t xml:space="preserve">zaświadczenia o zarejestrowaniu pobytu </w:t>
      </w:r>
      <w:r w:rsidR="00A677FC" w:rsidRPr="00774FA7">
        <w:rPr>
          <w:rFonts w:ascii="Times New Roman" w:eastAsia="Calibri" w:hAnsi="Times New Roman" w:cs="Times New Roman"/>
          <w:sz w:val="24"/>
          <w:szCs w:val="24"/>
        </w:rPr>
        <w:t>oraz</w:t>
      </w:r>
      <w:r w:rsidR="0096448F" w:rsidRPr="00774FA7">
        <w:rPr>
          <w:rFonts w:ascii="Times New Roman" w:eastAsia="Calibri" w:hAnsi="Times New Roman" w:cs="Times New Roman"/>
          <w:sz w:val="24"/>
          <w:szCs w:val="24"/>
        </w:rPr>
        <w:t xml:space="preserve"> jego</w:t>
      </w:r>
      <w:r w:rsidR="00A677FC" w:rsidRPr="00774FA7">
        <w:rPr>
          <w:rFonts w:ascii="Times New Roman" w:eastAsia="Calibri" w:hAnsi="Times New Roman" w:cs="Times New Roman"/>
          <w:sz w:val="24"/>
          <w:szCs w:val="24"/>
        </w:rPr>
        <w:t xml:space="preserve"> wymiany</w:t>
      </w:r>
      <w:r w:rsidR="006D6586" w:rsidRPr="00774FA7">
        <w:rPr>
          <w:rFonts w:ascii="Times New Roman" w:eastAsia="Calibri" w:hAnsi="Times New Roman" w:cs="Times New Roman"/>
          <w:sz w:val="24"/>
          <w:szCs w:val="24"/>
        </w:rPr>
        <w:t>.</w:t>
      </w:r>
      <w:r w:rsidR="00076C40" w:rsidRPr="00774FA7">
        <w:rPr>
          <w:rFonts w:ascii="Times New Roman" w:eastAsia="Calibri" w:hAnsi="Times New Roman" w:cs="Times New Roman"/>
          <w:sz w:val="24"/>
          <w:szCs w:val="24"/>
        </w:rPr>
        <w:t xml:space="preserve"> </w:t>
      </w:r>
      <w:r w:rsidR="006D6586" w:rsidRPr="00774FA7">
        <w:rPr>
          <w:rFonts w:ascii="Times New Roman" w:eastAsia="Calibri" w:hAnsi="Times New Roman" w:cs="Times New Roman"/>
          <w:sz w:val="24"/>
          <w:szCs w:val="24"/>
        </w:rPr>
        <w:t>W</w:t>
      </w:r>
      <w:r w:rsidR="00076C40" w:rsidRPr="00774FA7">
        <w:rPr>
          <w:rFonts w:ascii="Times New Roman" w:eastAsia="Calibri" w:hAnsi="Times New Roman" w:cs="Times New Roman"/>
          <w:sz w:val="24"/>
          <w:szCs w:val="24"/>
        </w:rPr>
        <w:t xml:space="preserve"> rejestrze pobytu obywateli UE będą przechowywane również </w:t>
      </w:r>
      <w:r w:rsidR="00A677FC" w:rsidRPr="00774FA7">
        <w:rPr>
          <w:rFonts w:ascii="Times New Roman" w:eastAsia="Calibri" w:hAnsi="Times New Roman" w:cs="Times New Roman"/>
          <w:sz w:val="24"/>
          <w:szCs w:val="24"/>
        </w:rPr>
        <w:t>dane o zarejestrowaniu pobytu obywateli Zjednoczonego Królestwa</w:t>
      </w:r>
      <w:r w:rsidR="00076C40" w:rsidRPr="00774FA7">
        <w:rPr>
          <w:rFonts w:ascii="Times New Roman" w:eastAsia="Calibri" w:hAnsi="Times New Roman" w:cs="Times New Roman"/>
          <w:sz w:val="24"/>
          <w:szCs w:val="24"/>
        </w:rPr>
        <w:t xml:space="preserve"> </w:t>
      </w:r>
    </w:p>
    <w:p w14:paraId="708D9CC3" w14:textId="0801E27B" w:rsidR="0096448F" w:rsidRPr="00774FA7" w:rsidRDefault="0096448F"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w:t>
      </w:r>
      <w:r w:rsidR="00076C40" w:rsidRPr="00774FA7">
        <w:rPr>
          <w:rFonts w:ascii="Times New Roman" w:eastAsia="Calibri" w:hAnsi="Times New Roman" w:cs="Times New Roman"/>
          <w:sz w:val="24"/>
          <w:szCs w:val="24"/>
        </w:rPr>
        <w:t xml:space="preserve">art. 80 </w:t>
      </w:r>
      <w:r w:rsidRPr="00774FA7">
        <w:rPr>
          <w:rFonts w:ascii="Times New Roman" w:eastAsia="Calibri" w:hAnsi="Times New Roman" w:cs="Times New Roman"/>
          <w:sz w:val="24"/>
          <w:szCs w:val="24"/>
        </w:rPr>
        <w:t xml:space="preserve">w </w:t>
      </w:r>
      <w:r w:rsidR="00076C40" w:rsidRPr="00774FA7">
        <w:rPr>
          <w:rFonts w:ascii="Times New Roman" w:eastAsia="Calibri" w:hAnsi="Times New Roman" w:cs="Times New Roman"/>
          <w:sz w:val="24"/>
          <w:szCs w:val="24"/>
        </w:rPr>
        <w:t>pkt 2</w:t>
      </w:r>
      <w:r w:rsidRPr="00774FA7">
        <w:rPr>
          <w:rFonts w:ascii="Times New Roman" w:eastAsia="Calibri" w:hAnsi="Times New Roman" w:cs="Times New Roman"/>
          <w:sz w:val="24"/>
          <w:szCs w:val="24"/>
        </w:rPr>
        <w:t xml:space="preserve"> zmieniane lit. a i b</w:t>
      </w:r>
      <w:r w:rsidR="00076C40" w:rsidRPr="00774FA7">
        <w:rPr>
          <w:rFonts w:ascii="Times New Roman" w:eastAsia="Calibri" w:hAnsi="Times New Roman" w:cs="Times New Roman"/>
          <w:sz w:val="24"/>
          <w:szCs w:val="24"/>
        </w:rPr>
        <w:t xml:space="preserve"> są efektem zmiany terminologii w przepisach ustawy o wjeździe obywateli UE</w:t>
      </w:r>
      <w:r w:rsidR="00A677FC" w:rsidRPr="00774FA7">
        <w:t xml:space="preserve"> </w:t>
      </w:r>
      <w:r w:rsidR="00A677FC" w:rsidRPr="00774FA7">
        <w:rPr>
          <w:rFonts w:ascii="Times New Roman" w:eastAsia="Calibri" w:hAnsi="Times New Roman" w:cs="Times New Roman"/>
          <w:sz w:val="24"/>
          <w:szCs w:val="24"/>
        </w:rPr>
        <w:t>oraz wprowadzenia procedury wydania nowe</w:t>
      </w:r>
      <w:r w:rsidRPr="00774FA7">
        <w:rPr>
          <w:rFonts w:ascii="Times New Roman" w:eastAsia="Calibri" w:hAnsi="Times New Roman" w:cs="Times New Roman"/>
          <w:sz w:val="24"/>
          <w:szCs w:val="24"/>
        </w:rPr>
        <w:t>j</w:t>
      </w:r>
      <w:r w:rsidR="00A677FC"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karty pobytowej </w:t>
      </w:r>
      <w:r w:rsidR="00A677FC" w:rsidRPr="00774FA7">
        <w:rPr>
          <w:rFonts w:ascii="Times New Roman" w:eastAsia="Calibri" w:hAnsi="Times New Roman" w:cs="Times New Roman"/>
          <w:sz w:val="24"/>
          <w:szCs w:val="24"/>
        </w:rPr>
        <w:t xml:space="preserve">oraz </w:t>
      </w:r>
      <w:r w:rsidRPr="00774FA7">
        <w:rPr>
          <w:rFonts w:ascii="Times New Roman" w:eastAsia="Calibri" w:hAnsi="Times New Roman" w:cs="Times New Roman"/>
          <w:sz w:val="24"/>
          <w:szCs w:val="24"/>
        </w:rPr>
        <w:t xml:space="preserve">jej </w:t>
      </w:r>
      <w:r w:rsidR="00A677FC" w:rsidRPr="00774FA7">
        <w:rPr>
          <w:rFonts w:ascii="Times New Roman" w:eastAsia="Calibri" w:hAnsi="Times New Roman" w:cs="Times New Roman"/>
          <w:sz w:val="24"/>
          <w:szCs w:val="24"/>
        </w:rPr>
        <w:t>wymiany</w:t>
      </w:r>
      <w:r w:rsidR="00076C40" w:rsidRPr="00774FA7">
        <w:rPr>
          <w:rFonts w:ascii="Times New Roman" w:eastAsia="Calibri" w:hAnsi="Times New Roman" w:cs="Times New Roman"/>
          <w:sz w:val="24"/>
          <w:szCs w:val="24"/>
        </w:rPr>
        <w:t xml:space="preserve">. </w:t>
      </w:r>
      <w:r w:rsidR="008321F7" w:rsidRPr="00774FA7">
        <w:rPr>
          <w:rFonts w:ascii="Times New Roman" w:eastAsia="Calibri" w:hAnsi="Times New Roman" w:cs="Times New Roman"/>
          <w:sz w:val="24"/>
          <w:szCs w:val="24"/>
        </w:rPr>
        <w:t>Podobnie modyfikacje w</w:t>
      </w:r>
      <w:r w:rsidRPr="00774FA7">
        <w:rPr>
          <w:rFonts w:ascii="Times New Roman" w:eastAsia="Calibri" w:hAnsi="Times New Roman" w:cs="Times New Roman"/>
          <w:sz w:val="24"/>
          <w:szCs w:val="24"/>
        </w:rPr>
        <w:t xml:space="preserve"> art. 80 w pkt 3 </w:t>
      </w:r>
      <w:r w:rsidR="008321F7" w:rsidRPr="00774FA7">
        <w:rPr>
          <w:rFonts w:ascii="Times New Roman" w:eastAsia="Calibri" w:hAnsi="Times New Roman" w:cs="Times New Roman"/>
          <w:sz w:val="24"/>
          <w:szCs w:val="24"/>
        </w:rPr>
        <w:t>w</w:t>
      </w:r>
      <w:r w:rsidRPr="00774FA7">
        <w:rPr>
          <w:rFonts w:ascii="Times New Roman" w:eastAsia="Calibri" w:hAnsi="Times New Roman" w:cs="Times New Roman"/>
          <w:sz w:val="24"/>
          <w:szCs w:val="24"/>
        </w:rPr>
        <w:t xml:space="preserve"> lit. a i b</w:t>
      </w:r>
      <w:r w:rsidR="00E223CF" w:rsidRPr="00774FA7">
        <w:rPr>
          <w:rFonts w:ascii="Times New Roman" w:eastAsia="Calibri" w:hAnsi="Times New Roman" w:cs="Times New Roman"/>
          <w:sz w:val="24"/>
          <w:szCs w:val="24"/>
        </w:rPr>
        <w:t xml:space="preserve"> i pkt 4 lit. a i b</w:t>
      </w:r>
      <w:r w:rsidR="008321F7" w:rsidRPr="00774FA7">
        <w:rPr>
          <w:rFonts w:ascii="Times New Roman" w:eastAsia="Calibri" w:hAnsi="Times New Roman" w:cs="Times New Roman"/>
          <w:sz w:val="24"/>
          <w:szCs w:val="24"/>
        </w:rPr>
        <w:t xml:space="preserve">, które </w:t>
      </w:r>
      <w:r w:rsidRPr="00774FA7">
        <w:rPr>
          <w:rFonts w:ascii="Times New Roman" w:eastAsia="Calibri" w:hAnsi="Times New Roman" w:cs="Times New Roman"/>
          <w:sz w:val="24"/>
          <w:szCs w:val="24"/>
        </w:rPr>
        <w:t>są efektem zmiany terminologii w przepisach ustawy o wjeździe obywateli UE</w:t>
      </w:r>
      <w:r w:rsidRPr="00774FA7">
        <w:t xml:space="preserve"> </w:t>
      </w:r>
      <w:r w:rsidRPr="00774FA7">
        <w:rPr>
          <w:rFonts w:ascii="Times New Roman" w:eastAsia="Calibri" w:hAnsi="Times New Roman" w:cs="Times New Roman"/>
          <w:sz w:val="24"/>
          <w:szCs w:val="24"/>
        </w:rPr>
        <w:t>oraz wprowadzenia procedury wydania nowego dokumentu potwierdzającego prawo stałego pobytu oraz jego wymiany.</w:t>
      </w:r>
    </w:p>
    <w:p w14:paraId="74499F5E" w14:textId="373A5281" w:rsidR="0096448F"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Dotychczasow</w:t>
      </w:r>
      <w:r w:rsidR="008321F7" w:rsidRPr="00774FA7">
        <w:rPr>
          <w:rFonts w:ascii="Times New Roman" w:eastAsia="Calibri" w:hAnsi="Times New Roman" w:cs="Times New Roman"/>
          <w:sz w:val="24"/>
          <w:szCs w:val="24"/>
        </w:rPr>
        <w:t>e sformułowanie</w:t>
      </w:r>
      <w:r w:rsidRPr="00774FA7">
        <w:rPr>
          <w:rFonts w:ascii="Times New Roman" w:eastAsia="Calibri" w:hAnsi="Times New Roman" w:cs="Times New Roman"/>
          <w:sz w:val="24"/>
          <w:szCs w:val="24"/>
        </w:rPr>
        <w:t xml:space="preserve"> „termin upływu ważności” został</w:t>
      </w:r>
      <w:r w:rsidR="003A192B">
        <w:rPr>
          <w:rFonts w:ascii="Times New Roman" w:eastAsia="Calibri" w:hAnsi="Times New Roman" w:cs="Times New Roman"/>
          <w:sz w:val="24"/>
          <w:szCs w:val="24"/>
        </w:rPr>
        <w:t>o</w:t>
      </w:r>
      <w:r w:rsidRPr="00774FA7">
        <w:rPr>
          <w:rFonts w:ascii="Times New Roman" w:eastAsia="Calibri" w:hAnsi="Times New Roman" w:cs="Times New Roman"/>
          <w:sz w:val="24"/>
          <w:szCs w:val="24"/>
        </w:rPr>
        <w:t xml:space="preserve"> zastąpion</w:t>
      </w:r>
      <w:r w:rsidR="003A192B">
        <w:rPr>
          <w:rFonts w:ascii="Times New Roman" w:eastAsia="Calibri" w:hAnsi="Times New Roman" w:cs="Times New Roman"/>
          <w:sz w:val="24"/>
          <w:szCs w:val="24"/>
        </w:rPr>
        <w:t>e</w:t>
      </w:r>
      <w:r w:rsidRPr="00774FA7">
        <w:rPr>
          <w:rFonts w:ascii="Times New Roman" w:eastAsia="Calibri" w:hAnsi="Times New Roman" w:cs="Times New Roman"/>
          <w:sz w:val="24"/>
          <w:szCs w:val="24"/>
        </w:rPr>
        <w:t xml:space="preserve"> „datą upływu </w:t>
      </w:r>
      <w:r w:rsidR="0096448F" w:rsidRPr="00774FA7">
        <w:rPr>
          <w:rFonts w:ascii="Times New Roman" w:eastAsia="Calibri" w:hAnsi="Times New Roman" w:cs="Times New Roman"/>
          <w:sz w:val="24"/>
          <w:szCs w:val="24"/>
        </w:rPr>
        <w:t xml:space="preserve">okresu </w:t>
      </w:r>
      <w:r w:rsidRPr="00774FA7">
        <w:rPr>
          <w:rFonts w:ascii="Times New Roman" w:eastAsia="Calibri" w:hAnsi="Times New Roman" w:cs="Times New Roman"/>
          <w:sz w:val="24"/>
          <w:szCs w:val="24"/>
        </w:rPr>
        <w:t xml:space="preserve">ważności”. Powyższe odpowiada terminologii przyjętej w tym zakresie w ustawie o cudzoziemcach. </w:t>
      </w:r>
    </w:p>
    <w:p w14:paraId="03CF0971" w14:textId="64D7D3DD" w:rsidR="008321F7"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 xml:space="preserve">Dodatkowo </w:t>
      </w:r>
      <w:r w:rsidR="008321F7" w:rsidRPr="00774FA7">
        <w:rPr>
          <w:rFonts w:ascii="Times New Roman" w:eastAsia="Calibri" w:hAnsi="Times New Roman" w:cs="Times New Roman"/>
          <w:sz w:val="24"/>
          <w:szCs w:val="24"/>
        </w:rPr>
        <w:t xml:space="preserve">ww. przepisy </w:t>
      </w:r>
      <w:r w:rsidRPr="00774FA7">
        <w:rPr>
          <w:rFonts w:ascii="Times New Roman" w:eastAsia="Calibri" w:hAnsi="Times New Roman" w:cs="Times New Roman"/>
          <w:sz w:val="24"/>
          <w:szCs w:val="24"/>
        </w:rPr>
        <w:t xml:space="preserve">przewidują, iż w rejestrze </w:t>
      </w:r>
      <w:r w:rsidR="000B6766" w:rsidRPr="00774FA7">
        <w:rPr>
          <w:rFonts w:ascii="Times New Roman" w:eastAsia="Calibri" w:hAnsi="Times New Roman" w:cs="Times New Roman"/>
          <w:sz w:val="24"/>
          <w:szCs w:val="24"/>
        </w:rPr>
        <w:t xml:space="preserve">pobytu obywateli UE, będzie przechowywany obraz linii papilarnych obywateli Zjednoczonego Królestwa, zgodnie z regulacjami  </w:t>
      </w:r>
      <w:r w:rsidR="00AD458A">
        <w:rPr>
          <w:rFonts w:ascii="Times New Roman" w:eastAsia="Calibri" w:hAnsi="Times New Roman" w:cs="Times New Roman"/>
          <w:sz w:val="24"/>
          <w:szCs w:val="24"/>
        </w:rPr>
        <w:t>D</w:t>
      </w:r>
      <w:r w:rsidR="000B6766" w:rsidRPr="00774FA7">
        <w:rPr>
          <w:rFonts w:ascii="Times New Roman" w:eastAsia="Calibri" w:hAnsi="Times New Roman" w:cs="Times New Roman"/>
          <w:sz w:val="24"/>
          <w:szCs w:val="24"/>
        </w:rPr>
        <w:t>ecyzji wykonawczej nr C(2020) 1114.</w:t>
      </w:r>
      <w:r w:rsidR="00D66D57" w:rsidRPr="00774FA7">
        <w:rPr>
          <w:rFonts w:ascii="Times New Roman" w:eastAsia="Calibri" w:hAnsi="Times New Roman" w:cs="Times New Roman"/>
          <w:sz w:val="24"/>
          <w:szCs w:val="24"/>
        </w:rPr>
        <w:t xml:space="preserve"> Powyższe zostało przewidziane w art. 80 pkt 1 lit. g</w:t>
      </w:r>
      <w:r w:rsidR="00464CB4" w:rsidRPr="00774FA7">
        <w:rPr>
          <w:rFonts w:ascii="Times New Roman" w:eastAsia="Calibri" w:hAnsi="Times New Roman" w:cs="Times New Roman"/>
          <w:sz w:val="24"/>
          <w:szCs w:val="24"/>
        </w:rPr>
        <w:t xml:space="preserve"> oraz pkt 3 lit d</w:t>
      </w:r>
      <w:r w:rsidR="00D66D57" w:rsidRPr="00774FA7">
        <w:rPr>
          <w:rFonts w:ascii="Times New Roman" w:eastAsia="Calibri" w:hAnsi="Times New Roman" w:cs="Times New Roman"/>
          <w:sz w:val="24"/>
          <w:szCs w:val="24"/>
        </w:rPr>
        <w:t xml:space="preserve">. </w:t>
      </w:r>
      <w:r w:rsidR="000B6766" w:rsidRPr="00774FA7">
        <w:rPr>
          <w:rFonts w:ascii="Times New Roman" w:eastAsia="Calibri" w:hAnsi="Times New Roman" w:cs="Times New Roman"/>
          <w:sz w:val="24"/>
          <w:szCs w:val="24"/>
        </w:rPr>
        <w:t xml:space="preserve"> </w:t>
      </w:r>
    </w:p>
    <w:p w14:paraId="473CAE7B" w14:textId="5B0C036F" w:rsidR="0096448F" w:rsidRPr="00774FA7" w:rsidRDefault="000B6766"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Natomiast</w:t>
      </w:r>
      <w:r w:rsidRPr="00774FA7">
        <w:t xml:space="preserve"> </w:t>
      </w:r>
      <w:r w:rsidRPr="00774FA7">
        <w:rPr>
          <w:rFonts w:ascii="Times New Roman" w:eastAsia="Calibri" w:hAnsi="Times New Roman" w:cs="Times New Roman"/>
          <w:sz w:val="24"/>
          <w:szCs w:val="24"/>
        </w:rPr>
        <w:t xml:space="preserve">w rejestrze </w:t>
      </w:r>
      <w:r w:rsidR="00076C40" w:rsidRPr="00774FA7">
        <w:rPr>
          <w:rFonts w:ascii="Times New Roman" w:eastAsia="Calibri" w:hAnsi="Times New Roman" w:cs="Times New Roman"/>
          <w:sz w:val="24"/>
          <w:szCs w:val="24"/>
        </w:rPr>
        <w:t>kart pobytowych oraz w rejestrze kart stałego pobytu, będzie przechowywany obraz linii papilarnych członka rodziny niebędącego obywatelem UE</w:t>
      </w:r>
      <w:r w:rsidR="00A677FC" w:rsidRPr="00774FA7">
        <w:rPr>
          <w:rFonts w:ascii="Times New Roman" w:eastAsia="Calibri" w:hAnsi="Times New Roman" w:cs="Times New Roman"/>
          <w:sz w:val="24"/>
          <w:szCs w:val="24"/>
        </w:rPr>
        <w:t xml:space="preserve"> oraz członków rodziny obywateli Zjednoczonego Królestwa</w:t>
      </w:r>
      <w:r w:rsidR="00076C40" w:rsidRPr="00774FA7">
        <w:rPr>
          <w:rFonts w:ascii="Times New Roman" w:eastAsia="Calibri" w:hAnsi="Times New Roman" w:cs="Times New Roman"/>
          <w:sz w:val="24"/>
          <w:szCs w:val="24"/>
        </w:rPr>
        <w:t xml:space="preserve">. </w:t>
      </w:r>
      <w:r w:rsidR="00D66D57" w:rsidRPr="00774FA7">
        <w:rPr>
          <w:rFonts w:ascii="Times New Roman" w:eastAsia="Calibri" w:hAnsi="Times New Roman" w:cs="Times New Roman"/>
          <w:sz w:val="24"/>
          <w:szCs w:val="24"/>
        </w:rPr>
        <w:t xml:space="preserve">Powyższe zostało przewidziane w art. 80 pkt 2 lit. d. i pkt </w:t>
      </w:r>
      <w:r w:rsidR="00E223CF" w:rsidRPr="00774FA7">
        <w:rPr>
          <w:rFonts w:ascii="Times New Roman" w:eastAsia="Calibri" w:hAnsi="Times New Roman" w:cs="Times New Roman"/>
          <w:sz w:val="24"/>
          <w:szCs w:val="24"/>
        </w:rPr>
        <w:t>4</w:t>
      </w:r>
      <w:r w:rsidR="00D66D57" w:rsidRPr="00774FA7">
        <w:rPr>
          <w:rFonts w:ascii="Times New Roman" w:eastAsia="Calibri" w:hAnsi="Times New Roman" w:cs="Times New Roman"/>
          <w:sz w:val="24"/>
          <w:szCs w:val="24"/>
        </w:rPr>
        <w:t xml:space="preserve"> lit. d. Z</w:t>
      </w:r>
      <w:r w:rsidR="00076C40" w:rsidRPr="00774FA7">
        <w:rPr>
          <w:rFonts w:ascii="Times New Roman" w:eastAsia="Calibri" w:hAnsi="Times New Roman" w:cs="Times New Roman"/>
          <w:sz w:val="24"/>
          <w:szCs w:val="24"/>
        </w:rPr>
        <w:t xml:space="preserve">miana </w:t>
      </w:r>
      <w:r w:rsidR="00D66D57" w:rsidRPr="00774FA7">
        <w:rPr>
          <w:rFonts w:ascii="Times New Roman" w:eastAsia="Calibri" w:hAnsi="Times New Roman" w:cs="Times New Roman"/>
          <w:sz w:val="24"/>
          <w:szCs w:val="24"/>
        </w:rPr>
        <w:t xml:space="preserve">ta </w:t>
      </w:r>
      <w:r w:rsidR="00076C40" w:rsidRPr="00774FA7">
        <w:rPr>
          <w:rFonts w:ascii="Times New Roman" w:eastAsia="Calibri" w:hAnsi="Times New Roman" w:cs="Times New Roman"/>
          <w:sz w:val="24"/>
          <w:szCs w:val="24"/>
        </w:rPr>
        <w:t xml:space="preserve">wynika z wprowadzenia w ustawie o wjeździe obywateli UE rozwiązań prawnych przewidujących zamieszczanie obrazu linii papilarnych w karcie pobytowej oraz w karcie stałego pobytu. </w:t>
      </w:r>
    </w:p>
    <w:p w14:paraId="0779C010" w14:textId="546C1C42" w:rsidR="00076C40" w:rsidRPr="00774FA7" w:rsidRDefault="003A192B"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076C40" w:rsidRPr="00774FA7">
        <w:rPr>
          <w:rFonts w:ascii="Times New Roman" w:eastAsia="Calibri" w:hAnsi="Times New Roman" w:cs="Times New Roman"/>
          <w:sz w:val="24"/>
          <w:szCs w:val="24"/>
        </w:rPr>
        <w:t xml:space="preserve">rt. 80 został </w:t>
      </w:r>
      <w:r>
        <w:rPr>
          <w:rFonts w:ascii="Times New Roman" w:eastAsia="Calibri" w:hAnsi="Times New Roman" w:cs="Times New Roman"/>
          <w:sz w:val="24"/>
          <w:szCs w:val="24"/>
        </w:rPr>
        <w:t xml:space="preserve">ponadto </w:t>
      </w:r>
      <w:r w:rsidR="00076C40" w:rsidRPr="00774FA7">
        <w:rPr>
          <w:rFonts w:ascii="Times New Roman" w:eastAsia="Calibri" w:hAnsi="Times New Roman" w:cs="Times New Roman"/>
          <w:sz w:val="24"/>
          <w:szCs w:val="24"/>
        </w:rPr>
        <w:t>uzupełniony o pkt 5, w którym określono zakres danych przechowywanych w rejestrze wydanych zaświadczeń, o których mowa w art. 41</w:t>
      </w:r>
      <w:r w:rsidR="007120E9" w:rsidRPr="00774FA7">
        <w:rPr>
          <w:rFonts w:ascii="Times New Roman" w:eastAsia="Calibri" w:hAnsi="Times New Roman" w:cs="Times New Roman"/>
          <w:sz w:val="24"/>
          <w:szCs w:val="24"/>
        </w:rPr>
        <w:t>a</w:t>
      </w:r>
      <w:r w:rsidR="00076C40" w:rsidRPr="00774FA7">
        <w:rPr>
          <w:rFonts w:ascii="Times New Roman" w:eastAsia="Calibri" w:hAnsi="Times New Roman" w:cs="Times New Roman"/>
          <w:sz w:val="24"/>
          <w:szCs w:val="24"/>
        </w:rPr>
        <w:t>. Powyższe jest konsekwencją wprowadzenia instytucji zaświadczenia dla obywatela UE lub członka rodziny obywatela UE potwierdzającego istnienie domniemania, że są ofiarami handlu ludźmi w rozumieniu art. 115 § 22 Kodeksu karnego.</w:t>
      </w:r>
    </w:p>
    <w:p w14:paraId="7D5556B3" w14:textId="28C8C881" w:rsidR="006A6D31"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Projektowane przepisy ustawy o wjeździe obywateli UE przewidują również dodanie art. 80a</w:t>
      </w:r>
      <w:r w:rsidR="00464CB4" w:rsidRPr="00774FA7">
        <w:rPr>
          <w:rFonts w:ascii="Times New Roman" w:eastAsia="Calibri" w:hAnsi="Times New Roman" w:cs="Times New Roman"/>
          <w:sz w:val="24"/>
          <w:szCs w:val="24"/>
        </w:rPr>
        <w:t xml:space="preserve"> oraz art. 80b</w:t>
      </w:r>
      <w:r w:rsidRPr="00774FA7">
        <w:rPr>
          <w:rFonts w:ascii="Times New Roman" w:eastAsia="Calibri" w:hAnsi="Times New Roman" w:cs="Times New Roman"/>
          <w:sz w:val="24"/>
          <w:szCs w:val="24"/>
        </w:rPr>
        <w:t xml:space="preserve">, który stanowi, iż odciski linii papilarnych </w:t>
      </w:r>
      <w:r w:rsidR="00D83809" w:rsidRPr="00D83809">
        <w:rPr>
          <w:rFonts w:ascii="Times New Roman" w:eastAsia="Calibri" w:hAnsi="Times New Roman" w:cs="Times New Roman"/>
          <w:sz w:val="24"/>
          <w:szCs w:val="24"/>
        </w:rPr>
        <w:t xml:space="preserve">pobranych w celu zarejestrowania pobytu obywatela Zjednoczonego Królestwa, wydania nowego lub wymiany zaświadczenia o zarejestrowaniu pobytu lub wydania dokumentu potwierdzającego prawo stałego pobytu obywatela Zjednoczonego Królestwa, wydania nowego lub wymiany dokumentu potwierdzającego prawo stałego pobytu </w:t>
      </w:r>
      <w:r w:rsidRPr="00774FA7">
        <w:rPr>
          <w:rFonts w:ascii="Times New Roman" w:eastAsia="Calibri" w:hAnsi="Times New Roman" w:cs="Times New Roman"/>
          <w:sz w:val="24"/>
          <w:szCs w:val="24"/>
        </w:rPr>
        <w:t xml:space="preserve">będą przechowywane w rejestrach kart pobytowych oraz kart stałego pobytu do czasu wpisania do tych rejestrów potwierdzenia odbioru </w:t>
      </w:r>
      <w:r w:rsidR="000B6766" w:rsidRPr="00774FA7">
        <w:rPr>
          <w:rFonts w:ascii="Times New Roman" w:eastAsia="Calibri" w:hAnsi="Times New Roman" w:cs="Times New Roman"/>
          <w:sz w:val="24"/>
          <w:szCs w:val="24"/>
        </w:rPr>
        <w:t xml:space="preserve">zaświadczenia o zarejestrowaniu pobytu lub </w:t>
      </w:r>
      <w:r w:rsidRPr="00774FA7">
        <w:rPr>
          <w:rFonts w:ascii="Times New Roman" w:eastAsia="Calibri" w:hAnsi="Times New Roman" w:cs="Times New Roman"/>
          <w:sz w:val="24"/>
          <w:szCs w:val="24"/>
        </w:rPr>
        <w:t>tych kart przez organ, który je wydał, nie dłużej niż 90 dni od daty wydania tych kart. Powyższe stanowi dostosowanie polskich przepisów do uregulowań art. 10 ust. 3 rozporządzeniem Rady (UE) 2019/1157</w:t>
      </w:r>
      <w:r w:rsidR="00E8207B" w:rsidRPr="00774FA7">
        <w:rPr>
          <w:rFonts w:ascii="Times New Roman" w:eastAsia="Calibri" w:hAnsi="Times New Roman" w:cs="Times New Roman"/>
          <w:sz w:val="24"/>
          <w:szCs w:val="24"/>
        </w:rPr>
        <w:t xml:space="preserve"> oraz </w:t>
      </w:r>
      <w:r w:rsidR="00AD458A">
        <w:rPr>
          <w:rFonts w:ascii="Times New Roman" w:eastAsia="Calibri" w:hAnsi="Times New Roman" w:cs="Times New Roman"/>
          <w:sz w:val="24"/>
          <w:szCs w:val="24"/>
        </w:rPr>
        <w:t>D</w:t>
      </w:r>
      <w:r w:rsidR="00E8207B" w:rsidRPr="00774FA7">
        <w:rPr>
          <w:rFonts w:ascii="Times New Roman" w:eastAsia="Calibri" w:hAnsi="Times New Roman" w:cs="Times New Roman"/>
          <w:sz w:val="24"/>
          <w:szCs w:val="24"/>
        </w:rPr>
        <w:t>ecyzji wykonawczej nr C(2020) 1114</w:t>
      </w:r>
      <w:r w:rsidRPr="00774FA7">
        <w:rPr>
          <w:rFonts w:ascii="Times New Roman" w:eastAsia="Calibri" w:hAnsi="Times New Roman" w:cs="Times New Roman"/>
          <w:sz w:val="24"/>
          <w:szCs w:val="24"/>
        </w:rPr>
        <w:t xml:space="preserve">. </w:t>
      </w:r>
    </w:p>
    <w:p w14:paraId="64C9DDEF" w14:textId="4495C1AD" w:rsidR="00076C40" w:rsidRDefault="00CC10C0" w:rsidP="004F6DC6">
      <w:pPr>
        <w:spacing w:after="0" w:line="288" w:lineRule="auto"/>
        <w:ind w:firstLine="708"/>
        <w:jc w:val="both"/>
        <w:rPr>
          <w:rFonts w:ascii="Times New Roman" w:eastAsia="Calibri" w:hAnsi="Times New Roman" w:cs="Times New Roman"/>
          <w:sz w:val="24"/>
          <w:szCs w:val="24"/>
        </w:rPr>
      </w:pPr>
      <w:r w:rsidRPr="00CC10C0">
        <w:rPr>
          <w:rFonts w:ascii="Times New Roman" w:eastAsia="Calibri" w:hAnsi="Times New Roman" w:cs="Times New Roman"/>
          <w:sz w:val="24"/>
          <w:szCs w:val="24"/>
        </w:rPr>
        <w:t>Zaproponowan</w:t>
      </w:r>
      <w:r w:rsidR="006A6D31">
        <w:rPr>
          <w:rFonts w:ascii="Times New Roman" w:eastAsia="Calibri" w:hAnsi="Times New Roman" w:cs="Times New Roman"/>
          <w:sz w:val="24"/>
          <w:szCs w:val="24"/>
        </w:rPr>
        <w:t>e</w:t>
      </w:r>
      <w:r w:rsidRPr="00CC10C0">
        <w:rPr>
          <w:rFonts w:ascii="Times New Roman" w:eastAsia="Calibri" w:hAnsi="Times New Roman" w:cs="Times New Roman"/>
          <w:sz w:val="24"/>
          <w:szCs w:val="24"/>
        </w:rPr>
        <w:t xml:space="preserve"> w projekcie rozwiązania </w:t>
      </w:r>
      <w:r>
        <w:rPr>
          <w:rFonts w:ascii="Times New Roman" w:eastAsia="Calibri" w:hAnsi="Times New Roman" w:cs="Times New Roman"/>
          <w:sz w:val="24"/>
          <w:szCs w:val="24"/>
        </w:rPr>
        <w:t xml:space="preserve">dotyczące przechowywania odcisków linii papilarnych </w:t>
      </w:r>
      <w:r w:rsidRPr="00CC10C0">
        <w:rPr>
          <w:rFonts w:ascii="Times New Roman" w:eastAsia="Calibri" w:hAnsi="Times New Roman" w:cs="Times New Roman"/>
          <w:sz w:val="24"/>
          <w:szCs w:val="24"/>
        </w:rPr>
        <w:t>są w pełni zgodnie z art. 10 ust. 3 rozp</w:t>
      </w:r>
      <w:r>
        <w:rPr>
          <w:rFonts w:ascii="Times New Roman" w:eastAsia="Calibri" w:hAnsi="Times New Roman" w:cs="Times New Roman"/>
          <w:sz w:val="24"/>
          <w:szCs w:val="24"/>
        </w:rPr>
        <w:t>orządzeniem Rady (UE) 2019/1157</w:t>
      </w:r>
      <w:r w:rsidRPr="00CC10C0">
        <w:rPr>
          <w:rFonts w:ascii="Times New Roman" w:eastAsia="Calibri" w:hAnsi="Times New Roman" w:cs="Times New Roman"/>
          <w:sz w:val="24"/>
          <w:szCs w:val="24"/>
        </w:rPr>
        <w:t>, który stanowi, iż poza przypadkami, gdy jest to wymagane w celu przetwarzania zgodnie z prawem Unii i prawem krajowym, identyfikatory biometryczne gromadzone na potrzeby personalizacji dowodów osobistych lub dokumentów pobytowych są przechowywane w wysoce bezpieczny sposób i wyłącznie do dnia odbioru dokumentu, a w każdym razie nie dłużej niż 90 dni od daty wydania tego dokumentu. Po upływie tego okresu identyfikatory biometryczne zostają natychmiast</w:t>
      </w:r>
      <w:r>
        <w:rPr>
          <w:rFonts w:ascii="Times New Roman" w:eastAsia="Calibri" w:hAnsi="Times New Roman" w:cs="Times New Roman"/>
          <w:sz w:val="24"/>
          <w:szCs w:val="24"/>
        </w:rPr>
        <w:t xml:space="preserve"> </w:t>
      </w:r>
      <w:r w:rsidRPr="00CC10C0">
        <w:rPr>
          <w:rFonts w:ascii="Times New Roman" w:eastAsia="Calibri" w:hAnsi="Times New Roman" w:cs="Times New Roman"/>
          <w:sz w:val="24"/>
          <w:szCs w:val="24"/>
        </w:rPr>
        <w:t xml:space="preserve">usunięte lub zniszczone. Zaproponowany w projekcie okres przechowywania danych biometrycznych członka rodziny niebędącego obywatelem UE jest w ocenie projektodawcy optymalny i niezbędny w celu prawidłowego przeprowadzenie postępowania w sprawie wydania karty pobytowej lub karty stałego pobytu. Należy podkreślić, iż dane biometryczne w postaci odcisków linii papilarnych są pobierane w momencie składania wniosku o wydanie karty pobytowej lub karty stałego pobytu, w celu zamieszczenia ich na ww. dokumentach, a następnie weryfikowane przy odbiorze dokumentów. Postepowania administracyjne w sprawie wydania karty pobytowej lub karty stałego pobytu mogą być zgodnie z art. 22 ustawy o wjeździe obywateli UE prowadzone </w:t>
      </w:r>
      <w:r w:rsidRPr="00CC10C0">
        <w:rPr>
          <w:rFonts w:ascii="Times New Roman" w:eastAsia="Calibri" w:hAnsi="Times New Roman" w:cs="Times New Roman"/>
          <w:sz w:val="24"/>
          <w:szCs w:val="24"/>
        </w:rPr>
        <w:lastRenderedPageBreak/>
        <w:t xml:space="preserve">maksymalnie 6 miesięcy. Konieczne jest zatem umożliwienie przechowywania ww. danych w systemie, aż do momentu spersonalizowania karty pobytowej lub karty stałego pobytu oraz odbioru tych dokumentów, tak aby nie tracić opisanych wyżej danych oraz nie wzywać członka rodziny niebędącego obywatelem UE w celu ponownego pobrania odcisków linii papilarnych w sytuacji przedłużającego się postępowania administracyjnego. </w:t>
      </w:r>
      <w:r w:rsidR="00076C40" w:rsidRPr="00774FA7">
        <w:rPr>
          <w:rFonts w:ascii="Times New Roman" w:eastAsia="Calibri" w:hAnsi="Times New Roman" w:cs="Times New Roman"/>
          <w:sz w:val="24"/>
          <w:szCs w:val="24"/>
        </w:rPr>
        <w:t xml:space="preserve">Natomiast w przypadku wydania decyzji o odmowie </w:t>
      </w:r>
      <w:r w:rsidR="000B6766" w:rsidRPr="00774FA7">
        <w:rPr>
          <w:rFonts w:ascii="Times New Roman" w:eastAsia="Calibri" w:hAnsi="Times New Roman" w:cs="Times New Roman"/>
          <w:sz w:val="24"/>
          <w:szCs w:val="24"/>
        </w:rPr>
        <w:t xml:space="preserve">zarejestrowania pobytu obywatela Zjednoczonego Królestwa lub </w:t>
      </w:r>
      <w:r w:rsidR="00076C40" w:rsidRPr="00774FA7">
        <w:rPr>
          <w:rFonts w:ascii="Times New Roman" w:eastAsia="Calibri" w:hAnsi="Times New Roman" w:cs="Times New Roman"/>
          <w:sz w:val="24"/>
          <w:szCs w:val="24"/>
        </w:rPr>
        <w:t xml:space="preserve">wydania karty pobytowej lub karty stałego pobytu lub decyzji o odmowie ich wymiany, ww. dane będą przechowywane we wskazanych wyżej rejestrach do czasu wpisania informacji o wydaniu tych decyzji do rejestrów, gdy decyzje te stały się prawomocne. Proponowane rozwiązanie jest wzorowane na </w:t>
      </w:r>
      <w:r w:rsidR="003A192B">
        <w:rPr>
          <w:rFonts w:ascii="Times New Roman" w:eastAsia="Calibri" w:hAnsi="Times New Roman" w:cs="Times New Roman"/>
          <w:sz w:val="24"/>
          <w:szCs w:val="24"/>
        </w:rPr>
        <w:t xml:space="preserve">stosowanym i sprawdzonym w praktyce rozwiązaniu, które zostało przewidziane w </w:t>
      </w:r>
      <w:r w:rsidR="00076C40" w:rsidRPr="00774FA7">
        <w:rPr>
          <w:rFonts w:ascii="Times New Roman" w:eastAsia="Calibri" w:hAnsi="Times New Roman" w:cs="Times New Roman"/>
          <w:sz w:val="24"/>
          <w:szCs w:val="24"/>
        </w:rPr>
        <w:t>art. 431 ustawy o cudzoziemcach</w:t>
      </w:r>
      <w:r w:rsidR="003A192B">
        <w:rPr>
          <w:rFonts w:ascii="Times New Roman" w:eastAsia="Calibri" w:hAnsi="Times New Roman" w:cs="Times New Roman"/>
          <w:sz w:val="24"/>
          <w:szCs w:val="24"/>
        </w:rPr>
        <w:t xml:space="preserve">. </w:t>
      </w:r>
    </w:p>
    <w:p w14:paraId="7C5CC9B4" w14:textId="32707737" w:rsidR="007A75D0" w:rsidRPr="00774FA7" w:rsidRDefault="007A75D0" w:rsidP="00406FEB">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Projekt przewiduje także zmianę w przepisach karnych</w:t>
      </w:r>
      <w:r w:rsidR="006A6D31">
        <w:rPr>
          <w:rFonts w:ascii="Times New Roman" w:eastAsia="Calibri" w:hAnsi="Times New Roman" w:cs="Times New Roman"/>
          <w:sz w:val="24"/>
          <w:szCs w:val="24"/>
        </w:rPr>
        <w:t xml:space="preserve"> ustawy o wjeździe obywateli UE</w:t>
      </w:r>
      <w:r>
        <w:rPr>
          <w:rFonts w:ascii="Times New Roman" w:eastAsia="Calibri" w:hAnsi="Times New Roman" w:cs="Times New Roman"/>
          <w:sz w:val="24"/>
          <w:szCs w:val="24"/>
        </w:rPr>
        <w:t xml:space="preserve"> – </w:t>
      </w:r>
      <w:r w:rsidR="006A6D31">
        <w:rPr>
          <w:rFonts w:ascii="Times New Roman" w:eastAsia="Calibri" w:hAnsi="Times New Roman" w:cs="Times New Roman"/>
          <w:sz w:val="24"/>
          <w:szCs w:val="24"/>
        </w:rPr>
        <w:t xml:space="preserve">w </w:t>
      </w:r>
      <w:r>
        <w:rPr>
          <w:rFonts w:ascii="Times New Roman" w:eastAsia="Calibri" w:hAnsi="Times New Roman" w:cs="Times New Roman"/>
          <w:sz w:val="24"/>
          <w:szCs w:val="24"/>
        </w:rPr>
        <w:t xml:space="preserve">art. 81, związaną ze zmianą nazw dokumentów wydawanych członkom rodziny nie będącym obywatelami UE. Dodatkowo zmiana ma na celu dostosowanie przepisów karnych do wprowadzonego wymogu </w:t>
      </w:r>
      <w:r w:rsidRPr="00CB6607">
        <w:rPr>
          <w:rFonts w:ascii="Times New Roman" w:eastAsia="Calibri" w:hAnsi="Times New Roman" w:cs="Times New Roman"/>
          <w:sz w:val="24"/>
          <w:szCs w:val="24"/>
        </w:rPr>
        <w:t>zawiadamia o utracie zaświadczenia o zarejestrowaniu pobytu obywatela UE, karty pobytowej,  dokumentu potwierdzającego prawo stałego pobytu lub karty stałego pobytu</w:t>
      </w:r>
      <w:r>
        <w:rPr>
          <w:rFonts w:ascii="Times New Roman" w:eastAsia="Calibri" w:hAnsi="Times New Roman" w:cs="Times New Roman"/>
          <w:sz w:val="24"/>
          <w:szCs w:val="24"/>
        </w:rPr>
        <w:t xml:space="preserve">. </w:t>
      </w:r>
    </w:p>
    <w:p w14:paraId="2F53F58A" w14:textId="06C6BDBE"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związku ze zmianami ustawy o wjeździe obywateli UE zaproponowanymi w projekcie ustawy konieczne było dostosowanie do przyjętych w projekcie ustawy rozwiązań także innych aktów prawnych zawierających regulacje wymagające zmiany lub uzupełnienia w konsekwencji zmian wprowadzonych w ustawie o wjeździe obywateli UE.</w:t>
      </w:r>
    </w:p>
    <w:p w14:paraId="42FF6F32" w14:textId="41AFC6D5" w:rsidR="00076C40"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Zmiany w art. 5a</w:t>
      </w:r>
      <w:r w:rsidR="00982693">
        <w:rPr>
          <w:rFonts w:ascii="Times New Roman" w:eastAsia="Calibri" w:hAnsi="Times New Roman" w:cs="Times New Roman"/>
          <w:sz w:val="24"/>
          <w:szCs w:val="24"/>
        </w:rPr>
        <w:t>, 18 ust. 1</w:t>
      </w:r>
      <w:r w:rsidR="006A6D31">
        <w:rPr>
          <w:rFonts w:ascii="Times New Roman" w:eastAsia="Calibri" w:hAnsi="Times New Roman" w:cs="Times New Roman"/>
          <w:sz w:val="24"/>
          <w:szCs w:val="24"/>
        </w:rPr>
        <w:t xml:space="preserve"> </w:t>
      </w:r>
      <w:r w:rsidR="006A6D31" w:rsidRPr="006A6D31">
        <w:rPr>
          <w:rFonts w:ascii="Times New Roman" w:eastAsia="Calibri" w:hAnsi="Times New Roman" w:cs="Times New Roman"/>
          <w:sz w:val="24"/>
          <w:szCs w:val="24"/>
        </w:rPr>
        <w:t>pkt 7</w:t>
      </w:r>
      <w:r w:rsidR="00982693">
        <w:rPr>
          <w:rFonts w:ascii="Times New Roman" w:eastAsia="Calibri" w:hAnsi="Times New Roman" w:cs="Times New Roman"/>
          <w:sz w:val="24"/>
          <w:szCs w:val="24"/>
        </w:rPr>
        <w:t>, art. 20 ust. 1 pkt 4,</w:t>
      </w:r>
      <w:r w:rsidRPr="00774FA7">
        <w:rPr>
          <w:rFonts w:ascii="Times New Roman" w:eastAsia="Calibri" w:hAnsi="Times New Roman" w:cs="Times New Roman"/>
          <w:sz w:val="24"/>
          <w:szCs w:val="24"/>
        </w:rPr>
        <w:t xml:space="preserve"> art. 47 ust. 3a</w:t>
      </w:r>
      <w:r w:rsidR="00982693">
        <w:rPr>
          <w:rFonts w:ascii="Times New Roman" w:eastAsia="Calibri" w:hAnsi="Times New Roman" w:cs="Times New Roman"/>
          <w:sz w:val="24"/>
          <w:szCs w:val="24"/>
        </w:rPr>
        <w:t>, art. 101 ust. 3 oraz art. 106 ust. 4</w:t>
      </w:r>
      <w:r w:rsidRPr="00774FA7">
        <w:rPr>
          <w:rFonts w:ascii="Times New Roman" w:eastAsia="Calibri" w:hAnsi="Times New Roman" w:cs="Times New Roman"/>
          <w:sz w:val="24"/>
          <w:szCs w:val="24"/>
        </w:rPr>
        <w:t xml:space="preserve"> ww. ustawy z dnia 12 marca 2004 r. o pomocy społecznej (Dz. U. </w:t>
      </w:r>
      <w:r w:rsidR="00A34526">
        <w:rPr>
          <w:rFonts w:ascii="Times New Roman" w:eastAsia="Calibri" w:hAnsi="Times New Roman" w:cs="Times New Roman"/>
          <w:sz w:val="24"/>
          <w:szCs w:val="24"/>
        </w:rPr>
        <w:t xml:space="preserve">z </w:t>
      </w:r>
      <w:r w:rsidR="00A34526" w:rsidRPr="00A34526">
        <w:rPr>
          <w:rFonts w:ascii="Times New Roman" w:eastAsia="Calibri" w:hAnsi="Times New Roman" w:cs="Times New Roman"/>
          <w:sz w:val="24"/>
          <w:szCs w:val="24"/>
        </w:rPr>
        <w:t>2020 r. poz. 1876</w:t>
      </w:r>
      <w:r w:rsidRPr="00774FA7">
        <w:rPr>
          <w:rFonts w:ascii="Times New Roman" w:eastAsia="Calibri" w:hAnsi="Times New Roman" w:cs="Times New Roman"/>
          <w:sz w:val="24"/>
          <w:szCs w:val="24"/>
        </w:rPr>
        <w:t>) zostały zaproponowane w związku z wprowadzeniem w ustawie o wjeździe obywateli UE instytucji zaświadczenia dla obywatela UE lub członka rodziny obywatela UE potwierdzającego istnienie domniemania, że są ofiarami handlu ludźmi w rozumieniu art. 115 § 22 Kodeksu karnego. Powyższe wynika z konieczności wdrożenia do polskiego porządku prawnego art. 11 dyrektywy Parlamentu Europejskiego i Rady 2011/36/UE z dnia 5 kwietnia 2011 r. w sprawie  zapobiegania handl</w:t>
      </w:r>
      <w:r w:rsidR="00A75DF1">
        <w:rPr>
          <w:rFonts w:ascii="Times New Roman" w:eastAsia="Calibri" w:hAnsi="Times New Roman" w:cs="Times New Roman"/>
          <w:sz w:val="24"/>
          <w:szCs w:val="24"/>
        </w:rPr>
        <w:t>owi</w:t>
      </w:r>
      <w:r w:rsidRPr="00774FA7">
        <w:rPr>
          <w:rFonts w:ascii="Times New Roman" w:eastAsia="Calibri" w:hAnsi="Times New Roman" w:cs="Times New Roman"/>
          <w:sz w:val="24"/>
          <w:szCs w:val="24"/>
        </w:rPr>
        <w:t xml:space="preserve"> ludźmi i zwalczania tego procederu oraz ochrony ofiar. </w:t>
      </w:r>
      <w:r w:rsidR="007120E9" w:rsidRPr="00774FA7">
        <w:rPr>
          <w:rFonts w:ascii="Times New Roman" w:eastAsia="Calibri" w:hAnsi="Times New Roman" w:cs="Times New Roman"/>
          <w:sz w:val="24"/>
          <w:szCs w:val="24"/>
        </w:rPr>
        <w:t>Projektodawca uznał za zasadne w</w:t>
      </w:r>
      <w:r w:rsidRPr="00774FA7">
        <w:rPr>
          <w:rFonts w:ascii="Times New Roman" w:eastAsia="Calibri" w:hAnsi="Times New Roman" w:cs="Times New Roman"/>
          <w:sz w:val="24"/>
          <w:szCs w:val="24"/>
        </w:rPr>
        <w:t xml:space="preserve">prowadzenie możliwości skorzystania z prawa do świadczeń z pomocy społecznej w formie interwencji kryzysowej, schronienia, posiłku, niezbędnego ubrania oraz zasiłku celowego również przez </w:t>
      </w:r>
      <w:r w:rsidR="006D6586" w:rsidRPr="00774FA7">
        <w:rPr>
          <w:rFonts w:ascii="Times New Roman" w:eastAsia="Calibri" w:hAnsi="Times New Roman" w:cs="Times New Roman"/>
          <w:sz w:val="24"/>
          <w:szCs w:val="24"/>
        </w:rPr>
        <w:t xml:space="preserve">obywateli </w:t>
      </w:r>
      <w:r w:rsidR="007120E9" w:rsidRPr="00774FA7">
        <w:rPr>
          <w:rFonts w:ascii="Times New Roman" w:eastAsia="Calibri" w:hAnsi="Times New Roman" w:cs="Times New Roman"/>
          <w:sz w:val="24"/>
          <w:szCs w:val="24"/>
        </w:rPr>
        <w:t xml:space="preserve">UE. Analogiczne </w:t>
      </w:r>
      <w:r w:rsidRPr="00774FA7">
        <w:rPr>
          <w:rFonts w:ascii="Times New Roman" w:eastAsia="Calibri" w:hAnsi="Times New Roman" w:cs="Times New Roman"/>
          <w:sz w:val="24"/>
          <w:szCs w:val="24"/>
        </w:rPr>
        <w:t>rozwiązanie już funkcjonuje w stosunku do cudzoziemców</w:t>
      </w:r>
      <w:r w:rsidR="007120E9" w:rsidRPr="00774FA7">
        <w:rPr>
          <w:rFonts w:ascii="Times New Roman" w:eastAsia="Calibri" w:hAnsi="Times New Roman" w:cs="Times New Roman"/>
          <w:sz w:val="24"/>
          <w:szCs w:val="24"/>
        </w:rPr>
        <w:t>, zatem nie ma przeciwskazań, by objąć ww. prawami także obywateli UE</w:t>
      </w:r>
      <w:r w:rsidRPr="00774FA7">
        <w:rPr>
          <w:rFonts w:ascii="Times New Roman" w:eastAsia="Calibri" w:hAnsi="Times New Roman" w:cs="Times New Roman"/>
          <w:sz w:val="24"/>
          <w:szCs w:val="24"/>
        </w:rPr>
        <w:t xml:space="preserve">. </w:t>
      </w:r>
    </w:p>
    <w:p w14:paraId="433B4EBC" w14:textId="237D674D" w:rsidR="002A0AA3" w:rsidRDefault="00B02192" w:rsidP="00B379E9">
      <w:pPr>
        <w:spacing w:after="0" w:line="288" w:lineRule="auto"/>
        <w:ind w:firstLine="709"/>
        <w:jc w:val="both"/>
        <w:rPr>
          <w:rFonts w:ascii="Times New Roman" w:eastAsia="Calibri" w:hAnsi="Times New Roman" w:cs="Times New Roman"/>
          <w:sz w:val="24"/>
          <w:szCs w:val="24"/>
        </w:rPr>
      </w:pPr>
      <w:r w:rsidRPr="00B02192">
        <w:rPr>
          <w:rFonts w:ascii="Times New Roman" w:eastAsia="Calibri" w:hAnsi="Times New Roman" w:cs="Times New Roman"/>
          <w:sz w:val="24"/>
          <w:szCs w:val="24"/>
        </w:rPr>
        <w:t>W ustawie z dnia 20 kwietnia 2004 r. o promocji zatrudnienia i instytucjach rynku pracy (Dz. U. z 2020 r. poz. 1409</w:t>
      </w:r>
      <w:r w:rsidR="00A34526">
        <w:rPr>
          <w:rFonts w:ascii="Times New Roman" w:eastAsia="Calibri" w:hAnsi="Times New Roman" w:cs="Times New Roman"/>
          <w:sz w:val="24"/>
          <w:szCs w:val="24"/>
        </w:rPr>
        <w:t xml:space="preserve"> i 2023</w:t>
      </w:r>
      <w:r w:rsidRPr="00B02192">
        <w:rPr>
          <w:rFonts w:ascii="Times New Roman" w:eastAsia="Calibri" w:hAnsi="Times New Roman" w:cs="Times New Roman"/>
          <w:sz w:val="24"/>
          <w:szCs w:val="24"/>
        </w:rPr>
        <w:t xml:space="preserve">) </w:t>
      </w:r>
      <w:r w:rsidR="002A0AA3">
        <w:rPr>
          <w:rFonts w:ascii="Times New Roman" w:eastAsia="Calibri" w:hAnsi="Times New Roman" w:cs="Times New Roman"/>
          <w:sz w:val="24"/>
          <w:szCs w:val="24"/>
        </w:rPr>
        <w:t>w art. 1</w:t>
      </w:r>
      <w:r w:rsidR="00B379E9">
        <w:rPr>
          <w:rFonts w:ascii="Times New Roman" w:eastAsia="Calibri" w:hAnsi="Times New Roman" w:cs="Times New Roman"/>
          <w:sz w:val="24"/>
          <w:szCs w:val="24"/>
        </w:rPr>
        <w:t xml:space="preserve"> w ust. 3</w:t>
      </w:r>
      <w:r w:rsidR="002A0AA3">
        <w:rPr>
          <w:rFonts w:ascii="Times New Roman" w:eastAsia="Calibri" w:hAnsi="Times New Roman" w:cs="Times New Roman"/>
          <w:sz w:val="24"/>
          <w:szCs w:val="24"/>
        </w:rPr>
        <w:t xml:space="preserve"> wprowadzone zostały zmiany mające na celu objęcie zakresem stosowania tej ustawy </w:t>
      </w:r>
      <w:r w:rsidR="002A0AA3" w:rsidRPr="002A0AA3">
        <w:rPr>
          <w:rFonts w:ascii="Times New Roman" w:eastAsia="Calibri" w:hAnsi="Times New Roman" w:cs="Times New Roman"/>
          <w:sz w:val="24"/>
          <w:szCs w:val="24"/>
        </w:rPr>
        <w:t>cudzoziemców towarzyszących na terytorium Rzeczypospolitej Polskiej obywatelowi</w:t>
      </w:r>
      <w:r w:rsidR="002A0AA3">
        <w:rPr>
          <w:rFonts w:ascii="Times New Roman" w:eastAsia="Calibri" w:hAnsi="Times New Roman" w:cs="Times New Roman"/>
          <w:sz w:val="24"/>
          <w:szCs w:val="24"/>
        </w:rPr>
        <w:t xml:space="preserve"> </w:t>
      </w:r>
      <w:r w:rsidR="002A0AA3" w:rsidRPr="002A0AA3">
        <w:rPr>
          <w:rFonts w:ascii="Times New Roman" w:eastAsia="Calibri" w:hAnsi="Times New Roman" w:cs="Times New Roman"/>
          <w:sz w:val="24"/>
          <w:szCs w:val="24"/>
        </w:rPr>
        <w:t>polskiemu, jako członków rodziny obywatela</w:t>
      </w:r>
      <w:r w:rsidR="002A0AA3">
        <w:rPr>
          <w:rFonts w:ascii="Times New Roman" w:eastAsia="Calibri" w:hAnsi="Times New Roman" w:cs="Times New Roman"/>
          <w:sz w:val="24"/>
          <w:szCs w:val="24"/>
        </w:rPr>
        <w:t xml:space="preserve"> </w:t>
      </w:r>
      <w:r w:rsidR="002A0AA3" w:rsidRPr="002A0AA3">
        <w:rPr>
          <w:rFonts w:ascii="Times New Roman" w:eastAsia="Calibri" w:hAnsi="Times New Roman" w:cs="Times New Roman"/>
          <w:sz w:val="24"/>
          <w:szCs w:val="24"/>
        </w:rPr>
        <w:t>Rzeczypospolitej Polskiej, o których mowa w art. 2 pkt 4 lit. b ustawy</w:t>
      </w:r>
      <w:r w:rsidR="002A0AA3">
        <w:rPr>
          <w:rFonts w:ascii="Times New Roman" w:eastAsia="Calibri" w:hAnsi="Times New Roman" w:cs="Times New Roman"/>
          <w:sz w:val="24"/>
          <w:szCs w:val="24"/>
        </w:rPr>
        <w:t xml:space="preserve"> o wjeździe obywateli UE</w:t>
      </w:r>
      <w:r w:rsidR="00B379E9">
        <w:rPr>
          <w:rFonts w:ascii="Times New Roman" w:eastAsia="Calibri" w:hAnsi="Times New Roman" w:cs="Times New Roman"/>
          <w:sz w:val="24"/>
          <w:szCs w:val="24"/>
        </w:rPr>
        <w:t xml:space="preserve"> (projektowany art. 1 ust. 3 pkt 4a).</w:t>
      </w:r>
      <w:r w:rsidR="002A0AA3">
        <w:rPr>
          <w:rFonts w:ascii="Times New Roman" w:eastAsia="Calibri" w:hAnsi="Times New Roman" w:cs="Times New Roman"/>
          <w:sz w:val="24"/>
          <w:szCs w:val="24"/>
        </w:rPr>
        <w:t xml:space="preserve"> </w:t>
      </w:r>
      <w:r w:rsidR="0097679D">
        <w:rPr>
          <w:rFonts w:ascii="Times New Roman" w:eastAsia="Calibri" w:hAnsi="Times New Roman" w:cs="Times New Roman"/>
          <w:sz w:val="24"/>
          <w:szCs w:val="24"/>
        </w:rPr>
        <w:t>W</w:t>
      </w:r>
      <w:r w:rsidR="00B379E9">
        <w:rPr>
          <w:rFonts w:ascii="Times New Roman" w:eastAsia="Calibri" w:hAnsi="Times New Roman" w:cs="Times New Roman"/>
          <w:sz w:val="24"/>
          <w:szCs w:val="24"/>
        </w:rPr>
        <w:t xml:space="preserve"> konsekwencji powyższego należało także dokonać modyfikacji w obrębie </w:t>
      </w:r>
      <w:r w:rsidR="00B379E9" w:rsidRPr="002A0AA3">
        <w:rPr>
          <w:rFonts w:ascii="Times New Roman" w:eastAsia="Calibri" w:hAnsi="Times New Roman" w:cs="Times New Roman"/>
          <w:sz w:val="24"/>
          <w:szCs w:val="24"/>
        </w:rPr>
        <w:t xml:space="preserve">art. 1 ust. </w:t>
      </w:r>
      <w:r w:rsidR="00B379E9">
        <w:rPr>
          <w:rFonts w:ascii="Times New Roman" w:eastAsia="Calibri" w:hAnsi="Times New Roman" w:cs="Times New Roman"/>
          <w:sz w:val="24"/>
          <w:szCs w:val="24"/>
        </w:rPr>
        <w:t>4, w celu objęcia</w:t>
      </w:r>
      <w:r w:rsidR="00B379E9" w:rsidRPr="002A0AA3">
        <w:rPr>
          <w:rFonts w:ascii="Times New Roman" w:eastAsia="Calibri" w:hAnsi="Times New Roman" w:cs="Times New Roman"/>
          <w:sz w:val="24"/>
          <w:szCs w:val="24"/>
        </w:rPr>
        <w:t xml:space="preserve"> ww. kategorii osób zasiłkami i </w:t>
      </w:r>
      <w:r w:rsidR="00B379E9" w:rsidRPr="002A0AA3">
        <w:rPr>
          <w:rFonts w:ascii="Times New Roman" w:eastAsia="Calibri" w:hAnsi="Times New Roman" w:cs="Times New Roman"/>
          <w:sz w:val="24"/>
          <w:szCs w:val="24"/>
        </w:rPr>
        <w:lastRenderedPageBreak/>
        <w:t>innymi świadczeniami z tytułu bezrobocia</w:t>
      </w:r>
      <w:r w:rsidR="00B379E9" w:rsidRPr="00B379E9">
        <w:rPr>
          <w:rFonts w:ascii="Times New Roman" w:eastAsia="Calibri" w:hAnsi="Times New Roman" w:cs="Times New Roman"/>
          <w:sz w:val="24"/>
          <w:szCs w:val="24"/>
        </w:rPr>
        <w:t xml:space="preserve"> </w:t>
      </w:r>
      <w:r w:rsidR="00B379E9">
        <w:rPr>
          <w:rFonts w:ascii="Times New Roman" w:eastAsia="Calibri" w:hAnsi="Times New Roman" w:cs="Times New Roman"/>
          <w:sz w:val="24"/>
          <w:szCs w:val="24"/>
        </w:rPr>
        <w:t>uregulowanymi w ww. ustawie</w:t>
      </w:r>
      <w:r w:rsidR="00B379E9" w:rsidRPr="002A0AA3">
        <w:rPr>
          <w:rFonts w:ascii="Times New Roman" w:eastAsia="Calibri" w:hAnsi="Times New Roman" w:cs="Times New Roman"/>
          <w:sz w:val="24"/>
          <w:szCs w:val="24"/>
        </w:rPr>
        <w:t xml:space="preserve"> o promocji </w:t>
      </w:r>
      <w:r w:rsidR="00B379E9">
        <w:rPr>
          <w:rFonts w:ascii="Times New Roman" w:eastAsia="Calibri" w:hAnsi="Times New Roman" w:cs="Times New Roman"/>
          <w:sz w:val="24"/>
          <w:szCs w:val="24"/>
        </w:rPr>
        <w:t>zatrudnienia (…).</w:t>
      </w:r>
    </w:p>
    <w:p w14:paraId="02FDF305" w14:textId="2FA17308" w:rsidR="000C395A" w:rsidRDefault="00AC526B" w:rsidP="00B02192">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Proponowane rozwiązanie</w:t>
      </w:r>
      <w:r w:rsidR="002A0AA3">
        <w:rPr>
          <w:rFonts w:ascii="Times New Roman" w:eastAsia="Calibri" w:hAnsi="Times New Roman" w:cs="Times New Roman"/>
          <w:sz w:val="24"/>
          <w:szCs w:val="24"/>
        </w:rPr>
        <w:t xml:space="preserve"> </w:t>
      </w:r>
      <w:r w:rsidR="00AC5C43">
        <w:rPr>
          <w:rFonts w:ascii="Times New Roman" w:eastAsia="Calibri" w:hAnsi="Times New Roman" w:cs="Times New Roman"/>
          <w:sz w:val="24"/>
          <w:szCs w:val="24"/>
        </w:rPr>
        <w:t xml:space="preserve">jest </w:t>
      </w:r>
      <w:r w:rsidR="000C395A" w:rsidRPr="000C395A">
        <w:rPr>
          <w:rFonts w:ascii="Times New Roman" w:eastAsia="Calibri" w:hAnsi="Times New Roman" w:cs="Times New Roman"/>
          <w:sz w:val="24"/>
          <w:szCs w:val="24"/>
        </w:rPr>
        <w:t xml:space="preserve">konsekwencją rozszerzenia zakresu podmiotowego ustawy o wjeździe obywateli UE na członków rodziny obywateli Rzeczypospolitej Polskiej, którzy powracają do Polski po skorzystaniu ze swobody przepływu osób w innym państwie członkowskim UE. Powyższa </w:t>
      </w:r>
      <w:r w:rsidR="00AC5C43">
        <w:rPr>
          <w:rFonts w:ascii="Times New Roman" w:eastAsia="Calibri" w:hAnsi="Times New Roman" w:cs="Times New Roman"/>
          <w:sz w:val="24"/>
          <w:szCs w:val="24"/>
        </w:rPr>
        <w:t>z</w:t>
      </w:r>
      <w:r w:rsidR="000C395A" w:rsidRPr="000C395A">
        <w:rPr>
          <w:rFonts w:ascii="Times New Roman" w:eastAsia="Calibri" w:hAnsi="Times New Roman" w:cs="Times New Roman"/>
          <w:sz w:val="24"/>
          <w:szCs w:val="24"/>
        </w:rPr>
        <w:t xml:space="preserve">miana stanowi dostosowanie </w:t>
      </w:r>
      <w:r w:rsidR="00F33A59">
        <w:rPr>
          <w:rFonts w:ascii="Times New Roman" w:eastAsia="Calibri" w:hAnsi="Times New Roman" w:cs="Times New Roman"/>
          <w:sz w:val="24"/>
          <w:szCs w:val="24"/>
        </w:rPr>
        <w:t>p</w:t>
      </w:r>
      <w:r w:rsidR="000C395A" w:rsidRPr="000C395A">
        <w:rPr>
          <w:rFonts w:ascii="Times New Roman" w:eastAsia="Calibri" w:hAnsi="Times New Roman" w:cs="Times New Roman"/>
          <w:sz w:val="24"/>
          <w:szCs w:val="24"/>
        </w:rPr>
        <w:t xml:space="preserve">olskiego prawa do wyroku </w:t>
      </w:r>
      <w:r w:rsidR="004E2B4F" w:rsidRPr="000C395A">
        <w:rPr>
          <w:rFonts w:ascii="Times New Roman" w:eastAsia="Calibri" w:hAnsi="Times New Roman" w:cs="Times New Roman"/>
          <w:sz w:val="24"/>
          <w:szCs w:val="24"/>
        </w:rPr>
        <w:t xml:space="preserve">Trybunał Sprawiedliwości Unii Europejskiej </w:t>
      </w:r>
      <w:r w:rsidR="000C395A" w:rsidRPr="000C395A">
        <w:rPr>
          <w:rFonts w:ascii="Times New Roman" w:eastAsia="Calibri" w:hAnsi="Times New Roman" w:cs="Times New Roman"/>
          <w:sz w:val="24"/>
          <w:szCs w:val="24"/>
        </w:rPr>
        <w:t xml:space="preserve">w sprawie C-456/12 O i B, w którym Trybunał wypowiedział się w kwestii sytuacji członków rodziny obywateli UE, którzy po skorzystaniu ze swobody przepływu osób powracają do swojego kraju pochodzenia. Trybunał wskazał, że art. 21 ust. 1 TFUE należy interpretować w ten sposób, że w sytuacji, w której obywatel UE rozwinął lub umocnił życie rodzinne z obywatelem państwa trzeciego przy okazji efektywnego pobytu ‒ na podstawie art. 7 ust. 1 i 2 lub art. 16 ust. 1 i 2 dyrektywy 2004/38/WE oraz w poszanowaniu określonych w tych przepisach warunków ‒ w państwie członkowskim innym niż państwo członkowskie jego przynależności państwowej, przepisy tej dyrektywy znajdują zastosowanie przez analogię także wówczas, gdy wspomniany obywatel UE powraca wraz z zainteresowanym członkiem swej rodziny do państwa członkowskiego swojego pochodzenia. </w:t>
      </w:r>
    </w:p>
    <w:p w14:paraId="5F613E15" w14:textId="699C3938" w:rsidR="00B379E9" w:rsidRDefault="002A0AA3" w:rsidP="00B02192">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Analogiczne uzasadnienie dotyczy zmian wprowadzonych w art. 87 ww. ustaw</w:t>
      </w:r>
      <w:r w:rsidR="00B379E9">
        <w:rPr>
          <w:rFonts w:ascii="Times New Roman" w:eastAsia="Calibri" w:hAnsi="Times New Roman" w:cs="Times New Roman"/>
          <w:sz w:val="24"/>
          <w:szCs w:val="24"/>
        </w:rPr>
        <w:t>y</w:t>
      </w:r>
      <w:r>
        <w:rPr>
          <w:rFonts w:ascii="Times New Roman" w:eastAsia="Calibri" w:hAnsi="Times New Roman" w:cs="Times New Roman"/>
          <w:sz w:val="24"/>
          <w:szCs w:val="24"/>
        </w:rPr>
        <w:t xml:space="preserve"> o promocji zatrudnienia</w:t>
      </w:r>
      <w:r w:rsidR="00B379E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 którym przewiduje się </w:t>
      </w:r>
      <w:r w:rsidRPr="002A0AA3">
        <w:rPr>
          <w:rFonts w:ascii="Times New Roman" w:eastAsia="Calibri" w:hAnsi="Times New Roman" w:cs="Times New Roman"/>
          <w:sz w:val="24"/>
          <w:szCs w:val="24"/>
        </w:rPr>
        <w:t>dodanie w ust. 1 pkt 10a</w:t>
      </w:r>
      <w:r w:rsidR="008B4E53">
        <w:rPr>
          <w:rFonts w:ascii="Times New Roman" w:eastAsia="Calibri" w:hAnsi="Times New Roman" w:cs="Times New Roman"/>
          <w:sz w:val="24"/>
          <w:szCs w:val="24"/>
        </w:rPr>
        <w:t xml:space="preserve"> i rozszerzenie w ten sposób katalogu osób uprawnionych d</w:t>
      </w:r>
      <w:r w:rsidR="008B4E53" w:rsidRPr="008B4E53">
        <w:rPr>
          <w:rFonts w:ascii="Times New Roman" w:eastAsia="Calibri" w:hAnsi="Times New Roman" w:cs="Times New Roman"/>
          <w:sz w:val="24"/>
          <w:szCs w:val="24"/>
        </w:rPr>
        <w:t>o wykonywania pracy na terytorium Rzeczypospolitej Polskiej</w:t>
      </w:r>
      <w:r w:rsidR="0097679D">
        <w:rPr>
          <w:rFonts w:ascii="Times New Roman" w:eastAsia="Calibri" w:hAnsi="Times New Roman" w:cs="Times New Roman"/>
          <w:sz w:val="24"/>
          <w:szCs w:val="24"/>
        </w:rPr>
        <w:t>,</w:t>
      </w:r>
      <w:r w:rsidR="008B4E53" w:rsidRPr="008B4E53">
        <w:rPr>
          <w:rFonts w:ascii="Times New Roman" w:eastAsia="Calibri" w:hAnsi="Times New Roman" w:cs="Times New Roman"/>
          <w:sz w:val="24"/>
          <w:szCs w:val="24"/>
        </w:rPr>
        <w:t xml:space="preserve"> </w:t>
      </w:r>
      <w:r w:rsidR="008B4E53" w:rsidRPr="000C395A">
        <w:rPr>
          <w:rFonts w:ascii="Times New Roman" w:eastAsia="Calibri" w:hAnsi="Times New Roman" w:cs="Times New Roman"/>
          <w:sz w:val="24"/>
          <w:szCs w:val="24"/>
        </w:rPr>
        <w:t>analogicznie</w:t>
      </w:r>
      <w:r w:rsidR="0097679D">
        <w:rPr>
          <w:rFonts w:ascii="Times New Roman" w:eastAsia="Calibri" w:hAnsi="Times New Roman" w:cs="Times New Roman"/>
          <w:sz w:val="24"/>
          <w:szCs w:val="24"/>
        </w:rPr>
        <w:t xml:space="preserve"> </w:t>
      </w:r>
      <w:r w:rsidR="008B4E53" w:rsidRPr="000C395A">
        <w:rPr>
          <w:rFonts w:ascii="Times New Roman" w:eastAsia="Calibri" w:hAnsi="Times New Roman" w:cs="Times New Roman"/>
          <w:sz w:val="24"/>
          <w:szCs w:val="24"/>
        </w:rPr>
        <w:t>jak</w:t>
      </w:r>
      <w:r w:rsidR="008B4E53">
        <w:rPr>
          <w:rFonts w:ascii="Times New Roman" w:eastAsia="Calibri" w:hAnsi="Times New Roman" w:cs="Times New Roman"/>
          <w:sz w:val="24"/>
          <w:szCs w:val="24"/>
        </w:rPr>
        <w:t xml:space="preserve"> to jest przewidziane</w:t>
      </w:r>
      <w:r w:rsidR="008B4E53" w:rsidRPr="000C395A">
        <w:rPr>
          <w:rFonts w:ascii="Times New Roman" w:eastAsia="Calibri" w:hAnsi="Times New Roman" w:cs="Times New Roman"/>
          <w:sz w:val="24"/>
          <w:szCs w:val="24"/>
        </w:rPr>
        <w:t xml:space="preserve"> dla członków rodziny obywateli UE</w:t>
      </w:r>
      <w:r>
        <w:rPr>
          <w:rFonts w:ascii="Times New Roman" w:eastAsia="Calibri" w:hAnsi="Times New Roman" w:cs="Times New Roman"/>
          <w:sz w:val="24"/>
          <w:szCs w:val="24"/>
        </w:rPr>
        <w:t>.</w:t>
      </w:r>
    </w:p>
    <w:p w14:paraId="2C78EB32" w14:textId="638A68C4" w:rsidR="00B02192" w:rsidRPr="00774FA7" w:rsidRDefault="008B4E53" w:rsidP="00B02192">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w:t>
      </w:r>
      <w:r w:rsidR="00B02192" w:rsidRPr="00B02192">
        <w:rPr>
          <w:rFonts w:ascii="Times New Roman" w:eastAsia="Calibri" w:hAnsi="Times New Roman" w:cs="Times New Roman"/>
          <w:sz w:val="24"/>
          <w:szCs w:val="24"/>
        </w:rPr>
        <w:t xml:space="preserve"> art. 87 ust. 2 pkt 1 </w:t>
      </w:r>
      <w:r w:rsidR="00AC5C43" w:rsidRPr="00AC5C43">
        <w:rPr>
          <w:rFonts w:ascii="Times New Roman" w:eastAsia="Calibri" w:hAnsi="Times New Roman" w:cs="Times New Roman"/>
          <w:sz w:val="24"/>
          <w:szCs w:val="24"/>
        </w:rPr>
        <w:t>wprowadz</w:t>
      </w:r>
      <w:r w:rsidR="004E2B4F">
        <w:rPr>
          <w:rFonts w:ascii="Times New Roman" w:eastAsia="Calibri" w:hAnsi="Times New Roman" w:cs="Times New Roman"/>
          <w:sz w:val="24"/>
          <w:szCs w:val="24"/>
        </w:rPr>
        <w:t xml:space="preserve">ono </w:t>
      </w:r>
      <w:r w:rsidR="00222FA4">
        <w:rPr>
          <w:rFonts w:ascii="Times New Roman" w:eastAsia="Calibri" w:hAnsi="Times New Roman" w:cs="Times New Roman"/>
          <w:sz w:val="24"/>
          <w:szCs w:val="24"/>
        </w:rPr>
        <w:t xml:space="preserve">podstawy zwolnienia z wymogu posiadania zezwolenia na pracę cudzoziemców </w:t>
      </w:r>
      <w:r w:rsidR="00B02192" w:rsidRPr="00B02192">
        <w:rPr>
          <w:rFonts w:ascii="Times New Roman" w:eastAsia="Calibri" w:hAnsi="Times New Roman" w:cs="Times New Roman"/>
          <w:sz w:val="24"/>
          <w:szCs w:val="24"/>
        </w:rPr>
        <w:t>posiadający</w:t>
      </w:r>
      <w:r w:rsidR="00222FA4">
        <w:rPr>
          <w:rFonts w:ascii="Times New Roman" w:eastAsia="Calibri" w:hAnsi="Times New Roman" w:cs="Times New Roman"/>
          <w:sz w:val="24"/>
          <w:szCs w:val="24"/>
        </w:rPr>
        <w:t>ch</w:t>
      </w:r>
      <w:r w:rsidR="00B02192" w:rsidRPr="00B02192">
        <w:rPr>
          <w:rFonts w:ascii="Times New Roman" w:eastAsia="Calibri" w:hAnsi="Times New Roman" w:cs="Times New Roman"/>
          <w:sz w:val="24"/>
          <w:szCs w:val="24"/>
        </w:rPr>
        <w:t xml:space="preserve"> zezwolenie na pobyt czasowy udzielone w związku z okolicznościami, o których mowa w art. 186 ust. 1 pkt 8 ustawy z dnia 12 </w:t>
      </w:r>
      <w:r w:rsidR="00B02192" w:rsidRPr="00786809">
        <w:rPr>
          <w:rFonts w:ascii="Times New Roman" w:eastAsia="Calibri" w:hAnsi="Times New Roman" w:cs="Times New Roman"/>
          <w:sz w:val="24"/>
          <w:szCs w:val="24"/>
        </w:rPr>
        <w:t>grudnia 2013 r. o cudzoziemcach</w:t>
      </w:r>
      <w:r w:rsidR="00222FA4" w:rsidRPr="00786809">
        <w:rPr>
          <w:rFonts w:ascii="Times New Roman" w:eastAsia="Calibri" w:hAnsi="Times New Roman" w:cs="Times New Roman"/>
          <w:sz w:val="24"/>
          <w:szCs w:val="24"/>
        </w:rPr>
        <w:t xml:space="preserve"> </w:t>
      </w:r>
      <w:r w:rsidR="00B02192" w:rsidRPr="00786809">
        <w:rPr>
          <w:rFonts w:ascii="Times New Roman" w:eastAsia="Calibri" w:hAnsi="Times New Roman" w:cs="Times New Roman"/>
          <w:sz w:val="24"/>
          <w:szCs w:val="24"/>
        </w:rPr>
        <w:t>lub przebywający</w:t>
      </w:r>
      <w:r w:rsidR="00222FA4" w:rsidRPr="00786809">
        <w:rPr>
          <w:rFonts w:ascii="Times New Roman" w:eastAsia="Calibri" w:hAnsi="Times New Roman" w:cs="Times New Roman"/>
          <w:sz w:val="24"/>
          <w:szCs w:val="24"/>
        </w:rPr>
        <w:t>ch</w:t>
      </w:r>
      <w:r w:rsidR="00B02192" w:rsidRPr="00786809">
        <w:rPr>
          <w:rFonts w:ascii="Times New Roman" w:eastAsia="Calibri" w:hAnsi="Times New Roman" w:cs="Times New Roman"/>
          <w:sz w:val="24"/>
          <w:szCs w:val="24"/>
        </w:rPr>
        <w:t xml:space="preserve"> na terytorium </w:t>
      </w:r>
      <w:r w:rsidR="00222FA4" w:rsidRPr="00786809">
        <w:rPr>
          <w:rFonts w:ascii="Times New Roman" w:eastAsia="Calibri" w:hAnsi="Times New Roman" w:cs="Times New Roman"/>
          <w:sz w:val="24"/>
          <w:szCs w:val="24"/>
        </w:rPr>
        <w:t xml:space="preserve">Polski </w:t>
      </w:r>
      <w:r w:rsidR="00B02192" w:rsidRPr="00786809">
        <w:rPr>
          <w:rFonts w:ascii="Times New Roman" w:eastAsia="Calibri" w:hAnsi="Times New Roman" w:cs="Times New Roman"/>
          <w:sz w:val="24"/>
          <w:szCs w:val="24"/>
        </w:rPr>
        <w:t xml:space="preserve">na podstawie art. </w:t>
      </w:r>
      <w:r w:rsidR="00B02192" w:rsidRPr="00AC5C43">
        <w:rPr>
          <w:rFonts w:ascii="Times New Roman" w:eastAsia="Calibri" w:hAnsi="Times New Roman" w:cs="Times New Roman"/>
          <w:sz w:val="24"/>
          <w:szCs w:val="24"/>
        </w:rPr>
        <w:t xml:space="preserve">21 </w:t>
      </w:r>
      <w:r w:rsidR="00222FA4" w:rsidRPr="00AC5C43">
        <w:rPr>
          <w:rFonts w:ascii="Times New Roman" w:eastAsia="Calibri" w:hAnsi="Times New Roman" w:cs="Times New Roman"/>
          <w:sz w:val="24"/>
          <w:szCs w:val="24"/>
        </w:rPr>
        <w:t>projektowanej</w:t>
      </w:r>
      <w:r w:rsidR="00222FA4">
        <w:rPr>
          <w:rFonts w:ascii="Times New Roman" w:eastAsia="Calibri" w:hAnsi="Times New Roman" w:cs="Times New Roman"/>
          <w:sz w:val="24"/>
          <w:szCs w:val="24"/>
        </w:rPr>
        <w:t xml:space="preserve"> </w:t>
      </w:r>
      <w:r w:rsidR="00B02192" w:rsidRPr="00B02192">
        <w:rPr>
          <w:rFonts w:ascii="Times New Roman" w:eastAsia="Calibri" w:hAnsi="Times New Roman" w:cs="Times New Roman"/>
          <w:sz w:val="24"/>
          <w:szCs w:val="24"/>
        </w:rPr>
        <w:t>ustawy</w:t>
      </w:r>
      <w:r w:rsidR="00222FA4">
        <w:rPr>
          <w:rFonts w:ascii="Times New Roman" w:eastAsia="Calibri" w:hAnsi="Times New Roman" w:cs="Times New Roman"/>
          <w:sz w:val="24"/>
          <w:szCs w:val="24"/>
        </w:rPr>
        <w:t xml:space="preserve">. </w:t>
      </w:r>
      <w:r w:rsidR="001E2EC0">
        <w:rPr>
          <w:rFonts w:ascii="Times New Roman" w:eastAsia="Calibri" w:hAnsi="Times New Roman" w:cs="Times New Roman"/>
          <w:sz w:val="24"/>
          <w:szCs w:val="24"/>
        </w:rPr>
        <w:t xml:space="preserve">Projekt przewiduje bowiem udzielanie zezwolenia na pobyt czasowy, jednorazowo, </w:t>
      </w:r>
      <w:r w:rsidR="001E2EC0" w:rsidRPr="001E2EC0">
        <w:rPr>
          <w:rFonts w:ascii="Times New Roman" w:eastAsia="Calibri" w:hAnsi="Times New Roman" w:cs="Times New Roman"/>
          <w:sz w:val="24"/>
          <w:szCs w:val="24"/>
        </w:rPr>
        <w:t>na okres 5 lat</w:t>
      </w:r>
      <w:r w:rsidR="001E2EC0">
        <w:rPr>
          <w:rFonts w:ascii="Times New Roman" w:eastAsia="Calibri" w:hAnsi="Times New Roman" w:cs="Times New Roman"/>
          <w:sz w:val="24"/>
          <w:szCs w:val="24"/>
        </w:rPr>
        <w:t>,</w:t>
      </w:r>
      <w:r w:rsidR="001E2EC0" w:rsidRPr="001E2EC0">
        <w:rPr>
          <w:rFonts w:ascii="Times New Roman" w:eastAsia="Calibri" w:hAnsi="Times New Roman" w:cs="Times New Roman"/>
          <w:sz w:val="24"/>
          <w:szCs w:val="24"/>
        </w:rPr>
        <w:t xml:space="preserve"> brytyjski</w:t>
      </w:r>
      <w:r w:rsidR="001E2EC0">
        <w:rPr>
          <w:rFonts w:ascii="Times New Roman" w:eastAsia="Calibri" w:hAnsi="Times New Roman" w:cs="Times New Roman"/>
          <w:sz w:val="24"/>
          <w:szCs w:val="24"/>
        </w:rPr>
        <w:t>m</w:t>
      </w:r>
      <w:r w:rsidR="001E2EC0" w:rsidRPr="001E2EC0">
        <w:rPr>
          <w:rFonts w:ascii="Times New Roman" w:eastAsia="Calibri" w:hAnsi="Times New Roman" w:cs="Times New Roman"/>
          <w:sz w:val="24"/>
          <w:szCs w:val="24"/>
        </w:rPr>
        <w:t xml:space="preserve"> pracownik</w:t>
      </w:r>
      <w:r w:rsidR="001E2EC0">
        <w:rPr>
          <w:rFonts w:ascii="Times New Roman" w:eastAsia="Calibri" w:hAnsi="Times New Roman" w:cs="Times New Roman"/>
          <w:sz w:val="24"/>
          <w:szCs w:val="24"/>
        </w:rPr>
        <w:t>om</w:t>
      </w:r>
      <w:r w:rsidR="001E2EC0" w:rsidRPr="001E2EC0">
        <w:rPr>
          <w:rFonts w:ascii="Times New Roman" w:eastAsia="Calibri" w:hAnsi="Times New Roman" w:cs="Times New Roman"/>
          <w:sz w:val="24"/>
          <w:szCs w:val="24"/>
        </w:rPr>
        <w:t xml:space="preserve"> delegowany</w:t>
      </w:r>
      <w:r w:rsidR="001E2EC0">
        <w:rPr>
          <w:rFonts w:ascii="Times New Roman" w:eastAsia="Calibri" w:hAnsi="Times New Roman" w:cs="Times New Roman"/>
          <w:sz w:val="24"/>
          <w:szCs w:val="24"/>
        </w:rPr>
        <w:t>m</w:t>
      </w:r>
      <w:r w:rsidR="001E2EC0" w:rsidRPr="001E2EC0">
        <w:rPr>
          <w:rFonts w:ascii="Times New Roman" w:eastAsia="Calibri" w:hAnsi="Times New Roman" w:cs="Times New Roman"/>
          <w:sz w:val="24"/>
          <w:szCs w:val="24"/>
        </w:rPr>
        <w:t xml:space="preserve"> do końca okresu przejściowego na terytorium Polski, nie objęty</w:t>
      </w:r>
      <w:r w:rsidR="001E2EC0">
        <w:rPr>
          <w:rFonts w:ascii="Times New Roman" w:eastAsia="Calibri" w:hAnsi="Times New Roman" w:cs="Times New Roman"/>
          <w:sz w:val="24"/>
          <w:szCs w:val="24"/>
        </w:rPr>
        <w:t>m</w:t>
      </w:r>
      <w:r w:rsidR="001E2EC0" w:rsidRPr="001E2EC0">
        <w:rPr>
          <w:rFonts w:ascii="Times New Roman" w:eastAsia="Calibri" w:hAnsi="Times New Roman" w:cs="Times New Roman"/>
          <w:sz w:val="24"/>
          <w:szCs w:val="24"/>
        </w:rPr>
        <w:t xml:space="preserve"> Umową Wystąpienia</w:t>
      </w:r>
      <w:r w:rsidR="001E2EC0">
        <w:rPr>
          <w:rFonts w:ascii="Times New Roman" w:eastAsia="Calibri" w:hAnsi="Times New Roman" w:cs="Times New Roman"/>
          <w:sz w:val="24"/>
          <w:szCs w:val="24"/>
        </w:rPr>
        <w:t xml:space="preserve">, w celu umożliwienia im </w:t>
      </w:r>
      <w:r w:rsidR="00FD3753" w:rsidRPr="00FD3753">
        <w:rPr>
          <w:rFonts w:ascii="Times New Roman" w:eastAsia="Calibri" w:hAnsi="Times New Roman" w:cs="Times New Roman"/>
          <w:sz w:val="24"/>
          <w:szCs w:val="24"/>
        </w:rPr>
        <w:t>kontynuowania zamieszkiwania na terytorium Rzeczypospolitej Polskiej, w tym zmiany celu pobytu, po zakończeniu okresu przejściowego przewidzianego w Umowie Wystąpienia</w:t>
      </w:r>
      <w:r w:rsidR="00FD3753">
        <w:rPr>
          <w:rFonts w:ascii="Times New Roman" w:eastAsia="Calibri" w:hAnsi="Times New Roman" w:cs="Times New Roman"/>
          <w:sz w:val="24"/>
          <w:szCs w:val="24"/>
        </w:rPr>
        <w:t xml:space="preserve">, z perspektywą uzyskania zezwolenia na pobyt stały. </w:t>
      </w:r>
      <w:r w:rsidR="000E42B7">
        <w:rPr>
          <w:rFonts w:ascii="Times New Roman" w:eastAsia="Calibri" w:hAnsi="Times New Roman" w:cs="Times New Roman"/>
          <w:sz w:val="24"/>
          <w:szCs w:val="24"/>
        </w:rPr>
        <w:t xml:space="preserve">Uprawnienie do wykonywania pracy bez zezwolenia na pracę umożliwi tym osobom kontynuację pobytu w Polsce </w:t>
      </w:r>
      <w:r w:rsidR="00CC7025">
        <w:rPr>
          <w:rFonts w:ascii="Times New Roman" w:eastAsia="Calibri" w:hAnsi="Times New Roman" w:cs="Times New Roman"/>
          <w:sz w:val="24"/>
          <w:szCs w:val="24"/>
        </w:rPr>
        <w:t xml:space="preserve">na zasadzie analogicznej do beneficjentów Umowy wystąpienia oraz obywateli UE korzystających ze swobody przemieszczania się w Polsce, w zakresie dostępu do </w:t>
      </w:r>
      <w:r w:rsidR="00374943">
        <w:rPr>
          <w:rFonts w:ascii="Times New Roman" w:eastAsia="Calibri" w:hAnsi="Times New Roman" w:cs="Times New Roman"/>
          <w:sz w:val="24"/>
          <w:szCs w:val="24"/>
        </w:rPr>
        <w:t xml:space="preserve">polskiego </w:t>
      </w:r>
      <w:r w:rsidR="00CC7025">
        <w:rPr>
          <w:rFonts w:ascii="Times New Roman" w:eastAsia="Calibri" w:hAnsi="Times New Roman" w:cs="Times New Roman"/>
          <w:sz w:val="24"/>
          <w:szCs w:val="24"/>
        </w:rPr>
        <w:t>rynku pracy.</w:t>
      </w:r>
      <w:r w:rsidR="000E42B7">
        <w:rPr>
          <w:rFonts w:ascii="Times New Roman" w:eastAsia="Calibri" w:hAnsi="Times New Roman" w:cs="Times New Roman"/>
          <w:sz w:val="24"/>
          <w:szCs w:val="24"/>
        </w:rPr>
        <w:t xml:space="preserve"> </w:t>
      </w:r>
      <w:r w:rsidR="00557F74">
        <w:rPr>
          <w:rFonts w:ascii="Times New Roman" w:eastAsia="Calibri" w:hAnsi="Times New Roman" w:cs="Times New Roman"/>
          <w:sz w:val="24"/>
          <w:szCs w:val="24"/>
        </w:rPr>
        <w:t xml:space="preserve">Z w/w względów zasadne jest także przyznanie takiego dostępu tym osobom w okresie pobytu uważanego za legalny, </w:t>
      </w:r>
      <w:r w:rsidR="00557F74" w:rsidRPr="00786809">
        <w:rPr>
          <w:rFonts w:ascii="Times New Roman" w:eastAsia="Calibri" w:hAnsi="Times New Roman" w:cs="Times New Roman"/>
          <w:sz w:val="24"/>
          <w:szCs w:val="24"/>
        </w:rPr>
        <w:t xml:space="preserve">przewidzianego w art. </w:t>
      </w:r>
      <w:r w:rsidR="00223184" w:rsidRPr="00AC5C43">
        <w:rPr>
          <w:rFonts w:ascii="Times New Roman" w:eastAsia="Calibri" w:hAnsi="Times New Roman" w:cs="Times New Roman"/>
          <w:sz w:val="24"/>
          <w:szCs w:val="24"/>
        </w:rPr>
        <w:t>2</w:t>
      </w:r>
      <w:r w:rsidR="00557F74" w:rsidRPr="00AC5C43">
        <w:rPr>
          <w:rFonts w:ascii="Times New Roman" w:eastAsia="Calibri" w:hAnsi="Times New Roman" w:cs="Times New Roman"/>
          <w:sz w:val="24"/>
          <w:szCs w:val="24"/>
        </w:rPr>
        <w:t>1 projektu</w:t>
      </w:r>
      <w:r w:rsidR="00557F74">
        <w:rPr>
          <w:rFonts w:ascii="Times New Roman" w:eastAsia="Calibri" w:hAnsi="Times New Roman" w:cs="Times New Roman"/>
          <w:sz w:val="24"/>
          <w:szCs w:val="24"/>
        </w:rPr>
        <w:t>, tj. do końca 2021r.</w:t>
      </w:r>
      <w:r w:rsidR="00223184">
        <w:rPr>
          <w:rFonts w:ascii="Times New Roman" w:eastAsia="Calibri" w:hAnsi="Times New Roman" w:cs="Times New Roman"/>
          <w:sz w:val="24"/>
          <w:szCs w:val="24"/>
        </w:rPr>
        <w:t xml:space="preserve">, w którym to okresie mogą złożyć wniosek o udzielenie zezwolenia na pobyt czasowy na podstawie </w:t>
      </w:r>
      <w:r w:rsidR="00E06DF3">
        <w:rPr>
          <w:rFonts w:ascii="Times New Roman" w:eastAsia="Calibri" w:hAnsi="Times New Roman" w:cs="Times New Roman"/>
          <w:sz w:val="24"/>
          <w:szCs w:val="24"/>
        </w:rPr>
        <w:t xml:space="preserve">projektowanego </w:t>
      </w:r>
      <w:r w:rsidR="00223184">
        <w:rPr>
          <w:rFonts w:ascii="Times New Roman" w:eastAsia="Calibri" w:hAnsi="Times New Roman" w:cs="Times New Roman"/>
          <w:sz w:val="24"/>
          <w:szCs w:val="24"/>
        </w:rPr>
        <w:t>art. 186 ust. 1 pkt 8 ustawy o cudzoziemcach.</w:t>
      </w:r>
      <w:r w:rsidR="001E2EC0">
        <w:rPr>
          <w:rFonts w:ascii="Times New Roman" w:eastAsia="Calibri" w:hAnsi="Times New Roman" w:cs="Times New Roman"/>
          <w:sz w:val="24"/>
          <w:szCs w:val="24"/>
        </w:rPr>
        <w:t xml:space="preserve"> </w:t>
      </w:r>
      <w:r w:rsidR="00E76209" w:rsidRPr="00E76209">
        <w:rPr>
          <w:rFonts w:ascii="Times New Roman" w:eastAsia="Calibri" w:hAnsi="Times New Roman" w:cs="Times New Roman"/>
          <w:sz w:val="24"/>
          <w:szCs w:val="24"/>
        </w:rPr>
        <w:t xml:space="preserve">Proponowane rozwiązanie ma na celu umożliwienie osobom fizycznym ze Zjednoczonego Królestwa kontynuacji zamieszkiwania oraz wykonywania pracy w Polsce, do czego byli dotychczas uprawnieni jako obywatele UE, natomiast nie ma na celu przyznania podmiotom mającym siedzibę w </w:t>
      </w:r>
      <w:r w:rsidR="00E76209" w:rsidRPr="00E76209">
        <w:rPr>
          <w:rFonts w:ascii="Times New Roman" w:eastAsia="Calibri" w:hAnsi="Times New Roman" w:cs="Times New Roman"/>
          <w:sz w:val="24"/>
          <w:szCs w:val="24"/>
        </w:rPr>
        <w:lastRenderedPageBreak/>
        <w:t>Wielkiej Brytanii, kontynuacji prawa do świadczenia usług na terytorium Polski oraz delegowania w tym celu pracowników, co wchodzi w zakres negocjowanego porozumienia dotyczącego przyszłych relacji pomiędzy Unią Europejską a Wielką Brytanią.</w:t>
      </w:r>
    </w:p>
    <w:p w14:paraId="78F00229" w14:textId="0F6BB039" w:rsidR="00ED77B3"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Projektowana ustawa wprowadza również zmiany w ustawie z dnia 16 listopada 2006 r. o opłacie skarbowej (Dz. U. </w:t>
      </w:r>
      <w:r w:rsidR="00ED77B3" w:rsidRPr="00ED77B3">
        <w:rPr>
          <w:rFonts w:ascii="Times New Roman" w:eastAsia="Calibri" w:hAnsi="Times New Roman" w:cs="Times New Roman"/>
          <w:sz w:val="24"/>
          <w:szCs w:val="24"/>
        </w:rPr>
        <w:t>z 2020 r. poz. 1546</w:t>
      </w:r>
      <w:r w:rsidR="00B97F6C">
        <w:rPr>
          <w:rFonts w:ascii="Times New Roman" w:eastAsia="Calibri" w:hAnsi="Times New Roman" w:cs="Times New Roman"/>
          <w:sz w:val="24"/>
          <w:szCs w:val="24"/>
        </w:rPr>
        <w:t xml:space="preserve">, </w:t>
      </w:r>
      <w:r w:rsidR="00ED77B3" w:rsidRPr="00ED77B3">
        <w:rPr>
          <w:rFonts w:ascii="Times New Roman" w:eastAsia="Calibri" w:hAnsi="Times New Roman" w:cs="Times New Roman"/>
          <w:sz w:val="24"/>
          <w:szCs w:val="24"/>
        </w:rPr>
        <w:t>1565</w:t>
      </w:r>
      <w:r w:rsidR="00B97F6C">
        <w:rPr>
          <w:rFonts w:ascii="Times New Roman" w:eastAsia="Calibri" w:hAnsi="Times New Roman" w:cs="Times New Roman"/>
          <w:sz w:val="24"/>
          <w:szCs w:val="24"/>
        </w:rPr>
        <w:t xml:space="preserve"> i 2023</w:t>
      </w:r>
      <w:r w:rsidRPr="00774FA7">
        <w:rPr>
          <w:rFonts w:ascii="Times New Roman" w:eastAsia="Calibri" w:hAnsi="Times New Roman" w:cs="Times New Roman"/>
          <w:sz w:val="24"/>
          <w:szCs w:val="24"/>
        </w:rPr>
        <w:t xml:space="preserve">). </w:t>
      </w:r>
      <w:r w:rsidR="000B6766" w:rsidRPr="00774FA7">
        <w:rPr>
          <w:rFonts w:ascii="Times New Roman" w:eastAsia="Calibri" w:hAnsi="Times New Roman" w:cs="Times New Roman"/>
          <w:sz w:val="24"/>
          <w:szCs w:val="24"/>
        </w:rPr>
        <w:t>Zaprojektowane przepisy przewidują</w:t>
      </w:r>
      <w:r w:rsidR="003C5B41">
        <w:rPr>
          <w:rFonts w:ascii="Times New Roman" w:eastAsia="Calibri" w:hAnsi="Times New Roman" w:cs="Times New Roman"/>
          <w:sz w:val="24"/>
          <w:szCs w:val="24"/>
        </w:rPr>
        <w:t>,</w:t>
      </w:r>
      <w:r w:rsidR="000B6766" w:rsidRPr="00774FA7">
        <w:rPr>
          <w:rFonts w:ascii="Times New Roman" w:eastAsia="Calibri" w:hAnsi="Times New Roman" w:cs="Times New Roman"/>
          <w:sz w:val="24"/>
          <w:szCs w:val="24"/>
        </w:rPr>
        <w:t xml:space="preserve"> iż opłacie skarbowej nie będą podlegać</w:t>
      </w:r>
      <w:r w:rsidR="003C5B41">
        <w:rPr>
          <w:rFonts w:ascii="Times New Roman" w:eastAsia="Calibri" w:hAnsi="Times New Roman" w:cs="Times New Roman"/>
          <w:sz w:val="24"/>
          <w:szCs w:val="24"/>
        </w:rPr>
        <w:t>:</w:t>
      </w:r>
      <w:r w:rsidR="000B6766" w:rsidRPr="00774FA7">
        <w:t xml:space="preserve"> </w:t>
      </w:r>
      <w:r w:rsidR="000B6766" w:rsidRPr="00774FA7">
        <w:rPr>
          <w:rFonts w:ascii="Times New Roman" w:eastAsia="Calibri" w:hAnsi="Times New Roman" w:cs="Times New Roman"/>
          <w:sz w:val="24"/>
          <w:szCs w:val="24"/>
        </w:rPr>
        <w:t xml:space="preserve">dokonanie czynności urzędowej, wydanie zaświadczenia i zezwolenia (pozwolenia, koncesji) albo złożenie dokumentu stwierdzającego udzielenie pełnomocnictwa lub prokury albo jego odpisu, wypisu lub kopii w sprawach  pobytu na terytorium Rzeczypospolitej Polskiej członków rodziny obywateli Rzeczypospolitej Polskiej, w rozumieniu art. 2 pkt 4 lit. b ustawy o wjeździe obywateli UE oraz obywateli Zjednoczonego Królestwa oraz członków ich rodzin. </w:t>
      </w:r>
      <w:r w:rsidRPr="00774FA7">
        <w:rPr>
          <w:rFonts w:ascii="Times New Roman" w:eastAsia="Calibri" w:hAnsi="Times New Roman" w:cs="Times New Roman"/>
          <w:sz w:val="24"/>
          <w:szCs w:val="24"/>
        </w:rPr>
        <w:t>Przepisy przewidują zwolnienie z opłaty skarbowej za wydanie zaświadczenia potwierdzającego, iż w stosunku do obywatela UE lub członka rodziny obywatela UE istnieje domniemanie, że są oni ofiarami handlu ludźmi. Przyjęte rozwiązanie jest analogiczne do uregulowań z tego zakresu wynikających z ustawy o cudzoziemcach.</w:t>
      </w:r>
      <w:r w:rsidR="00AA5C98" w:rsidRPr="00774FA7">
        <w:rPr>
          <w:rFonts w:ascii="Times New Roman" w:eastAsia="Calibri" w:hAnsi="Times New Roman" w:cs="Times New Roman"/>
          <w:sz w:val="24"/>
          <w:szCs w:val="24"/>
        </w:rPr>
        <w:t xml:space="preserve"> Zwolnieniu z opłaty skarbowej podlegać będą również zezwolenia na pobyt czasowy udzielane osobom przebywającym w Polsce z obywatelami Zjednoczonego </w:t>
      </w:r>
      <w:r w:rsidR="004B7415" w:rsidRPr="00774FA7">
        <w:rPr>
          <w:rFonts w:ascii="Times New Roman" w:eastAsia="Calibri" w:hAnsi="Times New Roman" w:cs="Times New Roman"/>
          <w:sz w:val="24"/>
          <w:szCs w:val="24"/>
        </w:rPr>
        <w:t>Królestwa</w:t>
      </w:r>
      <w:r w:rsidR="00AA5C98" w:rsidRPr="00774FA7">
        <w:rPr>
          <w:rFonts w:ascii="Times New Roman" w:eastAsia="Calibri" w:hAnsi="Times New Roman" w:cs="Times New Roman"/>
          <w:sz w:val="24"/>
          <w:szCs w:val="24"/>
        </w:rPr>
        <w:t>, co stanowi dostosowanie polskiego prawa do Umowy wystąpienia</w:t>
      </w:r>
      <w:r w:rsidR="009A2101" w:rsidRPr="00774FA7">
        <w:rPr>
          <w:rFonts w:ascii="Times New Roman" w:eastAsia="Calibri" w:hAnsi="Times New Roman" w:cs="Times New Roman"/>
          <w:sz w:val="24"/>
          <w:szCs w:val="24"/>
        </w:rPr>
        <w:t xml:space="preserve"> – </w:t>
      </w:r>
      <w:r w:rsidR="003C5B41">
        <w:rPr>
          <w:rFonts w:ascii="Times New Roman" w:eastAsia="Calibri" w:hAnsi="Times New Roman" w:cs="Times New Roman"/>
          <w:sz w:val="24"/>
          <w:szCs w:val="24"/>
        </w:rPr>
        <w:t xml:space="preserve">projektowany </w:t>
      </w:r>
      <w:r w:rsidR="009A2101" w:rsidRPr="00774FA7">
        <w:rPr>
          <w:rFonts w:ascii="Times New Roman" w:eastAsia="Calibri" w:hAnsi="Times New Roman" w:cs="Times New Roman"/>
          <w:sz w:val="24"/>
          <w:szCs w:val="24"/>
        </w:rPr>
        <w:t>art. 160 pkt 4-6 ustawy o cudzoziemcach</w:t>
      </w:r>
      <w:r w:rsidR="00290345">
        <w:rPr>
          <w:rFonts w:ascii="Times New Roman" w:eastAsia="Calibri" w:hAnsi="Times New Roman" w:cs="Times New Roman"/>
          <w:sz w:val="24"/>
          <w:szCs w:val="24"/>
        </w:rPr>
        <w:t xml:space="preserve">. </w:t>
      </w:r>
    </w:p>
    <w:p w14:paraId="5C59B69E" w14:textId="4FE20370" w:rsidR="00076C40" w:rsidRDefault="00290345"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ustawie tej przewiduje się także zwolnienie z opłaty skarbowej za udzielenie zezwolenia na pobyt czasowy (art. 186 ust. 1 pkt 8 ustawy o cudzoziemcach) oraz zezwolenia na pobyt stały </w:t>
      </w:r>
      <w:r w:rsidRPr="00290345">
        <w:rPr>
          <w:rFonts w:ascii="Times New Roman" w:eastAsia="Calibri" w:hAnsi="Times New Roman" w:cs="Times New Roman"/>
          <w:sz w:val="24"/>
          <w:szCs w:val="24"/>
        </w:rPr>
        <w:t>(art. 1</w:t>
      </w:r>
      <w:r>
        <w:rPr>
          <w:rFonts w:ascii="Times New Roman" w:eastAsia="Calibri" w:hAnsi="Times New Roman" w:cs="Times New Roman"/>
          <w:sz w:val="24"/>
          <w:szCs w:val="24"/>
        </w:rPr>
        <w:t>95</w:t>
      </w:r>
      <w:r w:rsidRPr="00290345">
        <w:rPr>
          <w:rFonts w:ascii="Times New Roman" w:eastAsia="Calibri" w:hAnsi="Times New Roman" w:cs="Times New Roman"/>
          <w:sz w:val="24"/>
          <w:szCs w:val="24"/>
        </w:rPr>
        <w:t xml:space="preserve"> ust. 1 pkt </w:t>
      </w:r>
      <w:r>
        <w:rPr>
          <w:rFonts w:ascii="Times New Roman" w:eastAsia="Calibri" w:hAnsi="Times New Roman" w:cs="Times New Roman"/>
          <w:sz w:val="24"/>
          <w:szCs w:val="24"/>
        </w:rPr>
        <w:t>10</w:t>
      </w:r>
      <w:r w:rsidRPr="00290345">
        <w:rPr>
          <w:rFonts w:ascii="Times New Roman" w:eastAsia="Calibri" w:hAnsi="Times New Roman" w:cs="Times New Roman"/>
          <w:sz w:val="24"/>
          <w:szCs w:val="24"/>
        </w:rPr>
        <w:t xml:space="preserve"> ustawy o cudzoziemcach)</w:t>
      </w:r>
      <w:r>
        <w:rPr>
          <w:rFonts w:ascii="Times New Roman" w:eastAsia="Calibri" w:hAnsi="Times New Roman" w:cs="Times New Roman"/>
          <w:sz w:val="24"/>
          <w:szCs w:val="24"/>
        </w:rPr>
        <w:t xml:space="preserve"> </w:t>
      </w:r>
      <w:r w:rsidRPr="00290345">
        <w:rPr>
          <w:rFonts w:ascii="Times New Roman" w:eastAsia="Calibri" w:hAnsi="Times New Roman" w:cs="Times New Roman"/>
          <w:sz w:val="24"/>
          <w:szCs w:val="24"/>
        </w:rPr>
        <w:t>brytyjski</w:t>
      </w:r>
      <w:r>
        <w:rPr>
          <w:rFonts w:ascii="Times New Roman" w:eastAsia="Calibri" w:hAnsi="Times New Roman" w:cs="Times New Roman"/>
          <w:sz w:val="24"/>
          <w:szCs w:val="24"/>
        </w:rPr>
        <w:t>m</w:t>
      </w:r>
      <w:r w:rsidRPr="00290345">
        <w:rPr>
          <w:rFonts w:ascii="Times New Roman" w:eastAsia="Calibri" w:hAnsi="Times New Roman" w:cs="Times New Roman"/>
          <w:sz w:val="24"/>
          <w:szCs w:val="24"/>
        </w:rPr>
        <w:t xml:space="preserve"> pracownik</w:t>
      </w:r>
      <w:r>
        <w:rPr>
          <w:rFonts w:ascii="Times New Roman" w:eastAsia="Calibri" w:hAnsi="Times New Roman" w:cs="Times New Roman"/>
          <w:sz w:val="24"/>
          <w:szCs w:val="24"/>
        </w:rPr>
        <w:t>om</w:t>
      </w:r>
      <w:r w:rsidRPr="00290345">
        <w:rPr>
          <w:rFonts w:ascii="Times New Roman" w:eastAsia="Calibri" w:hAnsi="Times New Roman" w:cs="Times New Roman"/>
          <w:sz w:val="24"/>
          <w:szCs w:val="24"/>
        </w:rPr>
        <w:t xml:space="preserve"> delegowany</w:t>
      </w:r>
      <w:r>
        <w:rPr>
          <w:rFonts w:ascii="Times New Roman" w:eastAsia="Calibri" w:hAnsi="Times New Roman" w:cs="Times New Roman"/>
          <w:sz w:val="24"/>
          <w:szCs w:val="24"/>
        </w:rPr>
        <w:t>m</w:t>
      </w:r>
      <w:r w:rsidRPr="00290345">
        <w:rPr>
          <w:rFonts w:ascii="Times New Roman" w:eastAsia="Calibri" w:hAnsi="Times New Roman" w:cs="Times New Roman"/>
          <w:sz w:val="24"/>
          <w:szCs w:val="24"/>
        </w:rPr>
        <w:t xml:space="preserve"> do końca okresu przejściowego na terytorium Polski, nie objęty</w:t>
      </w:r>
      <w:r>
        <w:rPr>
          <w:rFonts w:ascii="Times New Roman" w:eastAsia="Calibri" w:hAnsi="Times New Roman" w:cs="Times New Roman"/>
          <w:sz w:val="24"/>
          <w:szCs w:val="24"/>
        </w:rPr>
        <w:t>m</w:t>
      </w:r>
      <w:r w:rsidRPr="00290345">
        <w:rPr>
          <w:rFonts w:ascii="Times New Roman" w:eastAsia="Calibri" w:hAnsi="Times New Roman" w:cs="Times New Roman"/>
          <w:sz w:val="24"/>
          <w:szCs w:val="24"/>
        </w:rPr>
        <w:t xml:space="preserve"> Umową Wystąpienia</w:t>
      </w:r>
      <w:r w:rsidR="00AA5C98" w:rsidRPr="00774FA7">
        <w:rPr>
          <w:rFonts w:ascii="Times New Roman" w:eastAsia="Calibri" w:hAnsi="Times New Roman" w:cs="Times New Roman"/>
          <w:sz w:val="24"/>
          <w:szCs w:val="24"/>
        </w:rPr>
        <w:t xml:space="preserve">. </w:t>
      </w:r>
      <w:r w:rsidRPr="00290345">
        <w:rPr>
          <w:rFonts w:ascii="Times New Roman" w:eastAsia="Calibri" w:hAnsi="Times New Roman" w:cs="Times New Roman"/>
          <w:sz w:val="24"/>
          <w:szCs w:val="24"/>
        </w:rPr>
        <w:t>Za zasadne uznano zastosowanie przy udzielaniu w/w zezwoleń pobytowych tych samych zasad, które przyjęto wobec obywateli brytyjskich będących beneficjentami Umowy Wystąpienia, oraz które mają zastosowanie wobec obywateli UE korzystających ze swobody przemieszczania się na terytorium Polski, od których nie pobiera się opłat</w:t>
      </w:r>
      <w:r w:rsidR="0037192B">
        <w:rPr>
          <w:rFonts w:ascii="Times New Roman" w:eastAsia="Calibri" w:hAnsi="Times New Roman" w:cs="Times New Roman"/>
          <w:sz w:val="24"/>
          <w:szCs w:val="24"/>
        </w:rPr>
        <w:t>y</w:t>
      </w:r>
      <w:r w:rsidRPr="00290345">
        <w:rPr>
          <w:rFonts w:ascii="Times New Roman" w:eastAsia="Calibri" w:hAnsi="Times New Roman" w:cs="Times New Roman"/>
          <w:sz w:val="24"/>
          <w:szCs w:val="24"/>
        </w:rPr>
        <w:t xml:space="preserve"> </w:t>
      </w:r>
      <w:r w:rsidR="0037192B" w:rsidRPr="00290345">
        <w:rPr>
          <w:rFonts w:ascii="Times New Roman" w:eastAsia="Calibri" w:hAnsi="Times New Roman" w:cs="Times New Roman"/>
          <w:sz w:val="24"/>
          <w:szCs w:val="24"/>
        </w:rPr>
        <w:t>skarbow</w:t>
      </w:r>
      <w:r w:rsidR="0037192B">
        <w:rPr>
          <w:rFonts w:ascii="Times New Roman" w:eastAsia="Calibri" w:hAnsi="Times New Roman" w:cs="Times New Roman"/>
          <w:sz w:val="24"/>
          <w:szCs w:val="24"/>
        </w:rPr>
        <w:t xml:space="preserve">ej </w:t>
      </w:r>
      <w:r w:rsidRPr="00290345">
        <w:rPr>
          <w:rFonts w:ascii="Times New Roman" w:eastAsia="Calibri" w:hAnsi="Times New Roman" w:cs="Times New Roman"/>
          <w:sz w:val="24"/>
          <w:szCs w:val="24"/>
        </w:rPr>
        <w:t xml:space="preserve">w sprawach prawa pobytu i prawa stałego pobytu na terytorium Polski.   </w:t>
      </w:r>
      <w:r w:rsidR="00CF73A9">
        <w:rPr>
          <w:rFonts w:ascii="Times New Roman" w:eastAsia="Calibri" w:hAnsi="Times New Roman" w:cs="Times New Roman"/>
          <w:sz w:val="24"/>
          <w:szCs w:val="24"/>
        </w:rPr>
        <w:t xml:space="preserve"> </w:t>
      </w:r>
    </w:p>
    <w:p w14:paraId="33B63846" w14:textId="77777777" w:rsidR="00526EBD" w:rsidRPr="00526EBD" w:rsidRDefault="00526EBD" w:rsidP="00526EBD">
      <w:pPr>
        <w:spacing w:after="0" w:line="288" w:lineRule="auto"/>
        <w:ind w:firstLine="709"/>
        <w:jc w:val="both"/>
        <w:rPr>
          <w:rFonts w:ascii="Times New Roman" w:eastAsia="Calibri" w:hAnsi="Times New Roman" w:cs="Times New Roman"/>
          <w:sz w:val="24"/>
          <w:szCs w:val="24"/>
        </w:rPr>
      </w:pPr>
      <w:r w:rsidRPr="00526EBD">
        <w:rPr>
          <w:rFonts w:ascii="Times New Roman" w:eastAsia="Calibri" w:hAnsi="Times New Roman" w:cs="Times New Roman"/>
          <w:sz w:val="24"/>
          <w:szCs w:val="24"/>
        </w:rPr>
        <w:t xml:space="preserve">Projektowane zmiany w ustawie z dnia 24 września 2010 r. o ewidencji ludności (Dz. U. z 2019 r. poz. 1397, z </w:t>
      </w:r>
      <w:proofErr w:type="spellStart"/>
      <w:r w:rsidRPr="00526EBD">
        <w:rPr>
          <w:rFonts w:ascii="Times New Roman" w:eastAsia="Calibri" w:hAnsi="Times New Roman" w:cs="Times New Roman"/>
          <w:sz w:val="24"/>
          <w:szCs w:val="24"/>
        </w:rPr>
        <w:t>późn</w:t>
      </w:r>
      <w:proofErr w:type="spellEnd"/>
      <w:r w:rsidRPr="00526EBD">
        <w:rPr>
          <w:rFonts w:ascii="Times New Roman" w:eastAsia="Calibri" w:hAnsi="Times New Roman" w:cs="Times New Roman"/>
          <w:sz w:val="24"/>
          <w:szCs w:val="24"/>
        </w:rPr>
        <w:t xml:space="preserve">. zm.) dotyczące obowiązku meldunkowego cudzoziemców, uwzględniają rozszerzenie na mocy projektu definicji członka rodziny, przewidzianej w ustawie o wjeździe obywateli UE na członka rodziny obywatela Rzeczypospolitej Polskiej, o którym mowa w projektowanym art. 2 pkt 4 lit. b tej ustawy, wydawanie obywatelom Zjednoczonego Królestwa oraz członkom ich rodzin, będącym beneficjentami Umowy wystąpienia, zamieszkującym w Polsce, dokumentów pobytowych przewidzianych w projektowanym art. 65b w/w ustawy, jak również wynikają z wprowadzanej w ustawie o wjeździe obywateli UE zmiany nazewnictwa dokumentów wydawanych obywatelom UE oraz członkom ich rodzin. </w:t>
      </w:r>
    </w:p>
    <w:p w14:paraId="7099A72C" w14:textId="77777777" w:rsidR="00526EBD" w:rsidRPr="00526EBD" w:rsidRDefault="00526EBD" w:rsidP="00526EBD">
      <w:pPr>
        <w:spacing w:after="0" w:line="288" w:lineRule="auto"/>
        <w:ind w:firstLine="709"/>
        <w:jc w:val="both"/>
        <w:rPr>
          <w:rFonts w:ascii="Times New Roman" w:eastAsia="Calibri" w:hAnsi="Times New Roman" w:cs="Times New Roman"/>
          <w:sz w:val="24"/>
          <w:szCs w:val="24"/>
        </w:rPr>
      </w:pPr>
      <w:r w:rsidRPr="00526EBD">
        <w:rPr>
          <w:rFonts w:ascii="Times New Roman" w:eastAsia="Calibri" w:hAnsi="Times New Roman" w:cs="Times New Roman"/>
          <w:sz w:val="24"/>
          <w:szCs w:val="24"/>
        </w:rPr>
        <w:t>W art. 41 dodano przepis 2a, z którego wynika, że obowiązek meldunkowy, o którym mowa w ust. 2  stosuje się także do członka rodziny obywatela Rzeczypospolitej Polskiej, o którym mowa w art. 2 pkt 4 lit. b ustawy z dnia 14 lipca 2006 r. o wjeździe na terytorium Rzeczypospolitej Polskiej, pobycie oraz wyjeździe z tego terytorium obywateli państw członkowskich Unii Europejskiej i członków ich rodzin.</w:t>
      </w:r>
    </w:p>
    <w:p w14:paraId="51AF49B4" w14:textId="77777777" w:rsidR="00526EBD" w:rsidRPr="00526EBD" w:rsidRDefault="00526EBD" w:rsidP="00526EBD">
      <w:pPr>
        <w:spacing w:after="0" w:line="288" w:lineRule="auto"/>
        <w:ind w:firstLine="709"/>
        <w:jc w:val="both"/>
        <w:rPr>
          <w:rFonts w:ascii="Times New Roman" w:eastAsia="Calibri" w:hAnsi="Times New Roman" w:cs="Times New Roman"/>
          <w:sz w:val="24"/>
          <w:szCs w:val="24"/>
        </w:rPr>
      </w:pPr>
      <w:r w:rsidRPr="00526EBD">
        <w:rPr>
          <w:rFonts w:ascii="Times New Roman" w:eastAsia="Calibri" w:hAnsi="Times New Roman" w:cs="Times New Roman"/>
          <w:sz w:val="24"/>
          <w:szCs w:val="24"/>
        </w:rPr>
        <w:lastRenderedPageBreak/>
        <w:t>Z kolei w art. 43 dodano przepis – nowy ust. 1a – który stanowi, że obywatel Zjednoczonego Królestwa Wielkiej Brytanii i Irlandii Północnej, o którym mowa w art. 10 ust. 1 lit. b Umowy wystąpienia dokonujący zameldowania na pobyt stały przedstawia ważne zaświadczenie o zarejestrowaniu pobytu albo ważny dokument potwierdzający prawo stałego pobytu a członek jego rodziny, o którym mowa w art. 10 ust. 1 lit. e i f tej Umowy przedstawia ważną kartę pobytową lub ważną kartę stałego pobytu.</w:t>
      </w:r>
    </w:p>
    <w:p w14:paraId="4CAB6F02" w14:textId="77777777" w:rsidR="00526EBD" w:rsidRPr="00526EBD" w:rsidRDefault="00526EBD" w:rsidP="00526EBD">
      <w:pPr>
        <w:spacing w:after="0" w:line="288" w:lineRule="auto"/>
        <w:ind w:firstLine="709"/>
        <w:jc w:val="both"/>
        <w:rPr>
          <w:rFonts w:ascii="Times New Roman" w:eastAsia="Calibri" w:hAnsi="Times New Roman" w:cs="Times New Roman"/>
          <w:sz w:val="24"/>
          <w:szCs w:val="24"/>
        </w:rPr>
      </w:pPr>
      <w:r w:rsidRPr="00526EBD">
        <w:rPr>
          <w:rFonts w:ascii="Times New Roman" w:eastAsia="Calibri" w:hAnsi="Times New Roman" w:cs="Times New Roman"/>
          <w:sz w:val="24"/>
          <w:szCs w:val="24"/>
        </w:rPr>
        <w:t>Użyte w art. 43 ust. 2 i 4 ustawy z dnia 24 września 2010 r. o ewidencji ludności pojęcia „ważna karta pobytu członka rodziny obywatela Unii Europejskiej” oraz  „ważna karta stałego pobytu członka rodziny obywatela Unii Europejskiej” planuje się zastąpić  odpowiednio sformułowaniem „ważna karta pobytowa” oraz „ważna karta stałego pobytu”.</w:t>
      </w:r>
    </w:p>
    <w:p w14:paraId="2F23CCF5" w14:textId="77777777" w:rsidR="0020619C" w:rsidRDefault="00526EBD" w:rsidP="00526EBD">
      <w:pPr>
        <w:spacing w:after="0" w:line="288" w:lineRule="auto"/>
        <w:ind w:firstLine="709"/>
        <w:jc w:val="both"/>
        <w:rPr>
          <w:rFonts w:ascii="Times New Roman" w:eastAsia="Calibri" w:hAnsi="Times New Roman" w:cs="Times New Roman"/>
          <w:sz w:val="24"/>
          <w:szCs w:val="24"/>
        </w:rPr>
      </w:pPr>
      <w:proofErr w:type="spellStart"/>
      <w:r w:rsidRPr="00526EBD">
        <w:rPr>
          <w:rFonts w:ascii="Times New Roman" w:eastAsia="Calibri" w:hAnsi="Times New Roman" w:cs="Times New Roman"/>
          <w:sz w:val="24"/>
          <w:szCs w:val="24"/>
        </w:rPr>
        <w:t>Nowozaprojektowany</w:t>
      </w:r>
      <w:proofErr w:type="spellEnd"/>
      <w:r w:rsidRPr="00526EBD">
        <w:rPr>
          <w:rFonts w:ascii="Times New Roman" w:eastAsia="Calibri" w:hAnsi="Times New Roman" w:cs="Times New Roman"/>
          <w:sz w:val="24"/>
          <w:szCs w:val="24"/>
        </w:rPr>
        <w:t xml:space="preserve"> ust. 3a w art. 43 precyzuje, jakie dokumenty przedstawia obywatel Zjednoczonego Królestwa Wielkiej Brytanii i Irlandii Północnej, o którym mowa w art. 10 ust. 1 lit. b Umowy wystąpienia dokonujący zameldowania się na pobyt czasowy.</w:t>
      </w:r>
    </w:p>
    <w:p w14:paraId="6C2D811F" w14:textId="7DF4B07E" w:rsidR="00862894" w:rsidRPr="00774FA7" w:rsidRDefault="00076C40" w:rsidP="00526EBD">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Projekt ustawy </w:t>
      </w:r>
      <w:r w:rsidR="00862894" w:rsidRPr="00774FA7">
        <w:rPr>
          <w:rFonts w:ascii="Times New Roman" w:eastAsia="Calibri" w:hAnsi="Times New Roman" w:cs="Times New Roman"/>
          <w:sz w:val="24"/>
          <w:szCs w:val="24"/>
        </w:rPr>
        <w:t>wprowadza zmiany w ustaw</w:t>
      </w:r>
      <w:r w:rsidR="003C5B41">
        <w:rPr>
          <w:rFonts w:ascii="Times New Roman" w:eastAsia="Calibri" w:hAnsi="Times New Roman" w:cs="Times New Roman"/>
          <w:sz w:val="24"/>
          <w:szCs w:val="24"/>
        </w:rPr>
        <w:t>ie</w:t>
      </w:r>
      <w:r w:rsidR="00862894" w:rsidRPr="00774FA7">
        <w:rPr>
          <w:rFonts w:ascii="Times New Roman" w:eastAsia="Calibri" w:hAnsi="Times New Roman" w:cs="Times New Roman"/>
          <w:sz w:val="24"/>
          <w:szCs w:val="24"/>
        </w:rPr>
        <w:t xml:space="preserve"> z dnia 12 grudnia 2013 r. o cudzoziemcach. Z</w:t>
      </w:r>
      <w:r w:rsidRPr="00774FA7">
        <w:rPr>
          <w:rFonts w:ascii="Times New Roman" w:eastAsia="Calibri" w:hAnsi="Times New Roman" w:cs="Times New Roman"/>
          <w:sz w:val="24"/>
          <w:szCs w:val="24"/>
        </w:rPr>
        <w:t>mian</w:t>
      </w:r>
      <w:r w:rsidR="00862894" w:rsidRPr="00774FA7">
        <w:rPr>
          <w:rFonts w:ascii="Times New Roman" w:eastAsia="Calibri" w:hAnsi="Times New Roman" w:cs="Times New Roman"/>
          <w:sz w:val="24"/>
          <w:szCs w:val="24"/>
        </w:rPr>
        <w:t>a</w:t>
      </w:r>
      <w:r w:rsidRPr="00774FA7">
        <w:rPr>
          <w:rFonts w:ascii="Times New Roman" w:eastAsia="Calibri" w:hAnsi="Times New Roman" w:cs="Times New Roman"/>
          <w:sz w:val="24"/>
          <w:szCs w:val="24"/>
        </w:rPr>
        <w:t xml:space="preserve"> art. 2 </w:t>
      </w:r>
      <w:r w:rsidR="00862894" w:rsidRPr="00774FA7">
        <w:rPr>
          <w:rFonts w:ascii="Times New Roman" w:eastAsia="Calibri" w:hAnsi="Times New Roman" w:cs="Times New Roman"/>
          <w:sz w:val="24"/>
          <w:szCs w:val="24"/>
        </w:rPr>
        <w:t xml:space="preserve">polega na dodaniu </w:t>
      </w:r>
      <w:r w:rsidR="00AA5C98" w:rsidRPr="00774FA7">
        <w:rPr>
          <w:rFonts w:ascii="Times New Roman" w:eastAsia="Calibri" w:hAnsi="Times New Roman" w:cs="Times New Roman"/>
          <w:sz w:val="24"/>
          <w:szCs w:val="24"/>
        </w:rPr>
        <w:t>pkt 3</w:t>
      </w:r>
      <w:r w:rsidR="00862894" w:rsidRPr="00774FA7">
        <w:rPr>
          <w:rFonts w:ascii="Times New Roman" w:eastAsia="Calibri" w:hAnsi="Times New Roman" w:cs="Times New Roman"/>
          <w:sz w:val="24"/>
          <w:szCs w:val="24"/>
        </w:rPr>
        <w:t>, co oznacza</w:t>
      </w:r>
      <w:r w:rsidRPr="00774FA7">
        <w:rPr>
          <w:rFonts w:ascii="Times New Roman" w:eastAsia="Calibri" w:hAnsi="Times New Roman" w:cs="Times New Roman"/>
          <w:sz w:val="24"/>
          <w:szCs w:val="24"/>
        </w:rPr>
        <w:t>, że przepisy ustawy o cudzoziemcach nie będą miały zastosowania do członków rodziny obywatela Rzeczypospolitej Polskiej, którzy zostali wymienieni w art. 2 pkt 4 lit. b</w:t>
      </w:r>
      <w:r w:rsidR="00D02E31">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ustawy o wjeździe obywateli UE. </w:t>
      </w:r>
      <w:r w:rsidR="00AA5C98" w:rsidRPr="00774FA7">
        <w:rPr>
          <w:rFonts w:ascii="Times New Roman" w:eastAsia="Calibri" w:hAnsi="Times New Roman" w:cs="Times New Roman"/>
          <w:sz w:val="24"/>
          <w:szCs w:val="24"/>
        </w:rPr>
        <w:t xml:space="preserve">W art. 2 </w:t>
      </w:r>
      <w:r w:rsidR="00862894" w:rsidRPr="00774FA7">
        <w:rPr>
          <w:rFonts w:ascii="Times New Roman" w:eastAsia="Calibri" w:hAnsi="Times New Roman" w:cs="Times New Roman"/>
          <w:sz w:val="24"/>
          <w:szCs w:val="24"/>
        </w:rPr>
        <w:t xml:space="preserve">w dodawanym </w:t>
      </w:r>
      <w:r w:rsidR="00AA5C98" w:rsidRPr="00774FA7">
        <w:rPr>
          <w:rFonts w:ascii="Times New Roman" w:eastAsia="Calibri" w:hAnsi="Times New Roman" w:cs="Times New Roman"/>
          <w:sz w:val="24"/>
          <w:szCs w:val="24"/>
        </w:rPr>
        <w:t xml:space="preserve">pkt 4 ustawy o cudzoziemcach proponuje się wyłączenie stosowania ustawy o cudzoziemcach do obywateli Zjednoczonego Królestwa oraz członków ich rodzin będących beneficjentami Umowy </w:t>
      </w:r>
      <w:r w:rsidR="003C5B41">
        <w:rPr>
          <w:rFonts w:ascii="Times New Roman" w:eastAsia="Calibri" w:hAnsi="Times New Roman" w:cs="Times New Roman"/>
          <w:sz w:val="24"/>
          <w:szCs w:val="24"/>
        </w:rPr>
        <w:t xml:space="preserve">o </w:t>
      </w:r>
      <w:r w:rsidR="008C7E61">
        <w:rPr>
          <w:rFonts w:ascii="Times New Roman" w:eastAsia="Calibri" w:hAnsi="Times New Roman" w:cs="Times New Roman"/>
          <w:sz w:val="24"/>
          <w:szCs w:val="24"/>
        </w:rPr>
        <w:t>w</w:t>
      </w:r>
      <w:r w:rsidR="00AA5C98" w:rsidRPr="00774FA7">
        <w:rPr>
          <w:rFonts w:ascii="Times New Roman" w:eastAsia="Calibri" w:hAnsi="Times New Roman" w:cs="Times New Roman"/>
          <w:sz w:val="24"/>
          <w:szCs w:val="24"/>
        </w:rPr>
        <w:t>ystąpieni</w:t>
      </w:r>
      <w:r w:rsidR="003C5B41">
        <w:rPr>
          <w:rFonts w:ascii="Times New Roman" w:eastAsia="Calibri" w:hAnsi="Times New Roman" w:cs="Times New Roman"/>
          <w:sz w:val="24"/>
          <w:szCs w:val="24"/>
        </w:rPr>
        <w:t>u</w:t>
      </w:r>
      <w:r w:rsidR="00AA5C98" w:rsidRPr="00774FA7">
        <w:rPr>
          <w:rFonts w:ascii="Times New Roman" w:eastAsia="Calibri" w:hAnsi="Times New Roman" w:cs="Times New Roman"/>
          <w:sz w:val="24"/>
          <w:szCs w:val="24"/>
        </w:rPr>
        <w:t xml:space="preserve"> Zjednoczonego Królestwa Wielkiej Brytanii i Irlandii Północnej z Unii Europejskiej i Europejskiej Wspólnoty Energii Atomowej, gdyż uprawnienia pobytowe tych osób na terytorium Polski będą regulowane bezpośrednio przez Umowę </w:t>
      </w:r>
      <w:r w:rsidR="008C7E61">
        <w:rPr>
          <w:rFonts w:ascii="Times New Roman" w:eastAsia="Calibri" w:hAnsi="Times New Roman" w:cs="Times New Roman"/>
          <w:sz w:val="24"/>
          <w:szCs w:val="24"/>
        </w:rPr>
        <w:t>w</w:t>
      </w:r>
      <w:r w:rsidR="00AA5C98" w:rsidRPr="00774FA7">
        <w:rPr>
          <w:rFonts w:ascii="Times New Roman" w:eastAsia="Calibri" w:hAnsi="Times New Roman" w:cs="Times New Roman"/>
          <w:sz w:val="24"/>
          <w:szCs w:val="24"/>
        </w:rPr>
        <w:t xml:space="preserve">ystąpienia, jak również przez ustawę z dnia 14 lipca 2006 r. o wjeździe na terytorium Rzeczypospolitej Polskiej, pobycie oraz wyjeździe z tego terytorium obywateli państw członkowskich Unii Europejskiej i członków ich rodzin. Uprawnienia te będą analogiczne do tych, jakie dotyczą obywateli UE oraz członków ich rodzin na terytorium Polski. Jednocześnie przewidziano zastrzeżenie, że ustawa może stanowić inaczej. </w:t>
      </w:r>
    </w:p>
    <w:p w14:paraId="7A143F7F" w14:textId="2D632811" w:rsidR="00F159F5" w:rsidRPr="00774FA7" w:rsidRDefault="00AA5C98" w:rsidP="004F6DC6">
      <w:pPr>
        <w:spacing w:after="0" w:line="288" w:lineRule="auto"/>
        <w:ind w:firstLine="709"/>
        <w:jc w:val="both"/>
        <w:rPr>
          <w:rFonts w:ascii="Times New Roman" w:eastAsia="Calibri" w:hAnsi="Times New Roman" w:cs="Times New Roman"/>
          <w:sz w:val="24"/>
          <w:szCs w:val="24"/>
        </w:rPr>
      </w:pPr>
      <w:r w:rsidRPr="00687641">
        <w:rPr>
          <w:rFonts w:ascii="Times New Roman" w:eastAsia="Calibri" w:hAnsi="Times New Roman" w:cs="Times New Roman"/>
          <w:sz w:val="24"/>
          <w:szCs w:val="24"/>
        </w:rPr>
        <w:t xml:space="preserve">W projekcie przewidziano stosowanie wobec obywateli Zjednoczonego Królestwa oraz członków ich rodzin będących beneficjentami Umowy </w:t>
      </w:r>
      <w:r w:rsidR="008C7E61" w:rsidRPr="00687641">
        <w:rPr>
          <w:rFonts w:ascii="Times New Roman" w:eastAsia="Calibri" w:hAnsi="Times New Roman" w:cs="Times New Roman"/>
          <w:sz w:val="24"/>
          <w:szCs w:val="24"/>
        </w:rPr>
        <w:t>w</w:t>
      </w:r>
      <w:r w:rsidRPr="00687641">
        <w:rPr>
          <w:rFonts w:ascii="Times New Roman" w:eastAsia="Calibri" w:hAnsi="Times New Roman" w:cs="Times New Roman"/>
          <w:sz w:val="24"/>
          <w:szCs w:val="24"/>
        </w:rPr>
        <w:t>ystąpienia przepisów ustawy o cudzoziemcach mogących mieć zastosowanie do ww</w:t>
      </w:r>
      <w:r w:rsidR="00862894" w:rsidRPr="00687641">
        <w:rPr>
          <w:rFonts w:ascii="Times New Roman" w:eastAsia="Calibri" w:hAnsi="Times New Roman" w:cs="Times New Roman"/>
          <w:sz w:val="24"/>
          <w:szCs w:val="24"/>
        </w:rPr>
        <w:t>.</w:t>
      </w:r>
      <w:r w:rsidRPr="00687641">
        <w:rPr>
          <w:rFonts w:ascii="Times New Roman" w:eastAsia="Calibri" w:hAnsi="Times New Roman" w:cs="Times New Roman"/>
          <w:sz w:val="24"/>
          <w:szCs w:val="24"/>
        </w:rPr>
        <w:t xml:space="preserve"> osób, w tym dotyczących wiz dla członków rodzin obywateli Zjednoczonego Królestwa, wpisywania zaproszeń do ewidencji zaproszeń oraz zezwoleń na pobyt czasowy w celu połączenia z rodziną. Ponadto przewidziano możliwość stosowania wobec </w:t>
      </w:r>
      <w:r w:rsidR="00F159F5" w:rsidRPr="00687641">
        <w:rPr>
          <w:rFonts w:ascii="Times New Roman" w:eastAsia="Calibri" w:hAnsi="Times New Roman" w:cs="Times New Roman"/>
          <w:sz w:val="24"/>
          <w:szCs w:val="24"/>
        </w:rPr>
        <w:t xml:space="preserve">tych </w:t>
      </w:r>
      <w:r w:rsidRPr="00687641">
        <w:rPr>
          <w:rFonts w:ascii="Times New Roman" w:eastAsia="Calibri" w:hAnsi="Times New Roman" w:cs="Times New Roman"/>
          <w:sz w:val="24"/>
          <w:szCs w:val="24"/>
        </w:rPr>
        <w:t xml:space="preserve">osób przepisów ustawy o cudzoziemcach dotyczących udzielania zezwoleń na pobyt czasowy w celu wykonywania pracy w zawodzie wymagającym wysokich kwalifikacji, zezwoleń na pobyt czasowy w celu wykonywania pracy w ramach przeniesienia wewnątrz przedsiębiorstwa, mobilności krótkoterminowej i długoterminowej pracownika kadry kierowniczej, specjalisty lub pracownika odbywającego staż, w ramach przeniesienia wewnątrz przedsiębiorstwa oraz zezwoleń na pobyt rezydenta długoterminowego UE. Obywatele Zjednoczonego Królestwa oraz członkowie ich rodzin będący beneficjentami Umowy </w:t>
      </w:r>
      <w:r w:rsidR="008C7E61" w:rsidRPr="00687641">
        <w:rPr>
          <w:rFonts w:ascii="Times New Roman" w:eastAsia="Calibri" w:hAnsi="Times New Roman" w:cs="Times New Roman"/>
          <w:sz w:val="24"/>
          <w:szCs w:val="24"/>
        </w:rPr>
        <w:t>w</w:t>
      </w:r>
      <w:r w:rsidRPr="00687641">
        <w:rPr>
          <w:rFonts w:ascii="Times New Roman" w:eastAsia="Calibri" w:hAnsi="Times New Roman" w:cs="Times New Roman"/>
          <w:sz w:val="24"/>
          <w:szCs w:val="24"/>
        </w:rPr>
        <w:t>ystąpienia na terytorium Polski będą mogli korzystać z uprawnień związanych z posiadaniem ww</w:t>
      </w:r>
      <w:r w:rsidR="004D676E" w:rsidRPr="00687641">
        <w:rPr>
          <w:rFonts w:ascii="Times New Roman" w:eastAsia="Calibri" w:hAnsi="Times New Roman" w:cs="Times New Roman"/>
          <w:sz w:val="24"/>
          <w:szCs w:val="24"/>
        </w:rPr>
        <w:t>.</w:t>
      </w:r>
      <w:r w:rsidRPr="00687641">
        <w:rPr>
          <w:rFonts w:ascii="Times New Roman" w:eastAsia="Calibri" w:hAnsi="Times New Roman" w:cs="Times New Roman"/>
          <w:sz w:val="24"/>
          <w:szCs w:val="24"/>
        </w:rPr>
        <w:t xml:space="preserve"> zezwoleń pobytowych w innych państwach </w:t>
      </w:r>
      <w:r w:rsidRPr="00687641">
        <w:rPr>
          <w:rFonts w:ascii="Times New Roman" w:eastAsia="Calibri" w:hAnsi="Times New Roman" w:cs="Times New Roman"/>
          <w:sz w:val="24"/>
          <w:szCs w:val="24"/>
        </w:rPr>
        <w:lastRenderedPageBreak/>
        <w:t xml:space="preserve">członkowskich UE. Status beneficjenta Umowy </w:t>
      </w:r>
      <w:r w:rsidR="008C7E61" w:rsidRPr="00687641">
        <w:rPr>
          <w:rFonts w:ascii="Times New Roman" w:eastAsia="Calibri" w:hAnsi="Times New Roman" w:cs="Times New Roman"/>
          <w:sz w:val="24"/>
          <w:szCs w:val="24"/>
        </w:rPr>
        <w:t>w</w:t>
      </w:r>
      <w:r w:rsidRPr="00687641">
        <w:rPr>
          <w:rFonts w:ascii="Times New Roman" w:eastAsia="Calibri" w:hAnsi="Times New Roman" w:cs="Times New Roman"/>
          <w:sz w:val="24"/>
          <w:szCs w:val="24"/>
        </w:rPr>
        <w:t>ystąpienia dotyczy bowiem</w:t>
      </w:r>
      <w:r w:rsidRPr="00774FA7">
        <w:rPr>
          <w:rFonts w:ascii="Times New Roman" w:eastAsia="Calibri" w:hAnsi="Times New Roman" w:cs="Times New Roman"/>
          <w:sz w:val="24"/>
          <w:szCs w:val="24"/>
        </w:rPr>
        <w:t xml:space="preserve"> danego kraju przyjmującego, a nie wszystkich państw członkowskich UE.</w:t>
      </w:r>
    </w:p>
    <w:p w14:paraId="2E8DEA0D" w14:textId="692E05AB"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687641">
        <w:rPr>
          <w:rFonts w:ascii="Times New Roman" w:eastAsia="Calibri" w:hAnsi="Times New Roman" w:cs="Times New Roman"/>
          <w:sz w:val="24"/>
          <w:szCs w:val="24"/>
        </w:rPr>
        <w:t xml:space="preserve">Projekt ustawy zakłada również zmianę przepisów ustawy o cudzoziemcach w dziale III Przekraczanie granicy </w:t>
      </w:r>
      <w:r w:rsidR="006D6586" w:rsidRPr="00687641">
        <w:rPr>
          <w:rFonts w:ascii="Times New Roman" w:eastAsia="Calibri" w:hAnsi="Times New Roman" w:cs="Times New Roman"/>
          <w:sz w:val="24"/>
          <w:szCs w:val="24"/>
        </w:rPr>
        <w:t xml:space="preserve">w </w:t>
      </w:r>
      <w:r w:rsidRPr="00687641">
        <w:rPr>
          <w:rFonts w:ascii="Times New Roman" w:eastAsia="Calibri" w:hAnsi="Times New Roman" w:cs="Times New Roman"/>
          <w:sz w:val="24"/>
          <w:szCs w:val="24"/>
        </w:rPr>
        <w:t xml:space="preserve">rozdziale 1 </w:t>
      </w:r>
      <w:r w:rsidR="006D6586" w:rsidRPr="00687641">
        <w:rPr>
          <w:rFonts w:ascii="Times New Roman" w:eastAsia="Calibri" w:hAnsi="Times New Roman" w:cs="Times New Roman"/>
          <w:sz w:val="24"/>
          <w:szCs w:val="24"/>
        </w:rPr>
        <w:t xml:space="preserve">Zasady przekraczania granicy </w:t>
      </w:r>
      <w:r w:rsidRPr="00687641">
        <w:rPr>
          <w:rFonts w:ascii="Times New Roman" w:eastAsia="Calibri" w:hAnsi="Times New Roman" w:cs="Times New Roman"/>
          <w:sz w:val="24"/>
          <w:szCs w:val="24"/>
        </w:rPr>
        <w:t xml:space="preserve">oraz w dziale IV Wizy w rozdziale 1 Wydawanie wiz, polegającą na </w:t>
      </w:r>
      <w:r w:rsidR="00BC33AC" w:rsidRPr="00687641">
        <w:rPr>
          <w:rFonts w:ascii="Times New Roman" w:eastAsia="Calibri" w:hAnsi="Times New Roman" w:cs="Times New Roman"/>
          <w:sz w:val="24"/>
          <w:szCs w:val="24"/>
        </w:rPr>
        <w:t xml:space="preserve">uchyleniu </w:t>
      </w:r>
      <w:r w:rsidRPr="00687641">
        <w:rPr>
          <w:rFonts w:ascii="Times New Roman" w:eastAsia="Calibri" w:hAnsi="Times New Roman" w:cs="Times New Roman"/>
          <w:sz w:val="24"/>
          <w:szCs w:val="24"/>
        </w:rPr>
        <w:t xml:space="preserve">art. 29 i art. 81, które regulowały ww. kwestie. Powyższe przepisy </w:t>
      </w:r>
      <w:r w:rsidR="004D676E" w:rsidRPr="00687641">
        <w:rPr>
          <w:rFonts w:ascii="Times New Roman" w:eastAsia="Calibri" w:hAnsi="Times New Roman" w:cs="Times New Roman"/>
          <w:sz w:val="24"/>
          <w:szCs w:val="24"/>
        </w:rPr>
        <w:t xml:space="preserve">dostosowują </w:t>
      </w:r>
      <w:r w:rsidRPr="00687641">
        <w:rPr>
          <w:rFonts w:ascii="Times New Roman" w:eastAsia="Calibri" w:hAnsi="Times New Roman" w:cs="Times New Roman"/>
          <w:sz w:val="24"/>
          <w:szCs w:val="24"/>
        </w:rPr>
        <w:t xml:space="preserve">polski porządek prawny w zakresie wjazdu oraz wydawania wiz do wyroku Trybunału Sprawiedliwości Wspólnot Europejskich (wielka izba) z dnia 11 grudnia 2007 r. (wniosek o wydanie orzeczenia w trybie prejudycjalnym złożony przez </w:t>
      </w:r>
      <w:proofErr w:type="spellStart"/>
      <w:r w:rsidRPr="00687641">
        <w:rPr>
          <w:rFonts w:ascii="Times New Roman" w:eastAsia="Calibri" w:hAnsi="Times New Roman" w:cs="Times New Roman"/>
          <w:sz w:val="24"/>
          <w:szCs w:val="24"/>
        </w:rPr>
        <w:t>Raad</w:t>
      </w:r>
      <w:proofErr w:type="spellEnd"/>
      <w:r w:rsidRPr="00687641">
        <w:rPr>
          <w:rFonts w:ascii="Times New Roman" w:eastAsia="Calibri" w:hAnsi="Times New Roman" w:cs="Times New Roman"/>
          <w:sz w:val="24"/>
          <w:szCs w:val="24"/>
        </w:rPr>
        <w:t xml:space="preserve"> van </w:t>
      </w:r>
      <w:proofErr w:type="spellStart"/>
      <w:r w:rsidRPr="00687641">
        <w:rPr>
          <w:rFonts w:ascii="Times New Roman" w:eastAsia="Calibri" w:hAnsi="Times New Roman" w:cs="Times New Roman"/>
          <w:sz w:val="24"/>
          <w:szCs w:val="24"/>
        </w:rPr>
        <w:t>State</w:t>
      </w:r>
      <w:proofErr w:type="spellEnd"/>
      <w:r w:rsidRPr="00687641">
        <w:rPr>
          <w:rFonts w:ascii="Times New Roman" w:eastAsia="Calibri" w:hAnsi="Times New Roman" w:cs="Times New Roman"/>
          <w:sz w:val="24"/>
          <w:szCs w:val="24"/>
        </w:rPr>
        <w:t xml:space="preserve"> – Niderlandy) – Minister </w:t>
      </w:r>
      <w:proofErr w:type="spellStart"/>
      <w:r w:rsidRPr="00687641">
        <w:rPr>
          <w:rFonts w:ascii="Times New Roman" w:eastAsia="Calibri" w:hAnsi="Times New Roman" w:cs="Times New Roman"/>
          <w:sz w:val="24"/>
          <w:szCs w:val="24"/>
        </w:rPr>
        <w:t>voor</w:t>
      </w:r>
      <w:proofErr w:type="spellEnd"/>
      <w:r w:rsidRPr="00687641">
        <w:rPr>
          <w:rFonts w:ascii="Times New Roman" w:eastAsia="Calibri" w:hAnsi="Times New Roman" w:cs="Times New Roman"/>
          <w:sz w:val="24"/>
          <w:szCs w:val="24"/>
        </w:rPr>
        <w:t xml:space="preserve"> </w:t>
      </w:r>
      <w:proofErr w:type="spellStart"/>
      <w:r w:rsidRPr="00687641">
        <w:rPr>
          <w:rFonts w:ascii="Times New Roman" w:eastAsia="Calibri" w:hAnsi="Times New Roman" w:cs="Times New Roman"/>
          <w:sz w:val="24"/>
          <w:szCs w:val="24"/>
        </w:rPr>
        <w:t>Vreemdelingenzaken</w:t>
      </w:r>
      <w:proofErr w:type="spellEnd"/>
      <w:r w:rsidRPr="00687641">
        <w:rPr>
          <w:rFonts w:ascii="Times New Roman" w:eastAsia="Calibri" w:hAnsi="Times New Roman" w:cs="Times New Roman"/>
          <w:sz w:val="24"/>
          <w:szCs w:val="24"/>
        </w:rPr>
        <w:t xml:space="preserve"> en </w:t>
      </w:r>
      <w:proofErr w:type="spellStart"/>
      <w:r w:rsidRPr="00687641">
        <w:rPr>
          <w:rFonts w:ascii="Times New Roman" w:eastAsia="Calibri" w:hAnsi="Times New Roman" w:cs="Times New Roman"/>
          <w:sz w:val="24"/>
          <w:szCs w:val="24"/>
        </w:rPr>
        <w:t>Integratie</w:t>
      </w:r>
      <w:proofErr w:type="spellEnd"/>
      <w:r w:rsidRPr="00687641">
        <w:rPr>
          <w:rFonts w:ascii="Times New Roman" w:eastAsia="Calibri" w:hAnsi="Times New Roman" w:cs="Times New Roman"/>
          <w:sz w:val="24"/>
          <w:szCs w:val="24"/>
        </w:rPr>
        <w:t xml:space="preserve"> przeciwko R.N.G. </w:t>
      </w:r>
      <w:proofErr w:type="spellStart"/>
      <w:r w:rsidRPr="00687641">
        <w:rPr>
          <w:rFonts w:ascii="Times New Roman" w:eastAsia="Calibri" w:hAnsi="Times New Roman" w:cs="Times New Roman"/>
          <w:sz w:val="24"/>
          <w:szCs w:val="24"/>
        </w:rPr>
        <w:t>Eind</w:t>
      </w:r>
      <w:proofErr w:type="spellEnd"/>
      <w:r w:rsidRPr="00687641">
        <w:rPr>
          <w:rFonts w:ascii="Times New Roman" w:eastAsia="Calibri" w:hAnsi="Times New Roman" w:cs="Times New Roman"/>
          <w:sz w:val="24"/>
          <w:szCs w:val="24"/>
        </w:rPr>
        <w:t xml:space="preserve"> (sprawa C-291/05) (Dz. Urz. UE C 51 z 23.02.2008, str. 8). Zgodnie z obowiązującymi przepisami do wjazdu oraz wydawania wiz dla członka rodziny obywatela polskiego, który powraca na terytorium Rzeczypospolitej Polskiej po okresie zamieszkiwania w innym państwie członkowskim Unii Europejskiej, państwie członkowskim Europejskiego Stowarzyszenia Wolnego Handlu (EFTA) – strony umowy o Europejskim Obszarze Gospodarczym lub Konfederacji Szwajcarskiej, gdzie był pracownikiem lub pracował na własny rachunek, </w:t>
      </w:r>
      <w:r w:rsidR="005416A6" w:rsidRPr="00687641">
        <w:rPr>
          <w:rFonts w:ascii="Times New Roman" w:eastAsia="Calibri" w:hAnsi="Times New Roman" w:cs="Times New Roman"/>
          <w:sz w:val="24"/>
          <w:szCs w:val="24"/>
        </w:rPr>
        <w:t>stosuje si</w:t>
      </w:r>
      <w:r w:rsidR="00E93FD9" w:rsidRPr="00687641">
        <w:rPr>
          <w:rFonts w:ascii="Times New Roman" w:eastAsia="Calibri" w:hAnsi="Times New Roman" w:cs="Times New Roman"/>
          <w:sz w:val="24"/>
          <w:szCs w:val="24"/>
        </w:rPr>
        <w:t>ę</w:t>
      </w:r>
      <w:r w:rsidRPr="00687641">
        <w:rPr>
          <w:rFonts w:ascii="Times New Roman" w:eastAsia="Calibri" w:hAnsi="Times New Roman" w:cs="Times New Roman"/>
          <w:sz w:val="24"/>
          <w:szCs w:val="24"/>
        </w:rPr>
        <w:t xml:space="preserve"> przepisy art. 10 i </w:t>
      </w:r>
      <w:r w:rsidR="00BC33AC" w:rsidRPr="00687641">
        <w:rPr>
          <w:rFonts w:ascii="Times New Roman" w:eastAsia="Calibri" w:hAnsi="Times New Roman" w:cs="Times New Roman"/>
          <w:sz w:val="24"/>
          <w:szCs w:val="24"/>
        </w:rPr>
        <w:t xml:space="preserve">art. </w:t>
      </w:r>
      <w:r w:rsidRPr="00687641">
        <w:rPr>
          <w:rFonts w:ascii="Times New Roman" w:eastAsia="Calibri" w:hAnsi="Times New Roman" w:cs="Times New Roman"/>
          <w:sz w:val="24"/>
          <w:szCs w:val="24"/>
        </w:rPr>
        <w:t xml:space="preserve">11a ustawy o wjeździe obywateli UE. Projektowane przepisy wprowadzają zmianę polegającą na stosowaniu całej ustawy o wjeździe obywateli UE do członków rodziny obywateli polskich, którzy powracają po skorzystaniu ze swobody przepływu osób w innym państwie członkowskim. Z uwagi na powyższe uregulowania art. 29 i art. 81 ustawy o cudzoziemcach </w:t>
      </w:r>
      <w:r w:rsidR="00BC33AC" w:rsidRPr="00687641">
        <w:rPr>
          <w:rFonts w:ascii="Times New Roman" w:eastAsia="Calibri" w:hAnsi="Times New Roman" w:cs="Times New Roman"/>
          <w:sz w:val="24"/>
          <w:szCs w:val="24"/>
        </w:rPr>
        <w:t xml:space="preserve">stały się </w:t>
      </w:r>
      <w:r w:rsidRPr="00687641">
        <w:rPr>
          <w:rFonts w:ascii="Times New Roman" w:eastAsia="Calibri" w:hAnsi="Times New Roman" w:cs="Times New Roman"/>
          <w:sz w:val="24"/>
          <w:szCs w:val="24"/>
        </w:rPr>
        <w:t xml:space="preserve">zbędne. </w:t>
      </w:r>
      <w:r w:rsidR="006D6586" w:rsidRPr="00687641">
        <w:rPr>
          <w:rFonts w:ascii="Times New Roman" w:eastAsia="Calibri" w:hAnsi="Times New Roman" w:cs="Times New Roman"/>
          <w:sz w:val="24"/>
          <w:szCs w:val="24"/>
        </w:rPr>
        <w:t>Zaproponowano</w:t>
      </w:r>
      <w:r w:rsidRPr="00687641">
        <w:rPr>
          <w:rFonts w:ascii="Times New Roman" w:eastAsia="Calibri" w:hAnsi="Times New Roman" w:cs="Times New Roman"/>
          <w:sz w:val="24"/>
          <w:szCs w:val="24"/>
        </w:rPr>
        <w:t xml:space="preserve"> także</w:t>
      </w:r>
      <w:r w:rsidR="006D6586" w:rsidRPr="00687641">
        <w:rPr>
          <w:rFonts w:ascii="Times New Roman" w:eastAsia="Calibri" w:hAnsi="Times New Roman" w:cs="Times New Roman"/>
          <w:sz w:val="24"/>
          <w:szCs w:val="24"/>
        </w:rPr>
        <w:t xml:space="preserve"> zmianę</w:t>
      </w:r>
      <w:r w:rsidRPr="00687641">
        <w:rPr>
          <w:rFonts w:ascii="Times New Roman" w:eastAsia="Calibri" w:hAnsi="Times New Roman" w:cs="Times New Roman"/>
          <w:sz w:val="24"/>
          <w:szCs w:val="24"/>
        </w:rPr>
        <w:t xml:space="preserve"> </w:t>
      </w:r>
      <w:r w:rsidR="006D6586" w:rsidRPr="00687641">
        <w:rPr>
          <w:rFonts w:ascii="Times New Roman" w:eastAsia="Calibri" w:hAnsi="Times New Roman" w:cs="Times New Roman"/>
          <w:sz w:val="24"/>
          <w:szCs w:val="24"/>
        </w:rPr>
        <w:t xml:space="preserve">w ustawie </w:t>
      </w:r>
      <w:r w:rsidRPr="00687641">
        <w:rPr>
          <w:rFonts w:ascii="Times New Roman" w:eastAsia="Calibri" w:hAnsi="Times New Roman" w:cs="Times New Roman"/>
          <w:sz w:val="24"/>
          <w:szCs w:val="24"/>
        </w:rPr>
        <w:t xml:space="preserve">o cudzoziemcach w części dotyczącej rejestrów prowadzonych w sprawach wydalenia obywateli UE oraz członków rodzin niebędących obywatelami UE. </w:t>
      </w:r>
      <w:r w:rsidR="00BC33AC" w:rsidRPr="00687641">
        <w:rPr>
          <w:rFonts w:ascii="Times New Roman" w:eastAsia="Calibri" w:hAnsi="Times New Roman" w:cs="Times New Roman"/>
          <w:sz w:val="24"/>
          <w:szCs w:val="24"/>
        </w:rPr>
        <w:t xml:space="preserve">Powyższe </w:t>
      </w:r>
      <w:r w:rsidRPr="00687641">
        <w:rPr>
          <w:rFonts w:ascii="Times New Roman" w:eastAsia="Calibri" w:hAnsi="Times New Roman" w:cs="Times New Roman"/>
          <w:sz w:val="24"/>
          <w:szCs w:val="24"/>
        </w:rPr>
        <w:t>wynika ze zmiany organu właściwego do wydawania decyzji w sprawie wydalenia obywatela UE i członka rodziny niebędącego obywatelem UE.</w:t>
      </w:r>
      <w:r w:rsidRPr="00774FA7">
        <w:rPr>
          <w:rFonts w:ascii="Times New Roman" w:eastAsia="Calibri" w:hAnsi="Times New Roman" w:cs="Times New Roman"/>
          <w:sz w:val="24"/>
          <w:szCs w:val="24"/>
        </w:rPr>
        <w:t xml:space="preserve"> </w:t>
      </w:r>
    </w:p>
    <w:p w14:paraId="3F96394C" w14:textId="4D2A5E08" w:rsidR="00AA5C98" w:rsidRPr="00774FA7" w:rsidRDefault="00AA5C98"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celu dostosowania polskiego prawa do Umowy wystąpienia </w:t>
      </w:r>
      <w:r w:rsidR="005416A6">
        <w:rPr>
          <w:rFonts w:ascii="Times New Roman" w:eastAsia="Calibri" w:hAnsi="Times New Roman" w:cs="Times New Roman"/>
          <w:sz w:val="24"/>
          <w:szCs w:val="24"/>
        </w:rPr>
        <w:t>zaproponowano zmianę</w:t>
      </w:r>
      <w:r w:rsidRPr="00774FA7">
        <w:rPr>
          <w:rFonts w:ascii="Times New Roman" w:eastAsia="Calibri" w:hAnsi="Times New Roman" w:cs="Times New Roman"/>
          <w:sz w:val="24"/>
          <w:szCs w:val="24"/>
        </w:rPr>
        <w:t xml:space="preserve"> art. 49 ust. 2 pkt 1 określając</w:t>
      </w:r>
      <w:r w:rsidR="005416A6">
        <w:rPr>
          <w:rFonts w:ascii="Times New Roman" w:eastAsia="Calibri" w:hAnsi="Times New Roman" w:cs="Times New Roman"/>
          <w:sz w:val="24"/>
          <w:szCs w:val="24"/>
        </w:rPr>
        <w:t>ego</w:t>
      </w:r>
      <w:r w:rsidRPr="00774FA7">
        <w:rPr>
          <w:rFonts w:ascii="Times New Roman" w:eastAsia="Calibri" w:hAnsi="Times New Roman" w:cs="Times New Roman"/>
          <w:sz w:val="24"/>
          <w:szCs w:val="24"/>
        </w:rPr>
        <w:t xml:space="preserve"> katalog osób uprawnionych do wpisania zaproszenia do ewidencji zaproszeń. Ww. katalog został rozszerzony o obywateli Zjednoczonego Królestwa oraz członków ich rodzin. </w:t>
      </w:r>
    </w:p>
    <w:p w14:paraId="6343B0CF" w14:textId="051A3689" w:rsidR="00AA5C98" w:rsidRPr="00774FA7" w:rsidRDefault="00AA5C98" w:rsidP="004F6DC6">
      <w:pPr>
        <w:spacing w:after="0" w:line="288" w:lineRule="auto"/>
        <w:ind w:firstLine="709"/>
        <w:jc w:val="both"/>
        <w:rPr>
          <w:rFonts w:ascii="Times New Roman" w:eastAsia="Calibri" w:hAnsi="Times New Roman" w:cs="Times New Roman"/>
          <w:sz w:val="24"/>
          <w:szCs w:val="24"/>
        </w:rPr>
      </w:pPr>
      <w:r w:rsidRPr="00687641">
        <w:rPr>
          <w:rFonts w:ascii="Times New Roman" w:eastAsia="Calibri" w:hAnsi="Times New Roman" w:cs="Times New Roman"/>
          <w:sz w:val="24"/>
          <w:szCs w:val="24"/>
        </w:rPr>
        <w:t>W art. 60 dodano dwa nowe</w:t>
      </w:r>
      <w:r w:rsidR="00AB6834" w:rsidRPr="00687641">
        <w:rPr>
          <w:rFonts w:ascii="Times New Roman" w:eastAsia="Calibri" w:hAnsi="Times New Roman" w:cs="Times New Roman"/>
          <w:sz w:val="24"/>
          <w:szCs w:val="24"/>
        </w:rPr>
        <w:t xml:space="preserve"> cele wizy</w:t>
      </w:r>
      <w:r w:rsidR="00BC33AC" w:rsidRPr="00687641">
        <w:rPr>
          <w:rFonts w:ascii="Times New Roman" w:eastAsia="Calibri" w:hAnsi="Times New Roman" w:cs="Times New Roman"/>
          <w:sz w:val="24"/>
          <w:szCs w:val="24"/>
        </w:rPr>
        <w:t xml:space="preserve">: </w:t>
      </w:r>
      <w:r w:rsidR="00AB6834" w:rsidRPr="00687641">
        <w:rPr>
          <w:rFonts w:ascii="Times New Roman" w:eastAsia="Calibri" w:hAnsi="Times New Roman" w:cs="Times New Roman"/>
          <w:sz w:val="24"/>
          <w:szCs w:val="24"/>
        </w:rPr>
        <w:t>dołączeni</w:t>
      </w:r>
      <w:r w:rsidR="00BC33AC" w:rsidRPr="00687641">
        <w:rPr>
          <w:rFonts w:ascii="Times New Roman" w:eastAsia="Calibri" w:hAnsi="Times New Roman" w:cs="Times New Roman"/>
          <w:sz w:val="24"/>
          <w:szCs w:val="24"/>
        </w:rPr>
        <w:t>e</w:t>
      </w:r>
      <w:r w:rsidR="00AB6834" w:rsidRPr="00687641">
        <w:rPr>
          <w:rFonts w:ascii="Times New Roman" w:eastAsia="Calibri" w:hAnsi="Times New Roman" w:cs="Times New Roman"/>
          <w:sz w:val="24"/>
          <w:szCs w:val="24"/>
        </w:rPr>
        <w:t xml:space="preserve"> do obywatela Zjednoczonego Królestwa lub przebywania z nim oraz realizacj</w:t>
      </w:r>
      <w:r w:rsidR="00BC33AC" w:rsidRPr="00687641">
        <w:rPr>
          <w:rFonts w:ascii="Times New Roman" w:eastAsia="Calibri" w:hAnsi="Times New Roman" w:cs="Times New Roman"/>
          <w:sz w:val="24"/>
          <w:szCs w:val="24"/>
        </w:rPr>
        <w:t>a</w:t>
      </w:r>
      <w:r w:rsidR="00AB6834" w:rsidRPr="00687641">
        <w:rPr>
          <w:rFonts w:ascii="Times New Roman" w:eastAsia="Calibri" w:hAnsi="Times New Roman" w:cs="Times New Roman"/>
          <w:sz w:val="24"/>
          <w:szCs w:val="24"/>
        </w:rPr>
        <w:t xml:space="preserve"> zezwolenia na pobyt czasowy, o którym mowa w art. 160 pkt 1, 3, 4 lub 6. </w:t>
      </w:r>
      <w:r w:rsidR="009455C5" w:rsidRPr="00687641">
        <w:rPr>
          <w:rFonts w:ascii="Times New Roman" w:eastAsia="Calibri" w:hAnsi="Times New Roman" w:cs="Times New Roman"/>
          <w:sz w:val="24"/>
          <w:szCs w:val="24"/>
        </w:rPr>
        <w:t>Powyższe zmiany wynikają z objęcia zakresem ustawy o wjeździe obywateli UE obywateli Zjednoczonego Królestwa i członków ich rodzin oraz dodaniem nowego art. 168a.</w:t>
      </w:r>
      <w:r w:rsidR="009455C5" w:rsidRPr="00774FA7">
        <w:rPr>
          <w:rFonts w:ascii="Times New Roman" w:eastAsia="Calibri" w:hAnsi="Times New Roman" w:cs="Times New Roman"/>
          <w:sz w:val="24"/>
          <w:szCs w:val="24"/>
        </w:rPr>
        <w:t xml:space="preserve">  </w:t>
      </w:r>
    </w:p>
    <w:p w14:paraId="4C2DD172" w14:textId="4FBB49AC" w:rsidR="00AB6834" w:rsidRPr="00774FA7" w:rsidRDefault="00AB6834"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159 ust. 1 pkt 1 lit. he przewidziano możliwość uzyskania zezwolenia na pobyt czasowy w celu połączenia z rodziną przez członka rodziny obywatela Zjednoczonego Królestwa będącego beneficjentem Umowy </w:t>
      </w:r>
      <w:r w:rsidR="008C7E61">
        <w:rPr>
          <w:rFonts w:ascii="Times New Roman" w:eastAsia="Calibri" w:hAnsi="Times New Roman" w:cs="Times New Roman"/>
          <w:sz w:val="24"/>
          <w:szCs w:val="24"/>
        </w:rPr>
        <w:t>w</w:t>
      </w:r>
      <w:r w:rsidRPr="00774FA7">
        <w:rPr>
          <w:rFonts w:ascii="Times New Roman" w:eastAsia="Calibri" w:hAnsi="Times New Roman" w:cs="Times New Roman"/>
          <w:sz w:val="24"/>
          <w:szCs w:val="24"/>
        </w:rPr>
        <w:t xml:space="preserve">ystąpienia w Polsce, zamieszkującego na terytorium Rzeczypospolitej Polskiej na podstawie prawa pobytu lub prawa stałego pobytu, co dotyczyć będzie członków rodzin nieobjętych Umową </w:t>
      </w:r>
      <w:r w:rsidR="008C7E61">
        <w:rPr>
          <w:rFonts w:ascii="Times New Roman" w:eastAsia="Calibri" w:hAnsi="Times New Roman" w:cs="Times New Roman"/>
          <w:sz w:val="24"/>
          <w:szCs w:val="24"/>
        </w:rPr>
        <w:t>w</w:t>
      </w:r>
      <w:r w:rsidRPr="00774FA7">
        <w:rPr>
          <w:rFonts w:ascii="Times New Roman" w:eastAsia="Calibri" w:hAnsi="Times New Roman" w:cs="Times New Roman"/>
          <w:sz w:val="24"/>
          <w:szCs w:val="24"/>
        </w:rPr>
        <w:t xml:space="preserve">ystąpienia, np. przyszłych małżonków brytyjskich beneficjentów Umowy </w:t>
      </w:r>
      <w:r w:rsidR="008C7E61">
        <w:rPr>
          <w:rFonts w:ascii="Times New Roman" w:eastAsia="Calibri" w:hAnsi="Times New Roman" w:cs="Times New Roman"/>
          <w:sz w:val="24"/>
          <w:szCs w:val="24"/>
        </w:rPr>
        <w:t>w</w:t>
      </w:r>
      <w:r w:rsidRPr="00774FA7">
        <w:rPr>
          <w:rFonts w:ascii="Times New Roman" w:eastAsia="Calibri" w:hAnsi="Times New Roman" w:cs="Times New Roman"/>
          <w:sz w:val="24"/>
          <w:szCs w:val="24"/>
        </w:rPr>
        <w:t>ystąpienia w Polsce.</w:t>
      </w:r>
    </w:p>
    <w:p w14:paraId="308ADA76" w14:textId="5F062F4A" w:rsidR="003E51C7" w:rsidRPr="00687641" w:rsidRDefault="00B653AD" w:rsidP="004F6DC6">
      <w:pPr>
        <w:spacing w:after="0" w:line="288" w:lineRule="auto"/>
        <w:ind w:firstLine="709"/>
        <w:jc w:val="both"/>
        <w:rPr>
          <w:rFonts w:ascii="Times New Roman" w:eastAsia="Calibri" w:hAnsi="Times New Roman" w:cs="Times New Roman"/>
          <w:sz w:val="24"/>
          <w:szCs w:val="24"/>
        </w:rPr>
      </w:pPr>
      <w:r w:rsidRPr="00687641">
        <w:rPr>
          <w:rFonts w:ascii="Times New Roman" w:eastAsia="Calibri" w:hAnsi="Times New Roman" w:cs="Times New Roman"/>
          <w:sz w:val="24"/>
          <w:szCs w:val="24"/>
        </w:rPr>
        <w:t xml:space="preserve">Zmiana w art. 160 pkt 1 ma charakter porządkujący i wynika ze zmiany brzmienia art. art. 2 pkt 4 </w:t>
      </w:r>
      <w:r w:rsidR="00DE7224" w:rsidRPr="00687641">
        <w:rPr>
          <w:rFonts w:ascii="Times New Roman" w:eastAsia="Calibri" w:hAnsi="Times New Roman" w:cs="Times New Roman"/>
          <w:sz w:val="24"/>
          <w:szCs w:val="24"/>
        </w:rPr>
        <w:t xml:space="preserve">ustawy o wjeździe  obywateli UE. </w:t>
      </w:r>
      <w:r w:rsidR="006D6586" w:rsidRPr="00687641">
        <w:rPr>
          <w:rFonts w:ascii="Times New Roman" w:eastAsia="Calibri" w:hAnsi="Times New Roman" w:cs="Times New Roman"/>
          <w:sz w:val="24"/>
          <w:szCs w:val="24"/>
        </w:rPr>
        <w:t xml:space="preserve">W projekcie zaproponowano </w:t>
      </w:r>
      <w:r w:rsidR="00DE7224" w:rsidRPr="00687641">
        <w:rPr>
          <w:rFonts w:ascii="Times New Roman" w:eastAsia="Calibri" w:hAnsi="Times New Roman" w:cs="Times New Roman"/>
          <w:sz w:val="24"/>
          <w:szCs w:val="24"/>
        </w:rPr>
        <w:t>dodanie nowego pkt 4</w:t>
      </w:r>
      <w:r w:rsidR="007120E9" w:rsidRPr="00687641">
        <w:rPr>
          <w:rFonts w:ascii="Times New Roman" w:eastAsia="Calibri" w:hAnsi="Times New Roman" w:cs="Times New Roman"/>
          <w:sz w:val="24"/>
          <w:szCs w:val="24"/>
        </w:rPr>
        <w:t xml:space="preserve"> po to,</w:t>
      </w:r>
      <w:r w:rsidR="00076C40" w:rsidRPr="00687641">
        <w:rPr>
          <w:rFonts w:ascii="Times New Roman" w:eastAsia="Calibri" w:hAnsi="Times New Roman" w:cs="Times New Roman"/>
          <w:sz w:val="24"/>
          <w:szCs w:val="24"/>
        </w:rPr>
        <w:t xml:space="preserve"> by członkowie rodziny obywateli Zjednoczonego Królestwa, którym już </w:t>
      </w:r>
      <w:r w:rsidR="00076C40" w:rsidRPr="00687641">
        <w:rPr>
          <w:rFonts w:ascii="Times New Roman" w:eastAsia="Calibri" w:hAnsi="Times New Roman" w:cs="Times New Roman"/>
          <w:sz w:val="24"/>
          <w:szCs w:val="24"/>
        </w:rPr>
        <w:lastRenderedPageBreak/>
        <w:t xml:space="preserve">wcześniej udzielono zezwolenia na pobyt czasowy, o którym mowa w art. 160 pkt 1 przed zakończeniem okresu przejściowego, zgodnie art. 126 Umowy </w:t>
      </w:r>
      <w:r w:rsidR="006D6586" w:rsidRPr="00687641">
        <w:rPr>
          <w:rFonts w:ascii="Times New Roman" w:eastAsia="Calibri" w:hAnsi="Times New Roman" w:cs="Times New Roman"/>
          <w:sz w:val="24"/>
          <w:szCs w:val="24"/>
        </w:rPr>
        <w:t>w</w:t>
      </w:r>
      <w:r w:rsidR="00076C40" w:rsidRPr="00687641">
        <w:rPr>
          <w:rFonts w:ascii="Times New Roman" w:eastAsia="Calibri" w:hAnsi="Times New Roman" w:cs="Times New Roman"/>
          <w:sz w:val="24"/>
          <w:szCs w:val="24"/>
        </w:rPr>
        <w:t xml:space="preserve">ystąpienia albo po jego zakończeniu z uwagi na prowadzenie życia rodzinnego z obywatelem Zjednoczonego Królestwa, mogli otrzymywać kolejne zezwolenie na pobyt czasowy. </w:t>
      </w:r>
    </w:p>
    <w:p w14:paraId="4FAA77AB" w14:textId="0B5101A1" w:rsidR="003E51C7" w:rsidRPr="00687641" w:rsidRDefault="00076C40" w:rsidP="004F6DC6">
      <w:pPr>
        <w:spacing w:after="0" w:line="288" w:lineRule="auto"/>
        <w:ind w:firstLine="709"/>
        <w:jc w:val="both"/>
        <w:rPr>
          <w:rFonts w:ascii="Times New Roman" w:eastAsia="Calibri" w:hAnsi="Times New Roman" w:cs="Times New Roman"/>
          <w:sz w:val="24"/>
          <w:szCs w:val="24"/>
        </w:rPr>
      </w:pPr>
      <w:r w:rsidRPr="00687641">
        <w:rPr>
          <w:rFonts w:ascii="Times New Roman" w:eastAsia="Calibri" w:hAnsi="Times New Roman" w:cs="Times New Roman"/>
          <w:sz w:val="24"/>
          <w:szCs w:val="24"/>
        </w:rPr>
        <w:t>W analogiczny sposób</w:t>
      </w:r>
      <w:r w:rsidR="00E63399" w:rsidRPr="00687641">
        <w:rPr>
          <w:rFonts w:ascii="Times New Roman" w:eastAsia="Calibri" w:hAnsi="Times New Roman" w:cs="Times New Roman"/>
          <w:sz w:val="24"/>
          <w:szCs w:val="24"/>
        </w:rPr>
        <w:t>,</w:t>
      </w:r>
      <w:r w:rsidRPr="00687641">
        <w:rPr>
          <w:rFonts w:ascii="Times New Roman" w:eastAsia="Calibri" w:hAnsi="Times New Roman" w:cs="Times New Roman"/>
          <w:sz w:val="24"/>
          <w:szCs w:val="24"/>
        </w:rPr>
        <w:t xml:space="preserve"> </w:t>
      </w:r>
      <w:r w:rsidR="007120E9" w:rsidRPr="00687641">
        <w:rPr>
          <w:rFonts w:ascii="Times New Roman" w:eastAsia="Calibri" w:hAnsi="Times New Roman" w:cs="Times New Roman"/>
          <w:sz w:val="24"/>
          <w:szCs w:val="24"/>
        </w:rPr>
        <w:t xml:space="preserve">poprzez regulację </w:t>
      </w:r>
      <w:r w:rsidRPr="00687641">
        <w:rPr>
          <w:rFonts w:ascii="Times New Roman" w:eastAsia="Calibri" w:hAnsi="Times New Roman" w:cs="Times New Roman"/>
          <w:sz w:val="24"/>
          <w:szCs w:val="24"/>
        </w:rPr>
        <w:t>w pkt 5 w art. 160</w:t>
      </w:r>
      <w:r w:rsidR="00E63399" w:rsidRPr="00687641">
        <w:rPr>
          <w:rFonts w:ascii="Times New Roman" w:eastAsia="Calibri" w:hAnsi="Times New Roman" w:cs="Times New Roman"/>
          <w:sz w:val="24"/>
          <w:szCs w:val="24"/>
        </w:rPr>
        <w:t>,</w:t>
      </w:r>
      <w:r w:rsidRPr="00687641">
        <w:rPr>
          <w:rFonts w:ascii="Times New Roman" w:eastAsia="Calibri" w:hAnsi="Times New Roman" w:cs="Times New Roman"/>
          <w:sz w:val="24"/>
          <w:szCs w:val="24"/>
        </w:rPr>
        <w:t xml:space="preserve"> zapewniono możliwość legalizacji </w:t>
      </w:r>
      <w:r w:rsidR="006D6586" w:rsidRPr="00687641">
        <w:rPr>
          <w:rFonts w:ascii="Times New Roman" w:eastAsia="Calibri" w:hAnsi="Times New Roman" w:cs="Times New Roman"/>
          <w:sz w:val="24"/>
          <w:szCs w:val="24"/>
        </w:rPr>
        <w:t xml:space="preserve">pobytu </w:t>
      </w:r>
      <w:r w:rsidRPr="00687641">
        <w:rPr>
          <w:rFonts w:ascii="Times New Roman" w:eastAsia="Calibri" w:hAnsi="Times New Roman" w:cs="Times New Roman"/>
          <w:sz w:val="24"/>
          <w:szCs w:val="24"/>
        </w:rPr>
        <w:t xml:space="preserve">cudzoziemców prowadzących życie rodzinne w rozumieniu Konwencji o ochronie praw człowieka i podstawowych wolności, sporządzonej w Rzymie dnia 4 listopada 1950 r. (Dz. U. z 1993 r. poz. 284, z </w:t>
      </w:r>
      <w:proofErr w:type="spellStart"/>
      <w:r w:rsidRPr="00687641">
        <w:rPr>
          <w:rFonts w:ascii="Times New Roman" w:eastAsia="Calibri" w:hAnsi="Times New Roman" w:cs="Times New Roman"/>
          <w:sz w:val="24"/>
          <w:szCs w:val="24"/>
        </w:rPr>
        <w:t>późn</w:t>
      </w:r>
      <w:proofErr w:type="spellEnd"/>
      <w:r w:rsidRPr="00687641">
        <w:rPr>
          <w:rFonts w:ascii="Times New Roman" w:eastAsia="Calibri" w:hAnsi="Times New Roman" w:cs="Times New Roman"/>
          <w:sz w:val="24"/>
          <w:szCs w:val="24"/>
        </w:rPr>
        <w:t>. zm.)</w:t>
      </w:r>
      <w:r w:rsidR="00A161B1" w:rsidRPr="00687641">
        <w:rPr>
          <w:rFonts w:ascii="Times New Roman" w:eastAsia="Calibri" w:hAnsi="Times New Roman" w:cs="Times New Roman"/>
          <w:sz w:val="24"/>
          <w:szCs w:val="24"/>
        </w:rPr>
        <w:t>,</w:t>
      </w:r>
      <w:r w:rsidRPr="00687641">
        <w:rPr>
          <w:rFonts w:ascii="Times New Roman" w:eastAsia="Calibri" w:hAnsi="Times New Roman" w:cs="Times New Roman"/>
          <w:sz w:val="24"/>
          <w:szCs w:val="24"/>
        </w:rPr>
        <w:t xml:space="preserve"> z obywatelem Zjednoczonego Królestwa Wielkiej Brytanii i Irlandii Północnej, </w:t>
      </w:r>
      <w:r w:rsidR="001C3732" w:rsidRPr="00687641">
        <w:rPr>
          <w:rFonts w:ascii="Times New Roman" w:eastAsia="Calibri" w:hAnsi="Times New Roman" w:cs="Times New Roman"/>
          <w:sz w:val="24"/>
          <w:szCs w:val="24"/>
        </w:rPr>
        <w:t xml:space="preserve">o którym mowa w art. 10 ust. 1 lit. b i d Umowy </w:t>
      </w:r>
      <w:r w:rsidR="008C7E61" w:rsidRPr="00687641">
        <w:rPr>
          <w:rFonts w:ascii="Times New Roman" w:eastAsia="Calibri" w:hAnsi="Times New Roman" w:cs="Times New Roman"/>
          <w:sz w:val="24"/>
          <w:szCs w:val="24"/>
        </w:rPr>
        <w:t>w</w:t>
      </w:r>
      <w:r w:rsidR="001C3732" w:rsidRPr="00687641">
        <w:rPr>
          <w:rFonts w:ascii="Times New Roman" w:eastAsia="Calibri" w:hAnsi="Times New Roman" w:cs="Times New Roman"/>
          <w:sz w:val="24"/>
          <w:szCs w:val="24"/>
        </w:rPr>
        <w:t xml:space="preserve">ystąpienia, </w:t>
      </w:r>
      <w:r w:rsidRPr="00687641">
        <w:rPr>
          <w:rFonts w:ascii="Times New Roman" w:eastAsia="Calibri" w:hAnsi="Times New Roman" w:cs="Times New Roman"/>
          <w:sz w:val="24"/>
          <w:szCs w:val="24"/>
        </w:rPr>
        <w:t xml:space="preserve">którzy  przed zakończeniem okresu przejściowego, o którym mowa w art. 126 Umowy </w:t>
      </w:r>
      <w:r w:rsidR="006D6586" w:rsidRPr="00687641">
        <w:rPr>
          <w:rFonts w:ascii="Times New Roman" w:eastAsia="Calibri" w:hAnsi="Times New Roman" w:cs="Times New Roman"/>
          <w:sz w:val="24"/>
          <w:szCs w:val="24"/>
        </w:rPr>
        <w:t>w</w:t>
      </w:r>
      <w:r w:rsidRPr="00687641">
        <w:rPr>
          <w:rFonts w:ascii="Times New Roman" w:eastAsia="Calibri" w:hAnsi="Times New Roman" w:cs="Times New Roman"/>
          <w:sz w:val="24"/>
          <w:szCs w:val="24"/>
        </w:rPr>
        <w:t xml:space="preserve">ystąpienia albo po jego zakończeniu </w:t>
      </w:r>
      <w:r w:rsidR="001C3732" w:rsidRPr="00687641">
        <w:rPr>
          <w:rFonts w:ascii="Times New Roman" w:eastAsia="Calibri" w:hAnsi="Times New Roman" w:cs="Times New Roman"/>
          <w:sz w:val="24"/>
          <w:szCs w:val="24"/>
        </w:rPr>
        <w:t xml:space="preserve">w związku z wnioskiem złożonym przed zakończeniem tego okresu, </w:t>
      </w:r>
      <w:r w:rsidRPr="00687641">
        <w:rPr>
          <w:rFonts w:ascii="Times New Roman" w:eastAsia="Calibri" w:hAnsi="Times New Roman" w:cs="Times New Roman"/>
          <w:sz w:val="24"/>
          <w:szCs w:val="24"/>
        </w:rPr>
        <w:t xml:space="preserve">posiadali zezwolenie na pobyt czasowy na podstawie art. 160 pkt 3 ustawy o cudzoziemcach. </w:t>
      </w:r>
    </w:p>
    <w:p w14:paraId="1558B7C9" w14:textId="70F67CEE" w:rsidR="00076C40" w:rsidRPr="00774FA7" w:rsidRDefault="00076C40" w:rsidP="004F6DC6">
      <w:pPr>
        <w:spacing w:after="0" w:line="288" w:lineRule="auto"/>
        <w:ind w:firstLine="709"/>
        <w:jc w:val="both"/>
        <w:rPr>
          <w:rFonts w:ascii="Times New Roman" w:eastAsia="Calibri" w:hAnsi="Times New Roman" w:cs="Times New Roman"/>
          <w:sz w:val="24"/>
          <w:szCs w:val="24"/>
        </w:rPr>
      </w:pPr>
      <w:r w:rsidRPr="00687641">
        <w:rPr>
          <w:rFonts w:ascii="Times New Roman" w:eastAsia="Calibri" w:hAnsi="Times New Roman" w:cs="Times New Roman"/>
          <w:sz w:val="24"/>
          <w:szCs w:val="24"/>
        </w:rPr>
        <w:t xml:space="preserve">Za pośrednictwem art. 160 pkt 6 z kolei </w:t>
      </w:r>
      <w:r w:rsidR="001C3732" w:rsidRPr="00687641">
        <w:rPr>
          <w:rFonts w:ascii="Times New Roman" w:eastAsia="Calibri" w:hAnsi="Times New Roman" w:cs="Times New Roman"/>
          <w:sz w:val="24"/>
          <w:szCs w:val="24"/>
        </w:rPr>
        <w:t xml:space="preserve">zostały </w:t>
      </w:r>
      <w:r w:rsidR="00E63399" w:rsidRPr="00687641">
        <w:rPr>
          <w:rFonts w:ascii="Times New Roman" w:eastAsia="Calibri" w:hAnsi="Times New Roman" w:cs="Times New Roman"/>
          <w:sz w:val="24"/>
          <w:szCs w:val="24"/>
        </w:rPr>
        <w:t>z</w:t>
      </w:r>
      <w:r w:rsidRPr="00687641">
        <w:rPr>
          <w:rFonts w:ascii="Times New Roman" w:eastAsia="Calibri" w:hAnsi="Times New Roman" w:cs="Times New Roman"/>
          <w:sz w:val="24"/>
          <w:szCs w:val="24"/>
        </w:rPr>
        <w:t xml:space="preserve">realizowane postanowienia art. 10 ust. 4 Umowy </w:t>
      </w:r>
      <w:r w:rsidR="00A161B1" w:rsidRPr="00687641">
        <w:rPr>
          <w:rFonts w:ascii="Times New Roman" w:eastAsia="Calibri" w:hAnsi="Times New Roman" w:cs="Times New Roman"/>
          <w:sz w:val="24"/>
          <w:szCs w:val="24"/>
        </w:rPr>
        <w:t>w</w:t>
      </w:r>
      <w:r w:rsidRPr="00687641">
        <w:rPr>
          <w:rFonts w:ascii="Times New Roman" w:eastAsia="Calibri" w:hAnsi="Times New Roman" w:cs="Times New Roman"/>
          <w:sz w:val="24"/>
          <w:szCs w:val="24"/>
        </w:rPr>
        <w:t>ystąpienia w zakresie ułatwień dotyczących wjazdu i pobytu.</w:t>
      </w:r>
      <w:r w:rsidRPr="00774FA7">
        <w:rPr>
          <w:rFonts w:ascii="Times New Roman" w:eastAsia="Calibri" w:hAnsi="Times New Roman" w:cs="Times New Roman"/>
          <w:sz w:val="24"/>
          <w:szCs w:val="24"/>
        </w:rPr>
        <w:t xml:space="preserve"> </w:t>
      </w:r>
    </w:p>
    <w:p w14:paraId="053F4EE4" w14:textId="1DCEA428" w:rsidR="00AB6834" w:rsidRPr="00774FA7" w:rsidRDefault="009455C5"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Dodanie </w:t>
      </w:r>
      <w:r w:rsidR="00AB6834" w:rsidRPr="00774FA7">
        <w:rPr>
          <w:rFonts w:ascii="Times New Roman" w:eastAsia="Calibri" w:hAnsi="Times New Roman" w:cs="Times New Roman"/>
          <w:sz w:val="24"/>
          <w:szCs w:val="24"/>
        </w:rPr>
        <w:t>art. 168</w:t>
      </w:r>
      <w:r w:rsidRPr="00774FA7">
        <w:rPr>
          <w:rFonts w:ascii="Times New Roman" w:eastAsia="Calibri" w:hAnsi="Times New Roman" w:cs="Times New Roman"/>
          <w:sz w:val="24"/>
          <w:szCs w:val="24"/>
        </w:rPr>
        <w:t>a</w:t>
      </w:r>
      <w:r w:rsidR="00AB6834" w:rsidRPr="00774FA7">
        <w:rPr>
          <w:rFonts w:ascii="Times New Roman" w:eastAsia="Calibri" w:hAnsi="Times New Roman" w:cs="Times New Roman"/>
          <w:sz w:val="24"/>
          <w:szCs w:val="24"/>
        </w:rPr>
        <w:t xml:space="preserve"> ma na celu pełne wdrożenie do polskiego porządku prawnego art. 3 ust. 2 dyrektywy 2004/38/WE, którego szczegółowej wykładni dokonał Trybunał Sprawiedliwości UE w wyroku w sprawie C-83/11 </w:t>
      </w:r>
      <w:proofErr w:type="spellStart"/>
      <w:r w:rsidR="00AB6834" w:rsidRPr="00774FA7">
        <w:rPr>
          <w:rFonts w:ascii="Times New Roman" w:eastAsia="Calibri" w:hAnsi="Times New Roman" w:cs="Times New Roman"/>
          <w:sz w:val="24"/>
          <w:szCs w:val="24"/>
        </w:rPr>
        <w:t>Rahman</w:t>
      </w:r>
      <w:proofErr w:type="spellEnd"/>
      <w:r w:rsidR="00AB6834" w:rsidRPr="00774FA7">
        <w:rPr>
          <w:rFonts w:ascii="Times New Roman" w:eastAsia="Calibri" w:hAnsi="Times New Roman" w:cs="Times New Roman"/>
          <w:sz w:val="24"/>
          <w:szCs w:val="24"/>
        </w:rPr>
        <w:t xml:space="preserve">. Zgodnie z treścią </w:t>
      </w:r>
      <w:r w:rsidR="003E51C7" w:rsidRPr="00774FA7">
        <w:rPr>
          <w:rFonts w:ascii="Times New Roman" w:eastAsia="Calibri" w:hAnsi="Times New Roman" w:cs="Times New Roman"/>
          <w:sz w:val="24"/>
          <w:szCs w:val="24"/>
        </w:rPr>
        <w:t xml:space="preserve">ww. </w:t>
      </w:r>
      <w:r w:rsidR="00AB6834" w:rsidRPr="00774FA7">
        <w:rPr>
          <w:rFonts w:ascii="Times New Roman" w:eastAsia="Calibri" w:hAnsi="Times New Roman" w:cs="Times New Roman"/>
          <w:sz w:val="24"/>
          <w:szCs w:val="24"/>
        </w:rPr>
        <w:t>art. 3 ust. 2 bez uszczerbku dla jakiegokolwiek osobistego prawa do swobodnego przemieszczania się i pobytu zainteresowanych osób, przyjmujące państwo członkowskie, zgodnie ze swoim ustawodawstwem krajowym, ułatwia wjazd i pobyt następujących osób:</w:t>
      </w:r>
    </w:p>
    <w:p w14:paraId="68C22D2F" w14:textId="3DB82580" w:rsidR="00AB6834" w:rsidRPr="00774FA7" w:rsidRDefault="00AB6834" w:rsidP="004F6DC6">
      <w:pPr>
        <w:pStyle w:val="Akapitzlist0"/>
        <w:numPr>
          <w:ilvl w:val="0"/>
          <w:numId w:val="19"/>
        </w:numPr>
        <w:spacing w:line="288" w:lineRule="auto"/>
        <w:jc w:val="both"/>
        <w:rPr>
          <w:rFonts w:ascii="Times New Roman" w:hAnsi="Times New Roman"/>
        </w:rPr>
      </w:pPr>
      <w:r w:rsidRPr="00774FA7">
        <w:rPr>
          <w:rFonts w:ascii="Times New Roman" w:hAnsi="Times New Roman"/>
        </w:rPr>
        <w:t>wszelkich innych członków rodziny, bez względu na ich przynależność państwową, którzy nie są objęci definicją określoną w art. 2 ust. 2, a w kraju, z którego przybyli, pozostają na utrzymaniu lub są członkami gospodarstwa domowego obywatela Unii, posiadającymi pierwotne prawo pobytu, lub gdzie istnieją poważne względy zdrowotne ściśle wymagające osobistej opieki obywatela Unii nad członkiem rodziny</w:t>
      </w:r>
      <w:r w:rsidR="005416A6">
        <w:rPr>
          <w:rFonts w:ascii="Times New Roman" w:hAnsi="Times New Roman"/>
        </w:rPr>
        <w:t>,</w:t>
      </w:r>
    </w:p>
    <w:p w14:paraId="7C4C524A" w14:textId="644C4AA1" w:rsidR="00AB6834" w:rsidRPr="00774FA7" w:rsidRDefault="00AB6834" w:rsidP="004F6DC6">
      <w:pPr>
        <w:pStyle w:val="Akapitzlist0"/>
        <w:numPr>
          <w:ilvl w:val="0"/>
          <w:numId w:val="19"/>
        </w:numPr>
        <w:spacing w:line="288" w:lineRule="auto"/>
        <w:jc w:val="both"/>
        <w:rPr>
          <w:rFonts w:ascii="Times New Roman" w:hAnsi="Times New Roman"/>
        </w:rPr>
      </w:pPr>
      <w:r w:rsidRPr="00774FA7">
        <w:rPr>
          <w:rFonts w:ascii="Times New Roman" w:hAnsi="Times New Roman"/>
        </w:rPr>
        <w:t>partnera, z którym obywatel Unii pozostaje w stałym, należycie poświadczonym związku.</w:t>
      </w:r>
    </w:p>
    <w:p w14:paraId="74AE769B" w14:textId="3ACD1089" w:rsidR="00AB6834" w:rsidRPr="00774FA7" w:rsidRDefault="00AB6834" w:rsidP="004F6DC6">
      <w:pPr>
        <w:spacing w:after="0" w:line="288" w:lineRule="auto"/>
        <w:ind w:firstLine="709"/>
        <w:jc w:val="both"/>
      </w:pPr>
      <w:r w:rsidRPr="00774FA7">
        <w:rPr>
          <w:rFonts w:ascii="Times New Roman" w:eastAsia="Calibri" w:hAnsi="Times New Roman" w:cs="Times New Roman"/>
          <w:sz w:val="24"/>
          <w:szCs w:val="24"/>
        </w:rPr>
        <w:t xml:space="preserve">Przyjmujące </w:t>
      </w:r>
      <w:r w:rsidR="00A75DF1">
        <w:rPr>
          <w:rFonts w:ascii="Times New Roman" w:eastAsia="Calibri" w:hAnsi="Times New Roman" w:cs="Times New Roman"/>
          <w:sz w:val="24"/>
          <w:szCs w:val="24"/>
        </w:rPr>
        <w:t>p</w:t>
      </w:r>
      <w:r w:rsidRPr="00774FA7">
        <w:rPr>
          <w:rFonts w:ascii="Times New Roman" w:eastAsia="Calibri" w:hAnsi="Times New Roman" w:cs="Times New Roman"/>
          <w:sz w:val="24"/>
          <w:szCs w:val="24"/>
        </w:rPr>
        <w:t xml:space="preserve">aństwo </w:t>
      </w:r>
      <w:r w:rsidR="00A75DF1">
        <w:rPr>
          <w:rFonts w:ascii="Times New Roman" w:eastAsia="Calibri" w:hAnsi="Times New Roman" w:cs="Times New Roman"/>
          <w:sz w:val="24"/>
          <w:szCs w:val="24"/>
        </w:rPr>
        <w:t>c</w:t>
      </w:r>
      <w:r w:rsidRPr="00774FA7">
        <w:rPr>
          <w:rFonts w:ascii="Times New Roman" w:eastAsia="Calibri" w:hAnsi="Times New Roman" w:cs="Times New Roman"/>
          <w:sz w:val="24"/>
          <w:szCs w:val="24"/>
        </w:rPr>
        <w:t>złonkowskie dokonuje szczegółowej analizy osobistych okoliczności i uzasadnia każdą odmowę wjazdu lub pobytu wobec tych osób.</w:t>
      </w:r>
      <w:r w:rsidRPr="00774FA7">
        <w:t xml:space="preserve"> </w:t>
      </w:r>
    </w:p>
    <w:p w14:paraId="4AF71F8B" w14:textId="292B7C1E" w:rsidR="003E51C7" w:rsidRPr="00774FA7" w:rsidRDefault="00AB6834"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Obowiązujące przepisy prawa zapewniają jedynie wdrożenie do polskiego porządku prawnego postanowień art. 3 ust. 2 dyrektywy 2004/38/WE w zakresie umożliwienia pobytu członkom rodziny rozszerzonej obywateli UE, brak jest natomiast uregulowań prawnych przewidujących specjalne traktowanie opisanej wyżej grupy cudzoziemców w zakresie ułatwiania im dołączenia do obywatela UE oraz wjazdu na terytorium Rzeczypospolitej Polskiej, rozumianego jako skorzystanie z uprawnienia do wjazdu na terytorium Rzeczypospolitej Polskiej.</w:t>
      </w:r>
      <w:r w:rsidRPr="00774FA7">
        <w:t xml:space="preserve"> </w:t>
      </w:r>
      <w:r w:rsidRPr="00774FA7">
        <w:rPr>
          <w:rFonts w:ascii="Times New Roman" w:eastAsia="Calibri" w:hAnsi="Times New Roman" w:cs="Times New Roman"/>
          <w:sz w:val="24"/>
          <w:szCs w:val="24"/>
        </w:rPr>
        <w:t xml:space="preserve">Zaproponowano zatem zmianę </w:t>
      </w:r>
      <w:r w:rsidR="003E51C7" w:rsidRPr="00774FA7">
        <w:rPr>
          <w:rFonts w:ascii="Times New Roman" w:eastAsia="Calibri" w:hAnsi="Times New Roman" w:cs="Times New Roman"/>
          <w:sz w:val="24"/>
          <w:szCs w:val="24"/>
        </w:rPr>
        <w:t>polegającą na</w:t>
      </w:r>
      <w:r w:rsidR="009455C5" w:rsidRPr="00774FA7">
        <w:rPr>
          <w:rFonts w:ascii="Times New Roman" w:eastAsia="Calibri" w:hAnsi="Times New Roman" w:cs="Times New Roman"/>
          <w:sz w:val="24"/>
          <w:szCs w:val="24"/>
        </w:rPr>
        <w:t xml:space="preserve"> wprowadzeni</w:t>
      </w:r>
      <w:r w:rsidR="003E51C7" w:rsidRPr="00774FA7">
        <w:rPr>
          <w:rFonts w:ascii="Times New Roman" w:eastAsia="Calibri" w:hAnsi="Times New Roman" w:cs="Times New Roman"/>
          <w:sz w:val="24"/>
          <w:szCs w:val="24"/>
        </w:rPr>
        <w:t>u</w:t>
      </w:r>
      <w:r w:rsidR="009455C5"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rozwiązań prawnych wzorowanych na regulacjach dotyczących łączenia rodzin i umożliwienie złożenia wniosku o udzielenie zezwolenia na pobyt czasowy członkom rodziny rozszerzonej obywateli UE przebywającym poza granicami Polski. Wniosek w przedmiotowej sprawie </w:t>
      </w:r>
      <w:r w:rsidR="009455C5" w:rsidRPr="00774FA7">
        <w:rPr>
          <w:rFonts w:ascii="Times New Roman" w:eastAsia="Calibri" w:hAnsi="Times New Roman" w:cs="Times New Roman"/>
          <w:sz w:val="24"/>
          <w:szCs w:val="24"/>
        </w:rPr>
        <w:t xml:space="preserve">będzie </w:t>
      </w:r>
      <w:r w:rsidRPr="00774FA7">
        <w:rPr>
          <w:rFonts w:ascii="Times New Roman" w:eastAsia="Calibri" w:hAnsi="Times New Roman" w:cs="Times New Roman"/>
          <w:sz w:val="24"/>
          <w:szCs w:val="24"/>
        </w:rPr>
        <w:t>składać obywatel UE</w:t>
      </w:r>
      <w:r w:rsidR="009455C5" w:rsidRPr="00774FA7">
        <w:rPr>
          <w:rFonts w:ascii="Times New Roman" w:eastAsia="Calibri" w:hAnsi="Times New Roman" w:cs="Times New Roman"/>
          <w:sz w:val="24"/>
          <w:szCs w:val="24"/>
        </w:rPr>
        <w:t>, obywatel Polski lub obywatel Zjednoczonego Królestwa</w:t>
      </w:r>
      <w:r w:rsidRPr="00774FA7">
        <w:rPr>
          <w:rFonts w:ascii="Times New Roman" w:eastAsia="Calibri" w:hAnsi="Times New Roman" w:cs="Times New Roman"/>
          <w:sz w:val="24"/>
          <w:szCs w:val="24"/>
        </w:rPr>
        <w:t xml:space="preserve"> przebywający na terytorium Rzeczypospolitej Polskiej w imieniu swojego członka rodziny, jeżeli ten przebywałby poza tym terytorium. </w:t>
      </w:r>
      <w:r w:rsidR="009455C5" w:rsidRPr="00774FA7">
        <w:rPr>
          <w:rFonts w:ascii="Times New Roman" w:eastAsia="Calibri" w:hAnsi="Times New Roman" w:cs="Times New Roman"/>
          <w:sz w:val="24"/>
          <w:szCs w:val="24"/>
        </w:rPr>
        <w:t xml:space="preserve">Wskazane wyżej </w:t>
      </w:r>
      <w:r w:rsidR="009455C5" w:rsidRPr="00774FA7">
        <w:rPr>
          <w:rFonts w:ascii="Times New Roman" w:eastAsia="Calibri" w:hAnsi="Times New Roman" w:cs="Times New Roman"/>
          <w:sz w:val="24"/>
          <w:szCs w:val="24"/>
        </w:rPr>
        <w:lastRenderedPageBreak/>
        <w:t xml:space="preserve">osoby </w:t>
      </w:r>
      <w:r w:rsidRPr="00774FA7">
        <w:rPr>
          <w:rFonts w:ascii="Times New Roman" w:eastAsia="Calibri" w:hAnsi="Times New Roman" w:cs="Times New Roman"/>
          <w:sz w:val="24"/>
          <w:szCs w:val="24"/>
        </w:rPr>
        <w:t>był</w:t>
      </w:r>
      <w:r w:rsidR="003E51C7" w:rsidRPr="00774FA7">
        <w:rPr>
          <w:rFonts w:ascii="Times New Roman" w:eastAsia="Calibri" w:hAnsi="Times New Roman" w:cs="Times New Roman"/>
          <w:sz w:val="24"/>
          <w:szCs w:val="24"/>
        </w:rPr>
        <w:t>y</w:t>
      </w:r>
      <w:r w:rsidRPr="00774FA7">
        <w:rPr>
          <w:rFonts w:ascii="Times New Roman" w:eastAsia="Calibri" w:hAnsi="Times New Roman" w:cs="Times New Roman"/>
          <w:sz w:val="24"/>
          <w:szCs w:val="24"/>
        </w:rPr>
        <w:t xml:space="preserve">by jednocześnie obligatoryjnym pełnomocnikiem członka rodziny w przedmiotowym postępowaniu prowadzonym przed wojewodą oraz ewentualnie Szefem Urzędu do Spraw Cudzoziemców, przy jednoczesnym zachowaniu ogólnej konstrukcji jednej strony postępowania, którą byłby cudzoziemiec, w imieniu którego wniosek jest składany. </w:t>
      </w:r>
    </w:p>
    <w:p w14:paraId="2D4EDFB2" w14:textId="7E9AB0FC" w:rsidR="003E51C7" w:rsidRPr="00774FA7" w:rsidRDefault="009455C5"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Proponowane rozwiązanie</w:t>
      </w:r>
      <w:r w:rsidR="00AB6834" w:rsidRPr="00774FA7">
        <w:rPr>
          <w:rFonts w:ascii="Times New Roman" w:eastAsia="Calibri" w:hAnsi="Times New Roman" w:cs="Times New Roman"/>
          <w:sz w:val="24"/>
          <w:szCs w:val="24"/>
        </w:rPr>
        <w:t xml:space="preserve"> </w:t>
      </w:r>
      <w:r w:rsidR="003E51C7" w:rsidRPr="00774FA7">
        <w:rPr>
          <w:rFonts w:ascii="Times New Roman" w:eastAsia="Calibri" w:hAnsi="Times New Roman" w:cs="Times New Roman"/>
          <w:sz w:val="24"/>
          <w:szCs w:val="24"/>
        </w:rPr>
        <w:t>jest</w:t>
      </w:r>
      <w:r w:rsidR="00AB6834" w:rsidRPr="00774FA7">
        <w:rPr>
          <w:rFonts w:ascii="Times New Roman" w:eastAsia="Calibri" w:hAnsi="Times New Roman" w:cs="Times New Roman"/>
          <w:sz w:val="24"/>
          <w:szCs w:val="24"/>
        </w:rPr>
        <w:t xml:space="preserve"> zbliżone do rozwiązań przewidzianych w art. 168 ust. 1-3 ustawy </w:t>
      </w:r>
      <w:r w:rsidRPr="00774FA7">
        <w:rPr>
          <w:rFonts w:ascii="Times New Roman" w:eastAsia="Calibri" w:hAnsi="Times New Roman" w:cs="Times New Roman"/>
          <w:sz w:val="24"/>
          <w:szCs w:val="24"/>
        </w:rPr>
        <w:t xml:space="preserve">o cudzoziemcach. </w:t>
      </w:r>
      <w:r w:rsidR="00AB6834" w:rsidRPr="00774FA7">
        <w:rPr>
          <w:rFonts w:ascii="Times New Roman" w:eastAsia="Calibri" w:hAnsi="Times New Roman" w:cs="Times New Roman"/>
          <w:sz w:val="24"/>
          <w:szCs w:val="24"/>
        </w:rPr>
        <w:t xml:space="preserve">Konsekwencją powyższej zmiany </w:t>
      </w:r>
      <w:r w:rsidRPr="00774FA7">
        <w:rPr>
          <w:rFonts w:ascii="Times New Roman" w:eastAsia="Calibri" w:hAnsi="Times New Roman" w:cs="Times New Roman"/>
          <w:sz w:val="24"/>
          <w:szCs w:val="24"/>
        </w:rPr>
        <w:t xml:space="preserve">jest </w:t>
      </w:r>
      <w:r w:rsidR="00AB6834" w:rsidRPr="00774FA7">
        <w:rPr>
          <w:rFonts w:ascii="Times New Roman" w:eastAsia="Calibri" w:hAnsi="Times New Roman" w:cs="Times New Roman"/>
          <w:sz w:val="24"/>
          <w:szCs w:val="24"/>
        </w:rPr>
        <w:t>wprowadzenie odrębnej procedury wydawania karty pobytu członkom rodziny rozszerzonej obywateli UE, którym udzielono zezwolenia na pobyt czasowy</w:t>
      </w:r>
      <w:r w:rsidR="005416A6">
        <w:rPr>
          <w:rFonts w:ascii="Times New Roman" w:eastAsia="Calibri" w:hAnsi="Times New Roman" w:cs="Times New Roman"/>
          <w:sz w:val="24"/>
          <w:szCs w:val="24"/>
        </w:rPr>
        <w:t>,</w:t>
      </w:r>
      <w:r w:rsidR="00AB6834" w:rsidRPr="00774FA7">
        <w:rPr>
          <w:rFonts w:ascii="Times New Roman" w:eastAsia="Calibri" w:hAnsi="Times New Roman" w:cs="Times New Roman"/>
          <w:sz w:val="24"/>
          <w:szCs w:val="24"/>
        </w:rPr>
        <w:t xml:space="preserve"> analogicznie jak w art. 229 ust. 4 pkt 1 ustawy o cudzoziemcach. </w:t>
      </w:r>
    </w:p>
    <w:p w14:paraId="4C6E1D8C" w14:textId="3C02E699" w:rsidR="00AB6834" w:rsidRPr="00774FA7" w:rsidRDefault="009455C5" w:rsidP="004F6DC6">
      <w:pPr>
        <w:spacing w:after="0" w:line="288" w:lineRule="auto"/>
        <w:ind w:firstLine="709"/>
        <w:jc w:val="both"/>
        <w:rPr>
          <w:rFonts w:ascii="Times New Roman" w:eastAsia="Calibri" w:hAnsi="Times New Roman" w:cs="Times New Roman"/>
          <w:sz w:val="24"/>
          <w:szCs w:val="24"/>
        </w:rPr>
      </w:pPr>
      <w:r w:rsidRPr="00687641">
        <w:rPr>
          <w:rFonts w:ascii="Times New Roman" w:eastAsia="Calibri" w:hAnsi="Times New Roman" w:cs="Times New Roman"/>
          <w:sz w:val="24"/>
          <w:szCs w:val="24"/>
        </w:rPr>
        <w:t xml:space="preserve">Konsekwencją opisanej wyżej zmiany jest </w:t>
      </w:r>
      <w:r w:rsidR="00AB6834" w:rsidRPr="00687641">
        <w:rPr>
          <w:rFonts w:ascii="Times New Roman" w:eastAsia="Calibri" w:hAnsi="Times New Roman" w:cs="Times New Roman"/>
          <w:sz w:val="24"/>
          <w:szCs w:val="24"/>
        </w:rPr>
        <w:t>zmiana art. 60 ust. 1 ww. ustawy i wprowadzenie nowego celu wydania wizy, tzn. wizy w celu realizacji zezwolenia na pobyt czasowy, o k</w:t>
      </w:r>
      <w:r w:rsidRPr="00687641">
        <w:rPr>
          <w:rFonts w:ascii="Times New Roman" w:eastAsia="Calibri" w:hAnsi="Times New Roman" w:cs="Times New Roman"/>
          <w:sz w:val="24"/>
          <w:szCs w:val="24"/>
        </w:rPr>
        <w:t xml:space="preserve">tórym mowa w art. 160 pkt 1, 3, 4 lub 6 </w:t>
      </w:r>
      <w:r w:rsidR="00AB6834" w:rsidRPr="00687641">
        <w:rPr>
          <w:rFonts w:ascii="Times New Roman" w:eastAsia="Calibri" w:hAnsi="Times New Roman" w:cs="Times New Roman"/>
          <w:sz w:val="24"/>
          <w:szCs w:val="24"/>
        </w:rPr>
        <w:t>ustawy o cudzoziemcach, gdyby zezwolenie miało być udzielone</w:t>
      </w:r>
      <w:r w:rsidR="00AB6834" w:rsidRPr="00774FA7">
        <w:rPr>
          <w:rFonts w:ascii="Times New Roman" w:eastAsia="Calibri" w:hAnsi="Times New Roman" w:cs="Times New Roman"/>
          <w:sz w:val="24"/>
          <w:szCs w:val="24"/>
        </w:rPr>
        <w:t xml:space="preserve"> cudzoziemcowi przebywającemu poza teryt</w:t>
      </w:r>
      <w:r w:rsidRPr="00774FA7">
        <w:rPr>
          <w:rFonts w:ascii="Times New Roman" w:eastAsia="Calibri" w:hAnsi="Times New Roman" w:cs="Times New Roman"/>
          <w:sz w:val="24"/>
          <w:szCs w:val="24"/>
        </w:rPr>
        <w:t>orium Rzeczypospolitej Polskiej</w:t>
      </w:r>
      <w:r w:rsidR="00AB6834" w:rsidRPr="00774FA7">
        <w:rPr>
          <w:rFonts w:ascii="Times New Roman" w:eastAsia="Calibri" w:hAnsi="Times New Roman" w:cs="Times New Roman"/>
          <w:sz w:val="24"/>
          <w:szCs w:val="24"/>
        </w:rPr>
        <w:t>.</w:t>
      </w:r>
    </w:p>
    <w:p w14:paraId="078F634E" w14:textId="3FF333DB" w:rsidR="00076C40" w:rsidRDefault="00076C40"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w art. 169 ust. 3 ustawy o cudzoziemcach jest </w:t>
      </w:r>
      <w:r w:rsidR="003E51C7" w:rsidRPr="00774FA7">
        <w:rPr>
          <w:rFonts w:ascii="Times New Roman" w:eastAsia="Calibri" w:hAnsi="Times New Roman" w:cs="Times New Roman"/>
          <w:sz w:val="24"/>
          <w:szCs w:val="24"/>
        </w:rPr>
        <w:t xml:space="preserve">konsekwencją </w:t>
      </w:r>
      <w:r w:rsidRPr="00774FA7">
        <w:rPr>
          <w:rFonts w:ascii="Times New Roman" w:eastAsia="Calibri" w:hAnsi="Times New Roman" w:cs="Times New Roman"/>
          <w:sz w:val="24"/>
          <w:szCs w:val="24"/>
        </w:rPr>
        <w:t>dodani</w:t>
      </w:r>
      <w:r w:rsidR="003E51C7" w:rsidRPr="00774FA7">
        <w:rPr>
          <w:rFonts w:ascii="Times New Roman" w:eastAsia="Calibri" w:hAnsi="Times New Roman" w:cs="Times New Roman"/>
          <w:sz w:val="24"/>
          <w:szCs w:val="24"/>
        </w:rPr>
        <w:t xml:space="preserve">a </w:t>
      </w:r>
      <w:r w:rsidRPr="00774FA7">
        <w:rPr>
          <w:rFonts w:ascii="Times New Roman" w:eastAsia="Calibri" w:hAnsi="Times New Roman" w:cs="Times New Roman"/>
          <w:sz w:val="24"/>
          <w:szCs w:val="24"/>
        </w:rPr>
        <w:t>w art. 160 nowych pkt 5 i 6</w:t>
      </w:r>
      <w:r w:rsidR="003E51C7" w:rsidRPr="00774FA7">
        <w:rPr>
          <w:rFonts w:ascii="Times New Roman" w:eastAsia="Calibri" w:hAnsi="Times New Roman" w:cs="Times New Roman"/>
          <w:sz w:val="24"/>
          <w:szCs w:val="24"/>
        </w:rPr>
        <w:t>, o których mowa wyżej</w:t>
      </w:r>
      <w:r w:rsidRPr="00774FA7">
        <w:rPr>
          <w:rFonts w:ascii="Times New Roman" w:eastAsia="Calibri" w:hAnsi="Times New Roman" w:cs="Times New Roman"/>
          <w:sz w:val="24"/>
          <w:szCs w:val="24"/>
        </w:rPr>
        <w:t>.</w:t>
      </w:r>
    </w:p>
    <w:p w14:paraId="6F5C22E8" w14:textId="7FC1FCD7" w:rsidR="001F14B7" w:rsidRPr="001F14B7" w:rsidRDefault="001F14B7" w:rsidP="001F14B7">
      <w:pPr>
        <w:spacing w:after="0" w:line="288" w:lineRule="auto"/>
        <w:ind w:firstLine="709"/>
        <w:jc w:val="both"/>
        <w:rPr>
          <w:rFonts w:ascii="Times New Roman" w:eastAsia="Calibri" w:hAnsi="Times New Roman" w:cs="Times New Roman"/>
          <w:sz w:val="24"/>
          <w:szCs w:val="24"/>
        </w:rPr>
      </w:pPr>
      <w:r w:rsidRPr="001F14B7">
        <w:rPr>
          <w:rFonts w:ascii="Times New Roman" w:eastAsia="Calibri" w:hAnsi="Times New Roman" w:cs="Times New Roman"/>
          <w:sz w:val="24"/>
          <w:szCs w:val="24"/>
        </w:rPr>
        <w:t>W art. 186 ust. 1 ustawy o cudzoziemcach przewiduje się dodanie pkt 10 przewidującego udzielenie zezwolenia na pobyt czasowy obywatelom Zjednoczonego Królestwa Wielkiej Brytanii i Irlandii Północnej, którzy do dnia 31 grudnia 2020r. wykonywali na terytorium Rzeczypospolitej Polskiej pracę jako pracownicy delegowani przez pracodawcę zagranicznego na terytorium Rzeczypospolitej Polskiej.</w:t>
      </w:r>
      <w:r>
        <w:rPr>
          <w:rFonts w:ascii="Times New Roman" w:eastAsia="Calibri" w:hAnsi="Times New Roman" w:cs="Times New Roman"/>
          <w:sz w:val="24"/>
          <w:szCs w:val="24"/>
        </w:rPr>
        <w:t xml:space="preserve"> </w:t>
      </w:r>
      <w:r w:rsidRPr="001F14B7">
        <w:rPr>
          <w:rFonts w:ascii="Times New Roman" w:eastAsia="Calibri" w:hAnsi="Times New Roman" w:cs="Times New Roman"/>
          <w:sz w:val="24"/>
          <w:szCs w:val="24"/>
        </w:rPr>
        <w:t xml:space="preserve">Zgodnie ze stanowiskiem Komisji Europejskiej zajętym w Wytycznych dotyczących Umowy o wystąpieniu Zjednoczonego Królestwa Wielkiej Brytanii i Irlandii Północnej z Unii Europejskiej i Europejskiej Wspólnoty Energii Atomowej Część druga – Prawa obywateli (Dz. Urz. UE C 173 z 20.05.2020, str. 1), osoby powołujące się wyłącznie na prawa wynikające z art. 56 TFUE (dotyczącego swobody świadczenia usług wewnątrz Unii) nie są objęte Umową (zob. również wytyczne dotyczące tytułu III art. 30 ust. 1 lit. e) Umowy). Pracownicy delegowani nie otrzymują na podstawie Umowy żadnych uprawnień do pozostania w państwie przyjmującym po zakończeniu okresu przejściowego (punkt 1.2.2. Poza zakresem Umowy, podpunkt 1.2.2.1. Pracownicy delegowani). Biorąc natomiast pod uwagę, iż obywatele brytyjscy wykonujący na terytorium Polski pracę jako pracownicy delegowani przez pracodawcę mającego siedzibę w Wielkiej Brytanii, w innym państwie członkowskim UE, czy też w państwie trzecim, do końca okresu przejściowego przewidzianego w Umowie Wystąpienia korzystają z uprawnień pobytowych na terytorium Polski tak jak obywatele Unii Europejskiej, zasadne jest umożliwienie im kontynuacji pobytu na terytorium Polski, w tym zmiany celu pobytu, z perspektywą uzyskania w przyszłości zezwolenia na pobyt stały, na zasadzie prawa krajowego. Strona brytyjska zadeklarowała podjęcie jednostronnej decyzji, zgodnie z którą unijni pracownicy delegowani do Wielkiej Brytanii do końca okresu przejściowego - w tym obywatele polscy - będą mogli ubiegać się o status imigracyjny uprawniający do pobytu w tym kraju po upływie okresu przejściowego. Należy natomiast wskazać, iż proponowane rozwiązanie ma na celu umożliwienie osobom fizycznym ze Zjednoczonego Królestwa kontynuacji zamieszkiwania w Polsce, do czego byli dotychczas </w:t>
      </w:r>
      <w:r w:rsidRPr="001F14B7">
        <w:rPr>
          <w:rFonts w:ascii="Times New Roman" w:eastAsia="Calibri" w:hAnsi="Times New Roman" w:cs="Times New Roman"/>
          <w:sz w:val="24"/>
          <w:szCs w:val="24"/>
        </w:rPr>
        <w:lastRenderedPageBreak/>
        <w:t xml:space="preserve">uprawnieni jako obywatele UE, natomiast nie ma na celu przyznania podmiotom mającym siedzibę w Wielkiej Brytanii, kontynuacji prawa do świadczenia usług na terytorium Polski oraz delegowania w tym celu pracowników, co wchodzi w zakres negocjowanego porozumienia dotyczącego przyszłych relacji pomiędzy Unią Europejską a Wielką Brytanią. W ust. 4 art. 186 przewiduje się, iż z wnioskiem o udzielenie zezwolenia na pobyt czasowy dla brytyjskich pracowników delegowanych będzie można wystąpić nie później niż do dnia 31 grudnia 2021r. </w:t>
      </w:r>
    </w:p>
    <w:p w14:paraId="3CB41784" w14:textId="77777777" w:rsidR="001F14B7" w:rsidRPr="001F14B7" w:rsidRDefault="001F14B7" w:rsidP="001F14B7">
      <w:pPr>
        <w:spacing w:after="0" w:line="288" w:lineRule="auto"/>
        <w:ind w:firstLine="709"/>
        <w:jc w:val="both"/>
        <w:rPr>
          <w:rFonts w:ascii="Times New Roman" w:eastAsia="Calibri" w:hAnsi="Times New Roman" w:cs="Times New Roman"/>
          <w:sz w:val="24"/>
          <w:szCs w:val="24"/>
        </w:rPr>
      </w:pPr>
      <w:r w:rsidRPr="001F14B7">
        <w:rPr>
          <w:rFonts w:ascii="Times New Roman" w:eastAsia="Calibri" w:hAnsi="Times New Roman" w:cs="Times New Roman"/>
          <w:sz w:val="24"/>
          <w:szCs w:val="24"/>
        </w:rPr>
        <w:t>Zmiana w art. 188 ust. 1 ma na celu wprowadzenie regulacji dotyczącej wymogów udzielenia zezwolenia na pobyt czasowy, o którym mowa w art. 186 ust. 1 pkt 8, do których będzie należeć posiadanie ubezpieczenia zdrowotnego w rozumieniu ustawy z dnia 27 sierpnia 2004 r. o świadczeniach opieki zdrowotnej finansowanych ze środków publicznych lub potwierdzenie pokrycia przez ubezpieczyciela kosztów leczenia na terytorium Rzeczypospolitej Polskiej, a także posiadanie źródła stabilnego i regularnego dochodu wystarczającego na pokrycie kosztów utrzymania siebie i członków rodziny pozostających na jego utrzymaniu.</w:t>
      </w:r>
    </w:p>
    <w:p w14:paraId="63F6F8E5" w14:textId="006CBD59" w:rsidR="001F14B7" w:rsidRPr="001F14B7" w:rsidRDefault="001F14B7" w:rsidP="001F14B7">
      <w:pPr>
        <w:spacing w:after="0" w:line="288" w:lineRule="auto"/>
        <w:ind w:firstLine="709"/>
        <w:jc w:val="both"/>
        <w:rPr>
          <w:rFonts w:ascii="Times New Roman" w:eastAsia="Calibri" w:hAnsi="Times New Roman" w:cs="Times New Roman"/>
          <w:sz w:val="24"/>
          <w:szCs w:val="24"/>
        </w:rPr>
      </w:pPr>
      <w:r w:rsidRPr="001F14B7">
        <w:rPr>
          <w:rFonts w:ascii="Times New Roman" w:eastAsia="Calibri" w:hAnsi="Times New Roman" w:cs="Times New Roman"/>
          <w:sz w:val="24"/>
          <w:szCs w:val="24"/>
        </w:rPr>
        <w:t xml:space="preserve">W art. 190 pkt 4 przewiduje się, iż zezwolenia na pobyt czasowy dla brytyjskich pracowników delegowanych będzie się udzielać jednorazowo, na okres 5 lat, w celu umożliwienia uzyskania po 5 latach zamieszkiwania na terytorium Polski zezwolenia na pobyt stały na podstawie dodawanego projektem pkt 10 w art. 195 ust. 1 ustawy o cudzoziemcach. </w:t>
      </w:r>
    </w:p>
    <w:p w14:paraId="14B75025" w14:textId="66A8A039" w:rsidR="001F14B7" w:rsidRPr="001F14B7" w:rsidRDefault="001F14B7" w:rsidP="001F14B7">
      <w:pPr>
        <w:spacing w:after="0" w:line="288" w:lineRule="auto"/>
        <w:ind w:firstLine="709"/>
        <w:jc w:val="both"/>
        <w:rPr>
          <w:rFonts w:ascii="Times New Roman" w:eastAsia="Calibri" w:hAnsi="Times New Roman" w:cs="Times New Roman"/>
          <w:sz w:val="24"/>
          <w:szCs w:val="24"/>
        </w:rPr>
      </w:pPr>
      <w:r w:rsidRPr="001F14B7">
        <w:rPr>
          <w:rFonts w:ascii="Times New Roman" w:eastAsia="Calibri" w:hAnsi="Times New Roman" w:cs="Times New Roman"/>
          <w:sz w:val="24"/>
          <w:szCs w:val="24"/>
        </w:rPr>
        <w:t xml:space="preserve">W art. 191 ust. 1 pkt 5 przewiduje się wyłączenie z uregulowanych w art. 100 ustawy ogólnych przesłanek odmowy udzielenia zezwolenia na pobyt czasowy, w przypadku zezwolenia udzielanego brytyjskim pracownikom delegowanym, przesłanek dotyczących zalegania z uiszczeniem podatków lub niezwrócenia kosztów związanych z wydaniem i wykonaniem decyzji o zobowiązaniu cudzoziemca do powrotu. Przesłanki te nie mają bowiem zastosowania w odniesieniu do prawa pobytu obywateli UE zamieszkujących na terytorium Polski. </w:t>
      </w:r>
    </w:p>
    <w:p w14:paraId="578A64F2" w14:textId="77777777" w:rsidR="001F14B7" w:rsidRPr="001F14B7" w:rsidRDefault="001F14B7" w:rsidP="001F14B7">
      <w:pPr>
        <w:spacing w:after="0" w:line="288" w:lineRule="auto"/>
        <w:ind w:firstLine="709"/>
        <w:jc w:val="both"/>
        <w:rPr>
          <w:rFonts w:ascii="Times New Roman" w:eastAsia="Calibri" w:hAnsi="Times New Roman" w:cs="Times New Roman"/>
          <w:sz w:val="24"/>
          <w:szCs w:val="24"/>
        </w:rPr>
      </w:pPr>
      <w:r w:rsidRPr="001F14B7">
        <w:rPr>
          <w:rFonts w:ascii="Times New Roman" w:eastAsia="Calibri" w:hAnsi="Times New Roman" w:cs="Times New Roman"/>
          <w:sz w:val="24"/>
          <w:szCs w:val="24"/>
        </w:rPr>
        <w:t xml:space="preserve">W art. 192 ust. 4 przewiduje się natomiast przesłanki cofnięcia zezwolenia na pobyt czasowy dla brytyjskich pracowników delegowanych, uwzględniające zakres przesłanek odmowy udzielenia tego zezwolenia. </w:t>
      </w:r>
    </w:p>
    <w:p w14:paraId="734F7905" w14:textId="77777777" w:rsidR="001F14B7" w:rsidRPr="001F14B7" w:rsidRDefault="001F14B7" w:rsidP="001F14B7">
      <w:pPr>
        <w:spacing w:after="0" w:line="288" w:lineRule="auto"/>
        <w:ind w:firstLine="709"/>
        <w:jc w:val="both"/>
        <w:rPr>
          <w:rFonts w:ascii="Times New Roman" w:eastAsia="Calibri" w:hAnsi="Times New Roman" w:cs="Times New Roman"/>
          <w:sz w:val="24"/>
          <w:szCs w:val="24"/>
        </w:rPr>
      </w:pPr>
      <w:r w:rsidRPr="001F14B7">
        <w:rPr>
          <w:rFonts w:ascii="Times New Roman" w:eastAsia="Calibri" w:hAnsi="Times New Roman" w:cs="Times New Roman"/>
          <w:sz w:val="24"/>
          <w:szCs w:val="24"/>
        </w:rPr>
        <w:t xml:space="preserve">W art. 195 ust. 1 pkt 10 przewiduje się wprowadzenie nowej przesłanki udzielania zezwolenia na pobyt stały dla brytyjskich pracowników delegowanych na terytorium Polski do końca okresu przejściowego, którzy nie są objęci Umową Wystąpienia. Do warunków udzielenia tego zezwolenia należałoby przebywanie na terytorium Rzeczypospolitej Polskiej legalnie i nieprzerwanie co najmniej przez 5 lat bezpośrednio przed złożeniem wniosku, w tym na podstawie przewidzianego projektem zezwolenia na pobyt czasowy, o którym mowa w art. 186 ust. 1 pkt 8, posiadanie źródła stabilnego i regularnego dochodu wystarczającego na pokrycie kosztów utrzymania siebie i członków rodziny pozostających na jego utrzymaniu oraz posiadanie ubezpieczenia zdrowotnego w rozumieniu ustawy z dnia 27 sierpnia 2004 r. o świadczeniach opieki zdrowotnej finansowanych ze środków publicznych lub potwierdzenie pokrycia przez ubezpieczyciela kosztów leczenia na terytorium Rzeczypospolitej Polskiej. W ust. 2a przewiduje się jednocześnie, iż do ustalenia, czy cudzoziemiec ubiegający się o </w:t>
      </w:r>
      <w:r w:rsidRPr="001F14B7">
        <w:rPr>
          <w:rFonts w:ascii="Times New Roman" w:eastAsia="Calibri" w:hAnsi="Times New Roman" w:cs="Times New Roman"/>
          <w:sz w:val="24"/>
          <w:szCs w:val="24"/>
        </w:rPr>
        <w:lastRenderedPageBreak/>
        <w:t>udzielenie zezwolenia, o którym mowa w ust. 1 pkt 10, posiada wymagany dochód, będzie się stosować przepis art. 114 ust. 2 ustawy o cudzoziemcach, przewidujący wysokość takiego dochodu. Zgodnie natomiast z ust. 2b wymóg posiadania źródła stabilnego i regularnego dochodu w przypadku, o którym mowa w art. 195 ust. 1 pkt 10, będzie się uważać za spełniony również wówczas, gdy koszty utrzymania cudzoziemca będzie pokrywał członek rodziny obowiązany do jego utrzymania, który zamieszkuje na terytorium Rzeczypospolitej Polskiej. Do ustalenia, czy cudzoziemiec, o którym mowa w ust. 1 pkt 10, przebywał nieprzerwanie na terytorium Rzeczypospolitej Polskiej, będzie się stosować przepis art. 47 ustawy z dnia 14 lipca 2006 r. o wjeździe na terytorium Rzeczypospolitej Polskiej, pobycie oraz wyjeździe z tego terytorium obywateli państw członkowskich Unii Europejskiej i członków ich rodzin mający zastosowanie do obywateli UE.</w:t>
      </w:r>
    </w:p>
    <w:p w14:paraId="4AE29E3D" w14:textId="77777777" w:rsidR="001F14B7" w:rsidRPr="001F14B7" w:rsidRDefault="001F14B7" w:rsidP="001F14B7">
      <w:pPr>
        <w:spacing w:after="0" w:line="288" w:lineRule="auto"/>
        <w:ind w:firstLine="709"/>
        <w:jc w:val="both"/>
        <w:rPr>
          <w:rFonts w:ascii="Times New Roman" w:eastAsia="Calibri" w:hAnsi="Times New Roman" w:cs="Times New Roman"/>
          <w:sz w:val="24"/>
          <w:szCs w:val="24"/>
        </w:rPr>
      </w:pPr>
      <w:r w:rsidRPr="001F14B7">
        <w:rPr>
          <w:rFonts w:ascii="Times New Roman" w:eastAsia="Calibri" w:hAnsi="Times New Roman" w:cs="Times New Roman"/>
          <w:sz w:val="24"/>
          <w:szCs w:val="24"/>
        </w:rPr>
        <w:t xml:space="preserve">W art. 197 ust. 3a przewiduje się przesłanki odmowy udzielenia zezwolenia na pobyt stały udzielanego na podstawie art. 195 ust. 1 pkt 10, zgodne z ogólnymi przesłankami odmowy udzielenia zezwolenia na pobyt stały, z wyjątkiem przesłanek dotyczących interesu Rzeczypospolitej Polskiej, zawarcia związku małżeńskiego lub jego istnienia w celu obejścia przepisów określających zasady i warunki wjazdu cudzoziemców na terytorium Rzeczypospolitej Polskiej, ich przejazdu przez to terytorium, pobytu na nim i wyjazdu z niego, przesłanek dotyczących zalegania z uiszczeniem podatków lub nie zwrócenia kosztów związanych z wydaniem i wykonaniem decyzji o zobowiązaniu cudzoziemca do powrotu. Przesłanki te nie mają bowiem zastosowania w odniesieniu do prawa stałego pobytu obywateli UE zamieszkujących na terytorium Polski. </w:t>
      </w:r>
    </w:p>
    <w:p w14:paraId="72DD79E0" w14:textId="77777777" w:rsidR="001F14B7" w:rsidRPr="001F14B7" w:rsidRDefault="001F14B7" w:rsidP="001F14B7">
      <w:pPr>
        <w:spacing w:after="0" w:line="288" w:lineRule="auto"/>
        <w:ind w:firstLine="709"/>
        <w:jc w:val="both"/>
        <w:rPr>
          <w:rFonts w:ascii="Times New Roman" w:eastAsia="Calibri" w:hAnsi="Times New Roman" w:cs="Times New Roman"/>
          <w:sz w:val="24"/>
          <w:szCs w:val="24"/>
        </w:rPr>
      </w:pPr>
      <w:r w:rsidRPr="001F14B7">
        <w:rPr>
          <w:rFonts w:ascii="Times New Roman" w:eastAsia="Calibri" w:hAnsi="Times New Roman" w:cs="Times New Roman"/>
          <w:sz w:val="24"/>
          <w:szCs w:val="24"/>
        </w:rPr>
        <w:t>W art. 192 ust. 2 pkt 3 przewiduje się natomiast przesłanki cofnięcia zezwolenia na pobyt stały dla brytyjskich pracowników delegowanych, uwzględniające zakres przesłanek odmowy udzielenia tego zezwolenia.</w:t>
      </w:r>
    </w:p>
    <w:p w14:paraId="70CE0057" w14:textId="5808ECA7" w:rsidR="00C605F7" w:rsidRPr="00774FA7" w:rsidRDefault="00DE7224"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Zmiana w art. 229 ust. 4 lit </w:t>
      </w:r>
      <w:r w:rsidR="00845B02" w:rsidRPr="00774FA7">
        <w:rPr>
          <w:rFonts w:ascii="Times New Roman" w:eastAsia="Calibri" w:hAnsi="Times New Roman" w:cs="Times New Roman"/>
          <w:sz w:val="24"/>
          <w:szCs w:val="24"/>
        </w:rPr>
        <w:t xml:space="preserve">1c wynika </w:t>
      </w:r>
      <w:r w:rsidR="00F1661B">
        <w:rPr>
          <w:rFonts w:ascii="Times New Roman" w:eastAsia="Calibri" w:hAnsi="Times New Roman" w:cs="Times New Roman"/>
          <w:sz w:val="24"/>
          <w:szCs w:val="24"/>
        </w:rPr>
        <w:t xml:space="preserve">z </w:t>
      </w:r>
      <w:r w:rsidR="00845B02" w:rsidRPr="00774FA7">
        <w:rPr>
          <w:rFonts w:ascii="Times New Roman" w:eastAsia="Calibri" w:hAnsi="Times New Roman" w:cs="Times New Roman"/>
          <w:sz w:val="24"/>
          <w:szCs w:val="24"/>
        </w:rPr>
        <w:t>wprowadzenia nowych rozwiązań pozwalających na złożenie wniosku o udzielenie zezwolenia na pobyt czasowy, o którym mowa w art. 160 pkt 1, 3, 4 lub 6 ustawy o cudzoziemcach</w:t>
      </w:r>
      <w:r w:rsidR="00E93FD9">
        <w:rPr>
          <w:rFonts w:ascii="Times New Roman" w:eastAsia="Calibri" w:hAnsi="Times New Roman" w:cs="Times New Roman"/>
          <w:sz w:val="24"/>
          <w:szCs w:val="24"/>
        </w:rPr>
        <w:t>,</w:t>
      </w:r>
      <w:r w:rsidR="00845B02" w:rsidRPr="00774FA7">
        <w:rPr>
          <w:rFonts w:ascii="Times New Roman" w:eastAsia="Calibri" w:hAnsi="Times New Roman" w:cs="Times New Roman"/>
          <w:sz w:val="24"/>
          <w:szCs w:val="24"/>
        </w:rPr>
        <w:t xml:space="preserve"> przez </w:t>
      </w:r>
      <w:r w:rsidR="00F1661B" w:rsidRPr="00774FA7">
        <w:rPr>
          <w:rFonts w:ascii="Times New Roman" w:eastAsia="Calibri" w:hAnsi="Times New Roman" w:cs="Times New Roman"/>
          <w:sz w:val="24"/>
          <w:szCs w:val="24"/>
        </w:rPr>
        <w:t>obywatel</w:t>
      </w:r>
      <w:r w:rsidR="00F1661B">
        <w:rPr>
          <w:rFonts w:ascii="Times New Roman" w:eastAsia="Calibri" w:hAnsi="Times New Roman" w:cs="Times New Roman"/>
          <w:sz w:val="24"/>
          <w:szCs w:val="24"/>
        </w:rPr>
        <w:t>a</w:t>
      </w:r>
      <w:r w:rsidR="00F1661B" w:rsidRPr="00774FA7">
        <w:rPr>
          <w:rFonts w:ascii="Times New Roman" w:eastAsia="Calibri" w:hAnsi="Times New Roman" w:cs="Times New Roman"/>
          <w:sz w:val="24"/>
          <w:szCs w:val="24"/>
        </w:rPr>
        <w:t xml:space="preserve"> </w:t>
      </w:r>
      <w:r w:rsidR="00845B02" w:rsidRPr="00774FA7">
        <w:rPr>
          <w:rFonts w:ascii="Times New Roman" w:eastAsia="Calibri" w:hAnsi="Times New Roman" w:cs="Times New Roman"/>
          <w:sz w:val="24"/>
          <w:szCs w:val="24"/>
        </w:rPr>
        <w:t xml:space="preserve">UE, </w:t>
      </w:r>
      <w:r w:rsidR="00F1661B" w:rsidRPr="00774FA7">
        <w:rPr>
          <w:rFonts w:ascii="Times New Roman" w:eastAsia="Calibri" w:hAnsi="Times New Roman" w:cs="Times New Roman"/>
          <w:sz w:val="24"/>
          <w:szCs w:val="24"/>
        </w:rPr>
        <w:t>obywatel</w:t>
      </w:r>
      <w:r w:rsidR="00F1661B">
        <w:rPr>
          <w:rFonts w:ascii="Times New Roman" w:eastAsia="Calibri" w:hAnsi="Times New Roman" w:cs="Times New Roman"/>
          <w:sz w:val="24"/>
          <w:szCs w:val="24"/>
        </w:rPr>
        <w:t>a</w:t>
      </w:r>
      <w:r w:rsidR="00F1661B" w:rsidRPr="00774FA7">
        <w:rPr>
          <w:rFonts w:ascii="Times New Roman" w:eastAsia="Calibri" w:hAnsi="Times New Roman" w:cs="Times New Roman"/>
          <w:sz w:val="24"/>
          <w:szCs w:val="24"/>
        </w:rPr>
        <w:t xml:space="preserve"> </w:t>
      </w:r>
      <w:r w:rsidR="00845B02" w:rsidRPr="00774FA7">
        <w:rPr>
          <w:rFonts w:ascii="Times New Roman" w:eastAsia="Calibri" w:hAnsi="Times New Roman" w:cs="Times New Roman"/>
          <w:sz w:val="24"/>
          <w:szCs w:val="24"/>
        </w:rPr>
        <w:t xml:space="preserve">Polski lub </w:t>
      </w:r>
      <w:r w:rsidR="00F1661B">
        <w:rPr>
          <w:rFonts w:ascii="Times New Roman" w:eastAsia="Calibri" w:hAnsi="Times New Roman" w:cs="Times New Roman"/>
          <w:sz w:val="24"/>
          <w:szCs w:val="24"/>
        </w:rPr>
        <w:t>obywatela</w:t>
      </w:r>
      <w:r w:rsidR="00F1661B" w:rsidRPr="00774FA7">
        <w:rPr>
          <w:rFonts w:ascii="Times New Roman" w:eastAsia="Calibri" w:hAnsi="Times New Roman" w:cs="Times New Roman"/>
          <w:sz w:val="24"/>
          <w:szCs w:val="24"/>
        </w:rPr>
        <w:t xml:space="preserve"> </w:t>
      </w:r>
      <w:r w:rsidR="00845B02" w:rsidRPr="00774FA7">
        <w:rPr>
          <w:rFonts w:ascii="Times New Roman" w:eastAsia="Calibri" w:hAnsi="Times New Roman" w:cs="Times New Roman"/>
          <w:sz w:val="24"/>
          <w:szCs w:val="24"/>
        </w:rPr>
        <w:t>Zjednoczonego Królestwa przebywając</w:t>
      </w:r>
      <w:r w:rsidR="00F1661B">
        <w:rPr>
          <w:rFonts w:ascii="Times New Roman" w:eastAsia="Calibri" w:hAnsi="Times New Roman" w:cs="Times New Roman"/>
          <w:sz w:val="24"/>
          <w:szCs w:val="24"/>
        </w:rPr>
        <w:t>ego</w:t>
      </w:r>
      <w:r w:rsidR="00845B02" w:rsidRPr="00774FA7">
        <w:rPr>
          <w:rFonts w:ascii="Times New Roman" w:eastAsia="Calibri" w:hAnsi="Times New Roman" w:cs="Times New Roman"/>
          <w:sz w:val="24"/>
          <w:szCs w:val="24"/>
        </w:rPr>
        <w:t xml:space="preserve"> na terytorium Rzeczypospolitej Polskiej w imieniu swojego członka rodziny, jeżeli ten przebywałby poza tym terytorium. Rozwiązanie jest wzorowane na rozwiązaniach przewidzianych w przypadku łączenia rodzin. </w:t>
      </w:r>
    </w:p>
    <w:p w14:paraId="72B39FAB" w14:textId="2D6ECFEC" w:rsidR="001F14B7" w:rsidRDefault="001F14B7" w:rsidP="004F6DC6">
      <w:pPr>
        <w:spacing w:after="0" w:line="288" w:lineRule="auto"/>
        <w:ind w:firstLine="709"/>
        <w:jc w:val="both"/>
        <w:rPr>
          <w:rFonts w:ascii="Times New Roman" w:eastAsia="Calibri" w:hAnsi="Times New Roman" w:cs="Times New Roman"/>
          <w:sz w:val="24"/>
          <w:szCs w:val="24"/>
        </w:rPr>
      </w:pPr>
      <w:r w:rsidRPr="001F14B7">
        <w:rPr>
          <w:rFonts w:ascii="Times New Roman" w:eastAsia="Calibri" w:hAnsi="Times New Roman" w:cs="Times New Roman"/>
          <w:sz w:val="24"/>
          <w:szCs w:val="24"/>
        </w:rPr>
        <w:t>W art. 236 pkt 1b i 1c przewiduje się odstępstwo od pobierania opłaty za wydanie karty pobytu, w związku z udzieleniem zezwolenia na pobyt czasowy, o którym mowa w art. 186 ust. 1 pkt 8 oraz w przypadku wydania pierwszej karty pobytu cudzoziemcowi, któremu udzielono zezwolenia na pobyt stały na podstawie art. 195 ust. 1 pkt 10. Za zasadne uznano zastosowanie przy wydawaniu w/w kart pobytu oraz udzielaniu w/w zezwoleń pobytowych przewidzianych dla brytyjskich pracowników delegowanych do końca okresu przejściowego na terytorium Polski, nie objętych Umową Wystąpienia, tych samych zasad, które przyjęto wobec obywateli brytyjskich będących beneficjentami Umowy Wystąpienia, oraz które mają zastosowanie wobec obywateli UE korzystających ze swobody przemieszczania się na terytorium Polski, od których nie pobiera się opłat za wydanie dokumentów pobytowych oraz opłat</w:t>
      </w:r>
      <w:r w:rsidR="008817DD">
        <w:rPr>
          <w:rFonts w:ascii="Times New Roman" w:eastAsia="Calibri" w:hAnsi="Times New Roman" w:cs="Times New Roman"/>
          <w:sz w:val="24"/>
          <w:szCs w:val="24"/>
        </w:rPr>
        <w:t>y</w:t>
      </w:r>
      <w:r w:rsidRPr="001F14B7">
        <w:rPr>
          <w:rFonts w:ascii="Times New Roman" w:eastAsia="Calibri" w:hAnsi="Times New Roman" w:cs="Times New Roman"/>
          <w:sz w:val="24"/>
          <w:szCs w:val="24"/>
        </w:rPr>
        <w:t xml:space="preserve"> skarbow</w:t>
      </w:r>
      <w:r w:rsidR="008817DD">
        <w:rPr>
          <w:rFonts w:ascii="Times New Roman" w:eastAsia="Calibri" w:hAnsi="Times New Roman" w:cs="Times New Roman"/>
          <w:sz w:val="24"/>
          <w:szCs w:val="24"/>
        </w:rPr>
        <w:t>ej</w:t>
      </w:r>
      <w:r w:rsidRPr="001F14B7">
        <w:rPr>
          <w:rFonts w:ascii="Times New Roman" w:eastAsia="Calibri" w:hAnsi="Times New Roman" w:cs="Times New Roman"/>
          <w:sz w:val="24"/>
          <w:szCs w:val="24"/>
        </w:rPr>
        <w:t xml:space="preserve"> w sprawach prawa pobytu i prawa stałego pobytu na terytorium Polski.   </w:t>
      </w:r>
    </w:p>
    <w:p w14:paraId="03E3762B" w14:textId="72143302" w:rsidR="00C605F7" w:rsidRPr="00774FA7" w:rsidRDefault="00C605F7"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lastRenderedPageBreak/>
        <w:t xml:space="preserve">W art. 244 ustawy o cudzoziemcach został dodany nowy pkt 19, który przewiduje, iż w kartach pobytowych wydawanych na podstawie art. 160 pkt </w:t>
      </w:r>
      <w:r w:rsidR="001C18CB" w:rsidRPr="00774FA7">
        <w:rPr>
          <w:rFonts w:ascii="Times New Roman" w:eastAsia="Calibri" w:hAnsi="Times New Roman" w:cs="Times New Roman"/>
          <w:sz w:val="24"/>
          <w:szCs w:val="24"/>
        </w:rPr>
        <w:t xml:space="preserve">4, </w:t>
      </w:r>
      <w:r w:rsidRPr="00774FA7">
        <w:rPr>
          <w:rFonts w:ascii="Times New Roman" w:eastAsia="Calibri" w:hAnsi="Times New Roman" w:cs="Times New Roman"/>
          <w:sz w:val="24"/>
          <w:szCs w:val="24"/>
        </w:rPr>
        <w:t xml:space="preserve">5 lub 6 będzie zamieszczana adnotacja „Art. 50 TUE, Art. 18 ust. 4 Umowy </w:t>
      </w:r>
      <w:r w:rsidR="008C7E61">
        <w:rPr>
          <w:rFonts w:ascii="Times New Roman" w:eastAsia="Calibri" w:hAnsi="Times New Roman" w:cs="Times New Roman"/>
          <w:sz w:val="24"/>
          <w:szCs w:val="24"/>
        </w:rPr>
        <w:t>w</w:t>
      </w:r>
      <w:r w:rsidRPr="00774FA7">
        <w:rPr>
          <w:rFonts w:ascii="Times New Roman" w:eastAsia="Calibri" w:hAnsi="Times New Roman" w:cs="Times New Roman"/>
          <w:sz w:val="24"/>
          <w:szCs w:val="24"/>
        </w:rPr>
        <w:t>ystąpienia”.</w:t>
      </w:r>
    </w:p>
    <w:p w14:paraId="56EEBDB9" w14:textId="12BD7FA4" w:rsidR="00C605F7" w:rsidRPr="00774FA7" w:rsidRDefault="00C272A3"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Dodanie nowego</w:t>
      </w:r>
      <w:r w:rsidR="002D139C" w:rsidRPr="00774FA7">
        <w:rPr>
          <w:rFonts w:ascii="Times New Roman" w:eastAsia="Calibri" w:hAnsi="Times New Roman" w:cs="Times New Roman"/>
          <w:sz w:val="24"/>
          <w:szCs w:val="24"/>
        </w:rPr>
        <w:t xml:space="preserve"> art. </w:t>
      </w:r>
      <w:r w:rsidRPr="00774FA7">
        <w:rPr>
          <w:rFonts w:ascii="Times New Roman" w:eastAsia="Calibri" w:hAnsi="Times New Roman" w:cs="Times New Roman"/>
          <w:sz w:val="24"/>
          <w:szCs w:val="24"/>
        </w:rPr>
        <w:t xml:space="preserve">308a w ustawie o cudzoziemcach na ma celu wdrożenie orzeczenia Trybunał Sprawiedliwości Unii Europejskiej w sprawie C-94/18 </w:t>
      </w:r>
      <w:proofErr w:type="spellStart"/>
      <w:r w:rsidRPr="00774FA7">
        <w:rPr>
          <w:rFonts w:ascii="Times New Roman" w:eastAsia="Calibri" w:hAnsi="Times New Roman" w:cs="Times New Roman"/>
          <w:sz w:val="24"/>
          <w:szCs w:val="24"/>
        </w:rPr>
        <w:t>Chenchooliah</w:t>
      </w:r>
      <w:proofErr w:type="spellEnd"/>
      <w:r w:rsidRPr="00774FA7">
        <w:rPr>
          <w:rFonts w:ascii="Times New Roman" w:eastAsia="Calibri" w:hAnsi="Times New Roman" w:cs="Times New Roman"/>
          <w:sz w:val="24"/>
          <w:szCs w:val="24"/>
        </w:rPr>
        <w:t xml:space="preserve">. </w:t>
      </w:r>
      <w:r w:rsidR="00EF1E62" w:rsidRPr="00774FA7">
        <w:rPr>
          <w:rFonts w:ascii="Times New Roman" w:eastAsia="Calibri" w:hAnsi="Times New Roman" w:cs="Times New Roman"/>
          <w:sz w:val="24"/>
          <w:szCs w:val="24"/>
        </w:rPr>
        <w:t>Przepis j</w:t>
      </w:r>
      <w:r w:rsidR="00280A5D" w:rsidRPr="00774FA7">
        <w:rPr>
          <w:rFonts w:ascii="Times New Roman" w:eastAsia="Calibri" w:hAnsi="Times New Roman" w:cs="Times New Roman"/>
          <w:sz w:val="24"/>
          <w:szCs w:val="24"/>
        </w:rPr>
        <w:t xml:space="preserve">est konsekwencją </w:t>
      </w:r>
      <w:r w:rsidR="00EF1E62" w:rsidRPr="00774FA7">
        <w:rPr>
          <w:rFonts w:ascii="Times New Roman" w:eastAsia="Calibri" w:hAnsi="Times New Roman" w:cs="Times New Roman"/>
          <w:sz w:val="24"/>
          <w:szCs w:val="24"/>
        </w:rPr>
        <w:t xml:space="preserve">przyjęcia </w:t>
      </w:r>
      <w:r w:rsidR="00280A5D" w:rsidRPr="00774FA7">
        <w:rPr>
          <w:rFonts w:ascii="Times New Roman" w:eastAsia="Calibri" w:hAnsi="Times New Roman" w:cs="Times New Roman"/>
          <w:sz w:val="24"/>
          <w:szCs w:val="24"/>
        </w:rPr>
        <w:t xml:space="preserve">założenia, że osoba, wobec której mogą mieć zastosowanie środki w postaci wydalenia, mające swoje umocowanie w art. 15 dyrektywy 2004/38/WE, a która wcześniej posiadała prawo pobytu w Rzeczypospolitej Polskiej jako członek rodziny obywatela UE (względnie członek </w:t>
      </w:r>
      <w:r w:rsidR="00A161B1" w:rsidRPr="00774FA7">
        <w:rPr>
          <w:rFonts w:ascii="Times New Roman" w:eastAsia="Calibri" w:hAnsi="Times New Roman" w:cs="Times New Roman"/>
          <w:sz w:val="24"/>
          <w:szCs w:val="24"/>
        </w:rPr>
        <w:t xml:space="preserve">rodziny </w:t>
      </w:r>
      <w:r w:rsidR="00280A5D" w:rsidRPr="00774FA7">
        <w:rPr>
          <w:rFonts w:ascii="Times New Roman" w:eastAsia="Calibri" w:hAnsi="Times New Roman" w:cs="Times New Roman"/>
          <w:sz w:val="24"/>
          <w:szCs w:val="24"/>
        </w:rPr>
        <w:t>obywatela polskiego w szczególnych sytuacjach stosowania dyrektywy 2004/38/WE per analogiam, lub członek rodziny obywatela Zjednoczonego Królestwa Wielkiej Brytanii i Irlandii Północnej, będącego beneficjentem Umowy wystąpienia), a teraz nie posiada już</w:t>
      </w:r>
      <w:r w:rsidR="00A161B1" w:rsidRPr="00774FA7">
        <w:rPr>
          <w:rFonts w:ascii="Times New Roman" w:eastAsia="Calibri" w:hAnsi="Times New Roman" w:cs="Times New Roman"/>
          <w:sz w:val="24"/>
          <w:szCs w:val="24"/>
        </w:rPr>
        <w:t xml:space="preserve"> tego prawa</w:t>
      </w:r>
      <w:r w:rsidR="00280A5D" w:rsidRPr="00774FA7">
        <w:rPr>
          <w:rFonts w:ascii="Times New Roman" w:eastAsia="Calibri" w:hAnsi="Times New Roman" w:cs="Times New Roman"/>
          <w:sz w:val="24"/>
          <w:szCs w:val="24"/>
        </w:rPr>
        <w:t xml:space="preserve">, albowiem utraciła status członka rodziny przebywającego z tym obywatelem UE (obywatelem polskim, obywatelem </w:t>
      </w:r>
      <w:r w:rsidR="00EF1E62" w:rsidRPr="00774FA7">
        <w:rPr>
          <w:rFonts w:ascii="Times New Roman" w:eastAsia="Calibri" w:hAnsi="Times New Roman" w:cs="Times New Roman"/>
          <w:sz w:val="24"/>
          <w:szCs w:val="24"/>
        </w:rPr>
        <w:t>Zjednoczonego Królestwa Wielkiej Brytanii i Irlandii Północnej</w:t>
      </w:r>
      <w:r w:rsidR="00280A5D" w:rsidRPr="00774FA7">
        <w:rPr>
          <w:rFonts w:ascii="Times New Roman" w:eastAsia="Calibri" w:hAnsi="Times New Roman" w:cs="Times New Roman"/>
          <w:sz w:val="24"/>
          <w:szCs w:val="24"/>
        </w:rPr>
        <w:t xml:space="preserve">) nie podlega przepisom ustawy o wjeździe </w:t>
      </w:r>
      <w:r w:rsidR="00A161B1" w:rsidRPr="00774FA7">
        <w:rPr>
          <w:rFonts w:ascii="Times New Roman" w:eastAsia="Calibri" w:hAnsi="Times New Roman" w:cs="Times New Roman"/>
          <w:sz w:val="24"/>
          <w:szCs w:val="24"/>
        </w:rPr>
        <w:t xml:space="preserve">obywateli UE </w:t>
      </w:r>
      <w:r w:rsidR="00280A5D" w:rsidRPr="00774FA7">
        <w:rPr>
          <w:rFonts w:ascii="Times New Roman" w:eastAsia="Calibri" w:hAnsi="Times New Roman" w:cs="Times New Roman"/>
          <w:sz w:val="24"/>
          <w:szCs w:val="24"/>
        </w:rPr>
        <w:t xml:space="preserve">, a podlega przepisom ustawy o cudzoziemcach. Aby zatem zachować jeden reżim w zakresie wydalenia, konieczne jest wyłączenie stosowania wprost przepisów Rozdziału 2 Działu VIII ustawy o cudzoziemcach i odesłanie do Rozdziału 5 ustawy o wjeździe </w:t>
      </w:r>
      <w:r w:rsidR="00A161B1" w:rsidRPr="00774FA7">
        <w:rPr>
          <w:rFonts w:ascii="Times New Roman" w:eastAsia="Calibri" w:hAnsi="Times New Roman" w:cs="Times New Roman"/>
          <w:sz w:val="24"/>
          <w:szCs w:val="24"/>
        </w:rPr>
        <w:t>obywateli UE</w:t>
      </w:r>
      <w:r w:rsidR="00EF1E62" w:rsidRPr="00774FA7">
        <w:rPr>
          <w:rFonts w:ascii="Times New Roman" w:eastAsia="Calibri" w:hAnsi="Times New Roman" w:cs="Times New Roman"/>
          <w:sz w:val="24"/>
          <w:szCs w:val="24"/>
        </w:rPr>
        <w:t>.</w:t>
      </w:r>
      <w:r w:rsidR="007502C3" w:rsidRPr="00774FA7">
        <w:rPr>
          <w:rFonts w:ascii="Times New Roman" w:eastAsia="Calibri" w:hAnsi="Times New Roman" w:cs="Times New Roman"/>
          <w:sz w:val="24"/>
          <w:szCs w:val="24"/>
        </w:rPr>
        <w:t xml:space="preserve"> </w:t>
      </w:r>
    </w:p>
    <w:p w14:paraId="385A86C6" w14:textId="62BB9DBD" w:rsidR="002D139C" w:rsidRPr="00774FA7" w:rsidRDefault="007502C3"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Nowy art. 308b przewiduje analogiczne rozwiązania jak w art. 308a dla członków rodziny rozszerzonej obywateli Zjednoczonego Królestwa.  </w:t>
      </w:r>
    </w:p>
    <w:p w14:paraId="54B57CC2" w14:textId="43406F27" w:rsidR="00076C40" w:rsidRPr="00687641" w:rsidRDefault="00076C40" w:rsidP="00687641">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Zmiana w art. 429 ust. 1 pkt 2 i 9a ustawy o cudzoziemcach jest konsekwencją przejęcia przez Straż Graniczną kompetencji wojewodów do wydawania decyzji o wyda</w:t>
      </w:r>
      <w:r w:rsidR="001C18CB" w:rsidRPr="00774FA7">
        <w:rPr>
          <w:rFonts w:ascii="Times New Roman" w:eastAsia="Calibri" w:hAnsi="Times New Roman" w:cs="Times New Roman"/>
          <w:sz w:val="24"/>
          <w:szCs w:val="24"/>
        </w:rPr>
        <w:t xml:space="preserve">leniu </w:t>
      </w:r>
      <w:r w:rsidRPr="00774FA7">
        <w:rPr>
          <w:rFonts w:ascii="Times New Roman" w:eastAsia="Calibri" w:hAnsi="Times New Roman" w:cs="Times New Roman"/>
          <w:sz w:val="24"/>
          <w:szCs w:val="24"/>
        </w:rPr>
        <w:t xml:space="preserve"> obywateli UE i członków rodziny niebędących obywatelami UE.</w:t>
      </w:r>
    </w:p>
    <w:p w14:paraId="5180055A" w14:textId="631AECC0" w:rsidR="00076C40" w:rsidRPr="00774FA7" w:rsidRDefault="00076C40" w:rsidP="004F6DC6">
      <w:pPr>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Przewidziano również nadanie nowego brzmienia ust. 2 w art. 443</w:t>
      </w:r>
      <w:r w:rsidR="000F250D"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0F250D" w:rsidRPr="00774FA7">
        <w:rPr>
          <w:rFonts w:ascii="Times New Roman" w:eastAsia="Calibri" w:hAnsi="Times New Roman" w:cs="Times New Roman"/>
          <w:sz w:val="24"/>
          <w:szCs w:val="24"/>
        </w:rPr>
        <w:t>z</w:t>
      </w:r>
      <w:r w:rsidRPr="00774FA7">
        <w:rPr>
          <w:rFonts w:ascii="Times New Roman" w:eastAsia="Calibri" w:hAnsi="Times New Roman" w:cs="Times New Roman"/>
          <w:sz w:val="24"/>
          <w:szCs w:val="24"/>
        </w:rPr>
        <w:t xml:space="preserve">godnie z </w:t>
      </w:r>
      <w:r w:rsidR="000F250D" w:rsidRPr="00774FA7">
        <w:rPr>
          <w:rFonts w:ascii="Times New Roman" w:eastAsia="Calibri" w:hAnsi="Times New Roman" w:cs="Times New Roman"/>
          <w:sz w:val="24"/>
          <w:szCs w:val="24"/>
        </w:rPr>
        <w:t>którym</w:t>
      </w:r>
      <w:r w:rsidRPr="00774FA7">
        <w:rPr>
          <w:rFonts w:ascii="Times New Roman" w:eastAsia="Calibri" w:hAnsi="Times New Roman" w:cs="Times New Roman"/>
          <w:sz w:val="24"/>
          <w:szCs w:val="24"/>
        </w:rPr>
        <w:t xml:space="preserve"> umieszczone w Systemie Informacyjnym </w:t>
      </w:r>
      <w:proofErr w:type="spellStart"/>
      <w:r w:rsidRPr="00774FA7">
        <w:rPr>
          <w:rFonts w:ascii="Times New Roman" w:eastAsia="Calibri" w:hAnsi="Times New Roman" w:cs="Times New Roman"/>
          <w:sz w:val="24"/>
          <w:szCs w:val="24"/>
        </w:rPr>
        <w:t>Schengen</w:t>
      </w:r>
      <w:proofErr w:type="spellEnd"/>
      <w:r w:rsidRPr="00774FA7">
        <w:rPr>
          <w:rFonts w:ascii="Times New Roman" w:eastAsia="Calibri" w:hAnsi="Times New Roman" w:cs="Times New Roman"/>
          <w:sz w:val="24"/>
          <w:szCs w:val="24"/>
        </w:rPr>
        <w:t xml:space="preserve"> dane członków rodziny obywatela Unii Europejskiej niebędących obywatelami Unii Europejskiej będą usuwane w przypadku zawieszenia obowiązywania wpisu do wykazu, o którym mowa w art. 7</w:t>
      </w:r>
      <w:r w:rsidR="001C18CB" w:rsidRPr="00774FA7">
        <w:rPr>
          <w:rFonts w:ascii="Times New Roman" w:eastAsia="Calibri" w:hAnsi="Times New Roman" w:cs="Times New Roman"/>
          <w:sz w:val="24"/>
          <w:szCs w:val="24"/>
        </w:rPr>
        <w:t>7</w:t>
      </w:r>
      <w:r w:rsidRPr="00774FA7">
        <w:rPr>
          <w:rFonts w:ascii="Times New Roman" w:eastAsia="Calibri" w:hAnsi="Times New Roman" w:cs="Times New Roman"/>
          <w:sz w:val="24"/>
          <w:szCs w:val="24"/>
        </w:rPr>
        <w:t>a ustawy o wjeździe</w:t>
      </w:r>
      <w:r w:rsidR="00A161B1" w:rsidRPr="00774FA7">
        <w:rPr>
          <w:rFonts w:ascii="Times New Roman" w:eastAsia="Calibri" w:hAnsi="Times New Roman" w:cs="Times New Roman"/>
          <w:sz w:val="24"/>
          <w:szCs w:val="24"/>
        </w:rPr>
        <w:t xml:space="preserve"> obywateli UE</w:t>
      </w:r>
      <w:r w:rsidRPr="00774FA7">
        <w:rPr>
          <w:rFonts w:ascii="Times New Roman" w:eastAsia="Calibri" w:hAnsi="Times New Roman" w:cs="Times New Roman"/>
          <w:sz w:val="24"/>
          <w:szCs w:val="24"/>
        </w:rPr>
        <w:t>, do czasu ustania okoliczności uzasadniających to zawieszenie. Proponowana zmiana jest konsekwencją wprowadzenia w ustawie o wjeździe obywateli UE instytucji zaświadczenia dla obywatela UE potwierdzającego istnienie domniemania, że jest ofiarą handlu ludźmi w rozumieniu art. 115 § 22 Kodeksu karnego.</w:t>
      </w:r>
    </w:p>
    <w:p w14:paraId="2DCF146A" w14:textId="2D2090F1" w:rsidR="00806F0D" w:rsidRPr="00774FA7" w:rsidRDefault="00806F0D"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W projekcie ustawy w art. 7 przyjęto, że zaświadczenia o zarejestrowaniu pobytu obywatela UE, karty pobyt</w:t>
      </w:r>
      <w:r w:rsidR="00E63B8E">
        <w:rPr>
          <w:rFonts w:ascii="Times New Roman" w:eastAsia="Calibri" w:hAnsi="Times New Roman" w:cs="Times New Roman"/>
          <w:sz w:val="24"/>
          <w:szCs w:val="24"/>
        </w:rPr>
        <w:t>u członka rodziny obywatela UE</w:t>
      </w:r>
      <w:r w:rsidRPr="00774FA7">
        <w:rPr>
          <w:rFonts w:ascii="Times New Roman" w:eastAsia="Calibri" w:hAnsi="Times New Roman" w:cs="Times New Roman"/>
          <w:sz w:val="24"/>
          <w:szCs w:val="24"/>
        </w:rPr>
        <w:t xml:space="preserve">, dokumenty potwierdzające prawo stałego pobytu </w:t>
      </w:r>
      <w:r w:rsidR="00E63B8E">
        <w:rPr>
          <w:rFonts w:ascii="Times New Roman" w:eastAsia="Calibri" w:hAnsi="Times New Roman" w:cs="Times New Roman"/>
          <w:sz w:val="24"/>
          <w:szCs w:val="24"/>
        </w:rPr>
        <w:t>oraz</w:t>
      </w:r>
      <w:r w:rsidRPr="00774FA7">
        <w:rPr>
          <w:rFonts w:ascii="Times New Roman" w:eastAsia="Calibri" w:hAnsi="Times New Roman" w:cs="Times New Roman"/>
          <w:sz w:val="24"/>
          <w:szCs w:val="24"/>
        </w:rPr>
        <w:t xml:space="preserve"> karty stałego pobytu </w:t>
      </w:r>
      <w:r w:rsidR="00E63B8E">
        <w:rPr>
          <w:rFonts w:ascii="Times New Roman" w:eastAsia="Calibri" w:hAnsi="Times New Roman" w:cs="Times New Roman"/>
          <w:sz w:val="24"/>
          <w:szCs w:val="24"/>
        </w:rPr>
        <w:t xml:space="preserve">członka rodziny obywatela UE </w:t>
      </w:r>
      <w:r w:rsidRPr="00774FA7">
        <w:rPr>
          <w:rFonts w:ascii="Times New Roman" w:eastAsia="Calibri" w:hAnsi="Times New Roman" w:cs="Times New Roman"/>
          <w:sz w:val="24"/>
          <w:szCs w:val="24"/>
        </w:rPr>
        <w:t>wydane obywatelom UE lub członkom rodziny niebędącym obywatelami UE do dnia 1 sierpnia 2021 r. zachowają ważność przez okres, na który zostały wydane</w:t>
      </w:r>
      <w:r w:rsidR="00F1661B">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nie dłużej jednak niż do dnia 3 sierpnia 2026 r. Powyższe jest zgodnie z brzmieniem art. 8 ust. 1 rozporządzania Rady (UE) 2019/1157. Obecnie obowiązujący wzór zaświadczenia o zrejestrowaniu pobytu nie przewiduje daty ważności, dlatego zaproponowano, aby obywatele UE posiadający zaświadczenia o zarejestrowaniu pobytu wydane według starego wzoru, mogli w okresie od dnia 2 sierpnia 2021 r. do dnia 3 sierpnia 2026 r, </w:t>
      </w:r>
      <w:r w:rsidR="00F8461E" w:rsidRPr="00774FA7">
        <w:rPr>
          <w:rFonts w:ascii="Times New Roman" w:eastAsia="Calibri" w:hAnsi="Times New Roman" w:cs="Times New Roman"/>
          <w:sz w:val="24"/>
          <w:szCs w:val="24"/>
        </w:rPr>
        <w:t xml:space="preserve">złożyć wniosek </w:t>
      </w:r>
      <w:r w:rsidRPr="00774FA7">
        <w:rPr>
          <w:rFonts w:ascii="Times New Roman" w:eastAsia="Calibri" w:hAnsi="Times New Roman" w:cs="Times New Roman"/>
          <w:sz w:val="24"/>
          <w:szCs w:val="24"/>
        </w:rPr>
        <w:t>o wydan</w:t>
      </w:r>
      <w:r w:rsidR="00AF6E47">
        <w:rPr>
          <w:rFonts w:ascii="Times New Roman" w:eastAsia="Calibri" w:hAnsi="Times New Roman" w:cs="Times New Roman"/>
          <w:sz w:val="24"/>
          <w:szCs w:val="24"/>
        </w:rPr>
        <w:t>i</w:t>
      </w:r>
      <w:r w:rsidRPr="00774FA7">
        <w:rPr>
          <w:rFonts w:ascii="Times New Roman" w:eastAsia="Calibri" w:hAnsi="Times New Roman" w:cs="Times New Roman"/>
          <w:sz w:val="24"/>
          <w:szCs w:val="24"/>
        </w:rPr>
        <w:t>e nowego zaświadczenia o zarejestrowaniu pobytu obywatela UE, według nowego wzoru.</w:t>
      </w:r>
    </w:p>
    <w:p w14:paraId="6375C881" w14:textId="36076710" w:rsidR="005A28D0" w:rsidRDefault="001C18CB" w:rsidP="004F6DC6">
      <w:pPr>
        <w:spacing w:after="0" w:line="288" w:lineRule="auto"/>
        <w:ind w:firstLine="709"/>
        <w:jc w:val="both"/>
      </w:pPr>
      <w:r w:rsidRPr="00774FA7">
        <w:rPr>
          <w:rFonts w:ascii="Times New Roman" w:eastAsia="Calibri" w:hAnsi="Times New Roman" w:cs="Times New Roman"/>
          <w:sz w:val="24"/>
          <w:szCs w:val="24"/>
        </w:rPr>
        <w:lastRenderedPageBreak/>
        <w:t>Z</w:t>
      </w:r>
      <w:r w:rsidR="007502C3" w:rsidRPr="00774FA7">
        <w:rPr>
          <w:rFonts w:ascii="Times New Roman" w:eastAsia="Calibri" w:hAnsi="Times New Roman" w:cs="Times New Roman"/>
          <w:sz w:val="24"/>
          <w:szCs w:val="24"/>
        </w:rPr>
        <w:t xml:space="preserve">godnie z art. 8 </w:t>
      </w:r>
      <w:r w:rsidR="00BB443F" w:rsidRPr="00774FA7">
        <w:rPr>
          <w:rFonts w:ascii="Times New Roman" w:eastAsia="Calibri" w:hAnsi="Times New Roman" w:cs="Times New Roman"/>
          <w:sz w:val="24"/>
          <w:szCs w:val="24"/>
        </w:rPr>
        <w:t>zaświadczenia o zarejestrowaniu pobytu obywatela UE, karty pobyt</w:t>
      </w:r>
      <w:r w:rsidR="000D6A25">
        <w:rPr>
          <w:rFonts w:ascii="Times New Roman" w:eastAsia="Calibri" w:hAnsi="Times New Roman" w:cs="Times New Roman"/>
          <w:sz w:val="24"/>
          <w:szCs w:val="24"/>
        </w:rPr>
        <w:t>u członka rodziny obywatela UE</w:t>
      </w:r>
      <w:r w:rsidR="00BB443F" w:rsidRPr="00774FA7">
        <w:rPr>
          <w:rFonts w:ascii="Times New Roman" w:eastAsia="Calibri" w:hAnsi="Times New Roman" w:cs="Times New Roman"/>
          <w:sz w:val="24"/>
          <w:szCs w:val="24"/>
        </w:rPr>
        <w:t xml:space="preserve">, dokumenty potwierdzające prawo stałego pobytu i karty stałego pobytu </w:t>
      </w:r>
      <w:r w:rsidR="00B1093A">
        <w:rPr>
          <w:rFonts w:ascii="Times New Roman" w:eastAsia="Calibri" w:hAnsi="Times New Roman" w:cs="Times New Roman"/>
          <w:sz w:val="24"/>
          <w:szCs w:val="24"/>
        </w:rPr>
        <w:t xml:space="preserve">członka rodziny obywatela UE </w:t>
      </w:r>
      <w:r w:rsidR="00BB443F" w:rsidRPr="00774FA7">
        <w:rPr>
          <w:rFonts w:ascii="Times New Roman" w:eastAsia="Calibri" w:hAnsi="Times New Roman" w:cs="Times New Roman"/>
          <w:sz w:val="24"/>
          <w:szCs w:val="24"/>
        </w:rPr>
        <w:t xml:space="preserve">wydane obywatelom Zjednoczonego Królestwa Wielkiej Brytanii i Irlandii Północnej, o </w:t>
      </w:r>
      <w:r w:rsidR="00B1093A" w:rsidRPr="00774FA7">
        <w:rPr>
          <w:rFonts w:ascii="Times New Roman" w:eastAsia="Calibri" w:hAnsi="Times New Roman" w:cs="Times New Roman"/>
          <w:sz w:val="24"/>
          <w:szCs w:val="24"/>
        </w:rPr>
        <w:t>który</w:t>
      </w:r>
      <w:r w:rsidR="00B1093A">
        <w:rPr>
          <w:rFonts w:ascii="Times New Roman" w:eastAsia="Calibri" w:hAnsi="Times New Roman" w:cs="Times New Roman"/>
          <w:sz w:val="24"/>
          <w:szCs w:val="24"/>
        </w:rPr>
        <w:t>ch</w:t>
      </w:r>
      <w:r w:rsidR="00B1093A" w:rsidRPr="00774FA7">
        <w:rPr>
          <w:rFonts w:ascii="Times New Roman" w:eastAsia="Calibri" w:hAnsi="Times New Roman" w:cs="Times New Roman"/>
          <w:sz w:val="24"/>
          <w:szCs w:val="24"/>
        </w:rPr>
        <w:t xml:space="preserve"> </w:t>
      </w:r>
      <w:r w:rsidR="00BB443F" w:rsidRPr="00774FA7">
        <w:rPr>
          <w:rFonts w:ascii="Times New Roman" w:eastAsia="Calibri" w:hAnsi="Times New Roman" w:cs="Times New Roman"/>
          <w:sz w:val="24"/>
          <w:szCs w:val="24"/>
        </w:rPr>
        <w:t xml:space="preserve">mowa w art. 10 ust. 1 lit. b i d Umowy </w:t>
      </w:r>
      <w:r w:rsidR="008C7E61">
        <w:rPr>
          <w:rFonts w:ascii="Times New Roman" w:eastAsia="Calibri" w:hAnsi="Times New Roman" w:cs="Times New Roman"/>
          <w:sz w:val="24"/>
          <w:szCs w:val="24"/>
        </w:rPr>
        <w:t>w</w:t>
      </w:r>
      <w:r w:rsidR="00BB443F" w:rsidRPr="00774FA7">
        <w:rPr>
          <w:rFonts w:ascii="Times New Roman" w:eastAsia="Calibri" w:hAnsi="Times New Roman" w:cs="Times New Roman"/>
          <w:sz w:val="24"/>
          <w:szCs w:val="24"/>
        </w:rPr>
        <w:t>ystąpienia oraz członk</w:t>
      </w:r>
      <w:r w:rsidR="000F250D" w:rsidRPr="00774FA7">
        <w:rPr>
          <w:rFonts w:ascii="Times New Roman" w:eastAsia="Calibri" w:hAnsi="Times New Roman" w:cs="Times New Roman"/>
          <w:sz w:val="24"/>
          <w:szCs w:val="24"/>
        </w:rPr>
        <w:t>om</w:t>
      </w:r>
      <w:r w:rsidR="00BB443F" w:rsidRPr="00774FA7">
        <w:rPr>
          <w:rFonts w:ascii="Times New Roman" w:eastAsia="Calibri" w:hAnsi="Times New Roman" w:cs="Times New Roman"/>
          <w:sz w:val="24"/>
          <w:szCs w:val="24"/>
        </w:rPr>
        <w:t xml:space="preserve"> rodzin obywateli Zjednoczonego Królestwa Wielkiej Brytanii i Irlandii Północnej, o których mowa w art. 10 ust. 1 lit. e i f  Umowy </w:t>
      </w:r>
      <w:r w:rsidR="008C7E61">
        <w:rPr>
          <w:rFonts w:ascii="Times New Roman" w:eastAsia="Calibri" w:hAnsi="Times New Roman" w:cs="Times New Roman"/>
          <w:sz w:val="24"/>
          <w:szCs w:val="24"/>
        </w:rPr>
        <w:t>w</w:t>
      </w:r>
      <w:r w:rsidR="00BB443F" w:rsidRPr="00774FA7">
        <w:rPr>
          <w:rFonts w:ascii="Times New Roman" w:eastAsia="Calibri" w:hAnsi="Times New Roman" w:cs="Times New Roman"/>
          <w:sz w:val="24"/>
          <w:szCs w:val="24"/>
        </w:rPr>
        <w:t>ystąpienia</w:t>
      </w:r>
      <w:r w:rsidR="000F250D" w:rsidRPr="00774FA7">
        <w:rPr>
          <w:rFonts w:ascii="Times New Roman" w:eastAsia="Calibri" w:hAnsi="Times New Roman" w:cs="Times New Roman"/>
          <w:sz w:val="24"/>
          <w:szCs w:val="24"/>
        </w:rPr>
        <w:t>,</w:t>
      </w:r>
      <w:r w:rsidR="00BB443F" w:rsidRPr="00774FA7">
        <w:rPr>
          <w:rFonts w:ascii="Times New Roman" w:eastAsia="Calibri" w:hAnsi="Times New Roman" w:cs="Times New Roman"/>
          <w:sz w:val="24"/>
          <w:szCs w:val="24"/>
        </w:rPr>
        <w:t xml:space="preserve"> zachowują ważność przez okres, na który zostały wydane, nie dłużej jednak niż do dnia </w:t>
      </w:r>
      <w:r w:rsidR="00B1093A">
        <w:rPr>
          <w:rFonts w:ascii="Times New Roman" w:eastAsia="Calibri" w:hAnsi="Times New Roman" w:cs="Times New Roman"/>
          <w:sz w:val="24"/>
          <w:szCs w:val="24"/>
        </w:rPr>
        <w:t>3</w:t>
      </w:r>
      <w:r w:rsidR="00BB443F" w:rsidRPr="00774FA7">
        <w:rPr>
          <w:rFonts w:ascii="Times New Roman" w:eastAsia="Calibri" w:hAnsi="Times New Roman" w:cs="Times New Roman"/>
          <w:sz w:val="24"/>
          <w:szCs w:val="24"/>
        </w:rPr>
        <w:t xml:space="preserve">1 </w:t>
      </w:r>
      <w:r w:rsidR="00B1093A">
        <w:rPr>
          <w:rFonts w:ascii="Times New Roman" w:eastAsia="Calibri" w:hAnsi="Times New Roman" w:cs="Times New Roman"/>
          <w:sz w:val="24"/>
          <w:szCs w:val="24"/>
        </w:rPr>
        <w:t>grud</w:t>
      </w:r>
      <w:r w:rsidR="00B1093A" w:rsidRPr="00774FA7">
        <w:rPr>
          <w:rFonts w:ascii="Times New Roman" w:eastAsia="Calibri" w:hAnsi="Times New Roman" w:cs="Times New Roman"/>
          <w:sz w:val="24"/>
          <w:szCs w:val="24"/>
        </w:rPr>
        <w:t>nia 202</w:t>
      </w:r>
      <w:r w:rsidR="00B1093A">
        <w:rPr>
          <w:rFonts w:ascii="Times New Roman" w:eastAsia="Calibri" w:hAnsi="Times New Roman" w:cs="Times New Roman"/>
          <w:sz w:val="24"/>
          <w:szCs w:val="24"/>
        </w:rPr>
        <w:t>1</w:t>
      </w:r>
      <w:r w:rsidR="00B1093A" w:rsidRPr="00774FA7">
        <w:rPr>
          <w:rFonts w:ascii="Times New Roman" w:eastAsia="Calibri" w:hAnsi="Times New Roman" w:cs="Times New Roman"/>
          <w:sz w:val="24"/>
          <w:szCs w:val="24"/>
        </w:rPr>
        <w:t xml:space="preserve"> </w:t>
      </w:r>
      <w:r w:rsidR="00BB443F" w:rsidRPr="00774FA7">
        <w:rPr>
          <w:rFonts w:ascii="Times New Roman" w:eastAsia="Calibri" w:hAnsi="Times New Roman" w:cs="Times New Roman"/>
          <w:sz w:val="24"/>
          <w:szCs w:val="24"/>
        </w:rPr>
        <w:t>r.</w:t>
      </w:r>
      <w:r w:rsidR="007502C3" w:rsidRPr="00774FA7">
        <w:rPr>
          <w:rFonts w:ascii="Times New Roman" w:eastAsia="Calibri" w:hAnsi="Times New Roman" w:cs="Times New Roman"/>
          <w:sz w:val="24"/>
          <w:szCs w:val="24"/>
        </w:rPr>
        <w:t xml:space="preserve"> </w:t>
      </w:r>
      <w:r w:rsidR="000F250D" w:rsidRPr="00774FA7">
        <w:rPr>
          <w:rFonts w:ascii="Times New Roman" w:eastAsia="Calibri" w:hAnsi="Times New Roman" w:cs="Times New Roman"/>
          <w:sz w:val="24"/>
          <w:szCs w:val="24"/>
        </w:rPr>
        <w:t>O</w:t>
      </w:r>
      <w:r w:rsidR="007502C3" w:rsidRPr="00774FA7">
        <w:rPr>
          <w:rFonts w:ascii="Times New Roman" w:eastAsia="Calibri" w:hAnsi="Times New Roman" w:cs="Times New Roman"/>
          <w:sz w:val="24"/>
          <w:szCs w:val="24"/>
        </w:rPr>
        <w:t xml:space="preserve">bywatele Zjednoczonego Królestwa oraz członkowie ich rodzin </w:t>
      </w:r>
      <w:r w:rsidR="005E123E">
        <w:rPr>
          <w:rFonts w:ascii="Times New Roman" w:eastAsia="Calibri" w:hAnsi="Times New Roman" w:cs="Times New Roman"/>
          <w:sz w:val="24"/>
          <w:szCs w:val="24"/>
        </w:rPr>
        <w:t>posiadający ww</w:t>
      </w:r>
      <w:r w:rsidR="005A28D0">
        <w:rPr>
          <w:rFonts w:ascii="Times New Roman" w:eastAsia="Calibri" w:hAnsi="Times New Roman" w:cs="Times New Roman"/>
          <w:sz w:val="24"/>
          <w:szCs w:val="24"/>
        </w:rPr>
        <w:t>.</w:t>
      </w:r>
      <w:r w:rsidR="005E123E">
        <w:rPr>
          <w:rFonts w:ascii="Times New Roman" w:eastAsia="Calibri" w:hAnsi="Times New Roman" w:cs="Times New Roman"/>
          <w:sz w:val="24"/>
          <w:szCs w:val="24"/>
        </w:rPr>
        <w:t xml:space="preserve"> dokumenty </w:t>
      </w:r>
      <w:r w:rsidR="007502C3" w:rsidRPr="00774FA7">
        <w:rPr>
          <w:rFonts w:ascii="Times New Roman" w:eastAsia="Calibri" w:hAnsi="Times New Roman" w:cs="Times New Roman"/>
          <w:sz w:val="24"/>
          <w:szCs w:val="24"/>
        </w:rPr>
        <w:t xml:space="preserve">będą obowiązani </w:t>
      </w:r>
      <w:r w:rsidR="00AE7344" w:rsidRPr="00774FA7">
        <w:rPr>
          <w:rFonts w:ascii="Times New Roman" w:eastAsia="Calibri" w:hAnsi="Times New Roman" w:cs="Times New Roman"/>
          <w:sz w:val="24"/>
          <w:szCs w:val="24"/>
        </w:rPr>
        <w:t>do wystąpienia o wydanie nowych dokumentów</w:t>
      </w:r>
      <w:r w:rsidR="0073716C" w:rsidRPr="00774FA7">
        <w:rPr>
          <w:rFonts w:ascii="Times New Roman" w:eastAsia="Calibri" w:hAnsi="Times New Roman" w:cs="Times New Roman"/>
          <w:sz w:val="24"/>
          <w:szCs w:val="24"/>
        </w:rPr>
        <w:t>,</w:t>
      </w:r>
      <w:r w:rsidR="0073716C" w:rsidRPr="00774FA7">
        <w:t xml:space="preserve"> </w:t>
      </w:r>
      <w:r w:rsidR="0073716C" w:rsidRPr="00774FA7">
        <w:rPr>
          <w:rFonts w:ascii="Times New Roman" w:eastAsia="Calibri" w:hAnsi="Times New Roman" w:cs="Times New Roman"/>
          <w:sz w:val="24"/>
          <w:szCs w:val="24"/>
        </w:rPr>
        <w:t xml:space="preserve">o których mowa w art. 65b ustawy </w:t>
      </w:r>
      <w:r w:rsidR="00A52C1F">
        <w:rPr>
          <w:rFonts w:ascii="Times New Roman" w:eastAsia="Calibri" w:hAnsi="Times New Roman" w:cs="Times New Roman"/>
          <w:sz w:val="24"/>
          <w:szCs w:val="24"/>
        </w:rPr>
        <w:t>o wjeździe obywateli UE</w:t>
      </w:r>
      <w:r w:rsidR="00AE7344" w:rsidRPr="00774FA7">
        <w:rPr>
          <w:rFonts w:ascii="Times New Roman" w:eastAsia="Calibri" w:hAnsi="Times New Roman" w:cs="Times New Roman"/>
          <w:sz w:val="24"/>
          <w:szCs w:val="24"/>
        </w:rPr>
        <w:t xml:space="preserve"> </w:t>
      </w:r>
      <w:r w:rsidR="005E123E">
        <w:rPr>
          <w:rFonts w:ascii="Times New Roman" w:eastAsia="Calibri" w:hAnsi="Times New Roman" w:cs="Times New Roman"/>
          <w:sz w:val="24"/>
          <w:szCs w:val="24"/>
        </w:rPr>
        <w:t xml:space="preserve">dodawanym w projekcie, </w:t>
      </w:r>
      <w:r w:rsidR="0073716C" w:rsidRPr="00774FA7">
        <w:rPr>
          <w:rFonts w:ascii="Times New Roman" w:eastAsia="Calibri" w:hAnsi="Times New Roman" w:cs="Times New Roman"/>
          <w:sz w:val="24"/>
          <w:szCs w:val="24"/>
        </w:rPr>
        <w:t xml:space="preserve">w terminie </w:t>
      </w:r>
      <w:r w:rsidR="007502C3" w:rsidRPr="00774FA7">
        <w:rPr>
          <w:rFonts w:ascii="Times New Roman" w:eastAsia="Calibri" w:hAnsi="Times New Roman" w:cs="Times New Roman"/>
          <w:sz w:val="24"/>
          <w:szCs w:val="24"/>
        </w:rPr>
        <w:t xml:space="preserve">do dnia </w:t>
      </w:r>
      <w:r w:rsidR="005E123E">
        <w:rPr>
          <w:rFonts w:ascii="Times New Roman" w:eastAsia="Calibri" w:hAnsi="Times New Roman" w:cs="Times New Roman"/>
          <w:sz w:val="24"/>
          <w:szCs w:val="24"/>
        </w:rPr>
        <w:t>3</w:t>
      </w:r>
      <w:r w:rsidR="007502C3" w:rsidRPr="00774FA7">
        <w:rPr>
          <w:rFonts w:ascii="Times New Roman" w:eastAsia="Calibri" w:hAnsi="Times New Roman" w:cs="Times New Roman"/>
          <w:sz w:val="24"/>
          <w:szCs w:val="24"/>
        </w:rPr>
        <w:t xml:space="preserve">1 </w:t>
      </w:r>
      <w:r w:rsidR="005E123E">
        <w:rPr>
          <w:rFonts w:ascii="Times New Roman" w:eastAsia="Calibri" w:hAnsi="Times New Roman" w:cs="Times New Roman"/>
          <w:sz w:val="24"/>
          <w:szCs w:val="24"/>
        </w:rPr>
        <w:t>grudnia</w:t>
      </w:r>
      <w:r w:rsidR="007502C3" w:rsidRPr="00774FA7">
        <w:rPr>
          <w:rFonts w:ascii="Times New Roman" w:eastAsia="Calibri" w:hAnsi="Times New Roman" w:cs="Times New Roman"/>
          <w:sz w:val="24"/>
          <w:szCs w:val="24"/>
        </w:rPr>
        <w:t xml:space="preserve"> 202</w:t>
      </w:r>
      <w:r w:rsidR="005E123E">
        <w:rPr>
          <w:rFonts w:ascii="Times New Roman" w:eastAsia="Calibri" w:hAnsi="Times New Roman" w:cs="Times New Roman"/>
          <w:sz w:val="24"/>
          <w:szCs w:val="24"/>
        </w:rPr>
        <w:t>1</w:t>
      </w:r>
      <w:r w:rsidR="000F250D" w:rsidRPr="00774FA7">
        <w:rPr>
          <w:rFonts w:ascii="Times New Roman" w:eastAsia="Calibri" w:hAnsi="Times New Roman" w:cs="Times New Roman"/>
          <w:sz w:val="24"/>
          <w:szCs w:val="24"/>
        </w:rPr>
        <w:t xml:space="preserve"> </w:t>
      </w:r>
      <w:r w:rsidR="007502C3" w:rsidRPr="00774FA7">
        <w:rPr>
          <w:rFonts w:ascii="Times New Roman" w:eastAsia="Calibri" w:hAnsi="Times New Roman" w:cs="Times New Roman"/>
          <w:sz w:val="24"/>
          <w:szCs w:val="24"/>
        </w:rPr>
        <w:t xml:space="preserve">r. </w:t>
      </w:r>
      <w:r w:rsidR="00AE7344" w:rsidRPr="00774FA7">
        <w:rPr>
          <w:rFonts w:ascii="Times New Roman" w:eastAsia="Calibri" w:hAnsi="Times New Roman" w:cs="Times New Roman"/>
          <w:sz w:val="24"/>
          <w:szCs w:val="24"/>
        </w:rPr>
        <w:t>Przed wydaniem ww. dokumentów wojewoda będzie zwracał się do komendanta oddziału Straży Granicznej, komendanta wojewódzkiego Policji i Szefa Agencji Bezpieczeństwa Wewnętrznego z wnioskiem o przekazanie informacji, czy wjazd obywatela Zjednoczonego Królestwa lub członka rodziny obywatela Zjednoczonego Królestwa na terytorium Rzeczypospolitej Polskiej i ich pobyt na tym terytorium mogą stanowić zagrożenie dla obronności lub bezpieczeństwa państwa lub ochrony bezpieczeństwa i porządku publicznego.</w:t>
      </w:r>
      <w:r w:rsidR="00F766AD" w:rsidRPr="00F766AD">
        <w:t xml:space="preserve"> </w:t>
      </w:r>
      <w:r w:rsidR="005A28D0" w:rsidRPr="005A28D0">
        <w:rPr>
          <w:rFonts w:ascii="Times New Roman" w:eastAsia="Times New Roman" w:hAnsi="Times New Roman" w:cs="Arial"/>
          <w:sz w:val="24"/>
          <w:szCs w:val="20"/>
          <w:lang w:eastAsia="pl-PL"/>
        </w:rPr>
        <w:t xml:space="preserve">Organ prowadzący postępowanie w sprawie wydania nowych dokumentów, o których mowa w </w:t>
      </w:r>
      <w:r w:rsidR="005A28D0">
        <w:rPr>
          <w:rFonts w:ascii="Times New Roman" w:eastAsia="Times New Roman" w:hAnsi="Times New Roman" w:cs="Arial"/>
          <w:sz w:val="24"/>
          <w:szCs w:val="20"/>
          <w:lang w:eastAsia="pl-PL"/>
        </w:rPr>
        <w:t xml:space="preserve">projektowanym </w:t>
      </w:r>
      <w:r w:rsidR="005A28D0" w:rsidRPr="005A28D0">
        <w:rPr>
          <w:rFonts w:ascii="Times New Roman" w:eastAsia="Times New Roman" w:hAnsi="Times New Roman" w:cs="Arial"/>
          <w:sz w:val="24"/>
          <w:szCs w:val="20"/>
          <w:lang w:eastAsia="pl-PL"/>
        </w:rPr>
        <w:t xml:space="preserve">art. 65b ustawy zmienianej w art. 1, </w:t>
      </w:r>
      <w:r w:rsidR="005A28D0">
        <w:rPr>
          <w:rFonts w:ascii="Times New Roman" w:eastAsia="Times New Roman" w:hAnsi="Times New Roman" w:cs="Arial"/>
          <w:sz w:val="24"/>
          <w:szCs w:val="20"/>
          <w:lang w:eastAsia="pl-PL"/>
        </w:rPr>
        <w:t xml:space="preserve">będzie </w:t>
      </w:r>
      <w:r w:rsidR="005A28D0" w:rsidRPr="005A28D0">
        <w:rPr>
          <w:rFonts w:ascii="Times New Roman" w:eastAsia="Times New Roman" w:hAnsi="Times New Roman" w:cs="Arial"/>
          <w:sz w:val="24"/>
          <w:szCs w:val="20"/>
          <w:lang w:eastAsia="pl-PL"/>
        </w:rPr>
        <w:t>przekaz</w:t>
      </w:r>
      <w:r w:rsidR="005A28D0">
        <w:rPr>
          <w:rFonts w:ascii="Times New Roman" w:eastAsia="Times New Roman" w:hAnsi="Times New Roman" w:cs="Arial"/>
          <w:sz w:val="24"/>
          <w:szCs w:val="20"/>
          <w:lang w:eastAsia="pl-PL"/>
        </w:rPr>
        <w:t>ywał wraz z wnioskiem, o</w:t>
      </w:r>
      <w:r w:rsidR="005A28D0" w:rsidRPr="005A28D0">
        <w:rPr>
          <w:rFonts w:ascii="Times New Roman" w:eastAsia="Times New Roman" w:hAnsi="Times New Roman" w:cs="Arial"/>
          <w:sz w:val="24"/>
          <w:szCs w:val="20"/>
          <w:lang w:eastAsia="pl-PL"/>
        </w:rPr>
        <w:t xml:space="preserve"> przekazanie ww. informacji, kopie wniosków, </w:t>
      </w:r>
      <w:r w:rsidR="005A28D0">
        <w:rPr>
          <w:rFonts w:ascii="Times New Roman" w:eastAsia="Times New Roman" w:hAnsi="Times New Roman" w:cs="Arial"/>
          <w:sz w:val="24"/>
          <w:szCs w:val="20"/>
          <w:lang w:eastAsia="pl-PL"/>
        </w:rPr>
        <w:t>o wydanie nowych dokumentów</w:t>
      </w:r>
      <w:r w:rsidR="005A28D0" w:rsidRPr="005A28D0">
        <w:rPr>
          <w:rFonts w:ascii="Times New Roman" w:eastAsia="Times New Roman" w:hAnsi="Times New Roman" w:cs="Arial"/>
          <w:sz w:val="24"/>
          <w:szCs w:val="20"/>
          <w:lang w:eastAsia="pl-PL"/>
        </w:rPr>
        <w:t>, komendantowi oddziału Straży Granicznej, komendantowi wojewódzkiemu Policji i Szefowi Agencji Bezpieczeństwa Wewnętrznego</w:t>
      </w:r>
    </w:p>
    <w:p w14:paraId="12B52C65" w14:textId="10FE6BDD" w:rsidR="003D6EDE" w:rsidRDefault="00AE7344"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w:t>
      </w:r>
      <w:r w:rsidR="00F340C9" w:rsidRPr="00774FA7">
        <w:rPr>
          <w:rFonts w:ascii="Times New Roman" w:eastAsia="Calibri" w:hAnsi="Times New Roman" w:cs="Times New Roman"/>
          <w:sz w:val="24"/>
          <w:szCs w:val="24"/>
        </w:rPr>
        <w:t>9</w:t>
      </w:r>
      <w:r w:rsidRPr="00774FA7">
        <w:rPr>
          <w:rFonts w:ascii="Times New Roman" w:eastAsia="Calibri" w:hAnsi="Times New Roman" w:cs="Times New Roman"/>
          <w:sz w:val="24"/>
          <w:szCs w:val="24"/>
        </w:rPr>
        <w:t xml:space="preserve"> zaproponowano</w:t>
      </w:r>
      <w:r w:rsidR="00F340C9"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aby</w:t>
      </w:r>
      <w:r w:rsidRPr="00774FA7">
        <w:t xml:space="preserve"> </w:t>
      </w:r>
      <w:r w:rsidRPr="00774FA7">
        <w:rPr>
          <w:rFonts w:ascii="Times New Roman" w:eastAsia="Calibri" w:hAnsi="Times New Roman" w:cs="Times New Roman"/>
          <w:sz w:val="24"/>
          <w:szCs w:val="24"/>
        </w:rPr>
        <w:t xml:space="preserve">obywatelowi Zjednoczonego Królestwa oraz członkowi </w:t>
      </w:r>
      <w:r w:rsidR="000F250D" w:rsidRPr="00774FA7">
        <w:rPr>
          <w:rFonts w:ascii="Times New Roman" w:eastAsia="Calibri" w:hAnsi="Times New Roman" w:cs="Times New Roman"/>
          <w:sz w:val="24"/>
          <w:szCs w:val="24"/>
        </w:rPr>
        <w:t xml:space="preserve">jego </w:t>
      </w:r>
      <w:r w:rsidRPr="00774FA7">
        <w:rPr>
          <w:rFonts w:ascii="Times New Roman" w:eastAsia="Calibri" w:hAnsi="Times New Roman" w:cs="Times New Roman"/>
          <w:sz w:val="24"/>
          <w:szCs w:val="24"/>
        </w:rPr>
        <w:t xml:space="preserve">rodziny, którzy </w:t>
      </w:r>
      <w:r w:rsidR="009C361E" w:rsidRPr="009C361E">
        <w:rPr>
          <w:rFonts w:ascii="Times New Roman" w:eastAsia="Calibri" w:hAnsi="Times New Roman" w:cs="Times New Roman"/>
          <w:sz w:val="24"/>
          <w:szCs w:val="24"/>
        </w:rPr>
        <w:t>do dnia 31 grudnia 2021 r.</w:t>
      </w:r>
      <w:r w:rsidR="009C361E">
        <w:rPr>
          <w:rFonts w:ascii="Times New Roman" w:eastAsia="Calibri" w:hAnsi="Times New Roman" w:cs="Times New Roman"/>
          <w:sz w:val="24"/>
          <w:szCs w:val="24"/>
        </w:rPr>
        <w:t xml:space="preserve"> </w:t>
      </w:r>
      <w:r w:rsidR="009C361E" w:rsidRPr="00774FA7">
        <w:rPr>
          <w:rFonts w:ascii="Times New Roman" w:eastAsia="Calibri" w:hAnsi="Times New Roman" w:cs="Times New Roman"/>
          <w:sz w:val="24"/>
          <w:szCs w:val="24"/>
        </w:rPr>
        <w:t>złoż</w:t>
      </w:r>
      <w:r w:rsidR="009C361E">
        <w:rPr>
          <w:rFonts w:ascii="Times New Roman" w:eastAsia="Calibri" w:hAnsi="Times New Roman" w:cs="Times New Roman"/>
          <w:sz w:val="24"/>
          <w:szCs w:val="24"/>
        </w:rPr>
        <w:t>ą</w:t>
      </w:r>
      <w:r w:rsidR="009C361E"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wnioski o wydanie nowego zaświadczenia o zarejestrowaniu pobytu, </w:t>
      </w:r>
      <w:r w:rsidR="005A28D0">
        <w:rPr>
          <w:rFonts w:ascii="Times New Roman" w:eastAsia="Calibri" w:hAnsi="Times New Roman" w:cs="Times New Roman"/>
          <w:sz w:val="24"/>
          <w:szCs w:val="24"/>
        </w:rPr>
        <w:t xml:space="preserve">nowej </w:t>
      </w:r>
      <w:r w:rsidRPr="00774FA7">
        <w:rPr>
          <w:rFonts w:ascii="Times New Roman" w:eastAsia="Calibri" w:hAnsi="Times New Roman" w:cs="Times New Roman"/>
          <w:sz w:val="24"/>
          <w:szCs w:val="24"/>
        </w:rPr>
        <w:t xml:space="preserve">karty pobytowej, </w:t>
      </w:r>
      <w:r w:rsidR="005A28D0">
        <w:rPr>
          <w:rFonts w:ascii="Times New Roman" w:eastAsia="Calibri" w:hAnsi="Times New Roman" w:cs="Times New Roman"/>
          <w:sz w:val="24"/>
          <w:szCs w:val="24"/>
        </w:rPr>
        <w:t xml:space="preserve">nowego </w:t>
      </w:r>
      <w:r w:rsidRPr="00774FA7">
        <w:rPr>
          <w:rFonts w:ascii="Times New Roman" w:eastAsia="Calibri" w:hAnsi="Times New Roman" w:cs="Times New Roman"/>
          <w:sz w:val="24"/>
          <w:szCs w:val="24"/>
        </w:rPr>
        <w:t xml:space="preserve">dokumentu potwierdzającego prawo stałego pobytu lub </w:t>
      </w:r>
      <w:r w:rsidR="005A28D0">
        <w:rPr>
          <w:rFonts w:ascii="Times New Roman" w:eastAsia="Calibri" w:hAnsi="Times New Roman" w:cs="Times New Roman"/>
          <w:sz w:val="24"/>
          <w:szCs w:val="24"/>
        </w:rPr>
        <w:t xml:space="preserve">nowej </w:t>
      </w:r>
      <w:r w:rsidRPr="00774FA7">
        <w:rPr>
          <w:rFonts w:ascii="Times New Roman" w:eastAsia="Calibri" w:hAnsi="Times New Roman" w:cs="Times New Roman"/>
          <w:sz w:val="24"/>
          <w:szCs w:val="24"/>
        </w:rPr>
        <w:t>karty stałego pobytu</w:t>
      </w:r>
      <w:r w:rsidR="00D658ED">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D658ED" w:rsidRPr="00D658ED">
        <w:rPr>
          <w:rFonts w:ascii="Times New Roman" w:eastAsia="Calibri" w:hAnsi="Times New Roman" w:cs="Times New Roman"/>
          <w:sz w:val="24"/>
          <w:szCs w:val="24"/>
        </w:rPr>
        <w:t>o który</w:t>
      </w:r>
      <w:r w:rsidR="00840393">
        <w:rPr>
          <w:rFonts w:ascii="Times New Roman" w:eastAsia="Calibri" w:hAnsi="Times New Roman" w:cs="Times New Roman"/>
          <w:sz w:val="24"/>
          <w:szCs w:val="24"/>
        </w:rPr>
        <w:t>ch</w:t>
      </w:r>
      <w:r w:rsidR="00D658ED" w:rsidRPr="00D658ED">
        <w:rPr>
          <w:rFonts w:ascii="Times New Roman" w:eastAsia="Calibri" w:hAnsi="Times New Roman" w:cs="Times New Roman"/>
          <w:sz w:val="24"/>
          <w:szCs w:val="24"/>
        </w:rPr>
        <w:t xml:space="preserve"> mowa w art. 65b</w:t>
      </w:r>
      <w:r w:rsidR="00840393" w:rsidRPr="00840393">
        <w:t xml:space="preserve"> </w:t>
      </w:r>
      <w:r w:rsidR="00840393" w:rsidRPr="00840393">
        <w:rPr>
          <w:rFonts w:ascii="Times New Roman" w:eastAsia="Calibri" w:hAnsi="Times New Roman" w:cs="Times New Roman"/>
          <w:sz w:val="24"/>
          <w:szCs w:val="24"/>
        </w:rPr>
        <w:t>ustawy o wjeździe obywateli UE</w:t>
      </w:r>
      <w:r w:rsidR="00840393">
        <w:rPr>
          <w:rFonts w:ascii="Times New Roman" w:eastAsia="Calibri" w:hAnsi="Times New Roman" w:cs="Times New Roman"/>
          <w:sz w:val="24"/>
          <w:szCs w:val="24"/>
        </w:rPr>
        <w:t xml:space="preserve"> dodawanym na mocy niniejszego projektu</w:t>
      </w:r>
      <w:r w:rsidR="009C361E">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lub </w:t>
      </w:r>
      <w:r w:rsidR="009C361E" w:rsidRPr="00774FA7">
        <w:rPr>
          <w:rFonts w:ascii="Times New Roman" w:eastAsia="Calibri" w:hAnsi="Times New Roman" w:cs="Times New Roman"/>
          <w:sz w:val="24"/>
          <w:szCs w:val="24"/>
        </w:rPr>
        <w:t>wnios</w:t>
      </w:r>
      <w:r w:rsidR="009C361E">
        <w:rPr>
          <w:rFonts w:ascii="Times New Roman" w:eastAsia="Calibri" w:hAnsi="Times New Roman" w:cs="Times New Roman"/>
          <w:sz w:val="24"/>
          <w:szCs w:val="24"/>
        </w:rPr>
        <w:t>ki</w:t>
      </w:r>
      <w:r w:rsidR="009C361E"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o zarejestrowanie pobytu lub wydanie karty pobytowej, dokumentu potwierdzającego prawo stałego pobytu lub karty stałego pobytu</w:t>
      </w:r>
      <w:r w:rsidR="00840393">
        <w:rPr>
          <w:rFonts w:ascii="Times New Roman" w:eastAsia="Calibri" w:hAnsi="Times New Roman" w:cs="Times New Roman"/>
          <w:sz w:val="24"/>
          <w:szCs w:val="24"/>
        </w:rPr>
        <w:t>,</w:t>
      </w:r>
      <w:r w:rsidR="00840393" w:rsidRPr="00840393">
        <w:t xml:space="preserve"> </w:t>
      </w:r>
      <w:r w:rsidR="00840393" w:rsidRPr="00840393">
        <w:rPr>
          <w:rFonts w:ascii="Times New Roman" w:eastAsia="Calibri" w:hAnsi="Times New Roman" w:cs="Times New Roman"/>
          <w:sz w:val="24"/>
          <w:szCs w:val="24"/>
        </w:rPr>
        <w:t>o których mowa w</w:t>
      </w:r>
      <w:r w:rsidR="00840393">
        <w:rPr>
          <w:rFonts w:ascii="Times New Roman" w:eastAsia="Calibri" w:hAnsi="Times New Roman" w:cs="Times New Roman"/>
          <w:sz w:val="24"/>
          <w:szCs w:val="24"/>
        </w:rPr>
        <w:t xml:space="preserve">e wprowadzanym projektem </w:t>
      </w:r>
      <w:r w:rsidR="00840393" w:rsidRPr="00840393">
        <w:rPr>
          <w:rFonts w:ascii="Times New Roman" w:eastAsia="Calibri" w:hAnsi="Times New Roman" w:cs="Times New Roman"/>
          <w:sz w:val="24"/>
          <w:szCs w:val="24"/>
        </w:rPr>
        <w:t xml:space="preserve">rozdziale 4a </w:t>
      </w:r>
      <w:r w:rsidR="00840393">
        <w:rPr>
          <w:rFonts w:ascii="Times New Roman" w:eastAsia="Calibri" w:hAnsi="Times New Roman" w:cs="Times New Roman"/>
          <w:sz w:val="24"/>
          <w:szCs w:val="24"/>
        </w:rPr>
        <w:t>ww</w:t>
      </w:r>
      <w:r w:rsidR="005A28D0">
        <w:rPr>
          <w:rFonts w:ascii="Times New Roman" w:eastAsia="Calibri" w:hAnsi="Times New Roman" w:cs="Times New Roman"/>
          <w:sz w:val="24"/>
          <w:szCs w:val="24"/>
        </w:rPr>
        <w:t>.</w:t>
      </w:r>
      <w:r w:rsidR="00840393">
        <w:rPr>
          <w:rFonts w:ascii="Times New Roman" w:eastAsia="Calibri" w:hAnsi="Times New Roman" w:cs="Times New Roman"/>
          <w:sz w:val="24"/>
          <w:szCs w:val="24"/>
        </w:rPr>
        <w:t xml:space="preserve"> </w:t>
      </w:r>
      <w:r w:rsidR="00840393" w:rsidRPr="00840393">
        <w:rPr>
          <w:rFonts w:ascii="Times New Roman" w:eastAsia="Calibri" w:hAnsi="Times New Roman" w:cs="Times New Roman"/>
          <w:sz w:val="24"/>
          <w:szCs w:val="24"/>
        </w:rPr>
        <w:t>ustawy</w:t>
      </w:r>
      <w:r w:rsidR="003D6EDE"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F340C9" w:rsidRPr="00774FA7">
        <w:rPr>
          <w:rFonts w:ascii="Times New Roman" w:eastAsia="Calibri" w:hAnsi="Times New Roman" w:cs="Times New Roman"/>
          <w:sz w:val="24"/>
          <w:szCs w:val="24"/>
        </w:rPr>
        <w:t xml:space="preserve">wojewoda </w:t>
      </w:r>
      <w:r w:rsidR="009C361E">
        <w:rPr>
          <w:rFonts w:ascii="Times New Roman" w:eastAsia="Calibri" w:hAnsi="Times New Roman" w:cs="Times New Roman"/>
          <w:sz w:val="24"/>
          <w:szCs w:val="24"/>
        </w:rPr>
        <w:t xml:space="preserve">będzie </w:t>
      </w:r>
      <w:r w:rsidR="00F340C9" w:rsidRPr="00774FA7">
        <w:rPr>
          <w:rFonts w:ascii="Times New Roman" w:eastAsia="Calibri" w:hAnsi="Times New Roman" w:cs="Times New Roman"/>
          <w:sz w:val="24"/>
          <w:szCs w:val="24"/>
        </w:rPr>
        <w:t>wydawał</w:t>
      </w:r>
      <w:r w:rsidRPr="00774FA7">
        <w:rPr>
          <w:rFonts w:ascii="Times New Roman" w:eastAsia="Calibri" w:hAnsi="Times New Roman" w:cs="Times New Roman"/>
          <w:sz w:val="24"/>
          <w:szCs w:val="24"/>
        </w:rPr>
        <w:t xml:space="preserve"> zaświadczenie o złożeniu tego wniosku ważne </w:t>
      </w:r>
      <w:r w:rsidR="00A52C1F">
        <w:rPr>
          <w:rFonts w:ascii="Times New Roman" w:eastAsia="Calibri" w:hAnsi="Times New Roman" w:cs="Times New Roman"/>
          <w:sz w:val="24"/>
          <w:szCs w:val="24"/>
        </w:rPr>
        <w:t>przez</w:t>
      </w:r>
      <w:r w:rsidR="00A52C1F"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okres </w:t>
      </w:r>
      <w:r w:rsidR="003D6EDE" w:rsidRPr="00774FA7">
        <w:rPr>
          <w:rFonts w:ascii="Times New Roman" w:eastAsia="Calibri" w:hAnsi="Times New Roman" w:cs="Times New Roman"/>
          <w:sz w:val="24"/>
          <w:szCs w:val="24"/>
        </w:rPr>
        <w:t xml:space="preserve">1 </w:t>
      </w:r>
      <w:r w:rsidRPr="00774FA7">
        <w:rPr>
          <w:rFonts w:ascii="Times New Roman" w:eastAsia="Calibri" w:hAnsi="Times New Roman" w:cs="Times New Roman"/>
          <w:sz w:val="24"/>
          <w:szCs w:val="24"/>
        </w:rPr>
        <w:t xml:space="preserve">roku.  </w:t>
      </w:r>
      <w:r w:rsidR="009C361E">
        <w:rPr>
          <w:rFonts w:ascii="Times New Roman" w:eastAsia="Calibri" w:hAnsi="Times New Roman" w:cs="Times New Roman"/>
          <w:sz w:val="24"/>
          <w:szCs w:val="24"/>
        </w:rPr>
        <w:t xml:space="preserve">Zaświadczenie </w:t>
      </w:r>
      <w:r w:rsidR="00082E3F">
        <w:rPr>
          <w:rFonts w:ascii="Times New Roman" w:eastAsia="Calibri" w:hAnsi="Times New Roman" w:cs="Times New Roman"/>
          <w:sz w:val="24"/>
          <w:szCs w:val="24"/>
        </w:rPr>
        <w:t xml:space="preserve">o złożeniu wniosku </w:t>
      </w:r>
      <w:r w:rsidR="009C361E">
        <w:rPr>
          <w:rFonts w:ascii="Times New Roman" w:eastAsia="Calibri" w:hAnsi="Times New Roman" w:cs="Times New Roman"/>
          <w:sz w:val="24"/>
          <w:szCs w:val="24"/>
        </w:rPr>
        <w:t>będzie także wydawane</w:t>
      </w:r>
      <w:r w:rsidR="00497C1D">
        <w:rPr>
          <w:rFonts w:ascii="Times New Roman" w:eastAsia="Calibri" w:hAnsi="Times New Roman" w:cs="Times New Roman"/>
          <w:sz w:val="24"/>
          <w:szCs w:val="24"/>
        </w:rPr>
        <w:t xml:space="preserve"> </w:t>
      </w:r>
      <w:r w:rsidR="00497C1D" w:rsidRPr="00497C1D">
        <w:rPr>
          <w:rFonts w:ascii="Times New Roman" w:eastAsia="Calibri" w:hAnsi="Times New Roman" w:cs="Times New Roman"/>
          <w:sz w:val="24"/>
          <w:szCs w:val="24"/>
        </w:rPr>
        <w:t>obywatelo</w:t>
      </w:r>
      <w:r w:rsidR="00497C1D">
        <w:rPr>
          <w:rFonts w:ascii="Times New Roman" w:eastAsia="Calibri" w:hAnsi="Times New Roman" w:cs="Times New Roman"/>
          <w:sz w:val="24"/>
          <w:szCs w:val="24"/>
        </w:rPr>
        <w:t>m</w:t>
      </w:r>
      <w:r w:rsidR="00497C1D" w:rsidRPr="00497C1D">
        <w:rPr>
          <w:rFonts w:ascii="Times New Roman" w:eastAsia="Calibri" w:hAnsi="Times New Roman" w:cs="Times New Roman"/>
          <w:sz w:val="24"/>
          <w:szCs w:val="24"/>
        </w:rPr>
        <w:t xml:space="preserve"> Zjednoczonego Królestwa oraz członko</w:t>
      </w:r>
      <w:r w:rsidR="00497C1D">
        <w:rPr>
          <w:rFonts w:ascii="Times New Roman" w:eastAsia="Calibri" w:hAnsi="Times New Roman" w:cs="Times New Roman"/>
          <w:sz w:val="24"/>
          <w:szCs w:val="24"/>
        </w:rPr>
        <w:t>m ich</w:t>
      </w:r>
      <w:r w:rsidR="00497C1D" w:rsidRPr="00497C1D">
        <w:rPr>
          <w:rFonts w:ascii="Times New Roman" w:eastAsia="Calibri" w:hAnsi="Times New Roman" w:cs="Times New Roman"/>
          <w:sz w:val="24"/>
          <w:szCs w:val="24"/>
        </w:rPr>
        <w:t xml:space="preserve"> rodziny</w:t>
      </w:r>
      <w:r w:rsidR="00497C1D">
        <w:rPr>
          <w:rFonts w:ascii="Times New Roman" w:eastAsia="Calibri" w:hAnsi="Times New Roman" w:cs="Times New Roman"/>
          <w:sz w:val="24"/>
          <w:szCs w:val="24"/>
        </w:rPr>
        <w:t>, w przypadku</w:t>
      </w:r>
      <w:r w:rsidR="009C361E" w:rsidRPr="009C361E">
        <w:rPr>
          <w:rFonts w:ascii="Times New Roman" w:eastAsia="Calibri" w:hAnsi="Times New Roman" w:cs="Times New Roman"/>
          <w:sz w:val="24"/>
          <w:szCs w:val="24"/>
        </w:rPr>
        <w:t xml:space="preserve"> złoż</w:t>
      </w:r>
      <w:r w:rsidR="00497C1D">
        <w:rPr>
          <w:rFonts w:ascii="Times New Roman" w:eastAsia="Calibri" w:hAnsi="Times New Roman" w:cs="Times New Roman"/>
          <w:sz w:val="24"/>
          <w:szCs w:val="24"/>
        </w:rPr>
        <w:t>enia</w:t>
      </w:r>
      <w:r w:rsidR="009C361E" w:rsidRPr="009C361E">
        <w:rPr>
          <w:rFonts w:ascii="Times New Roman" w:eastAsia="Calibri" w:hAnsi="Times New Roman" w:cs="Times New Roman"/>
          <w:sz w:val="24"/>
          <w:szCs w:val="24"/>
        </w:rPr>
        <w:t xml:space="preserve"> przed dniem wejścia w życie niniejszej ustawy wnios</w:t>
      </w:r>
      <w:r w:rsidR="00497C1D">
        <w:rPr>
          <w:rFonts w:ascii="Times New Roman" w:eastAsia="Calibri" w:hAnsi="Times New Roman" w:cs="Times New Roman"/>
          <w:sz w:val="24"/>
          <w:szCs w:val="24"/>
        </w:rPr>
        <w:t>ku</w:t>
      </w:r>
      <w:r w:rsidR="009C361E" w:rsidRPr="009C361E">
        <w:rPr>
          <w:rFonts w:ascii="Times New Roman" w:eastAsia="Calibri" w:hAnsi="Times New Roman" w:cs="Times New Roman"/>
          <w:sz w:val="24"/>
          <w:szCs w:val="24"/>
        </w:rPr>
        <w:t xml:space="preserve"> o zarejestrowani</w:t>
      </w:r>
      <w:r w:rsidR="00497C1D">
        <w:rPr>
          <w:rFonts w:ascii="Times New Roman" w:eastAsia="Calibri" w:hAnsi="Times New Roman" w:cs="Times New Roman"/>
          <w:sz w:val="24"/>
          <w:szCs w:val="24"/>
        </w:rPr>
        <w:t>e</w:t>
      </w:r>
      <w:r w:rsidR="009C361E" w:rsidRPr="009C361E">
        <w:rPr>
          <w:rFonts w:ascii="Times New Roman" w:eastAsia="Calibri" w:hAnsi="Times New Roman" w:cs="Times New Roman"/>
          <w:sz w:val="24"/>
          <w:szCs w:val="24"/>
        </w:rPr>
        <w:t xml:space="preserve"> pobytu lub o wydanie karty pobytu członka rodziny obywatela UE, dokumentu potwierdzającego prawo stałego pobytu lub karty stałego pobytu członka rodziny obywatela UE, o których mowa w rozdziale 3 i 4 </w:t>
      </w:r>
      <w:r w:rsidR="00497C1D">
        <w:rPr>
          <w:rFonts w:ascii="Times New Roman" w:eastAsia="Calibri" w:hAnsi="Times New Roman" w:cs="Times New Roman"/>
          <w:sz w:val="24"/>
          <w:szCs w:val="24"/>
        </w:rPr>
        <w:t xml:space="preserve">w/w </w:t>
      </w:r>
      <w:r w:rsidR="009C361E" w:rsidRPr="009C361E">
        <w:rPr>
          <w:rFonts w:ascii="Times New Roman" w:eastAsia="Calibri" w:hAnsi="Times New Roman" w:cs="Times New Roman"/>
          <w:sz w:val="24"/>
          <w:szCs w:val="24"/>
        </w:rPr>
        <w:t xml:space="preserve">ustawy w brzmieniu dotychczasowym, </w:t>
      </w:r>
      <w:r w:rsidR="005E150A">
        <w:rPr>
          <w:rFonts w:ascii="Times New Roman" w:eastAsia="Calibri" w:hAnsi="Times New Roman" w:cs="Times New Roman"/>
          <w:sz w:val="24"/>
          <w:szCs w:val="24"/>
        </w:rPr>
        <w:t xml:space="preserve">jeśli postępowanie w tych sprawach </w:t>
      </w:r>
      <w:r w:rsidR="009C361E" w:rsidRPr="009C361E">
        <w:rPr>
          <w:rFonts w:ascii="Times New Roman" w:eastAsia="Calibri" w:hAnsi="Times New Roman" w:cs="Times New Roman"/>
          <w:sz w:val="24"/>
          <w:szCs w:val="24"/>
        </w:rPr>
        <w:t>nie zosta</w:t>
      </w:r>
      <w:r w:rsidR="005E150A">
        <w:rPr>
          <w:rFonts w:ascii="Times New Roman" w:eastAsia="Calibri" w:hAnsi="Times New Roman" w:cs="Times New Roman"/>
          <w:sz w:val="24"/>
          <w:szCs w:val="24"/>
        </w:rPr>
        <w:t>nie</w:t>
      </w:r>
      <w:r w:rsidR="009C361E" w:rsidRPr="009C361E">
        <w:rPr>
          <w:rFonts w:ascii="Times New Roman" w:eastAsia="Calibri" w:hAnsi="Times New Roman" w:cs="Times New Roman"/>
          <w:sz w:val="24"/>
          <w:szCs w:val="24"/>
        </w:rPr>
        <w:t xml:space="preserve"> zakończone</w:t>
      </w:r>
      <w:r w:rsidR="00F12D3E">
        <w:rPr>
          <w:rFonts w:ascii="Times New Roman" w:eastAsia="Calibri" w:hAnsi="Times New Roman" w:cs="Times New Roman"/>
          <w:sz w:val="24"/>
          <w:szCs w:val="24"/>
        </w:rPr>
        <w:t xml:space="preserve"> przed dniem wejścia w życie niniejszej ustawy, tj.</w:t>
      </w:r>
      <w:r w:rsidR="009C361E" w:rsidRPr="009C361E">
        <w:rPr>
          <w:rFonts w:ascii="Times New Roman" w:eastAsia="Calibri" w:hAnsi="Times New Roman" w:cs="Times New Roman"/>
          <w:sz w:val="24"/>
          <w:szCs w:val="24"/>
        </w:rPr>
        <w:t xml:space="preserve"> do dnia 31 grudnia 2020 r.</w:t>
      </w:r>
    </w:p>
    <w:p w14:paraId="3E5D3E1C" w14:textId="44C7ED1C" w:rsidR="00B16607" w:rsidRPr="00774FA7" w:rsidRDefault="00B16607"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 art. 9 ust. 2 przewiduje się możliwość wydania</w:t>
      </w:r>
      <w:r w:rsidRPr="00B16607">
        <w:rPr>
          <w:rFonts w:ascii="Times New Roman" w:eastAsia="Calibri" w:hAnsi="Times New Roman" w:cs="Times New Roman"/>
          <w:sz w:val="24"/>
          <w:szCs w:val="24"/>
        </w:rPr>
        <w:t xml:space="preserve"> kolejne</w:t>
      </w:r>
      <w:r>
        <w:rPr>
          <w:rFonts w:ascii="Times New Roman" w:eastAsia="Calibri" w:hAnsi="Times New Roman" w:cs="Times New Roman"/>
          <w:sz w:val="24"/>
          <w:szCs w:val="24"/>
        </w:rPr>
        <w:t>go</w:t>
      </w:r>
      <w:r w:rsidRPr="00B16607">
        <w:rPr>
          <w:rFonts w:ascii="Times New Roman" w:eastAsia="Calibri" w:hAnsi="Times New Roman" w:cs="Times New Roman"/>
          <w:sz w:val="24"/>
          <w:szCs w:val="24"/>
        </w:rPr>
        <w:t xml:space="preserve"> zaświadczeni</w:t>
      </w:r>
      <w:r>
        <w:rPr>
          <w:rFonts w:ascii="Times New Roman" w:eastAsia="Calibri" w:hAnsi="Times New Roman" w:cs="Times New Roman"/>
          <w:sz w:val="24"/>
          <w:szCs w:val="24"/>
        </w:rPr>
        <w:t>a o złożeniu wniosku,</w:t>
      </w:r>
      <w:r w:rsidRPr="00B16607">
        <w:rPr>
          <w:rFonts w:ascii="Times New Roman" w:eastAsia="Calibri" w:hAnsi="Times New Roman" w:cs="Times New Roman"/>
          <w:sz w:val="24"/>
          <w:szCs w:val="24"/>
        </w:rPr>
        <w:t xml:space="preserve"> ważne</w:t>
      </w:r>
      <w:r>
        <w:rPr>
          <w:rFonts w:ascii="Times New Roman" w:eastAsia="Calibri" w:hAnsi="Times New Roman" w:cs="Times New Roman"/>
          <w:sz w:val="24"/>
          <w:szCs w:val="24"/>
        </w:rPr>
        <w:t>go</w:t>
      </w:r>
      <w:r w:rsidRPr="00B16607">
        <w:rPr>
          <w:rFonts w:ascii="Times New Roman" w:eastAsia="Calibri" w:hAnsi="Times New Roman" w:cs="Times New Roman"/>
          <w:sz w:val="24"/>
          <w:szCs w:val="24"/>
        </w:rPr>
        <w:t xml:space="preserve"> przez okres 1 roku</w:t>
      </w:r>
      <w:r>
        <w:rPr>
          <w:rFonts w:ascii="Times New Roman" w:eastAsia="Calibri" w:hAnsi="Times New Roman" w:cs="Times New Roman"/>
          <w:sz w:val="24"/>
          <w:szCs w:val="24"/>
        </w:rPr>
        <w:t>.</w:t>
      </w:r>
    </w:p>
    <w:p w14:paraId="79F5F1BF" w14:textId="07A61393" w:rsidR="003D6EDE" w:rsidRPr="00295520" w:rsidRDefault="003D6EDE" w:rsidP="004F6DC6">
      <w:pPr>
        <w:spacing w:after="0" w:line="288" w:lineRule="auto"/>
        <w:ind w:firstLine="709"/>
        <w:jc w:val="both"/>
        <w:rPr>
          <w:rFonts w:ascii="Times New Roman" w:eastAsia="Calibri" w:hAnsi="Times New Roman" w:cs="Times New Roman"/>
          <w:strike/>
          <w:sz w:val="24"/>
          <w:szCs w:val="24"/>
        </w:rPr>
      </w:pPr>
      <w:r w:rsidRPr="00774FA7">
        <w:rPr>
          <w:rFonts w:ascii="Times New Roman" w:eastAsia="Calibri" w:hAnsi="Times New Roman" w:cs="Times New Roman"/>
          <w:sz w:val="24"/>
          <w:szCs w:val="24"/>
        </w:rPr>
        <w:t xml:space="preserve">Przepis art. 9 ust. 3 </w:t>
      </w:r>
      <w:r w:rsidR="00A52C1F">
        <w:rPr>
          <w:rFonts w:ascii="Times New Roman" w:eastAsia="Calibri" w:hAnsi="Times New Roman" w:cs="Times New Roman"/>
          <w:sz w:val="24"/>
          <w:szCs w:val="24"/>
        </w:rPr>
        <w:t>określa</w:t>
      </w:r>
      <w:r w:rsidR="00A52C1F"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e</w:t>
      </w:r>
      <w:r w:rsidR="00AE7344" w:rsidRPr="00774FA7">
        <w:rPr>
          <w:rFonts w:ascii="Times New Roman" w:eastAsia="Calibri" w:hAnsi="Times New Roman" w:cs="Times New Roman"/>
          <w:sz w:val="24"/>
          <w:szCs w:val="24"/>
        </w:rPr>
        <w:t xml:space="preserve">lementy </w:t>
      </w:r>
      <w:r w:rsidRPr="00774FA7">
        <w:rPr>
          <w:rFonts w:ascii="Times New Roman" w:eastAsia="Calibri" w:hAnsi="Times New Roman" w:cs="Times New Roman"/>
          <w:sz w:val="24"/>
          <w:szCs w:val="24"/>
        </w:rPr>
        <w:t>ww.</w:t>
      </w:r>
      <w:r w:rsidR="00AE7344" w:rsidRPr="00774FA7">
        <w:rPr>
          <w:rFonts w:ascii="Times New Roman" w:eastAsia="Calibri" w:hAnsi="Times New Roman" w:cs="Times New Roman"/>
          <w:sz w:val="24"/>
          <w:szCs w:val="24"/>
        </w:rPr>
        <w:t xml:space="preserve"> zaświadczenia</w:t>
      </w:r>
      <w:r w:rsidRPr="00774FA7">
        <w:rPr>
          <w:rFonts w:ascii="Times New Roman" w:eastAsia="Calibri" w:hAnsi="Times New Roman" w:cs="Times New Roman"/>
          <w:sz w:val="24"/>
          <w:szCs w:val="24"/>
        </w:rPr>
        <w:t xml:space="preserve"> o złożeniu wniosku</w:t>
      </w:r>
      <w:r w:rsidR="006D0656">
        <w:rPr>
          <w:rFonts w:ascii="Times New Roman" w:eastAsia="Calibri" w:hAnsi="Times New Roman" w:cs="Times New Roman"/>
          <w:sz w:val="24"/>
          <w:szCs w:val="24"/>
        </w:rPr>
        <w:t>.</w:t>
      </w:r>
      <w:r w:rsidR="006D0656" w:rsidRPr="00774FA7">
        <w:rPr>
          <w:rFonts w:ascii="Times New Roman" w:eastAsia="Calibri" w:hAnsi="Times New Roman" w:cs="Times New Roman"/>
          <w:sz w:val="24"/>
          <w:szCs w:val="24"/>
        </w:rPr>
        <w:t xml:space="preserve"> </w:t>
      </w:r>
    </w:p>
    <w:p w14:paraId="01E327DA" w14:textId="7446E714" w:rsidR="003D6EDE" w:rsidRPr="00774FA7" w:rsidRDefault="006D0656"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w:t>
      </w:r>
      <w:r w:rsidRPr="00774FA7">
        <w:rPr>
          <w:rFonts w:ascii="Times New Roman" w:eastAsia="Calibri" w:hAnsi="Times New Roman" w:cs="Times New Roman"/>
          <w:sz w:val="24"/>
          <w:szCs w:val="24"/>
        </w:rPr>
        <w:t xml:space="preserve"> </w:t>
      </w:r>
      <w:r w:rsidR="003D6EDE" w:rsidRPr="00774FA7">
        <w:rPr>
          <w:rFonts w:ascii="Times New Roman" w:eastAsia="Calibri" w:hAnsi="Times New Roman" w:cs="Times New Roman"/>
          <w:sz w:val="24"/>
          <w:szCs w:val="24"/>
        </w:rPr>
        <w:t xml:space="preserve">art. 9 w </w:t>
      </w:r>
      <w:r w:rsidR="00F340C9" w:rsidRPr="00774FA7">
        <w:rPr>
          <w:rFonts w:ascii="Times New Roman" w:eastAsia="Calibri" w:hAnsi="Times New Roman" w:cs="Times New Roman"/>
          <w:sz w:val="24"/>
          <w:szCs w:val="24"/>
        </w:rPr>
        <w:t>ust. 4</w:t>
      </w:r>
      <w:r w:rsidR="00AE7344" w:rsidRPr="00774FA7">
        <w:rPr>
          <w:rFonts w:ascii="Times New Roman" w:eastAsia="Calibri" w:hAnsi="Times New Roman" w:cs="Times New Roman"/>
          <w:sz w:val="24"/>
          <w:szCs w:val="24"/>
        </w:rPr>
        <w:t xml:space="preserve"> prze</w:t>
      </w:r>
      <w:r w:rsidR="00F340C9" w:rsidRPr="00774FA7">
        <w:rPr>
          <w:rFonts w:ascii="Times New Roman" w:eastAsia="Calibri" w:hAnsi="Times New Roman" w:cs="Times New Roman"/>
          <w:sz w:val="24"/>
          <w:szCs w:val="24"/>
        </w:rPr>
        <w:t xml:space="preserve">widuje się, że </w:t>
      </w:r>
      <w:r w:rsidR="003D6EDE" w:rsidRPr="00774FA7">
        <w:rPr>
          <w:rFonts w:ascii="Times New Roman" w:eastAsia="Calibri" w:hAnsi="Times New Roman" w:cs="Times New Roman"/>
          <w:sz w:val="24"/>
          <w:szCs w:val="24"/>
        </w:rPr>
        <w:t xml:space="preserve">ww. </w:t>
      </w:r>
      <w:r w:rsidR="00F340C9" w:rsidRPr="00774FA7">
        <w:rPr>
          <w:rFonts w:ascii="Times New Roman" w:eastAsia="Calibri" w:hAnsi="Times New Roman" w:cs="Times New Roman"/>
          <w:sz w:val="24"/>
          <w:szCs w:val="24"/>
        </w:rPr>
        <w:t>zaświadczenie</w:t>
      </w:r>
      <w:r w:rsidR="00AE7344" w:rsidRPr="00774FA7">
        <w:rPr>
          <w:rFonts w:ascii="Times New Roman" w:eastAsia="Calibri" w:hAnsi="Times New Roman" w:cs="Times New Roman"/>
          <w:sz w:val="24"/>
          <w:szCs w:val="24"/>
        </w:rPr>
        <w:t xml:space="preserve"> </w:t>
      </w:r>
      <w:r w:rsidR="003D6EDE" w:rsidRPr="00774FA7">
        <w:rPr>
          <w:rFonts w:ascii="Times New Roman" w:eastAsia="Calibri" w:hAnsi="Times New Roman" w:cs="Times New Roman"/>
          <w:sz w:val="24"/>
          <w:szCs w:val="24"/>
        </w:rPr>
        <w:t>wraz z ważnym dokumentem podróży będzie uprawniało do wielokrotnego przekraczania granicy bez konieczności uzyskania wizy</w:t>
      </w:r>
      <w:r w:rsidR="00AE7344" w:rsidRPr="00774FA7">
        <w:rPr>
          <w:rFonts w:ascii="Times New Roman" w:eastAsia="Calibri" w:hAnsi="Times New Roman" w:cs="Times New Roman"/>
          <w:sz w:val="24"/>
          <w:szCs w:val="24"/>
        </w:rPr>
        <w:t>.</w:t>
      </w:r>
    </w:p>
    <w:p w14:paraId="58B615D7" w14:textId="6096C552" w:rsidR="003D6EDE" w:rsidRPr="00774FA7" w:rsidRDefault="00AE7344"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związku z tym, że zaświadczenie ma stanowić rodzaj tymczasowego dokumentu </w:t>
      </w:r>
      <w:r w:rsidR="003D6EDE" w:rsidRPr="00774FA7">
        <w:rPr>
          <w:rFonts w:ascii="Times New Roman" w:eastAsia="Calibri" w:hAnsi="Times New Roman" w:cs="Times New Roman"/>
          <w:sz w:val="24"/>
          <w:szCs w:val="24"/>
        </w:rPr>
        <w:t xml:space="preserve">dla obywatela Zjednoczonego Królestwa i członków jego rodziny, który </w:t>
      </w:r>
      <w:r w:rsidRPr="00774FA7">
        <w:rPr>
          <w:rFonts w:ascii="Times New Roman" w:eastAsia="Calibri" w:hAnsi="Times New Roman" w:cs="Times New Roman"/>
          <w:sz w:val="24"/>
          <w:szCs w:val="24"/>
        </w:rPr>
        <w:t xml:space="preserve">ułatwia funkcjonowanie w okresie oczekiwania na </w:t>
      </w:r>
      <w:r w:rsidR="00F340C9" w:rsidRPr="00774FA7">
        <w:rPr>
          <w:rFonts w:ascii="Times New Roman" w:eastAsia="Calibri" w:hAnsi="Times New Roman" w:cs="Times New Roman"/>
          <w:sz w:val="24"/>
          <w:szCs w:val="24"/>
        </w:rPr>
        <w:t>wydanie opisanych wyżej dokumentów</w:t>
      </w:r>
      <w:r w:rsidR="003D6EDE" w:rsidRPr="00774FA7">
        <w:rPr>
          <w:rFonts w:ascii="Times New Roman" w:eastAsia="Calibri" w:hAnsi="Times New Roman" w:cs="Times New Roman"/>
          <w:sz w:val="24"/>
          <w:szCs w:val="24"/>
        </w:rPr>
        <w:t>, projektodawca</w:t>
      </w:r>
      <w:r w:rsidR="00797500" w:rsidRPr="00774FA7">
        <w:rPr>
          <w:rFonts w:ascii="Times New Roman" w:eastAsia="Calibri" w:hAnsi="Times New Roman" w:cs="Times New Roman"/>
          <w:sz w:val="24"/>
          <w:szCs w:val="24"/>
        </w:rPr>
        <w:t xml:space="preserve"> w art. 9 ust. 5,</w:t>
      </w:r>
      <w:r w:rsidR="00F340C9"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przewidzia</w:t>
      </w:r>
      <w:r w:rsidR="003D6EDE" w:rsidRPr="00774FA7">
        <w:rPr>
          <w:rFonts w:ascii="Times New Roman" w:eastAsia="Calibri" w:hAnsi="Times New Roman" w:cs="Times New Roman"/>
          <w:sz w:val="24"/>
          <w:szCs w:val="24"/>
        </w:rPr>
        <w:t>ł</w:t>
      </w:r>
      <w:r w:rsidRPr="00774FA7">
        <w:rPr>
          <w:rFonts w:ascii="Times New Roman" w:eastAsia="Calibri" w:hAnsi="Times New Roman" w:cs="Times New Roman"/>
          <w:sz w:val="24"/>
          <w:szCs w:val="24"/>
        </w:rPr>
        <w:t xml:space="preserve"> obowiązek zwrotu zaświadczenia</w:t>
      </w:r>
      <w:r w:rsidR="003D6EDE" w:rsidRPr="00774FA7">
        <w:rPr>
          <w:rFonts w:ascii="Times New Roman" w:eastAsia="Calibri" w:hAnsi="Times New Roman" w:cs="Times New Roman"/>
          <w:sz w:val="24"/>
          <w:szCs w:val="24"/>
        </w:rPr>
        <w:t xml:space="preserve"> temu </w:t>
      </w:r>
      <w:r w:rsidRPr="00774FA7">
        <w:rPr>
          <w:rFonts w:ascii="Times New Roman" w:eastAsia="Calibri" w:hAnsi="Times New Roman" w:cs="Times New Roman"/>
          <w:sz w:val="24"/>
          <w:szCs w:val="24"/>
        </w:rPr>
        <w:t>wojewodz</w:t>
      </w:r>
      <w:r w:rsidR="00F340C9" w:rsidRPr="00774FA7">
        <w:rPr>
          <w:rFonts w:ascii="Times New Roman" w:eastAsia="Calibri" w:hAnsi="Times New Roman" w:cs="Times New Roman"/>
          <w:sz w:val="24"/>
          <w:szCs w:val="24"/>
        </w:rPr>
        <w:t xml:space="preserve">ie, który je wydał – </w:t>
      </w:r>
      <w:r w:rsidR="003D6EDE" w:rsidRPr="00774FA7">
        <w:rPr>
          <w:rFonts w:ascii="Times New Roman" w:eastAsia="Calibri" w:hAnsi="Times New Roman" w:cs="Times New Roman"/>
          <w:sz w:val="24"/>
          <w:szCs w:val="24"/>
        </w:rPr>
        <w:t>najpóźniej w dniu odbioru dokumentów, o które się ubiegał,</w:t>
      </w:r>
      <w:r w:rsidRPr="00774FA7">
        <w:rPr>
          <w:rFonts w:ascii="Times New Roman" w:eastAsia="Calibri" w:hAnsi="Times New Roman" w:cs="Times New Roman"/>
          <w:sz w:val="24"/>
          <w:szCs w:val="24"/>
        </w:rPr>
        <w:t xml:space="preserve"> albo w terminie</w:t>
      </w:r>
      <w:r w:rsidR="00FF5281" w:rsidRPr="00774FA7">
        <w:rPr>
          <w:rFonts w:ascii="Times New Roman" w:hAnsi="Times New Roman" w:cs="Times New Roman"/>
          <w:sz w:val="24"/>
          <w:szCs w:val="24"/>
        </w:rPr>
        <w:t xml:space="preserve"> </w:t>
      </w:r>
      <w:r w:rsidR="00BD274D" w:rsidRPr="00774FA7">
        <w:rPr>
          <w:rFonts w:ascii="Times New Roman" w:hAnsi="Times New Roman" w:cs="Times New Roman"/>
          <w:sz w:val="24"/>
          <w:szCs w:val="24"/>
        </w:rPr>
        <w:t>14 dni od dnia,</w:t>
      </w:r>
      <w:r w:rsidR="00BD274D" w:rsidRPr="00774FA7">
        <w:t xml:space="preserve"> </w:t>
      </w:r>
      <w:r w:rsidR="00FF5281" w:rsidRPr="00774FA7">
        <w:rPr>
          <w:rFonts w:ascii="Times New Roman" w:eastAsia="Calibri" w:hAnsi="Times New Roman" w:cs="Times New Roman"/>
          <w:sz w:val="24"/>
          <w:szCs w:val="24"/>
        </w:rPr>
        <w:t xml:space="preserve">w którym decyzja kończąca postępowanie w inny sposób niż </w:t>
      </w:r>
      <w:r w:rsidR="00BD274D" w:rsidRPr="00774FA7">
        <w:rPr>
          <w:rFonts w:ascii="Times New Roman" w:eastAsia="Calibri" w:hAnsi="Times New Roman" w:cs="Times New Roman"/>
          <w:sz w:val="24"/>
          <w:szCs w:val="24"/>
        </w:rPr>
        <w:t xml:space="preserve">wydanie dokumentu </w:t>
      </w:r>
      <w:r w:rsidR="00FF5281" w:rsidRPr="00774FA7">
        <w:rPr>
          <w:rFonts w:ascii="Times New Roman" w:eastAsia="Calibri" w:hAnsi="Times New Roman" w:cs="Times New Roman"/>
          <w:sz w:val="24"/>
          <w:szCs w:val="24"/>
        </w:rPr>
        <w:t>stała się ostateczna, a w przypadku decyzji Szefa Urzędu - od dnia doręczenia tej decyzji</w:t>
      </w:r>
      <w:r w:rsidRPr="00774FA7">
        <w:rPr>
          <w:rFonts w:ascii="Times New Roman" w:eastAsia="Calibri" w:hAnsi="Times New Roman" w:cs="Times New Roman"/>
          <w:sz w:val="24"/>
          <w:szCs w:val="24"/>
        </w:rPr>
        <w:t xml:space="preserve"> </w:t>
      </w:r>
    </w:p>
    <w:p w14:paraId="34E5803E" w14:textId="03FAABFE" w:rsidR="00AE7344" w:rsidRPr="00774FA7" w:rsidRDefault="00570845"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Na mocy art. 9 ust. 6 </w:t>
      </w:r>
      <w:r w:rsidR="00797500" w:rsidRPr="00774FA7">
        <w:rPr>
          <w:rFonts w:ascii="Times New Roman" w:eastAsia="Calibri" w:hAnsi="Times New Roman" w:cs="Times New Roman"/>
          <w:sz w:val="24"/>
          <w:szCs w:val="24"/>
        </w:rPr>
        <w:t xml:space="preserve">i 8 </w:t>
      </w:r>
      <w:r w:rsidRPr="00774FA7">
        <w:rPr>
          <w:rFonts w:ascii="Times New Roman" w:eastAsia="Calibri" w:hAnsi="Times New Roman" w:cs="Times New Roman"/>
          <w:sz w:val="24"/>
          <w:szCs w:val="24"/>
        </w:rPr>
        <w:t xml:space="preserve">wprowadzono </w:t>
      </w:r>
      <w:r w:rsidR="00AE7344" w:rsidRPr="00774FA7">
        <w:rPr>
          <w:rFonts w:ascii="Times New Roman" w:eastAsia="Calibri" w:hAnsi="Times New Roman" w:cs="Times New Roman"/>
          <w:sz w:val="24"/>
          <w:szCs w:val="24"/>
        </w:rPr>
        <w:t>podstaw</w:t>
      </w:r>
      <w:r w:rsidR="00797500" w:rsidRPr="00774FA7">
        <w:rPr>
          <w:rFonts w:ascii="Times New Roman" w:eastAsia="Calibri" w:hAnsi="Times New Roman" w:cs="Times New Roman"/>
          <w:sz w:val="24"/>
          <w:szCs w:val="24"/>
        </w:rPr>
        <w:t>ę</w:t>
      </w:r>
      <w:r w:rsidRPr="00774FA7">
        <w:rPr>
          <w:rFonts w:ascii="Times New Roman" w:eastAsia="Calibri" w:hAnsi="Times New Roman" w:cs="Times New Roman"/>
          <w:sz w:val="24"/>
          <w:szCs w:val="24"/>
        </w:rPr>
        <w:t xml:space="preserve"> prawną</w:t>
      </w:r>
      <w:r w:rsidR="00797500" w:rsidRPr="00774FA7">
        <w:rPr>
          <w:rFonts w:ascii="Times New Roman" w:eastAsia="Calibri" w:hAnsi="Times New Roman" w:cs="Times New Roman"/>
          <w:sz w:val="24"/>
          <w:szCs w:val="24"/>
        </w:rPr>
        <w:t xml:space="preserve"> do</w:t>
      </w:r>
      <w:r w:rsidR="00AE7344"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unieważnienia ww.</w:t>
      </w:r>
      <w:r w:rsidR="00AE7344" w:rsidRPr="00774FA7">
        <w:rPr>
          <w:rFonts w:ascii="Times New Roman" w:eastAsia="Calibri" w:hAnsi="Times New Roman" w:cs="Times New Roman"/>
          <w:sz w:val="24"/>
          <w:szCs w:val="24"/>
        </w:rPr>
        <w:t xml:space="preserve"> zaświadczenia </w:t>
      </w:r>
      <w:r w:rsidRPr="00774FA7">
        <w:rPr>
          <w:rFonts w:ascii="Times New Roman" w:eastAsia="Calibri" w:hAnsi="Times New Roman" w:cs="Times New Roman"/>
          <w:sz w:val="24"/>
          <w:szCs w:val="24"/>
        </w:rPr>
        <w:t>w sytuacji</w:t>
      </w:r>
      <w:r w:rsidR="00AE7344" w:rsidRPr="00774FA7">
        <w:rPr>
          <w:rFonts w:ascii="Times New Roman" w:eastAsia="Calibri" w:hAnsi="Times New Roman" w:cs="Times New Roman"/>
          <w:sz w:val="24"/>
          <w:szCs w:val="24"/>
        </w:rPr>
        <w:t>, gdyby nie doszło do terminowego zwrotu</w:t>
      </w:r>
      <w:r w:rsidR="00797500" w:rsidRPr="00774FA7">
        <w:rPr>
          <w:rFonts w:ascii="Times New Roman" w:eastAsia="Calibri" w:hAnsi="Times New Roman" w:cs="Times New Roman"/>
          <w:sz w:val="24"/>
          <w:szCs w:val="24"/>
        </w:rPr>
        <w:t xml:space="preserve"> tego dokumentu</w:t>
      </w:r>
      <w:r w:rsidR="00AE7344" w:rsidRPr="00774FA7">
        <w:rPr>
          <w:rFonts w:ascii="Times New Roman" w:eastAsia="Calibri" w:hAnsi="Times New Roman" w:cs="Times New Roman"/>
          <w:sz w:val="24"/>
          <w:szCs w:val="24"/>
        </w:rPr>
        <w:t>. Organem właściwym do unieważnienia zaświadczenia będzie wojewoda, który to zaświadczenie wydał</w:t>
      </w:r>
      <w:r w:rsidR="00797500" w:rsidRPr="00774FA7">
        <w:rPr>
          <w:rFonts w:ascii="Times New Roman" w:eastAsia="Calibri" w:hAnsi="Times New Roman" w:cs="Times New Roman"/>
          <w:sz w:val="24"/>
          <w:szCs w:val="24"/>
        </w:rPr>
        <w:t xml:space="preserve"> (ust.</w:t>
      </w:r>
      <w:r w:rsidR="00A52C1F">
        <w:rPr>
          <w:rFonts w:ascii="Times New Roman" w:eastAsia="Calibri" w:hAnsi="Times New Roman" w:cs="Times New Roman"/>
          <w:sz w:val="24"/>
          <w:szCs w:val="24"/>
        </w:rPr>
        <w:t xml:space="preserve"> 7</w:t>
      </w:r>
      <w:r w:rsidR="00797500" w:rsidRPr="00774FA7">
        <w:rPr>
          <w:rFonts w:ascii="Times New Roman" w:eastAsia="Calibri" w:hAnsi="Times New Roman" w:cs="Times New Roman"/>
          <w:sz w:val="24"/>
          <w:szCs w:val="24"/>
        </w:rPr>
        <w:t>)</w:t>
      </w:r>
      <w:r w:rsidR="00F340C9" w:rsidRPr="00774FA7">
        <w:rPr>
          <w:rFonts w:ascii="Times New Roman" w:eastAsia="Calibri" w:hAnsi="Times New Roman" w:cs="Times New Roman"/>
          <w:sz w:val="24"/>
          <w:szCs w:val="24"/>
        </w:rPr>
        <w:t>.</w:t>
      </w:r>
    </w:p>
    <w:p w14:paraId="0AC4B952" w14:textId="28EF6D7E" w:rsidR="0073716C" w:rsidRPr="00774FA7" w:rsidRDefault="00BD274D"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10 </w:t>
      </w:r>
      <w:r w:rsidR="0073716C" w:rsidRPr="00774FA7">
        <w:rPr>
          <w:rFonts w:ascii="Times New Roman" w:eastAsia="Calibri" w:hAnsi="Times New Roman" w:cs="Times New Roman"/>
          <w:sz w:val="24"/>
          <w:szCs w:val="24"/>
        </w:rPr>
        <w:t xml:space="preserve">w ust. 1 </w:t>
      </w:r>
      <w:r w:rsidRPr="00774FA7">
        <w:rPr>
          <w:rFonts w:ascii="Times New Roman" w:eastAsia="Calibri" w:hAnsi="Times New Roman" w:cs="Times New Roman"/>
          <w:sz w:val="24"/>
          <w:szCs w:val="24"/>
        </w:rPr>
        <w:t>przewidziano delegację do wydania r</w:t>
      </w:r>
      <w:r w:rsidR="009A6C2F" w:rsidRPr="00774FA7">
        <w:rPr>
          <w:rFonts w:ascii="Times New Roman" w:eastAsia="Calibri" w:hAnsi="Times New Roman" w:cs="Times New Roman"/>
          <w:sz w:val="24"/>
          <w:szCs w:val="24"/>
        </w:rPr>
        <w:t xml:space="preserve">ozporządzenia określającego </w:t>
      </w:r>
      <w:r w:rsidR="0073716C" w:rsidRPr="00774FA7">
        <w:rPr>
          <w:rFonts w:ascii="Times New Roman" w:eastAsia="Calibri" w:hAnsi="Times New Roman" w:cs="Times New Roman"/>
          <w:sz w:val="24"/>
          <w:szCs w:val="24"/>
        </w:rPr>
        <w:t>wz</w:t>
      </w:r>
      <w:r w:rsidR="00F8461E" w:rsidRPr="00774FA7">
        <w:rPr>
          <w:rFonts w:ascii="Times New Roman" w:eastAsia="Calibri" w:hAnsi="Times New Roman" w:cs="Times New Roman"/>
          <w:sz w:val="24"/>
          <w:szCs w:val="24"/>
        </w:rPr>
        <w:t>ór</w:t>
      </w:r>
      <w:r w:rsidR="0073716C" w:rsidRPr="00774FA7">
        <w:rPr>
          <w:rFonts w:ascii="Times New Roman" w:eastAsia="Calibri" w:hAnsi="Times New Roman" w:cs="Times New Roman"/>
          <w:sz w:val="24"/>
          <w:szCs w:val="24"/>
        </w:rPr>
        <w:t xml:space="preserve"> zaświadczenia</w:t>
      </w:r>
      <w:r w:rsidR="00C77CE9">
        <w:rPr>
          <w:rFonts w:ascii="Times New Roman" w:eastAsia="Calibri" w:hAnsi="Times New Roman" w:cs="Times New Roman"/>
          <w:sz w:val="24"/>
          <w:szCs w:val="24"/>
        </w:rPr>
        <w:t xml:space="preserve"> </w:t>
      </w:r>
      <w:r w:rsidR="005A28D0">
        <w:rPr>
          <w:rFonts w:ascii="Times New Roman" w:eastAsia="Calibri" w:hAnsi="Times New Roman" w:cs="Times New Roman"/>
          <w:sz w:val="24"/>
          <w:szCs w:val="24"/>
        </w:rPr>
        <w:t xml:space="preserve">o złożeniu wniosku </w:t>
      </w:r>
      <w:r w:rsidR="00C77CE9">
        <w:rPr>
          <w:rFonts w:ascii="Times New Roman" w:eastAsia="Calibri" w:hAnsi="Times New Roman" w:cs="Times New Roman"/>
          <w:sz w:val="24"/>
          <w:szCs w:val="24"/>
        </w:rPr>
        <w:t>wydawanego w przypadkach, o których mowa w art. 9 ust. 1 i 2 projektu</w:t>
      </w:r>
      <w:r w:rsidR="0073716C" w:rsidRPr="00774FA7">
        <w:rPr>
          <w:rFonts w:ascii="Times New Roman" w:eastAsia="Calibri" w:hAnsi="Times New Roman" w:cs="Times New Roman"/>
          <w:sz w:val="24"/>
          <w:szCs w:val="24"/>
        </w:rPr>
        <w:t>. W ust. 2 przewidziano wytyczne do wydania ww. rozporządzenia.</w:t>
      </w:r>
    </w:p>
    <w:p w14:paraId="00FC6E0C" w14:textId="4B032CC4" w:rsidR="00570845" w:rsidRPr="00774FA7" w:rsidRDefault="00F340C9"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Projektowane w art. 1</w:t>
      </w:r>
      <w:r w:rsidR="00797500" w:rsidRPr="00774FA7">
        <w:rPr>
          <w:rFonts w:ascii="Times New Roman" w:eastAsia="Calibri" w:hAnsi="Times New Roman" w:cs="Times New Roman"/>
          <w:sz w:val="24"/>
          <w:szCs w:val="24"/>
        </w:rPr>
        <w:t>1</w:t>
      </w:r>
      <w:r w:rsidR="00AF1306">
        <w:rPr>
          <w:rFonts w:ascii="Times New Roman" w:eastAsia="Calibri" w:hAnsi="Times New Roman" w:cs="Times New Roman"/>
          <w:sz w:val="24"/>
          <w:szCs w:val="24"/>
        </w:rPr>
        <w:t>-14</w:t>
      </w:r>
      <w:r w:rsidRPr="00774FA7">
        <w:rPr>
          <w:rFonts w:ascii="Times New Roman" w:eastAsia="Calibri" w:hAnsi="Times New Roman" w:cs="Times New Roman"/>
          <w:sz w:val="24"/>
          <w:szCs w:val="24"/>
        </w:rPr>
        <w:t xml:space="preserve"> regulacje intertemporalne mają na celu</w:t>
      </w:r>
      <w:r w:rsidR="00570845"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 xml:space="preserve">stabilizację stosunków społecznych wynikających z już udzielonych zezwoleń, wiz czy zaproszeń, </w:t>
      </w:r>
      <w:r w:rsidR="00AF1306">
        <w:rPr>
          <w:rFonts w:ascii="Times New Roman" w:eastAsia="Calibri" w:hAnsi="Times New Roman" w:cs="Times New Roman"/>
          <w:sz w:val="24"/>
          <w:szCs w:val="24"/>
        </w:rPr>
        <w:t>dotyczących</w:t>
      </w:r>
      <w:r w:rsidRPr="00774FA7">
        <w:rPr>
          <w:rFonts w:ascii="Times New Roman" w:eastAsia="Calibri" w:hAnsi="Times New Roman" w:cs="Times New Roman"/>
          <w:sz w:val="24"/>
          <w:szCs w:val="24"/>
        </w:rPr>
        <w:t xml:space="preserve"> obywateli Zjednoczonego Królestwa. </w:t>
      </w:r>
      <w:r w:rsidR="00570845" w:rsidRPr="00774FA7">
        <w:rPr>
          <w:rFonts w:ascii="Times New Roman" w:eastAsia="Calibri" w:hAnsi="Times New Roman" w:cs="Times New Roman"/>
          <w:sz w:val="24"/>
          <w:szCs w:val="24"/>
        </w:rPr>
        <w:t>W związku z powyższym</w:t>
      </w:r>
      <w:r w:rsidRPr="00774FA7">
        <w:rPr>
          <w:rFonts w:ascii="Times New Roman" w:eastAsia="Calibri" w:hAnsi="Times New Roman" w:cs="Times New Roman"/>
          <w:sz w:val="24"/>
          <w:szCs w:val="24"/>
        </w:rPr>
        <w:t xml:space="preserve"> proponuje się zachowanie ważności zaproszeń, które przed dniem wejścia w życie ustawy zostały wpisane do ewidencji zaproszeń na wniosek obywateli Zjednoczonego Królestwa</w:t>
      </w:r>
      <w:r w:rsidR="00570845"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jako obywateli państwa członkowskiego Unii Europejskiej, o który</w:t>
      </w:r>
      <w:r w:rsidR="00570845" w:rsidRPr="00774FA7">
        <w:rPr>
          <w:rFonts w:ascii="Times New Roman" w:eastAsia="Calibri" w:hAnsi="Times New Roman" w:cs="Times New Roman"/>
          <w:sz w:val="24"/>
          <w:szCs w:val="24"/>
        </w:rPr>
        <w:t>ch</w:t>
      </w:r>
      <w:r w:rsidRPr="00774FA7">
        <w:rPr>
          <w:rFonts w:ascii="Times New Roman" w:eastAsia="Calibri" w:hAnsi="Times New Roman" w:cs="Times New Roman"/>
          <w:sz w:val="24"/>
          <w:szCs w:val="24"/>
        </w:rPr>
        <w:t xml:space="preserve"> mowa w art. 49 ust. 2 pkt 1 ustawy o cudzoziemcach</w:t>
      </w:r>
      <w:r w:rsidR="00AF1306">
        <w:rPr>
          <w:rFonts w:ascii="Times New Roman" w:eastAsia="Calibri" w:hAnsi="Times New Roman" w:cs="Times New Roman"/>
          <w:sz w:val="24"/>
          <w:szCs w:val="24"/>
        </w:rPr>
        <w:t xml:space="preserve"> (art. 11)</w:t>
      </w:r>
      <w:r w:rsidRPr="00774FA7">
        <w:rPr>
          <w:rFonts w:ascii="Times New Roman" w:eastAsia="Calibri" w:hAnsi="Times New Roman" w:cs="Times New Roman"/>
          <w:sz w:val="24"/>
          <w:szCs w:val="24"/>
        </w:rPr>
        <w:t xml:space="preserve">. Ma to przeciwdziałać wystąpieniu przesłanki unieważnienia wpisania zaproszenia do ewidencji zaproszeń wynikającej z art. 50 ust. 1 pkt 1 tej ustawy. </w:t>
      </w:r>
    </w:p>
    <w:p w14:paraId="2FFDC266" w14:textId="4F86F0A6" w:rsidR="00570845" w:rsidRPr="00774FA7" w:rsidRDefault="00F340C9"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Ponadto, proponuje się zachowanie ważności wiz, które zostały wydane członkom rodzin obywateli Zjednoczonego Królestwa, które zostały wydane w związku z zamiarem dołączenia do tych obywateli jako obywateli państwa członkowskiego Unii Europejskiej (art. 60 ust. 1 pkt 17 ustawy o cudzoziemcach), co ma przeciwdziałać wystąpieniu przesłanki cofnięcia takich wiz</w:t>
      </w:r>
      <w:r w:rsidR="001942E0" w:rsidRPr="00774FA7">
        <w:rPr>
          <w:rFonts w:ascii="Times New Roman" w:eastAsia="Calibri" w:hAnsi="Times New Roman" w:cs="Times New Roman"/>
          <w:sz w:val="24"/>
          <w:szCs w:val="24"/>
        </w:rPr>
        <w:t xml:space="preserve"> (art. 12)</w:t>
      </w:r>
      <w:r w:rsidRPr="00774FA7">
        <w:rPr>
          <w:rFonts w:ascii="Times New Roman" w:eastAsia="Calibri" w:hAnsi="Times New Roman" w:cs="Times New Roman"/>
          <w:sz w:val="24"/>
          <w:szCs w:val="24"/>
        </w:rPr>
        <w:t xml:space="preserve">. </w:t>
      </w:r>
    </w:p>
    <w:p w14:paraId="49B670DD" w14:textId="0A628DE4" w:rsidR="00F340C9" w:rsidRPr="00774FA7" w:rsidRDefault="00570845"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w:t>
      </w:r>
      <w:r w:rsidR="00F340C9" w:rsidRPr="00774FA7">
        <w:rPr>
          <w:rFonts w:ascii="Times New Roman" w:eastAsia="Calibri" w:hAnsi="Times New Roman" w:cs="Times New Roman"/>
          <w:sz w:val="24"/>
          <w:szCs w:val="24"/>
        </w:rPr>
        <w:t>roponuje się</w:t>
      </w:r>
      <w:r w:rsidRPr="00774FA7">
        <w:rPr>
          <w:rFonts w:ascii="Times New Roman" w:eastAsia="Calibri" w:hAnsi="Times New Roman" w:cs="Times New Roman"/>
          <w:sz w:val="24"/>
          <w:szCs w:val="24"/>
        </w:rPr>
        <w:t xml:space="preserve"> również</w:t>
      </w:r>
      <w:r w:rsidR="00F340C9" w:rsidRPr="00774FA7">
        <w:rPr>
          <w:rFonts w:ascii="Times New Roman" w:eastAsia="Calibri" w:hAnsi="Times New Roman" w:cs="Times New Roman"/>
          <w:sz w:val="24"/>
          <w:szCs w:val="24"/>
        </w:rPr>
        <w:t xml:space="preserve"> zachowanie ważności zezwoleń na pobyt czasowy udzielonych na podstawie art. 160 pkt 1 i 3 ustawy o cudzoziemcach cudzoziemcom będącym innymi członkami rodziny obywateli Zjednoczonego Królestwa (jako obywateli państwa członkowskiego Unii Europejskiej) lub osobami prowadzącymi z nimi życie rodzinne w rozumieniu Konwencji o ochronie praw człowieka i podstawowych wolności na terytorium Rzeczypospolitej Polskiej</w:t>
      </w:r>
      <w:r w:rsidR="00E84886" w:rsidRPr="00774FA7">
        <w:rPr>
          <w:rFonts w:ascii="Times New Roman" w:eastAsia="Calibri" w:hAnsi="Times New Roman" w:cs="Times New Roman"/>
          <w:sz w:val="24"/>
          <w:szCs w:val="24"/>
        </w:rPr>
        <w:t>. Powyższe</w:t>
      </w:r>
      <w:r w:rsidR="00F340C9" w:rsidRPr="00774FA7">
        <w:rPr>
          <w:rFonts w:ascii="Times New Roman" w:eastAsia="Calibri" w:hAnsi="Times New Roman" w:cs="Times New Roman"/>
          <w:sz w:val="24"/>
          <w:szCs w:val="24"/>
        </w:rPr>
        <w:t xml:space="preserve"> ma przeciwdziałać wystąpieniu przesłanki cofnięcia takich zezwoleń w oparciu o art. 101 pkt 2 ww. ustawy</w:t>
      </w:r>
      <w:r w:rsidR="001942E0" w:rsidRPr="00774FA7">
        <w:rPr>
          <w:rFonts w:ascii="Times New Roman" w:eastAsia="Calibri" w:hAnsi="Times New Roman" w:cs="Times New Roman"/>
          <w:sz w:val="24"/>
          <w:szCs w:val="24"/>
        </w:rPr>
        <w:t xml:space="preserve"> (art. 13)</w:t>
      </w:r>
      <w:r w:rsidR="00F340C9" w:rsidRPr="00774FA7">
        <w:rPr>
          <w:rFonts w:ascii="Times New Roman" w:eastAsia="Calibri" w:hAnsi="Times New Roman" w:cs="Times New Roman"/>
          <w:sz w:val="24"/>
          <w:szCs w:val="24"/>
        </w:rPr>
        <w:t>.</w:t>
      </w:r>
    </w:p>
    <w:p w14:paraId="595AE19E" w14:textId="386BCD8B" w:rsidR="00D22C5A" w:rsidRPr="00774FA7" w:rsidRDefault="00D22C5A"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Przepis art. 1</w:t>
      </w:r>
      <w:r w:rsidR="001942E0" w:rsidRPr="00774FA7">
        <w:rPr>
          <w:rFonts w:ascii="Times New Roman" w:eastAsia="Calibri" w:hAnsi="Times New Roman" w:cs="Times New Roman"/>
          <w:sz w:val="24"/>
          <w:szCs w:val="24"/>
        </w:rPr>
        <w:t>4</w:t>
      </w:r>
      <w:r w:rsidRPr="00774FA7">
        <w:rPr>
          <w:rFonts w:ascii="Times New Roman" w:eastAsia="Calibri" w:hAnsi="Times New Roman" w:cs="Times New Roman"/>
          <w:sz w:val="24"/>
          <w:szCs w:val="24"/>
        </w:rPr>
        <w:t xml:space="preserve"> projektu ma na celu utrzymanie ważności zezwoleń na pobyt stały, które na podstawie przepisów dotychczasowych zostały udzielone obywatelom Zjednoczonego Królestwa i dotąd utrzymały ważność. Należy mieć na uwadze, że ustawa o wjeździe obywateli UE weszła w życie z dniem 26 sierpnia 2006 r. W art. 97 ust. 2 ustawa ta </w:t>
      </w:r>
      <w:r w:rsidRPr="00774FA7">
        <w:rPr>
          <w:rFonts w:ascii="Times New Roman" w:eastAsia="Calibri" w:hAnsi="Times New Roman" w:cs="Times New Roman"/>
          <w:sz w:val="24"/>
          <w:szCs w:val="24"/>
        </w:rPr>
        <w:lastRenderedPageBreak/>
        <w:t xml:space="preserve">zawiera bardzo szeroką normę prawną, z której wynika podstawa do utrzymania w obrocie prawnym zezwoleń udzielonych dotąd cudzoziemcom posiadającym obecnie status obywateli UE na mocy przepisów ustaw regulujących wjazd i pobyt cudzoziemców na terytorium Rzeczypospolitej Polskiej, tj. ustawy z dnia 29 marca 1963 r. o cudzoziemcach (Dz. U. z 1992 r. poz. 30, z </w:t>
      </w:r>
      <w:proofErr w:type="spellStart"/>
      <w:r w:rsidRPr="00774FA7">
        <w:rPr>
          <w:rFonts w:ascii="Times New Roman" w:eastAsia="Calibri" w:hAnsi="Times New Roman" w:cs="Times New Roman"/>
          <w:sz w:val="24"/>
          <w:szCs w:val="24"/>
        </w:rPr>
        <w:t>późn</w:t>
      </w:r>
      <w:proofErr w:type="spellEnd"/>
      <w:r w:rsidRPr="00774FA7">
        <w:rPr>
          <w:rFonts w:ascii="Times New Roman" w:eastAsia="Calibri" w:hAnsi="Times New Roman" w:cs="Times New Roman"/>
          <w:sz w:val="24"/>
          <w:szCs w:val="24"/>
        </w:rPr>
        <w:t xml:space="preserve">. zm.), ustawy z dnia 25 czerwca 1997 r. o cudzoziemcach (Dz. U. z 2001 r. poz. 1400, z </w:t>
      </w:r>
      <w:proofErr w:type="spellStart"/>
      <w:r w:rsidRPr="00774FA7">
        <w:rPr>
          <w:rFonts w:ascii="Times New Roman" w:eastAsia="Calibri" w:hAnsi="Times New Roman" w:cs="Times New Roman"/>
          <w:sz w:val="24"/>
          <w:szCs w:val="24"/>
        </w:rPr>
        <w:t>późn</w:t>
      </w:r>
      <w:proofErr w:type="spellEnd"/>
      <w:r w:rsidRPr="00774FA7">
        <w:rPr>
          <w:rFonts w:ascii="Times New Roman" w:eastAsia="Calibri" w:hAnsi="Times New Roman" w:cs="Times New Roman"/>
          <w:sz w:val="24"/>
          <w:szCs w:val="24"/>
        </w:rPr>
        <w:t xml:space="preserve">. zm.), ustawy z dnia 13 czerwca 2003 r. o cudzoziemcach (Dz. U. poz. 1175, z </w:t>
      </w:r>
      <w:proofErr w:type="spellStart"/>
      <w:r w:rsidRPr="00774FA7">
        <w:rPr>
          <w:rFonts w:ascii="Times New Roman" w:eastAsia="Calibri" w:hAnsi="Times New Roman" w:cs="Times New Roman"/>
          <w:sz w:val="24"/>
          <w:szCs w:val="24"/>
        </w:rPr>
        <w:t>późn</w:t>
      </w:r>
      <w:proofErr w:type="spellEnd"/>
      <w:r w:rsidRPr="00774FA7">
        <w:rPr>
          <w:rFonts w:ascii="Times New Roman" w:eastAsia="Calibri" w:hAnsi="Times New Roman" w:cs="Times New Roman"/>
          <w:sz w:val="24"/>
          <w:szCs w:val="24"/>
        </w:rPr>
        <w:t>. zm.). Przepis ten stanowi, że w przypadku obywateli UE zachowują ważność zezwolenia na osiedlenie się na okres, na jaki zostały wydane, o ile ustawy nie stanowią inaczej. W związku z tym, że zezwolenia na osiedlenie się na podstawie przepisów ww</w:t>
      </w:r>
      <w:r w:rsidR="00E84886"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ustaw były </w:t>
      </w:r>
      <w:r w:rsidR="00E84886" w:rsidRPr="00774FA7">
        <w:rPr>
          <w:rFonts w:ascii="Times New Roman" w:eastAsia="Calibri" w:hAnsi="Times New Roman" w:cs="Times New Roman"/>
          <w:sz w:val="24"/>
          <w:szCs w:val="24"/>
        </w:rPr>
        <w:t xml:space="preserve">udzielane </w:t>
      </w:r>
      <w:r w:rsidRPr="00774FA7">
        <w:rPr>
          <w:rFonts w:ascii="Times New Roman" w:eastAsia="Calibri" w:hAnsi="Times New Roman" w:cs="Times New Roman"/>
          <w:sz w:val="24"/>
          <w:szCs w:val="24"/>
        </w:rPr>
        <w:t>na czas nieoznaczony (np. art. 19 ust. 4 ustawy z dnia 25 czerwca 1997 r. o cudzoziemcach; art. 64 ust. 5 ustawy z dnia 13 czerwca 2003 r. o cudzoziemcach; art. 13 ust. 1 ustawy z dnia 29 marca 1963 r. o cudzoziemcach w odniesieniu do zezwoleń na stały pobyt/zamieszkanie/, które następnie stało się zezwoleniem na osiedlenie się), a każda kolejna z tych ustaw utrzymywała w obrocie prawnym te zezwolenia na okres, na jaki zostały wydane/udzielone (art. 110 ust. 1 ustawy z dnia 25 czerwca 1997 r. o cudzoziemcach, art. 156 ust. 1 ustawy z dnia 13 czerwca 2003 r. o cudzoziemcach), czyli na czas nieoznaczony, to jeżeli cudzoziemiec posiadający takie zezwolenie w chwili wejścia w życie ustawy z dnia 14 lipca 2006 r. o wjeździe na terytorium Rzeczypospolitej Polskiej, pobycie oraz wyjeździe z tego terytorium obywateli państw członkowskich Unii Europejskiej i członków ich rodzin był obywatelem UE, zachowywał to zezwolenie właśnie na czas nieoznaczony, tj. na okres nieograniczony w czasie żadnym terminem (do momentu cofnięcia albo wygaśnięcia tego zezwolenia w przypadkach przewidzianych w przepisach prawa albo wyeliminowania go z obrotu prawnego w inny sposób). W konsekwencji, mając na uwadze to, że z dniem wejścia w życie ustawy o cudzoziemcach, na mocy jej art. 507 pkt 2, wszystkie zezwolenia na osiedlenie się stały się zezwoleniami na pobyt stały,  przyjąć należy, że cudzoziemcy (obywatele UE), którzy wywodzą swoje uprawnienie (utrzymanie uprawnienia) z art. 97 ust. 2 ustawy o wjeździe obywatel</w:t>
      </w:r>
      <w:r w:rsidR="00AF1306">
        <w:rPr>
          <w:rFonts w:ascii="Times New Roman" w:eastAsia="Calibri" w:hAnsi="Times New Roman" w:cs="Times New Roman"/>
          <w:sz w:val="24"/>
          <w:szCs w:val="24"/>
        </w:rPr>
        <w:t>i</w:t>
      </w:r>
      <w:r w:rsidRPr="00774FA7">
        <w:rPr>
          <w:rFonts w:ascii="Times New Roman" w:eastAsia="Calibri" w:hAnsi="Times New Roman" w:cs="Times New Roman"/>
          <w:sz w:val="24"/>
          <w:szCs w:val="24"/>
        </w:rPr>
        <w:t xml:space="preserve"> UE, posiadają obecnie zezwolenie na pobyt stały. Status wynikający z utrzymania ważności zezwolenia bezterminowego udzielonego cudzoziemcowi jeszcze w okresie, gdy brak było szczególnych rozwiązań w zakresie wjazdu i pobytu obywateli Unii i cudzoziemców z nimi zrównanych, jest w tym przypadku statusem dodatkowym względem statusu wynikającego z tego,</w:t>
      </w:r>
      <w:r w:rsidR="00E84886" w:rsidRPr="00774FA7">
        <w:rPr>
          <w:rFonts w:ascii="Times New Roman" w:eastAsia="Calibri" w:hAnsi="Times New Roman" w:cs="Times New Roman"/>
          <w:sz w:val="24"/>
          <w:szCs w:val="24"/>
        </w:rPr>
        <w:t xml:space="preserve"> że</w:t>
      </w:r>
      <w:r w:rsidRPr="00774FA7">
        <w:rPr>
          <w:rFonts w:ascii="Times New Roman" w:eastAsia="Calibri" w:hAnsi="Times New Roman" w:cs="Times New Roman"/>
          <w:sz w:val="24"/>
          <w:szCs w:val="24"/>
        </w:rPr>
        <w:t xml:space="preserve"> </w:t>
      </w:r>
      <w:r w:rsidR="00AF1306">
        <w:rPr>
          <w:rFonts w:ascii="Times New Roman" w:eastAsia="Calibri" w:hAnsi="Times New Roman" w:cs="Times New Roman"/>
          <w:sz w:val="24"/>
          <w:szCs w:val="24"/>
        </w:rPr>
        <w:t>są oni</w:t>
      </w:r>
      <w:r w:rsidRPr="00774FA7">
        <w:rPr>
          <w:rFonts w:ascii="Times New Roman" w:eastAsia="Calibri" w:hAnsi="Times New Roman" w:cs="Times New Roman"/>
          <w:sz w:val="24"/>
          <w:szCs w:val="24"/>
        </w:rPr>
        <w:t xml:space="preserve"> obywatel</w:t>
      </w:r>
      <w:r w:rsidR="00AF1306">
        <w:rPr>
          <w:rFonts w:ascii="Times New Roman" w:eastAsia="Calibri" w:hAnsi="Times New Roman" w:cs="Times New Roman"/>
          <w:sz w:val="24"/>
          <w:szCs w:val="24"/>
        </w:rPr>
        <w:t>a</w:t>
      </w:r>
      <w:r w:rsidRPr="00774FA7">
        <w:rPr>
          <w:rFonts w:ascii="Times New Roman" w:eastAsia="Calibri" w:hAnsi="Times New Roman" w:cs="Times New Roman"/>
          <w:sz w:val="24"/>
          <w:szCs w:val="24"/>
        </w:rPr>
        <w:t>m</w:t>
      </w:r>
      <w:r w:rsidR="00AF1306">
        <w:rPr>
          <w:rFonts w:ascii="Times New Roman" w:eastAsia="Calibri" w:hAnsi="Times New Roman" w:cs="Times New Roman"/>
          <w:sz w:val="24"/>
          <w:szCs w:val="24"/>
        </w:rPr>
        <w:t>i</w:t>
      </w:r>
      <w:r w:rsidRPr="00774FA7">
        <w:rPr>
          <w:rFonts w:ascii="Times New Roman" w:eastAsia="Calibri" w:hAnsi="Times New Roman" w:cs="Times New Roman"/>
          <w:sz w:val="24"/>
          <w:szCs w:val="24"/>
        </w:rPr>
        <w:t xml:space="preserve"> Unii. W związku z powyższym, mając na uwadze fakt, że w projekcie</w:t>
      </w:r>
      <w:r w:rsidR="00E84886"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jako rozwiązanie docelowe</w:t>
      </w:r>
      <w:r w:rsidR="00E84886"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przewiduje się zrównanie beneficjentów Umowy wystąpienia z obywatelami UE, projektodawca proponuje dodanie przepisu, który w dalszym ciągu utrzyma ważność zezwoleń udzielonych tym obywatelom jeszcze przed dniem wejścia w życie ustawy o wjeździe obywateli UE. </w:t>
      </w:r>
    </w:p>
    <w:p w14:paraId="5D7EDC12" w14:textId="4B45E7C6" w:rsidR="001942E0" w:rsidRPr="00774FA7" w:rsidRDefault="00BD274D" w:rsidP="004F6DC6">
      <w:pPr>
        <w:spacing w:after="0" w:line="288" w:lineRule="auto"/>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W art. 15 </w:t>
      </w:r>
      <w:r w:rsidR="00100898" w:rsidRPr="00774FA7">
        <w:rPr>
          <w:rFonts w:ascii="Times New Roman" w:eastAsia="Calibri" w:hAnsi="Times New Roman" w:cs="Times New Roman"/>
          <w:sz w:val="24"/>
          <w:szCs w:val="24"/>
        </w:rPr>
        <w:t xml:space="preserve">w ust. 1 </w:t>
      </w:r>
      <w:r w:rsidRPr="00774FA7">
        <w:rPr>
          <w:rFonts w:ascii="Times New Roman" w:eastAsia="Calibri" w:hAnsi="Times New Roman" w:cs="Times New Roman"/>
          <w:sz w:val="24"/>
          <w:szCs w:val="24"/>
        </w:rPr>
        <w:t xml:space="preserve">przewidziano obowiązek zarejestrowania </w:t>
      </w:r>
      <w:r w:rsidR="00100898" w:rsidRPr="00774FA7">
        <w:rPr>
          <w:rFonts w:ascii="Times New Roman" w:eastAsia="Calibri" w:hAnsi="Times New Roman" w:cs="Times New Roman"/>
          <w:sz w:val="24"/>
          <w:szCs w:val="24"/>
        </w:rPr>
        <w:t xml:space="preserve">do dnia </w:t>
      </w:r>
      <w:r w:rsidR="0096631F">
        <w:rPr>
          <w:rFonts w:ascii="Times New Roman" w:eastAsia="Calibri" w:hAnsi="Times New Roman" w:cs="Times New Roman"/>
          <w:sz w:val="24"/>
          <w:szCs w:val="24"/>
        </w:rPr>
        <w:t>3</w:t>
      </w:r>
      <w:r w:rsidR="00100898" w:rsidRPr="00774FA7">
        <w:rPr>
          <w:rFonts w:ascii="Times New Roman" w:eastAsia="Calibri" w:hAnsi="Times New Roman" w:cs="Times New Roman"/>
          <w:sz w:val="24"/>
          <w:szCs w:val="24"/>
        </w:rPr>
        <w:t xml:space="preserve">1 </w:t>
      </w:r>
      <w:r w:rsidR="0096631F">
        <w:rPr>
          <w:rFonts w:ascii="Times New Roman" w:eastAsia="Calibri" w:hAnsi="Times New Roman" w:cs="Times New Roman"/>
          <w:sz w:val="24"/>
          <w:szCs w:val="24"/>
        </w:rPr>
        <w:t>grudnia</w:t>
      </w:r>
      <w:r w:rsidR="00100898" w:rsidRPr="00774FA7">
        <w:rPr>
          <w:rFonts w:ascii="Times New Roman" w:eastAsia="Calibri" w:hAnsi="Times New Roman" w:cs="Times New Roman"/>
          <w:sz w:val="24"/>
          <w:szCs w:val="24"/>
        </w:rPr>
        <w:t xml:space="preserve"> </w:t>
      </w:r>
      <w:r w:rsidR="0096631F" w:rsidRPr="00774FA7">
        <w:rPr>
          <w:rFonts w:ascii="Times New Roman" w:eastAsia="Calibri" w:hAnsi="Times New Roman" w:cs="Times New Roman"/>
          <w:sz w:val="24"/>
          <w:szCs w:val="24"/>
        </w:rPr>
        <w:t>202</w:t>
      </w:r>
      <w:r w:rsidR="0096631F">
        <w:rPr>
          <w:rFonts w:ascii="Times New Roman" w:eastAsia="Calibri" w:hAnsi="Times New Roman" w:cs="Times New Roman"/>
          <w:sz w:val="24"/>
          <w:szCs w:val="24"/>
        </w:rPr>
        <w:t>1</w:t>
      </w:r>
      <w:r w:rsidR="0096631F" w:rsidRPr="00774FA7">
        <w:rPr>
          <w:rFonts w:ascii="Times New Roman" w:eastAsia="Calibri" w:hAnsi="Times New Roman" w:cs="Times New Roman"/>
          <w:sz w:val="24"/>
          <w:szCs w:val="24"/>
        </w:rPr>
        <w:t xml:space="preserve"> </w:t>
      </w:r>
      <w:r w:rsidR="00100898" w:rsidRPr="00774FA7">
        <w:rPr>
          <w:rFonts w:ascii="Times New Roman" w:eastAsia="Calibri" w:hAnsi="Times New Roman" w:cs="Times New Roman"/>
          <w:sz w:val="24"/>
          <w:szCs w:val="24"/>
        </w:rPr>
        <w:t xml:space="preserve">r. </w:t>
      </w:r>
      <w:r w:rsidRPr="00774FA7">
        <w:rPr>
          <w:rFonts w:ascii="Times New Roman" w:eastAsia="Calibri" w:hAnsi="Times New Roman" w:cs="Times New Roman"/>
          <w:sz w:val="24"/>
          <w:szCs w:val="24"/>
        </w:rPr>
        <w:t>pobytu obywatela Zjednoczonego Królestwa będąc</w:t>
      </w:r>
      <w:r w:rsidR="00FE3C61" w:rsidRPr="00774FA7">
        <w:rPr>
          <w:rFonts w:ascii="Times New Roman" w:eastAsia="Calibri" w:hAnsi="Times New Roman" w:cs="Times New Roman"/>
          <w:sz w:val="24"/>
          <w:szCs w:val="24"/>
        </w:rPr>
        <w:t>ego</w:t>
      </w:r>
      <w:r w:rsidRPr="00774FA7">
        <w:rPr>
          <w:rFonts w:ascii="Times New Roman" w:eastAsia="Calibri" w:hAnsi="Times New Roman" w:cs="Times New Roman"/>
          <w:sz w:val="24"/>
          <w:szCs w:val="24"/>
        </w:rPr>
        <w:t xml:space="preserve"> pracownikiem przygranicznym, o którym mowa w art. 9 lit. b Umowy </w:t>
      </w:r>
      <w:r w:rsidR="008C7E61">
        <w:rPr>
          <w:rFonts w:ascii="Times New Roman" w:eastAsia="Calibri" w:hAnsi="Times New Roman" w:cs="Times New Roman"/>
          <w:sz w:val="24"/>
          <w:szCs w:val="24"/>
        </w:rPr>
        <w:t>w</w:t>
      </w:r>
      <w:r w:rsidRPr="00774FA7">
        <w:rPr>
          <w:rFonts w:ascii="Times New Roman" w:eastAsia="Calibri" w:hAnsi="Times New Roman" w:cs="Times New Roman"/>
          <w:sz w:val="24"/>
          <w:szCs w:val="24"/>
        </w:rPr>
        <w:t>ystąpienia</w:t>
      </w:r>
      <w:r w:rsidR="00FE3C61"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w:t>
      </w:r>
      <w:r w:rsidR="00100898" w:rsidRPr="00774FA7">
        <w:rPr>
          <w:rFonts w:ascii="Times New Roman" w:eastAsia="Calibri" w:hAnsi="Times New Roman" w:cs="Times New Roman"/>
          <w:sz w:val="24"/>
          <w:szCs w:val="24"/>
        </w:rPr>
        <w:t xml:space="preserve">który przed dniem 31 grudnia 2020 r. wykonywał pracę lub prowadził inną działalność zarobkową we własnym imieniu i na własny rachunek na terytorium Rzeczypospolitej Polskiej i nie podlegał obowiązkowi rejestracji pobytu, po tym dniu nadal wykonuje pracę lub prowadzi taką działalność na tym terytorium i jednocześnie na nim nie zamieszkuje. W ust. 2 zaś umożliwiono stosowanie do ww. </w:t>
      </w:r>
      <w:r w:rsidR="00100898" w:rsidRPr="00774FA7">
        <w:rPr>
          <w:rFonts w:ascii="Times New Roman" w:eastAsia="Calibri" w:hAnsi="Times New Roman" w:cs="Times New Roman"/>
          <w:sz w:val="24"/>
          <w:szCs w:val="24"/>
        </w:rPr>
        <w:lastRenderedPageBreak/>
        <w:t xml:space="preserve">obowiązku rejestracji odpowiednio przepisów art. 65c-art. </w:t>
      </w:r>
      <w:r w:rsidR="00D40414" w:rsidRPr="00774FA7">
        <w:rPr>
          <w:rFonts w:ascii="Times New Roman" w:eastAsia="Calibri" w:hAnsi="Times New Roman" w:cs="Times New Roman"/>
          <w:sz w:val="24"/>
          <w:szCs w:val="24"/>
        </w:rPr>
        <w:t>65</w:t>
      </w:r>
      <w:r w:rsidR="00D40414">
        <w:rPr>
          <w:rFonts w:ascii="Times New Roman" w:eastAsia="Calibri" w:hAnsi="Times New Roman" w:cs="Times New Roman"/>
          <w:sz w:val="24"/>
          <w:szCs w:val="24"/>
        </w:rPr>
        <w:t>g</w:t>
      </w:r>
      <w:r w:rsidR="00D40414" w:rsidRPr="00774FA7">
        <w:rPr>
          <w:rFonts w:ascii="Times New Roman" w:eastAsia="Calibri" w:hAnsi="Times New Roman" w:cs="Times New Roman"/>
          <w:sz w:val="24"/>
          <w:szCs w:val="24"/>
        </w:rPr>
        <w:t xml:space="preserve"> </w:t>
      </w:r>
      <w:r w:rsidR="00D40414" w:rsidRPr="00D40414">
        <w:rPr>
          <w:rFonts w:ascii="Times New Roman" w:eastAsia="Calibri" w:hAnsi="Times New Roman" w:cs="Times New Roman"/>
          <w:sz w:val="24"/>
          <w:szCs w:val="24"/>
        </w:rPr>
        <w:t xml:space="preserve">oraz przepisy wydane na podstawie art. 65h </w:t>
      </w:r>
      <w:r w:rsidR="00100898" w:rsidRPr="00774FA7">
        <w:rPr>
          <w:rFonts w:ascii="Times New Roman" w:eastAsia="Calibri" w:hAnsi="Times New Roman" w:cs="Times New Roman"/>
          <w:sz w:val="24"/>
          <w:szCs w:val="24"/>
        </w:rPr>
        <w:t xml:space="preserve">ustawy </w:t>
      </w:r>
      <w:r w:rsidR="00AF1306">
        <w:rPr>
          <w:rFonts w:ascii="Times New Roman" w:eastAsia="Calibri" w:hAnsi="Times New Roman" w:cs="Times New Roman"/>
          <w:sz w:val="24"/>
          <w:szCs w:val="24"/>
        </w:rPr>
        <w:t>o wjeździe obywateli UE</w:t>
      </w:r>
      <w:r w:rsidR="00100898" w:rsidRPr="00774FA7">
        <w:rPr>
          <w:rFonts w:ascii="Times New Roman" w:eastAsia="Calibri" w:hAnsi="Times New Roman" w:cs="Times New Roman"/>
          <w:sz w:val="24"/>
          <w:szCs w:val="24"/>
        </w:rPr>
        <w:t>.</w:t>
      </w:r>
    </w:p>
    <w:p w14:paraId="45250CD5" w14:textId="77777777" w:rsidR="005A28D0" w:rsidRDefault="00076C40" w:rsidP="004F6DC6">
      <w:pPr>
        <w:spacing w:after="0" w:line="288" w:lineRule="auto"/>
        <w:ind w:firstLine="709"/>
        <w:jc w:val="both"/>
        <w:rPr>
          <w:rFonts w:ascii="Times New Roman" w:eastAsia="Times New Roman" w:hAnsi="Times New Roman" w:cs="Arial"/>
          <w:sz w:val="24"/>
          <w:szCs w:val="20"/>
          <w:lang w:eastAsia="pl-PL"/>
        </w:rPr>
      </w:pPr>
      <w:r w:rsidRPr="00774FA7">
        <w:rPr>
          <w:rFonts w:ascii="Times New Roman" w:eastAsia="Calibri" w:hAnsi="Times New Roman" w:cs="Times New Roman"/>
          <w:sz w:val="24"/>
          <w:szCs w:val="24"/>
        </w:rPr>
        <w:t xml:space="preserve">Ponadto w przepisach przejściowych </w:t>
      </w:r>
      <w:r w:rsidR="00472E81" w:rsidRPr="00774FA7">
        <w:rPr>
          <w:rFonts w:ascii="Times New Roman" w:eastAsia="Calibri" w:hAnsi="Times New Roman" w:cs="Times New Roman"/>
          <w:sz w:val="24"/>
          <w:szCs w:val="24"/>
        </w:rPr>
        <w:t>– w art. 16 ust. 1</w:t>
      </w:r>
      <w:r w:rsidR="009A6C2F" w:rsidRPr="00774FA7">
        <w:rPr>
          <w:rFonts w:ascii="Times New Roman" w:eastAsia="Calibri" w:hAnsi="Times New Roman" w:cs="Times New Roman"/>
          <w:sz w:val="24"/>
          <w:szCs w:val="24"/>
        </w:rPr>
        <w:t xml:space="preserve"> </w:t>
      </w:r>
      <w:r w:rsidR="00472E81" w:rsidRPr="00774FA7">
        <w:rPr>
          <w:rFonts w:ascii="Times New Roman" w:eastAsia="Calibri" w:hAnsi="Times New Roman" w:cs="Times New Roman"/>
          <w:sz w:val="24"/>
          <w:szCs w:val="24"/>
        </w:rPr>
        <w:t xml:space="preserve">– </w:t>
      </w:r>
      <w:r w:rsidRPr="00774FA7">
        <w:rPr>
          <w:rFonts w:ascii="Times New Roman" w:eastAsia="Calibri" w:hAnsi="Times New Roman" w:cs="Times New Roman"/>
          <w:sz w:val="24"/>
          <w:szCs w:val="24"/>
        </w:rPr>
        <w:t>przyjęto zasadę, że do postępowań administracyjnych, których nie zakończono do dnia wejścia w życie projektowanej ustawy decyzją ostateczną, a które zostały wszczęte przed tym dniem na podstawie ustaw zmienianych w niniejszej ustawie</w:t>
      </w:r>
      <w:r w:rsidR="00A161B1" w:rsidRPr="00774FA7">
        <w:rPr>
          <w:rFonts w:ascii="Times New Roman" w:eastAsia="Calibri" w:hAnsi="Times New Roman" w:cs="Times New Roman"/>
          <w:sz w:val="24"/>
          <w:szCs w:val="24"/>
        </w:rPr>
        <w:t>,</w:t>
      </w:r>
      <w:r w:rsidRPr="00774FA7">
        <w:rPr>
          <w:rFonts w:ascii="Times New Roman" w:eastAsia="Calibri" w:hAnsi="Times New Roman" w:cs="Times New Roman"/>
          <w:sz w:val="24"/>
          <w:szCs w:val="24"/>
        </w:rPr>
        <w:t xml:space="preserve"> stosuje się przepisy dotychczasowe. </w:t>
      </w:r>
      <w:r w:rsidR="00BA67F8">
        <w:rPr>
          <w:rFonts w:ascii="Times New Roman" w:eastAsia="Calibri" w:hAnsi="Times New Roman" w:cs="Times New Roman"/>
          <w:sz w:val="24"/>
          <w:szCs w:val="24"/>
        </w:rPr>
        <w:t xml:space="preserve">Odstępstwa od tej zasady przewidziano w </w:t>
      </w:r>
      <w:r w:rsidR="00512D28">
        <w:rPr>
          <w:rFonts w:ascii="Times New Roman" w:eastAsia="Calibri" w:hAnsi="Times New Roman" w:cs="Times New Roman"/>
          <w:sz w:val="24"/>
          <w:szCs w:val="24"/>
        </w:rPr>
        <w:t xml:space="preserve">ust. 2 i 3. </w:t>
      </w:r>
      <w:r w:rsidR="00512D28" w:rsidRPr="00512D28">
        <w:rPr>
          <w:rFonts w:ascii="Times New Roman" w:eastAsia="Calibri" w:hAnsi="Times New Roman" w:cs="Times New Roman"/>
          <w:bCs/>
          <w:sz w:val="24"/>
          <w:szCs w:val="24"/>
        </w:rPr>
        <w:t>Postępowania w sprawie zarejestrowania pobytu, wydania karty pobytu członka rodziny obywateli UE, dokumentu potwierdzającego prawo stałego pobytu i karty stałego pobytu członka rodziny obywatela UE prowadzone wobec obywateli Zjednoczonego Królestwa oraz członków ich rodzin</w:t>
      </w:r>
      <w:r w:rsidR="00512D28">
        <w:rPr>
          <w:rFonts w:ascii="Times New Roman" w:eastAsia="Calibri" w:hAnsi="Times New Roman" w:cs="Times New Roman"/>
          <w:bCs/>
          <w:sz w:val="24"/>
          <w:szCs w:val="24"/>
        </w:rPr>
        <w:t>,</w:t>
      </w:r>
      <w:r w:rsidR="00512D28" w:rsidRPr="00512D28">
        <w:rPr>
          <w:rFonts w:ascii="Times New Roman" w:eastAsia="Calibri" w:hAnsi="Times New Roman" w:cs="Times New Roman"/>
          <w:bCs/>
          <w:sz w:val="24"/>
          <w:szCs w:val="24"/>
        </w:rPr>
        <w:t xml:space="preserve"> wszczęte i niezakończone przed dniem wejścia niniejszej ustawy </w:t>
      </w:r>
      <w:r w:rsidR="00512D28">
        <w:rPr>
          <w:rFonts w:ascii="Times New Roman" w:eastAsia="Calibri" w:hAnsi="Times New Roman" w:cs="Times New Roman"/>
          <w:bCs/>
          <w:sz w:val="24"/>
          <w:szCs w:val="24"/>
        </w:rPr>
        <w:t xml:space="preserve">będzie się </w:t>
      </w:r>
      <w:r w:rsidR="00512D28" w:rsidRPr="00512D28">
        <w:rPr>
          <w:rFonts w:ascii="Times New Roman" w:eastAsia="Calibri" w:hAnsi="Times New Roman" w:cs="Times New Roman"/>
          <w:bCs/>
          <w:sz w:val="24"/>
          <w:szCs w:val="24"/>
        </w:rPr>
        <w:t>prowadzi</w:t>
      </w:r>
      <w:r w:rsidR="00512D28">
        <w:rPr>
          <w:rFonts w:ascii="Times New Roman" w:eastAsia="Calibri" w:hAnsi="Times New Roman" w:cs="Times New Roman"/>
          <w:bCs/>
          <w:sz w:val="24"/>
          <w:szCs w:val="24"/>
        </w:rPr>
        <w:t>ć</w:t>
      </w:r>
      <w:r w:rsidR="00512D28" w:rsidRPr="00512D28">
        <w:rPr>
          <w:rFonts w:ascii="Times New Roman" w:eastAsia="Calibri" w:hAnsi="Times New Roman" w:cs="Times New Roman"/>
          <w:bCs/>
          <w:sz w:val="24"/>
          <w:szCs w:val="24"/>
        </w:rPr>
        <w:t xml:space="preserve"> jako postępowania, o których mowa w rozdziale 4a ustawy zmienianej w art. 1 w brzmieniu nadanym niniejszą ustawą. </w:t>
      </w:r>
      <w:r w:rsidR="00512D28">
        <w:rPr>
          <w:rFonts w:ascii="Times New Roman" w:eastAsia="Calibri" w:hAnsi="Times New Roman" w:cs="Times New Roman"/>
          <w:bCs/>
          <w:sz w:val="24"/>
          <w:szCs w:val="24"/>
        </w:rPr>
        <w:t>W postępowaniach tych będą również wydawane dokumenty przewidziane</w:t>
      </w:r>
      <w:r w:rsidR="00512D28" w:rsidRPr="00512D28">
        <w:rPr>
          <w:rFonts w:ascii="Times New Roman" w:eastAsia="Calibri" w:hAnsi="Times New Roman" w:cs="Times New Roman"/>
          <w:bCs/>
          <w:sz w:val="24"/>
          <w:szCs w:val="24"/>
        </w:rPr>
        <w:t xml:space="preserve"> </w:t>
      </w:r>
      <w:r w:rsidR="00512D28">
        <w:rPr>
          <w:rFonts w:ascii="Times New Roman" w:eastAsia="Calibri" w:hAnsi="Times New Roman" w:cs="Times New Roman"/>
          <w:bCs/>
          <w:sz w:val="24"/>
          <w:szCs w:val="24"/>
        </w:rPr>
        <w:t>w art. 65b tej ustawy. Natomiast p</w:t>
      </w:r>
      <w:r w:rsidR="00512D28" w:rsidRPr="00512D28">
        <w:rPr>
          <w:rFonts w:ascii="Times New Roman" w:eastAsia="Times New Roman" w:hAnsi="Times New Roman" w:cs="Arial"/>
          <w:sz w:val="24"/>
          <w:szCs w:val="20"/>
          <w:lang w:eastAsia="pl-PL"/>
        </w:rPr>
        <w:t>ostępowania w sprawie wymiany lub wydania nowego zaświadczenia o zarejestrowaniu pobytu obywatela UE, karty pobytu członka rodziny obywatela UE, dokumentu potwierdzającego prawo stałego pobyty i karty stałego pobytu członka rodziny obywatela UE prowadzone wobec obywateli Zjednoczonego Królestwa oraz członków ich rodzin wszczęte i niezakończone przed dni</w:t>
      </w:r>
      <w:r w:rsidR="00512D28">
        <w:rPr>
          <w:rFonts w:ascii="Times New Roman" w:eastAsia="Times New Roman" w:hAnsi="Times New Roman" w:cs="Arial"/>
          <w:sz w:val="24"/>
          <w:szCs w:val="20"/>
          <w:lang w:eastAsia="pl-PL"/>
        </w:rPr>
        <w:t>em</w:t>
      </w:r>
      <w:r w:rsidR="00512D28" w:rsidRPr="00512D28">
        <w:rPr>
          <w:rFonts w:ascii="Times New Roman" w:eastAsia="Times New Roman" w:hAnsi="Times New Roman" w:cs="Arial"/>
          <w:sz w:val="24"/>
          <w:szCs w:val="20"/>
          <w:lang w:eastAsia="pl-PL"/>
        </w:rPr>
        <w:t xml:space="preserve"> wejścia niniejszej ustawy</w:t>
      </w:r>
      <w:r w:rsidR="00512D28">
        <w:rPr>
          <w:rFonts w:ascii="Times New Roman" w:eastAsia="Times New Roman" w:hAnsi="Times New Roman" w:cs="Arial"/>
          <w:sz w:val="24"/>
          <w:szCs w:val="20"/>
          <w:lang w:eastAsia="pl-PL"/>
        </w:rPr>
        <w:t xml:space="preserve">, jako postępowania o charakterze </w:t>
      </w:r>
      <w:r w:rsidR="007A6E30">
        <w:rPr>
          <w:rFonts w:ascii="Times New Roman" w:eastAsia="Times New Roman" w:hAnsi="Times New Roman" w:cs="Arial"/>
          <w:sz w:val="24"/>
          <w:szCs w:val="20"/>
          <w:lang w:eastAsia="pl-PL"/>
        </w:rPr>
        <w:t>technicznym</w:t>
      </w:r>
      <w:r w:rsidR="00512D28" w:rsidRPr="00512D28">
        <w:rPr>
          <w:rFonts w:ascii="Times New Roman" w:eastAsia="Times New Roman" w:hAnsi="Times New Roman" w:cs="Arial"/>
          <w:sz w:val="24"/>
          <w:szCs w:val="20"/>
          <w:lang w:eastAsia="pl-PL"/>
        </w:rPr>
        <w:t xml:space="preserve"> </w:t>
      </w:r>
      <w:r w:rsidR="00512D28">
        <w:rPr>
          <w:rFonts w:ascii="Times New Roman" w:eastAsia="Times New Roman" w:hAnsi="Times New Roman" w:cs="Arial"/>
          <w:sz w:val="24"/>
          <w:szCs w:val="20"/>
          <w:lang w:eastAsia="pl-PL"/>
        </w:rPr>
        <w:t xml:space="preserve">będą </w:t>
      </w:r>
      <w:r w:rsidR="00512D28" w:rsidRPr="00512D28">
        <w:rPr>
          <w:rFonts w:ascii="Times New Roman" w:eastAsia="Times New Roman" w:hAnsi="Times New Roman" w:cs="Arial"/>
          <w:sz w:val="24"/>
          <w:szCs w:val="20"/>
          <w:lang w:eastAsia="pl-PL"/>
        </w:rPr>
        <w:t>umarza</w:t>
      </w:r>
      <w:r w:rsidR="00512D28">
        <w:rPr>
          <w:rFonts w:ascii="Times New Roman" w:eastAsia="Times New Roman" w:hAnsi="Times New Roman" w:cs="Arial"/>
          <w:sz w:val="24"/>
          <w:szCs w:val="20"/>
          <w:lang w:eastAsia="pl-PL"/>
        </w:rPr>
        <w:t>ne</w:t>
      </w:r>
      <w:r w:rsidR="00512D28" w:rsidRPr="00512D28">
        <w:rPr>
          <w:rFonts w:ascii="Times New Roman" w:eastAsia="Times New Roman" w:hAnsi="Times New Roman" w:cs="Arial"/>
          <w:sz w:val="24"/>
          <w:szCs w:val="20"/>
          <w:lang w:eastAsia="pl-PL"/>
        </w:rPr>
        <w:t>.</w:t>
      </w:r>
      <w:r w:rsidR="00426B23">
        <w:rPr>
          <w:rFonts w:ascii="Times New Roman" w:eastAsia="Times New Roman" w:hAnsi="Times New Roman" w:cs="Arial"/>
          <w:sz w:val="24"/>
          <w:szCs w:val="20"/>
          <w:lang w:eastAsia="pl-PL"/>
        </w:rPr>
        <w:t xml:space="preserve"> </w:t>
      </w:r>
    </w:p>
    <w:p w14:paraId="1C4DE077" w14:textId="31544231" w:rsidR="00A90B98" w:rsidRPr="00774FA7" w:rsidRDefault="00FF074C" w:rsidP="004F6DC6">
      <w:pPr>
        <w:spacing w:after="0" w:line="288" w:lineRule="auto"/>
        <w:ind w:firstLine="709"/>
        <w:jc w:val="both"/>
        <w:rPr>
          <w:rFonts w:ascii="Times New Roman" w:eastAsia="Calibri" w:hAnsi="Times New Roman" w:cs="Times New Roman"/>
          <w:sz w:val="24"/>
          <w:szCs w:val="24"/>
        </w:rPr>
      </w:pPr>
      <w:r>
        <w:rPr>
          <w:rFonts w:ascii="Times New Roman" w:eastAsia="Times New Roman" w:hAnsi="Times New Roman" w:cs="Arial"/>
          <w:sz w:val="24"/>
          <w:szCs w:val="20"/>
          <w:lang w:eastAsia="pl-PL"/>
        </w:rPr>
        <w:t>W</w:t>
      </w:r>
      <w:r w:rsidR="00472E81" w:rsidRPr="00774FA7">
        <w:rPr>
          <w:rFonts w:ascii="Times New Roman" w:eastAsia="Calibri" w:hAnsi="Times New Roman" w:cs="Times New Roman"/>
          <w:sz w:val="24"/>
          <w:szCs w:val="24"/>
        </w:rPr>
        <w:t xml:space="preserve"> art. 16 ust. 2-5 </w:t>
      </w:r>
      <w:r w:rsidR="00AF1306">
        <w:rPr>
          <w:rFonts w:ascii="Times New Roman" w:eastAsia="Calibri" w:hAnsi="Times New Roman" w:cs="Times New Roman"/>
          <w:sz w:val="24"/>
          <w:szCs w:val="24"/>
        </w:rPr>
        <w:t>wskazano</w:t>
      </w:r>
      <w:r w:rsidR="00472E81" w:rsidRPr="00774FA7">
        <w:rPr>
          <w:rFonts w:ascii="Times New Roman" w:eastAsia="Calibri" w:hAnsi="Times New Roman" w:cs="Times New Roman"/>
          <w:sz w:val="24"/>
          <w:szCs w:val="24"/>
        </w:rPr>
        <w:t xml:space="preserve">, że począwszy </w:t>
      </w:r>
      <w:r w:rsidR="00076C40" w:rsidRPr="00774FA7">
        <w:rPr>
          <w:rFonts w:ascii="Times New Roman" w:eastAsia="Calibri" w:hAnsi="Times New Roman" w:cs="Times New Roman"/>
          <w:sz w:val="24"/>
          <w:szCs w:val="24"/>
        </w:rPr>
        <w:t xml:space="preserve">od </w:t>
      </w:r>
      <w:r w:rsidR="00BB443F" w:rsidRPr="00774FA7">
        <w:rPr>
          <w:rFonts w:ascii="Times New Roman" w:eastAsia="Calibri" w:hAnsi="Times New Roman" w:cs="Times New Roman"/>
          <w:sz w:val="24"/>
          <w:szCs w:val="24"/>
        </w:rPr>
        <w:t xml:space="preserve">dnia 2 sierpnia 2021 r. </w:t>
      </w:r>
      <w:r w:rsidR="00076C40" w:rsidRPr="00774FA7">
        <w:rPr>
          <w:rFonts w:ascii="Times New Roman" w:eastAsia="Calibri" w:hAnsi="Times New Roman" w:cs="Times New Roman"/>
          <w:sz w:val="24"/>
          <w:szCs w:val="24"/>
        </w:rPr>
        <w:t xml:space="preserve">zaświadczenia o zarejestrowaniu pobytu, karta pobytowa, dokument potwierdzający prawo stałego pobytu oraz karta stałego pobytu będą wydawane według nowych zabezpieczonych wzorów, tak aby uniknąć konieczności ich późniejszej wymiany. </w:t>
      </w:r>
      <w:r>
        <w:rPr>
          <w:rFonts w:ascii="Times New Roman" w:eastAsia="Calibri" w:hAnsi="Times New Roman" w:cs="Times New Roman"/>
          <w:sz w:val="24"/>
          <w:szCs w:val="24"/>
        </w:rPr>
        <w:t>Zaś w ust. 6-7 ustalono czym zakończy się postępowanie</w:t>
      </w:r>
      <w:r w:rsidRPr="00FF074C">
        <w:rPr>
          <w:rFonts w:ascii="Times New Roman" w:eastAsia="Calibri" w:hAnsi="Times New Roman" w:cs="Times New Roman"/>
          <w:sz w:val="24"/>
          <w:szCs w:val="24"/>
        </w:rPr>
        <w:t>, o którym mowa w</w:t>
      </w:r>
      <w:r>
        <w:rPr>
          <w:rFonts w:ascii="Times New Roman" w:eastAsia="Calibri" w:hAnsi="Times New Roman" w:cs="Times New Roman"/>
          <w:sz w:val="24"/>
          <w:szCs w:val="24"/>
        </w:rPr>
        <w:t xml:space="preserve">w. </w:t>
      </w:r>
      <w:r w:rsidRPr="00FF074C">
        <w:rPr>
          <w:rFonts w:ascii="Times New Roman" w:eastAsia="Calibri" w:hAnsi="Times New Roman" w:cs="Times New Roman"/>
          <w:sz w:val="24"/>
          <w:szCs w:val="24"/>
        </w:rPr>
        <w:t>ust. 1, w sprawie zarejestrowania pobytu lub wymiany zaświadczenia o zarejestrowaniu pobytu</w:t>
      </w:r>
      <w:r>
        <w:rPr>
          <w:rFonts w:ascii="Times New Roman" w:eastAsia="Calibri" w:hAnsi="Times New Roman" w:cs="Times New Roman"/>
          <w:sz w:val="24"/>
          <w:szCs w:val="24"/>
        </w:rPr>
        <w:t xml:space="preserve"> oraz</w:t>
      </w:r>
      <w:r w:rsidRPr="00FF074C">
        <w:rPr>
          <w:rFonts w:ascii="Times New Roman" w:eastAsia="Calibri" w:hAnsi="Times New Roman" w:cs="Times New Roman"/>
          <w:sz w:val="24"/>
          <w:szCs w:val="24"/>
        </w:rPr>
        <w:t xml:space="preserve"> w sprawie wydania lub wymiany dokumentu potwierdzającego prawo stałego pobytu ukończone po dniu 1 sierpnia 2021 r.</w:t>
      </w:r>
    </w:p>
    <w:p w14:paraId="28C1E127" w14:textId="5C567A9C" w:rsidR="00C5433B" w:rsidRPr="00774FA7" w:rsidRDefault="00AF1306"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0236F9" w:rsidRPr="00774FA7">
        <w:rPr>
          <w:rFonts w:ascii="Times New Roman" w:eastAsia="Calibri" w:hAnsi="Times New Roman" w:cs="Times New Roman"/>
          <w:sz w:val="24"/>
          <w:szCs w:val="24"/>
        </w:rPr>
        <w:t>rt. 1</w:t>
      </w:r>
      <w:r w:rsidR="00472E81" w:rsidRPr="00774FA7">
        <w:rPr>
          <w:rFonts w:ascii="Times New Roman" w:eastAsia="Calibri" w:hAnsi="Times New Roman" w:cs="Times New Roman"/>
          <w:sz w:val="24"/>
          <w:szCs w:val="24"/>
        </w:rPr>
        <w:t>7</w:t>
      </w:r>
      <w:r w:rsidR="000236F9" w:rsidRPr="00774FA7">
        <w:rPr>
          <w:rFonts w:ascii="Times New Roman" w:eastAsia="Calibri" w:hAnsi="Times New Roman" w:cs="Times New Roman"/>
          <w:sz w:val="24"/>
          <w:szCs w:val="24"/>
        </w:rPr>
        <w:t xml:space="preserve"> </w:t>
      </w:r>
      <w:r>
        <w:rPr>
          <w:rFonts w:ascii="Times New Roman" w:eastAsia="Calibri" w:hAnsi="Times New Roman" w:cs="Times New Roman"/>
          <w:sz w:val="24"/>
          <w:szCs w:val="24"/>
        </w:rPr>
        <w:t>stanowi</w:t>
      </w:r>
      <w:r w:rsidR="00076C40" w:rsidRPr="00774FA7">
        <w:rPr>
          <w:rFonts w:ascii="Times New Roman" w:eastAsia="Calibri" w:hAnsi="Times New Roman" w:cs="Times New Roman"/>
          <w:sz w:val="24"/>
          <w:szCs w:val="24"/>
        </w:rPr>
        <w:t xml:space="preserve"> podstawę do pobierania odcisków linii papilarnych od członk</w:t>
      </w:r>
      <w:r w:rsidR="00B722B3" w:rsidRPr="00774FA7">
        <w:rPr>
          <w:rFonts w:ascii="Times New Roman" w:eastAsia="Calibri" w:hAnsi="Times New Roman" w:cs="Times New Roman"/>
          <w:sz w:val="24"/>
          <w:szCs w:val="24"/>
        </w:rPr>
        <w:t>ów</w:t>
      </w:r>
      <w:r w:rsidR="00076C40" w:rsidRPr="00774FA7">
        <w:rPr>
          <w:rFonts w:ascii="Times New Roman" w:eastAsia="Calibri" w:hAnsi="Times New Roman" w:cs="Times New Roman"/>
          <w:sz w:val="24"/>
          <w:szCs w:val="24"/>
        </w:rPr>
        <w:t xml:space="preserve"> rodziny</w:t>
      </w:r>
      <w:r w:rsidR="00A161B1" w:rsidRPr="00774FA7">
        <w:rPr>
          <w:rFonts w:ascii="Times New Roman" w:eastAsia="Calibri" w:hAnsi="Times New Roman" w:cs="Times New Roman"/>
          <w:sz w:val="24"/>
          <w:szCs w:val="24"/>
        </w:rPr>
        <w:t xml:space="preserve"> obywatel</w:t>
      </w:r>
      <w:r w:rsidR="00B722B3" w:rsidRPr="00774FA7">
        <w:rPr>
          <w:rFonts w:ascii="Times New Roman" w:eastAsia="Calibri" w:hAnsi="Times New Roman" w:cs="Times New Roman"/>
          <w:sz w:val="24"/>
          <w:szCs w:val="24"/>
        </w:rPr>
        <w:t>i</w:t>
      </w:r>
      <w:r w:rsidR="00A161B1" w:rsidRPr="00774FA7">
        <w:rPr>
          <w:rFonts w:ascii="Times New Roman" w:eastAsia="Calibri" w:hAnsi="Times New Roman" w:cs="Times New Roman"/>
          <w:sz w:val="24"/>
          <w:szCs w:val="24"/>
        </w:rPr>
        <w:t xml:space="preserve"> UE</w:t>
      </w:r>
      <w:r w:rsidR="000236F9" w:rsidRPr="00774FA7">
        <w:rPr>
          <w:rFonts w:ascii="Times New Roman" w:eastAsia="Calibri" w:hAnsi="Times New Roman" w:cs="Times New Roman"/>
          <w:sz w:val="24"/>
          <w:szCs w:val="24"/>
        </w:rPr>
        <w:t xml:space="preserve"> oraz od obywateli Zjednoczonego Królestwa</w:t>
      </w:r>
      <w:r>
        <w:rPr>
          <w:rFonts w:ascii="Times New Roman" w:eastAsia="Calibri" w:hAnsi="Times New Roman" w:cs="Times New Roman"/>
          <w:sz w:val="24"/>
          <w:szCs w:val="24"/>
        </w:rPr>
        <w:t>,</w:t>
      </w:r>
      <w:r w:rsidR="00C5433B" w:rsidRPr="00774FA7">
        <w:rPr>
          <w:rFonts w:ascii="Times New Roman" w:eastAsia="Calibri" w:hAnsi="Times New Roman" w:cs="Times New Roman"/>
          <w:sz w:val="24"/>
          <w:szCs w:val="24"/>
        </w:rPr>
        <w:t xml:space="preserve"> </w:t>
      </w:r>
      <w:r w:rsidR="00A90B98" w:rsidRPr="00774FA7">
        <w:rPr>
          <w:rFonts w:ascii="Times New Roman" w:eastAsia="Calibri" w:hAnsi="Times New Roman" w:cs="Times New Roman"/>
          <w:sz w:val="24"/>
          <w:szCs w:val="24"/>
        </w:rPr>
        <w:t>któr</w:t>
      </w:r>
      <w:r>
        <w:rPr>
          <w:rFonts w:ascii="Times New Roman" w:eastAsia="Calibri" w:hAnsi="Times New Roman" w:cs="Times New Roman"/>
          <w:sz w:val="24"/>
          <w:szCs w:val="24"/>
        </w:rPr>
        <w:t>z</w:t>
      </w:r>
      <w:r w:rsidR="00A90B98" w:rsidRPr="00774FA7">
        <w:rPr>
          <w:rFonts w:ascii="Times New Roman" w:eastAsia="Calibri" w:hAnsi="Times New Roman" w:cs="Times New Roman"/>
          <w:sz w:val="24"/>
          <w:szCs w:val="24"/>
        </w:rPr>
        <w:t xml:space="preserve">y najpóźniej </w:t>
      </w:r>
      <w:r w:rsidR="00C5433B" w:rsidRPr="00774FA7">
        <w:rPr>
          <w:rFonts w:ascii="Times New Roman" w:eastAsia="Calibri" w:hAnsi="Times New Roman" w:cs="Times New Roman"/>
          <w:sz w:val="24"/>
          <w:szCs w:val="24"/>
        </w:rPr>
        <w:t xml:space="preserve">– </w:t>
      </w:r>
      <w:r w:rsidR="00B722B3" w:rsidRPr="00774FA7">
        <w:rPr>
          <w:rFonts w:ascii="Times New Roman" w:eastAsia="Calibri" w:hAnsi="Times New Roman" w:cs="Times New Roman"/>
          <w:sz w:val="24"/>
          <w:szCs w:val="24"/>
        </w:rPr>
        <w:t xml:space="preserve">odpowiednio </w:t>
      </w:r>
      <w:r w:rsidR="00A90B98" w:rsidRPr="00774FA7">
        <w:rPr>
          <w:rFonts w:ascii="Times New Roman" w:eastAsia="Calibri" w:hAnsi="Times New Roman" w:cs="Times New Roman"/>
          <w:sz w:val="24"/>
          <w:szCs w:val="24"/>
        </w:rPr>
        <w:t xml:space="preserve">w dniu </w:t>
      </w:r>
      <w:r w:rsidR="00BB443F" w:rsidRPr="00774FA7">
        <w:rPr>
          <w:rFonts w:ascii="Times New Roman" w:eastAsia="Calibri" w:hAnsi="Times New Roman" w:cs="Times New Roman"/>
          <w:sz w:val="24"/>
          <w:szCs w:val="24"/>
        </w:rPr>
        <w:t>2 sierpnia 2021 r.</w:t>
      </w:r>
      <w:r w:rsidR="00B722B3" w:rsidRPr="00774FA7">
        <w:rPr>
          <w:rFonts w:ascii="Times New Roman" w:eastAsia="Calibri" w:hAnsi="Times New Roman" w:cs="Times New Roman"/>
          <w:sz w:val="24"/>
          <w:szCs w:val="24"/>
        </w:rPr>
        <w:t xml:space="preserve"> lub w dniu wejścia w życie ustawy</w:t>
      </w:r>
      <w:r w:rsidR="00BB443F" w:rsidRPr="00774FA7">
        <w:rPr>
          <w:rFonts w:ascii="Times New Roman" w:eastAsia="Calibri" w:hAnsi="Times New Roman" w:cs="Times New Roman"/>
          <w:sz w:val="24"/>
          <w:szCs w:val="24"/>
        </w:rPr>
        <w:t xml:space="preserve"> </w:t>
      </w:r>
      <w:r w:rsidR="00C5433B" w:rsidRPr="00774FA7">
        <w:rPr>
          <w:rFonts w:ascii="Times New Roman" w:eastAsia="Calibri" w:hAnsi="Times New Roman" w:cs="Times New Roman"/>
          <w:sz w:val="24"/>
          <w:szCs w:val="24"/>
        </w:rPr>
        <w:t xml:space="preserve">– </w:t>
      </w:r>
      <w:r w:rsidR="00A90B98" w:rsidRPr="00774FA7">
        <w:rPr>
          <w:rFonts w:ascii="Times New Roman" w:eastAsia="Calibri" w:hAnsi="Times New Roman" w:cs="Times New Roman"/>
          <w:sz w:val="24"/>
          <w:szCs w:val="24"/>
        </w:rPr>
        <w:t>ukończy</w:t>
      </w:r>
      <w:r w:rsidR="00B722B3" w:rsidRPr="00774FA7">
        <w:rPr>
          <w:rFonts w:ascii="Times New Roman" w:eastAsia="Calibri" w:hAnsi="Times New Roman" w:cs="Times New Roman"/>
          <w:sz w:val="24"/>
          <w:szCs w:val="24"/>
        </w:rPr>
        <w:t>li</w:t>
      </w:r>
      <w:r w:rsidR="00A90B98" w:rsidRPr="00774FA7">
        <w:rPr>
          <w:rFonts w:ascii="Times New Roman" w:eastAsia="Calibri" w:hAnsi="Times New Roman" w:cs="Times New Roman"/>
          <w:sz w:val="24"/>
          <w:szCs w:val="24"/>
        </w:rPr>
        <w:t xml:space="preserve"> 6. rok życia</w:t>
      </w:r>
      <w:r w:rsidR="00C5433B" w:rsidRPr="00774FA7">
        <w:rPr>
          <w:rFonts w:ascii="Times New Roman" w:eastAsia="Calibri" w:hAnsi="Times New Roman" w:cs="Times New Roman"/>
          <w:sz w:val="24"/>
          <w:szCs w:val="24"/>
        </w:rPr>
        <w:t xml:space="preserve">. Członkowi rodziny niebędącemu obywatelem UE, który najpóźniej w dniu 2 sierpnia 2021 r. ukończył 6. rok życia, wobec którego toczy się postępowanie w sprawie wydania lub wymiany karty pobytowej, które zakończy się wydaniem lub wymianą karty pobytowej,  albo postępowanie w sprawie wydania lub wymiany karty stałego pobytu, które zakończy się wydaniem lub wymianą karty stałego pobytu, dokumenty te wydaje się lub wymienia po pobraniu odcisków linii papilarnych, chyba że ich pobranie jest fizycznie niemożliwe. Obywatelowi Zjednoczonego Królestwa oraz członkowi rodzin obywatela Zjednoczonego Królestwa zaś, który najpóźniej w dniu wejścia w życie ustawy ukończył 6. rok życia i wobec którego toczy się </w:t>
      </w:r>
      <w:r w:rsidR="003702D8">
        <w:rPr>
          <w:rFonts w:ascii="Times New Roman" w:eastAsia="Calibri" w:hAnsi="Times New Roman" w:cs="Times New Roman"/>
          <w:sz w:val="24"/>
          <w:szCs w:val="24"/>
        </w:rPr>
        <w:t xml:space="preserve">w tym dniu </w:t>
      </w:r>
      <w:r w:rsidR="00C5433B" w:rsidRPr="00774FA7">
        <w:rPr>
          <w:rFonts w:ascii="Times New Roman" w:eastAsia="Calibri" w:hAnsi="Times New Roman" w:cs="Times New Roman"/>
          <w:sz w:val="24"/>
          <w:szCs w:val="24"/>
        </w:rPr>
        <w:t>postępowanie w sprawie zarejestrowania pobytu, wydania karty pobyt</w:t>
      </w:r>
      <w:r w:rsidR="003702D8">
        <w:rPr>
          <w:rFonts w:ascii="Times New Roman" w:eastAsia="Calibri" w:hAnsi="Times New Roman" w:cs="Times New Roman"/>
          <w:sz w:val="24"/>
          <w:szCs w:val="24"/>
        </w:rPr>
        <w:t>u członka rodziny obywatela UE</w:t>
      </w:r>
      <w:r w:rsidR="00C5433B" w:rsidRPr="00774FA7">
        <w:rPr>
          <w:rFonts w:ascii="Times New Roman" w:eastAsia="Calibri" w:hAnsi="Times New Roman" w:cs="Times New Roman"/>
          <w:sz w:val="24"/>
          <w:szCs w:val="24"/>
        </w:rPr>
        <w:t>, albo postępowanie w sprawie wydania dokumentu potwierdzającego prawo stałego pobytu lub karty stałego pobytu</w:t>
      </w:r>
      <w:r w:rsidR="003702D8">
        <w:rPr>
          <w:rFonts w:ascii="Times New Roman" w:eastAsia="Calibri" w:hAnsi="Times New Roman" w:cs="Times New Roman"/>
          <w:sz w:val="24"/>
          <w:szCs w:val="24"/>
        </w:rPr>
        <w:t xml:space="preserve"> członka rodziny obywatela UE</w:t>
      </w:r>
      <w:r w:rsidR="00C5433B" w:rsidRPr="00774FA7">
        <w:rPr>
          <w:rFonts w:ascii="Times New Roman" w:eastAsia="Calibri" w:hAnsi="Times New Roman" w:cs="Times New Roman"/>
          <w:sz w:val="24"/>
          <w:szCs w:val="24"/>
        </w:rPr>
        <w:t>, które zakończy się zarejestrowaniem pobytu lub wydaniem karty pobytowej, albo wydani</w:t>
      </w:r>
      <w:r w:rsidR="00F51E90">
        <w:rPr>
          <w:rFonts w:ascii="Times New Roman" w:eastAsia="Calibri" w:hAnsi="Times New Roman" w:cs="Times New Roman"/>
          <w:sz w:val="24"/>
          <w:szCs w:val="24"/>
        </w:rPr>
        <w:t xml:space="preserve">em </w:t>
      </w:r>
      <w:r w:rsidR="00C5433B" w:rsidRPr="00774FA7">
        <w:rPr>
          <w:rFonts w:ascii="Times New Roman" w:eastAsia="Calibri" w:hAnsi="Times New Roman" w:cs="Times New Roman"/>
          <w:sz w:val="24"/>
          <w:szCs w:val="24"/>
        </w:rPr>
        <w:t xml:space="preserve"> dokumentu potwierdzającego prawo stałego pobytu lub karty stałego pobytu, </w:t>
      </w:r>
      <w:r w:rsidR="00C5433B" w:rsidRPr="00774FA7">
        <w:rPr>
          <w:rFonts w:ascii="Times New Roman" w:eastAsia="Calibri" w:hAnsi="Times New Roman" w:cs="Times New Roman"/>
          <w:sz w:val="24"/>
          <w:szCs w:val="24"/>
        </w:rPr>
        <w:lastRenderedPageBreak/>
        <w:t>dokumenty te wydaje się po pobraniu odcisków linii papilarnych, chyba że ich pobranie jest fizycznie niemożliwe</w:t>
      </w:r>
      <w:r w:rsidR="007C09A7">
        <w:rPr>
          <w:rFonts w:ascii="Times New Roman" w:eastAsia="Calibri" w:hAnsi="Times New Roman" w:cs="Times New Roman"/>
          <w:sz w:val="24"/>
          <w:szCs w:val="24"/>
        </w:rPr>
        <w:t>. Ponadto</w:t>
      </w:r>
      <w:r w:rsidR="004104C3">
        <w:rPr>
          <w:rFonts w:ascii="Times New Roman" w:eastAsia="Calibri" w:hAnsi="Times New Roman" w:cs="Times New Roman"/>
          <w:sz w:val="24"/>
          <w:szCs w:val="24"/>
        </w:rPr>
        <w:t xml:space="preserve"> w </w:t>
      </w:r>
      <w:r w:rsidR="0064428B">
        <w:rPr>
          <w:rFonts w:ascii="Times New Roman" w:eastAsia="Calibri" w:hAnsi="Times New Roman" w:cs="Times New Roman"/>
          <w:sz w:val="24"/>
          <w:szCs w:val="24"/>
        </w:rPr>
        <w:t xml:space="preserve">ust. 3 </w:t>
      </w:r>
      <w:r w:rsidR="004104C3">
        <w:rPr>
          <w:rFonts w:ascii="Times New Roman" w:eastAsia="Calibri" w:hAnsi="Times New Roman" w:cs="Times New Roman"/>
          <w:sz w:val="24"/>
          <w:szCs w:val="24"/>
        </w:rPr>
        <w:t>przewidziano, iż</w:t>
      </w:r>
      <w:r w:rsidR="007C09A7">
        <w:rPr>
          <w:rFonts w:ascii="Times New Roman" w:eastAsia="Calibri" w:hAnsi="Times New Roman" w:cs="Times New Roman"/>
          <w:sz w:val="24"/>
          <w:szCs w:val="24"/>
        </w:rPr>
        <w:t xml:space="preserve"> w</w:t>
      </w:r>
      <w:r w:rsidR="007C09A7" w:rsidRPr="007C09A7">
        <w:rPr>
          <w:rFonts w:ascii="Times New Roman" w:eastAsia="Calibri" w:hAnsi="Times New Roman" w:cs="Times New Roman"/>
          <w:sz w:val="24"/>
          <w:szCs w:val="24"/>
        </w:rPr>
        <w:t xml:space="preserve"> szczególnie uzasadnionych przypadkach, w tym ze względu na stan zdrowia członka rodziny niebędącego obywatelem UE, obywatela Zjednoczonego Królestwa lub członka rodziny obywatela Zjednoczonego Królestwa, </w:t>
      </w:r>
      <w:r w:rsidR="007C09A7">
        <w:rPr>
          <w:rFonts w:ascii="Times New Roman" w:eastAsia="Calibri" w:hAnsi="Times New Roman" w:cs="Times New Roman"/>
          <w:sz w:val="24"/>
          <w:szCs w:val="24"/>
        </w:rPr>
        <w:t xml:space="preserve">będzie </w:t>
      </w:r>
      <w:r w:rsidR="007C09A7" w:rsidRPr="007C09A7">
        <w:rPr>
          <w:rFonts w:ascii="Times New Roman" w:eastAsia="Calibri" w:hAnsi="Times New Roman" w:cs="Times New Roman"/>
          <w:sz w:val="24"/>
          <w:szCs w:val="24"/>
        </w:rPr>
        <w:t>można odstąpić od wymog</w:t>
      </w:r>
      <w:r w:rsidR="007C09A7">
        <w:rPr>
          <w:rFonts w:ascii="Times New Roman" w:eastAsia="Calibri" w:hAnsi="Times New Roman" w:cs="Times New Roman"/>
          <w:sz w:val="24"/>
          <w:szCs w:val="24"/>
        </w:rPr>
        <w:t xml:space="preserve">u pobrania odcisków linii papilarnych przy wydawaniu </w:t>
      </w:r>
      <w:r w:rsidR="004104C3">
        <w:rPr>
          <w:rFonts w:ascii="Times New Roman" w:eastAsia="Calibri" w:hAnsi="Times New Roman" w:cs="Times New Roman"/>
          <w:sz w:val="24"/>
          <w:szCs w:val="24"/>
        </w:rPr>
        <w:t xml:space="preserve">lub wymianie </w:t>
      </w:r>
      <w:r w:rsidR="007C09A7">
        <w:rPr>
          <w:rFonts w:ascii="Times New Roman" w:eastAsia="Calibri" w:hAnsi="Times New Roman" w:cs="Times New Roman"/>
          <w:sz w:val="24"/>
          <w:szCs w:val="24"/>
        </w:rPr>
        <w:t>dokumentów wymienionych w tych przepisach</w:t>
      </w:r>
      <w:r w:rsidR="00E57A28">
        <w:rPr>
          <w:rFonts w:ascii="Times New Roman" w:eastAsia="Calibri" w:hAnsi="Times New Roman" w:cs="Times New Roman"/>
          <w:sz w:val="24"/>
          <w:szCs w:val="24"/>
        </w:rPr>
        <w:t xml:space="preserve">, na wzór rozwiązania wprowadzanego w ustawie </w:t>
      </w:r>
      <w:r w:rsidR="00CA3851" w:rsidRPr="00CA3851">
        <w:rPr>
          <w:rFonts w:ascii="Times New Roman" w:eastAsia="Calibri" w:hAnsi="Times New Roman" w:cs="Times New Roman"/>
          <w:sz w:val="24"/>
          <w:szCs w:val="24"/>
        </w:rPr>
        <w:t>o wjeździe obywateli UE</w:t>
      </w:r>
      <w:r w:rsidR="007C09A7">
        <w:rPr>
          <w:rFonts w:ascii="Times New Roman" w:eastAsia="Calibri" w:hAnsi="Times New Roman" w:cs="Times New Roman"/>
          <w:sz w:val="24"/>
          <w:szCs w:val="24"/>
        </w:rPr>
        <w:t xml:space="preserve">. </w:t>
      </w:r>
    </w:p>
    <w:p w14:paraId="2D3813AC" w14:textId="3A82468F" w:rsidR="00076C40" w:rsidRPr="00774FA7" w:rsidRDefault="00076C40" w:rsidP="004F6DC6">
      <w:pPr>
        <w:spacing w:after="0" w:line="288" w:lineRule="auto"/>
        <w:ind w:firstLine="567"/>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Art. </w:t>
      </w:r>
      <w:r w:rsidR="00BB443F" w:rsidRPr="00774FA7">
        <w:rPr>
          <w:rFonts w:ascii="Times New Roman" w:eastAsia="Calibri" w:hAnsi="Times New Roman" w:cs="Times New Roman"/>
          <w:sz w:val="24"/>
          <w:szCs w:val="24"/>
        </w:rPr>
        <w:t>1</w:t>
      </w:r>
      <w:r w:rsidR="00472E81" w:rsidRPr="00774FA7">
        <w:rPr>
          <w:rFonts w:ascii="Times New Roman" w:eastAsia="Calibri" w:hAnsi="Times New Roman" w:cs="Times New Roman"/>
          <w:sz w:val="24"/>
          <w:szCs w:val="24"/>
        </w:rPr>
        <w:t>8</w:t>
      </w:r>
      <w:r w:rsidRPr="00774FA7">
        <w:rPr>
          <w:rFonts w:ascii="Times New Roman" w:eastAsia="Calibri" w:hAnsi="Times New Roman" w:cs="Times New Roman"/>
          <w:sz w:val="24"/>
          <w:szCs w:val="24"/>
        </w:rPr>
        <w:t xml:space="preserve"> projektu ustawy określa, że postępowania w sprawie uchylenia wydanych przez wojewodę lub Szefa Urzędu </w:t>
      </w:r>
      <w:r w:rsidR="00A161B1" w:rsidRPr="00774FA7">
        <w:rPr>
          <w:rFonts w:ascii="Times New Roman" w:eastAsia="Calibri" w:hAnsi="Times New Roman" w:cs="Times New Roman"/>
          <w:sz w:val="24"/>
          <w:szCs w:val="24"/>
        </w:rPr>
        <w:t xml:space="preserve">do Spraw Cudzoziemców </w:t>
      </w:r>
      <w:r w:rsidRPr="00774FA7">
        <w:rPr>
          <w:rFonts w:ascii="Times New Roman" w:eastAsia="Calibri" w:hAnsi="Times New Roman" w:cs="Times New Roman"/>
          <w:sz w:val="24"/>
          <w:szCs w:val="24"/>
        </w:rPr>
        <w:t>decyzji o wydaleniu obywatela UE albo członka rodziny niebędącego obywatelem UE, będzie prowadził komendant placówki Straży Granicznej lub komendant oddziału Straży Granicznej właściwy ze względu na miejsce pobytu obywatela UE albo członka rodziny niebędącego obywatelem UE.</w:t>
      </w:r>
    </w:p>
    <w:p w14:paraId="336B2116" w14:textId="19BAFC86" w:rsidR="00472E81" w:rsidRDefault="00AF1306" w:rsidP="004F6DC6">
      <w:pPr>
        <w:pStyle w:val="ARTartustawynprozporzdzenia"/>
        <w:spacing w:before="0" w:line="288" w:lineRule="auto"/>
      </w:pPr>
      <w:r>
        <w:t>Projektowany a</w:t>
      </w:r>
      <w:r w:rsidR="009A6C2F" w:rsidRPr="00774FA7">
        <w:t>rt. 19 stanowi, że w</w:t>
      </w:r>
      <w:r w:rsidR="00472E81" w:rsidRPr="00774FA7">
        <w:t xml:space="preserve"> przypadku wykonania decyzji o wydaleniu</w:t>
      </w:r>
      <w:r>
        <w:t>,</w:t>
      </w:r>
      <w:r w:rsidR="00472E81" w:rsidRPr="00774FA7">
        <w:t xml:space="preserve"> wydanej na podstawie art. 66-68 ustawy</w:t>
      </w:r>
      <w:r>
        <w:t xml:space="preserve"> o wjeździe obywateli UE</w:t>
      </w:r>
      <w:r w:rsidR="00472E81" w:rsidRPr="00774FA7">
        <w:t xml:space="preserve"> w brzmieniu  dotychczasowym, stosuje się art. 74 ust. 4 </w:t>
      </w:r>
      <w:r>
        <w:t xml:space="preserve">tej </w:t>
      </w:r>
      <w:r w:rsidR="00472E81" w:rsidRPr="00774FA7">
        <w:t>ustawy</w:t>
      </w:r>
      <w:r w:rsidR="009A6C2F" w:rsidRPr="00774FA7">
        <w:t xml:space="preserve"> w brzmieniu </w:t>
      </w:r>
      <w:r w:rsidR="00472E81" w:rsidRPr="00774FA7">
        <w:t>dotychczasowym.</w:t>
      </w:r>
    </w:p>
    <w:p w14:paraId="35766BFC" w14:textId="44606CC8" w:rsidR="00881C7A" w:rsidRPr="00774FA7" w:rsidRDefault="00881C7A" w:rsidP="00406FEB">
      <w:pPr>
        <w:pStyle w:val="ARTartustawynprozporzdzenia"/>
        <w:spacing w:line="288" w:lineRule="auto"/>
      </w:pPr>
      <w:r>
        <w:t>W art</w:t>
      </w:r>
      <w:r w:rsidRPr="00035D3B">
        <w:t xml:space="preserve">. </w:t>
      </w:r>
      <w:r w:rsidR="00035D3B" w:rsidRPr="00406FEB">
        <w:t>2</w:t>
      </w:r>
      <w:r w:rsidR="00035D3B">
        <w:t>0</w:t>
      </w:r>
      <w:r w:rsidRPr="00035D3B">
        <w:t xml:space="preserve"> pr</w:t>
      </w:r>
      <w:r>
        <w:t xml:space="preserve">ojektu przewiduje się także uregulowania o charakterze przejściowym, </w:t>
      </w:r>
      <w:r w:rsidR="00035D3B">
        <w:t>dotyczące stosowania</w:t>
      </w:r>
      <w:r w:rsidR="00216407">
        <w:t xml:space="preserve"> przepisów</w:t>
      </w:r>
      <w:r w:rsidR="00035D3B">
        <w:t xml:space="preserve"> ustawy </w:t>
      </w:r>
      <w:r w:rsidR="00035D3B" w:rsidRPr="00035D3B">
        <w:t>z dnia 24 września 2010 r. o ewidencji ludności</w:t>
      </w:r>
      <w:r w:rsidR="00035D3B">
        <w:t>,</w:t>
      </w:r>
      <w:r w:rsidR="00035D3B" w:rsidRPr="00035D3B">
        <w:t xml:space="preserve"> </w:t>
      </w:r>
      <w:r>
        <w:t xml:space="preserve">zgodnie z którymi do dnia 31 grudnia 2021 r. obywatele Zjednoczonego Królestwa oraz członkowie </w:t>
      </w:r>
      <w:r w:rsidR="006D1BBC">
        <w:t xml:space="preserve">ich </w:t>
      </w:r>
      <w:r>
        <w:t xml:space="preserve">rodzin </w:t>
      </w:r>
      <w:r w:rsidR="006D1BBC">
        <w:t>d</w:t>
      </w:r>
      <w:r>
        <w:t xml:space="preserve">okonując zameldowania na pobyt stały lub na pobyt czasowy, o którym mowa w </w:t>
      </w:r>
      <w:r w:rsidR="00216407">
        <w:t xml:space="preserve">dodawanym niniejszą nowelą </w:t>
      </w:r>
      <w:r>
        <w:t xml:space="preserve">art. 43 ust. 1a i 3a </w:t>
      </w:r>
      <w:r w:rsidR="00216407">
        <w:t xml:space="preserve">tej </w:t>
      </w:r>
      <w:r w:rsidR="009F423A">
        <w:t>ustawy</w:t>
      </w:r>
      <w:r>
        <w:t>, będą mogli przedstawić dokumenty</w:t>
      </w:r>
      <w:r w:rsidR="00DB0B66">
        <w:t xml:space="preserve"> </w:t>
      </w:r>
      <w:r>
        <w:t xml:space="preserve">pobytowe wydane przed upływem okresu przejściowego wynikającego z Umowy wystąpienia, których ważność upłynie z dniem 31 grudnia 2021 r. Ponadto </w:t>
      </w:r>
      <w:r w:rsidR="00BB169B">
        <w:t>osoby te</w:t>
      </w:r>
      <w:r>
        <w:t xml:space="preserve"> dokonując </w:t>
      </w:r>
      <w:r w:rsidR="008E075D">
        <w:t>ww</w:t>
      </w:r>
      <w:r w:rsidR="00216407">
        <w:t>.</w:t>
      </w:r>
      <w:r w:rsidR="008E075D">
        <w:t xml:space="preserve"> </w:t>
      </w:r>
      <w:r>
        <w:t xml:space="preserve">zameldowania </w:t>
      </w:r>
      <w:r w:rsidR="00BB169B">
        <w:t>będą</w:t>
      </w:r>
      <w:r>
        <w:t xml:space="preserve"> mog</w:t>
      </w:r>
      <w:r w:rsidR="00A12BF0">
        <w:t>ły</w:t>
      </w:r>
      <w:r>
        <w:t xml:space="preserve"> przedstawić zaświadczenie</w:t>
      </w:r>
      <w:r w:rsidR="00BB169B">
        <w:t xml:space="preserve"> o złożeniu wniosku</w:t>
      </w:r>
      <w:r>
        <w:t xml:space="preserve">, o którym mowa w </w:t>
      </w:r>
      <w:r w:rsidRPr="00614A45">
        <w:t xml:space="preserve">art. </w:t>
      </w:r>
      <w:r w:rsidR="00614A45" w:rsidRPr="00406FEB">
        <w:t>9</w:t>
      </w:r>
      <w:r w:rsidRPr="00614A45">
        <w:t xml:space="preserve"> ust. 1 i 2</w:t>
      </w:r>
      <w:r w:rsidRPr="00051561">
        <w:t xml:space="preserve"> niniejszej</w:t>
      </w:r>
      <w:r>
        <w:t xml:space="preserve"> ustawy.</w:t>
      </w:r>
    </w:p>
    <w:p w14:paraId="6AD40941" w14:textId="28E04A81" w:rsidR="00051561" w:rsidRDefault="00051561" w:rsidP="004F6DC6">
      <w:pPr>
        <w:spacing w:after="0" w:line="288" w:lineRule="auto"/>
        <w:ind w:firstLine="709"/>
        <w:jc w:val="both"/>
        <w:rPr>
          <w:rFonts w:ascii="Times New Roman" w:eastAsia="Calibri" w:hAnsi="Times New Roman" w:cs="Times New Roman"/>
          <w:sz w:val="24"/>
          <w:szCs w:val="24"/>
        </w:rPr>
      </w:pPr>
      <w:r w:rsidRPr="00051561">
        <w:rPr>
          <w:rFonts w:ascii="Times New Roman" w:eastAsia="Calibri" w:hAnsi="Times New Roman" w:cs="Times New Roman"/>
          <w:sz w:val="24"/>
          <w:szCs w:val="24"/>
        </w:rPr>
        <w:t>W art. 21 projektu przewiduje się, iż pobyt na terytorium Rzeczypospolitej Polskiej obywatela Zjednoczonego Królestwa, który do dnia 31 grudnia 2020 r. wykonywał na terytorium Rzeczypospolitej Polskiej pracę jako pracownik delegowany przez pracodawcę zagranicznego na terytorium Rzeczypospolitej Polskiej, uważa się za legalny w okresie od dnia wejścia w życie ustawy do dnia 31 grudnia 2021 r., chyba że ustawa stanowi inaczej.  Powyższe rozwiązanie umożliwi brytyjskim pracownikom delegowanym do końca okresu przejściowego na terytorium Polski, którzy nie są objęci Umową Wystąpienia, kontynuowanie zamieszkiwania na terytorium Rzeczypospolitej Polskiej, w tym zmiany celu pobytu, po zakończeniu okresu przejściowego przewidzianego w Umowie Wystąpienia oraz wystąpienie z wnioskiem o udzielenie dedykowanego tym osobom zezwolenia na pobyt czasowy, wprowadzanego projektem do art. 186 ust. 1 pkt 8 ustawy o cudzoziemcach.</w:t>
      </w:r>
      <w:r w:rsidR="003B563E" w:rsidRPr="003B563E">
        <w:t xml:space="preserve"> </w:t>
      </w:r>
      <w:r w:rsidR="003B563E" w:rsidRPr="003B563E">
        <w:rPr>
          <w:rFonts w:ascii="Times New Roman" w:eastAsia="Calibri" w:hAnsi="Times New Roman" w:cs="Times New Roman"/>
          <w:sz w:val="24"/>
          <w:szCs w:val="24"/>
        </w:rPr>
        <w:t>Proponowane rozwiązanie ma na celu umożliwienie osobom fizycznym ze Zjednoczonego Królestwa kontynuacji zamieszkiwania w Polsce, do czego byli dotychczas uprawnieni jako obywatele UE, natomiast nie ma na celu przyznania podmiotom mającym siedzibę w Wielkiej Brytanii, kontynuacji prawa do świadczenia usług na terytorium Polski oraz delegowania w tym celu pracowników, co wchodzi w zakres negocjowanego porozumienia dotyczącego przyszłych relacji pomiędzy Unią Europejską a Wielką Brytanią.</w:t>
      </w:r>
    </w:p>
    <w:p w14:paraId="3F9702EA" w14:textId="2F7E9870" w:rsidR="003E78E2" w:rsidRPr="00774FA7" w:rsidRDefault="003E78E2" w:rsidP="004F6DC6">
      <w:pPr>
        <w:spacing w:after="0" w:line="288"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 art. 22 określono jakie informacje dotyczące obywateli Zjednoczonego Królestwa i członków ich rodzin będą przechowywane w okresie od dnia wejścia w życie ustawy do dnia wejścia w życie przepisów art. 80 ustawy o wjeździe obywateli UE dotyczących rejestrów, które będą wchodziły w życie w dniu 2 sierpnia 2021 r. Wprowadzenie powyższego rozwiązania jest konieczne z uwagi na potrzebę zapewnieni</w:t>
      </w:r>
      <w:r w:rsidR="00216407">
        <w:rPr>
          <w:rFonts w:ascii="Times New Roman" w:eastAsia="Calibri" w:hAnsi="Times New Roman" w:cs="Times New Roman"/>
          <w:sz w:val="24"/>
          <w:szCs w:val="24"/>
        </w:rPr>
        <w:t>a</w:t>
      </w:r>
      <w:r>
        <w:rPr>
          <w:rFonts w:ascii="Times New Roman" w:eastAsia="Calibri" w:hAnsi="Times New Roman" w:cs="Times New Roman"/>
          <w:sz w:val="24"/>
          <w:szCs w:val="24"/>
        </w:rPr>
        <w:t xml:space="preserve"> możliwości wydawania ww. osobom dokumentów według nowych formatów. </w:t>
      </w:r>
    </w:p>
    <w:p w14:paraId="44667258" w14:textId="087C1038" w:rsidR="00FF074C" w:rsidRDefault="00FF074C" w:rsidP="00FF074C">
      <w:pPr>
        <w:spacing w:after="0" w:line="288"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art. 23 projektowanej ustawy zaproponowano przepis o utrzymaniu w mocy  </w:t>
      </w:r>
      <w:r w:rsidRPr="001C4D21">
        <w:rPr>
          <w:rFonts w:ascii="Times New Roman" w:eastAsia="Calibri" w:hAnsi="Times New Roman" w:cs="Times New Roman"/>
          <w:sz w:val="24"/>
          <w:szCs w:val="24"/>
        </w:rPr>
        <w:t>rozporządzenia Ministra Spraw Wewnętrznych i Administracji z dnia ….. w sprawie wiz dla cudzoziemców (Dz. U. …)</w:t>
      </w:r>
      <w:r>
        <w:rPr>
          <w:rFonts w:ascii="Times New Roman" w:eastAsia="Calibri" w:hAnsi="Times New Roman" w:cs="Times New Roman"/>
          <w:sz w:val="24"/>
          <w:szCs w:val="24"/>
        </w:rPr>
        <w:t xml:space="preserve"> wydanego na </w:t>
      </w:r>
      <w:r w:rsidRPr="001C4D21">
        <w:rPr>
          <w:rFonts w:ascii="Times New Roman" w:eastAsia="Calibri" w:hAnsi="Times New Roman" w:cs="Times New Roman"/>
          <w:sz w:val="24"/>
          <w:szCs w:val="24"/>
        </w:rPr>
        <w:t xml:space="preserve">podstawie art. 80 ust. 1 ustawy </w:t>
      </w:r>
      <w:r>
        <w:rPr>
          <w:rFonts w:ascii="Times New Roman" w:eastAsia="Calibri" w:hAnsi="Times New Roman" w:cs="Times New Roman"/>
          <w:sz w:val="24"/>
          <w:szCs w:val="24"/>
        </w:rPr>
        <w:t>o cudzoziemcach</w:t>
      </w:r>
      <w:r w:rsidRPr="001C4D21">
        <w:rPr>
          <w:rFonts w:ascii="Times New Roman" w:eastAsia="Calibri" w:hAnsi="Times New Roman" w:cs="Times New Roman"/>
          <w:sz w:val="24"/>
          <w:szCs w:val="24"/>
        </w:rPr>
        <w:t>, jednak nie dłużej niż przez 6 miesięcy od dnia wejścia w życie niniejszej ustawy</w:t>
      </w:r>
      <w:r>
        <w:rPr>
          <w:rFonts w:ascii="Times New Roman" w:eastAsia="Calibri" w:hAnsi="Times New Roman" w:cs="Times New Roman"/>
          <w:sz w:val="24"/>
          <w:szCs w:val="24"/>
        </w:rPr>
        <w:t>.</w:t>
      </w:r>
    </w:p>
    <w:p w14:paraId="277ACB23" w14:textId="5F19006F" w:rsidR="00003E19" w:rsidRDefault="00003E19" w:rsidP="00003E19">
      <w:pPr>
        <w:spacing w:after="0" w:line="288"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W tym miejscu należy wskazać, że z</w:t>
      </w:r>
      <w:r w:rsidRPr="00003E19">
        <w:rPr>
          <w:rFonts w:ascii="Times New Roman" w:eastAsia="Calibri" w:hAnsi="Times New Roman" w:cs="Times New Roman"/>
          <w:sz w:val="24"/>
          <w:szCs w:val="24"/>
        </w:rPr>
        <w:t xml:space="preserve">miany wprowadzane </w:t>
      </w:r>
      <w:r>
        <w:rPr>
          <w:rFonts w:ascii="Times New Roman" w:eastAsia="Calibri" w:hAnsi="Times New Roman" w:cs="Times New Roman"/>
          <w:sz w:val="24"/>
          <w:szCs w:val="24"/>
        </w:rPr>
        <w:t>ww. ustawą</w:t>
      </w:r>
      <w:r w:rsidRPr="00003E19">
        <w:rPr>
          <w:rFonts w:ascii="Times New Roman" w:eastAsia="Calibri" w:hAnsi="Times New Roman" w:cs="Times New Roman"/>
          <w:sz w:val="24"/>
          <w:szCs w:val="24"/>
        </w:rPr>
        <w:t xml:space="preserve"> o wjeździe obywateli UE </w:t>
      </w:r>
      <w:r>
        <w:rPr>
          <w:rFonts w:ascii="Times New Roman" w:eastAsia="Calibri" w:hAnsi="Times New Roman" w:cs="Times New Roman"/>
          <w:sz w:val="24"/>
          <w:szCs w:val="24"/>
        </w:rPr>
        <w:t xml:space="preserve">obejmują m. in. art. </w:t>
      </w:r>
      <w:r w:rsidRPr="00003E19">
        <w:rPr>
          <w:rFonts w:ascii="Times New Roman" w:eastAsia="Calibri" w:hAnsi="Times New Roman" w:cs="Times New Roman"/>
          <w:sz w:val="24"/>
          <w:szCs w:val="24"/>
        </w:rPr>
        <w:t>60 ust. 1 ustawy o cudzoziemcach, za pośrednictwem którego wprowadzono dwa nowe cele wizy: dołączenie do obywatela Zjednoczonego Królestwa lub przebywania z nim oraz realizacja zezwolenia na pobyt czasowy, o którym mowa w art. 160 pkt 1, 3, 4 lub 6. Powyższe zmiany wynikają z objęcia zakresem ustawy o wjeździe obywateli UE obywateli Zjednoczonego Królestwa i członków ich rodzin oraz dodani</w:t>
      </w:r>
      <w:r w:rsidR="00B00433">
        <w:rPr>
          <w:rFonts w:ascii="Times New Roman" w:eastAsia="Calibri" w:hAnsi="Times New Roman" w:cs="Times New Roman"/>
          <w:sz w:val="24"/>
          <w:szCs w:val="24"/>
        </w:rPr>
        <w:t>a</w:t>
      </w:r>
      <w:r w:rsidRPr="00003E19">
        <w:rPr>
          <w:rFonts w:ascii="Times New Roman" w:eastAsia="Calibri" w:hAnsi="Times New Roman" w:cs="Times New Roman"/>
          <w:sz w:val="24"/>
          <w:szCs w:val="24"/>
        </w:rPr>
        <w:t xml:space="preserve"> nowego art. 168a. Dodanie art. 168a ma z kolei na celu pełne wdrożenie do polskiego porządku prawnego art. 3 ust. 2 dyrektywy 2004/38/WE, którego szczegółowej wykładni dokonał Trybunał Sprawiedliwości UE w wyroku w sprawie C-83/11 </w:t>
      </w:r>
      <w:proofErr w:type="spellStart"/>
      <w:r w:rsidRPr="00003E19">
        <w:rPr>
          <w:rFonts w:ascii="Times New Roman" w:eastAsia="Calibri" w:hAnsi="Times New Roman" w:cs="Times New Roman"/>
          <w:sz w:val="24"/>
          <w:szCs w:val="24"/>
        </w:rPr>
        <w:t>Rahman</w:t>
      </w:r>
      <w:proofErr w:type="spellEnd"/>
      <w:r w:rsidRPr="00003E1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03E19">
        <w:rPr>
          <w:rFonts w:ascii="Times New Roman" w:eastAsia="Calibri" w:hAnsi="Times New Roman" w:cs="Times New Roman"/>
          <w:sz w:val="24"/>
          <w:szCs w:val="24"/>
        </w:rPr>
        <w:t>Wprowadzone w art. 60 w ust. 1 ustawy o cudzoziemcach zmiany oznaczają w tym przypadku zmianę pośrednią rozporządzenia wydawanego na podstawie art. 80. Jakkolwiek niezmienna pozostaje delegacja ustawowa do wydania niniejszego aktu, to modyfikacji uległ przepis, do którego niniejsze upoważnienie się odwołuje. Utrata mocy obowiązującej rozporządzenia następuje bowiem nie tylko w sytuacji nowelizacji przepisu upoważniającego do jego wydania, lub wytycznych dotyczących jego treści, lecz także w sytuacji, w której zmiana tego zakresu lub wytycznych następuje „pośrednio”, czyli w omawianym przypadku na skutek zmiany przepisów merytorycznych ustawy, do których odsyła przepis upoważniający.</w:t>
      </w:r>
      <w:r>
        <w:rPr>
          <w:rFonts w:ascii="Times New Roman" w:eastAsia="Calibri" w:hAnsi="Times New Roman" w:cs="Times New Roman"/>
          <w:sz w:val="24"/>
          <w:szCs w:val="24"/>
        </w:rPr>
        <w:t xml:space="preserve"> </w:t>
      </w:r>
      <w:r w:rsidRPr="00003E19">
        <w:rPr>
          <w:rFonts w:ascii="Times New Roman" w:eastAsia="Calibri" w:hAnsi="Times New Roman" w:cs="Times New Roman"/>
          <w:sz w:val="24"/>
          <w:szCs w:val="24"/>
        </w:rPr>
        <w:t>W efekcie powyższego należy wydać nowe rozporządzenie</w:t>
      </w:r>
      <w:r>
        <w:rPr>
          <w:rFonts w:ascii="Times New Roman" w:eastAsia="Calibri" w:hAnsi="Times New Roman" w:cs="Times New Roman"/>
          <w:sz w:val="24"/>
          <w:szCs w:val="24"/>
        </w:rPr>
        <w:t xml:space="preserve">. </w:t>
      </w:r>
    </w:p>
    <w:p w14:paraId="2837EDA4" w14:textId="24C59168" w:rsidR="000C797A" w:rsidRDefault="000C797A" w:rsidP="00216407">
      <w:pPr>
        <w:spacing w:after="0" w:line="288" w:lineRule="auto"/>
        <w:ind w:firstLine="708"/>
        <w:jc w:val="both"/>
        <w:rPr>
          <w:rFonts w:ascii="Times New Roman" w:eastAsia="Calibri" w:hAnsi="Times New Roman" w:cs="Times New Roman"/>
          <w:sz w:val="24"/>
          <w:szCs w:val="24"/>
        </w:rPr>
      </w:pPr>
      <w:r w:rsidRPr="000C797A">
        <w:rPr>
          <w:rFonts w:ascii="Times New Roman" w:eastAsia="Calibri" w:hAnsi="Times New Roman" w:cs="Times New Roman"/>
          <w:sz w:val="24"/>
          <w:szCs w:val="24"/>
        </w:rPr>
        <w:t xml:space="preserve">W art. </w:t>
      </w:r>
      <w:r w:rsidR="00FF074C" w:rsidRPr="00406FEB">
        <w:rPr>
          <w:rFonts w:ascii="Times New Roman" w:eastAsia="Calibri" w:hAnsi="Times New Roman" w:cs="Times New Roman"/>
          <w:sz w:val="24"/>
          <w:szCs w:val="24"/>
        </w:rPr>
        <w:t>2</w:t>
      </w:r>
      <w:r w:rsidR="00FF074C">
        <w:rPr>
          <w:rFonts w:ascii="Times New Roman" w:eastAsia="Calibri" w:hAnsi="Times New Roman" w:cs="Times New Roman"/>
          <w:sz w:val="24"/>
          <w:szCs w:val="24"/>
        </w:rPr>
        <w:t>4</w:t>
      </w:r>
      <w:r w:rsidR="00FF074C" w:rsidRPr="000C797A">
        <w:rPr>
          <w:rFonts w:ascii="Times New Roman" w:eastAsia="Calibri" w:hAnsi="Times New Roman" w:cs="Times New Roman"/>
          <w:sz w:val="24"/>
          <w:szCs w:val="24"/>
        </w:rPr>
        <w:t xml:space="preserve"> </w:t>
      </w:r>
      <w:r w:rsidRPr="000C797A">
        <w:rPr>
          <w:rFonts w:ascii="Times New Roman" w:eastAsia="Calibri" w:hAnsi="Times New Roman" w:cs="Times New Roman"/>
          <w:sz w:val="24"/>
          <w:szCs w:val="24"/>
        </w:rPr>
        <w:t>projektu zaproponowano uchylenie ustawy z dnia 15 marca 2019 r. o uregulowaniu niektórych spraw w związku z wystąpieniem Zjednoczonego Królestwa Wielkiej Brytanii i Irlandii Północnej z Unii Europejskiej i Europejskiej Wspólnoty Energii Atomowej bez zawarcia umowy, o której mowa w art. 50 ust. 2 Traktatu o Unii Europejskiej (Dz. U. z 2019 r. poz. 622</w:t>
      </w:r>
      <w:r w:rsidR="002F40DA">
        <w:rPr>
          <w:rFonts w:ascii="Times New Roman" w:eastAsia="Calibri" w:hAnsi="Times New Roman" w:cs="Times New Roman"/>
          <w:sz w:val="24"/>
          <w:szCs w:val="24"/>
        </w:rPr>
        <w:t xml:space="preserve"> i 1495</w:t>
      </w:r>
      <w:r w:rsidRPr="000C797A">
        <w:rPr>
          <w:rFonts w:ascii="Times New Roman" w:eastAsia="Calibri" w:hAnsi="Times New Roman" w:cs="Times New Roman"/>
          <w:sz w:val="24"/>
          <w:szCs w:val="24"/>
        </w:rPr>
        <w:t xml:space="preserve">). Jest to ustawa, która m.in. reguluje kwestię praw pobytowych obywateli Zjednoczonego Królestwa Wielkiej Brytanii i Irlandii Północnej i członków ich rodzin w Rzeczypospolitej Polskiej w sytuacji, gdyby Zjednoczone Królestwo wystąpiło z UE i EURATOM bez zawarcia umowy regulującej warunki tego wystąpienia. Jej wejście w życie było w całości uzależnione od tego scenariusza. Z uwagi na fakt, iż Zjednoczone Królestwo wystąpiło z UE i EURATOM na podstawie Umowy wystąpienia, zasadnym jest uchylenie wskazanej wyżej ustawy.  </w:t>
      </w:r>
    </w:p>
    <w:p w14:paraId="3ED38621" w14:textId="40483973" w:rsidR="00076C40" w:rsidRPr="00774FA7" w:rsidRDefault="004F51EF" w:rsidP="004F6DC6">
      <w:pPr>
        <w:spacing w:after="0" w:line="288" w:lineRule="auto"/>
        <w:ind w:firstLine="708"/>
        <w:jc w:val="both"/>
        <w:rPr>
          <w:rFonts w:ascii="Times New Roman" w:eastAsia="Calibri" w:hAnsi="Times New Roman" w:cs="Times New Roman"/>
          <w:sz w:val="24"/>
          <w:szCs w:val="24"/>
        </w:rPr>
      </w:pPr>
      <w:r w:rsidRPr="004F51EF">
        <w:rPr>
          <w:rFonts w:ascii="Times New Roman" w:eastAsia="Calibri" w:hAnsi="Times New Roman" w:cs="Times New Roman"/>
          <w:sz w:val="24"/>
          <w:szCs w:val="24"/>
        </w:rPr>
        <w:t xml:space="preserve">Wejście w życie projektowanej ustawy proponuje się ustalić, co do zasady, na dzień 1 stycznia 2021 r., a zatem z pierwszym dniem następującym po okresie przejściowym ustanowionym w art. 126 Umowy wystąpienia. Termin ten, jak wskazywano już wielokrotnie, </w:t>
      </w:r>
      <w:r w:rsidRPr="004F51EF">
        <w:rPr>
          <w:rFonts w:ascii="Times New Roman" w:eastAsia="Calibri" w:hAnsi="Times New Roman" w:cs="Times New Roman"/>
          <w:sz w:val="24"/>
          <w:szCs w:val="24"/>
        </w:rPr>
        <w:lastRenderedPageBreak/>
        <w:t>jest nierozerwalnie związany z zakończeniem okresu przejściowego dla obywateli Zjednoczonego Królestwa oraz członków ich rodzin. Aby obywatele Zjednoczonego Królestwa, członkowie ich rodzin oraz inne osoby wywodzące swoje uprawnienia z dyrektywy 2004/38/WE mogli nadal po wystąpieniu Zjednoczonego Królestwa z Unii Europejskiej legalnie przebywać na terytorium Polski, zmiany w wprowadzane do ustawy o wjeździe obywateli UE oraz ustawy o cudzoziemcach, które stanowią wykonanie postanowień Umowy wystąpienia dedykowanych swobodzie przepływu osób, muszą wejść w życie w terminie wskazanym wyżej</w:t>
      </w:r>
      <w:r>
        <w:rPr>
          <w:rFonts w:ascii="Times New Roman" w:eastAsia="Calibri" w:hAnsi="Times New Roman" w:cs="Times New Roman"/>
          <w:sz w:val="24"/>
          <w:szCs w:val="24"/>
        </w:rPr>
        <w:t xml:space="preserve">. </w:t>
      </w:r>
      <w:r w:rsidR="00EF1E62" w:rsidRPr="00774FA7">
        <w:rPr>
          <w:rFonts w:ascii="Times New Roman" w:eastAsia="Calibri" w:hAnsi="Times New Roman" w:cs="Times New Roman"/>
          <w:sz w:val="24"/>
          <w:szCs w:val="24"/>
        </w:rPr>
        <w:t>Wyjątkiem</w:t>
      </w:r>
      <w:r w:rsidR="00003E19">
        <w:rPr>
          <w:rFonts w:ascii="Times New Roman" w:eastAsia="Calibri" w:hAnsi="Times New Roman" w:cs="Times New Roman"/>
          <w:sz w:val="24"/>
          <w:szCs w:val="24"/>
        </w:rPr>
        <w:t xml:space="preserve">, od wskazanej wyżej reguły, </w:t>
      </w:r>
      <w:r w:rsidR="00EF1E62" w:rsidRPr="00774FA7">
        <w:rPr>
          <w:rFonts w:ascii="Times New Roman" w:eastAsia="Calibri" w:hAnsi="Times New Roman" w:cs="Times New Roman"/>
          <w:sz w:val="24"/>
          <w:szCs w:val="24"/>
        </w:rPr>
        <w:t xml:space="preserve">będą </w:t>
      </w:r>
      <w:r w:rsidR="00295407" w:rsidRPr="00774FA7">
        <w:rPr>
          <w:rFonts w:ascii="Times New Roman" w:eastAsia="Calibri" w:hAnsi="Times New Roman" w:cs="Times New Roman"/>
          <w:sz w:val="24"/>
          <w:szCs w:val="24"/>
        </w:rPr>
        <w:t xml:space="preserve">przepisy dotyczące </w:t>
      </w:r>
      <w:r w:rsidR="006520B8" w:rsidRPr="00774FA7">
        <w:rPr>
          <w:rFonts w:ascii="Times New Roman" w:eastAsia="Calibri" w:hAnsi="Times New Roman" w:cs="Times New Roman"/>
          <w:sz w:val="24"/>
          <w:szCs w:val="24"/>
        </w:rPr>
        <w:t xml:space="preserve">nowych zasad </w:t>
      </w:r>
      <w:r w:rsidR="00295407" w:rsidRPr="00774FA7">
        <w:rPr>
          <w:rFonts w:ascii="Times New Roman" w:eastAsia="Calibri" w:hAnsi="Times New Roman" w:cs="Times New Roman"/>
          <w:sz w:val="24"/>
          <w:szCs w:val="24"/>
        </w:rPr>
        <w:t>wydawania zaświadczeń o zarejestrowaniu pobytu obywatela UE, ka</w:t>
      </w:r>
      <w:r w:rsidR="006520B8" w:rsidRPr="00774FA7">
        <w:rPr>
          <w:rFonts w:ascii="Times New Roman" w:eastAsia="Calibri" w:hAnsi="Times New Roman" w:cs="Times New Roman"/>
          <w:sz w:val="24"/>
          <w:szCs w:val="24"/>
        </w:rPr>
        <w:t>rt pobytowych, dokumentów potwierdzających prawo stałego pobytu oraz kart stałego pobytu</w:t>
      </w:r>
      <w:r w:rsidR="00A35C9D" w:rsidRPr="00774FA7">
        <w:rPr>
          <w:rFonts w:ascii="Times New Roman" w:eastAsia="Calibri" w:hAnsi="Times New Roman" w:cs="Times New Roman"/>
          <w:sz w:val="24"/>
          <w:szCs w:val="24"/>
        </w:rPr>
        <w:t>, któr</w:t>
      </w:r>
      <w:r w:rsidR="00B749B4" w:rsidRPr="00774FA7">
        <w:rPr>
          <w:rFonts w:ascii="Times New Roman" w:eastAsia="Calibri" w:hAnsi="Times New Roman" w:cs="Times New Roman"/>
          <w:sz w:val="24"/>
          <w:szCs w:val="24"/>
        </w:rPr>
        <w:t>e</w:t>
      </w:r>
      <w:r w:rsidR="00A35C9D" w:rsidRPr="00774FA7">
        <w:rPr>
          <w:rFonts w:ascii="Times New Roman" w:eastAsia="Calibri" w:hAnsi="Times New Roman" w:cs="Times New Roman"/>
          <w:sz w:val="24"/>
          <w:szCs w:val="24"/>
        </w:rPr>
        <w:t xml:space="preserve"> wejd</w:t>
      </w:r>
      <w:r w:rsidR="00B749B4" w:rsidRPr="00774FA7">
        <w:rPr>
          <w:rFonts w:ascii="Times New Roman" w:eastAsia="Calibri" w:hAnsi="Times New Roman" w:cs="Times New Roman"/>
          <w:sz w:val="24"/>
          <w:szCs w:val="24"/>
        </w:rPr>
        <w:t xml:space="preserve">ą </w:t>
      </w:r>
      <w:r w:rsidR="00A35C9D" w:rsidRPr="00774FA7">
        <w:rPr>
          <w:rFonts w:ascii="Times New Roman" w:eastAsia="Calibri" w:hAnsi="Times New Roman" w:cs="Times New Roman"/>
          <w:sz w:val="24"/>
          <w:szCs w:val="24"/>
        </w:rPr>
        <w:t>w życie z dniem</w:t>
      </w:r>
      <w:r w:rsidR="0015206B" w:rsidRPr="00774FA7">
        <w:rPr>
          <w:rFonts w:ascii="Times New Roman" w:eastAsia="Calibri" w:hAnsi="Times New Roman" w:cs="Times New Roman"/>
          <w:sz w:val="24"/>
          <w:szCs w:val="24"/>
        </w:rPr>
        <w:t xml:space="preserve"> </w:t>
      </w:r>
      <w:r w:rsidR="006520B8" w:rsidRPr="00774FA7">
        <w:rPr>
          <w:rFonts w:ascii="Times New Roman" w:eastAsia="Calibri" w:hAnsi="Times New Roman" w:cs="Times New Roman"/>
          <w:sz w:val="24"/>
          <w:szCs w:val="24"/>
        </w:rPr>
        <w:t>2 sierpnia 2021 r.</w:t>
      </w:r>
      <w:r w:rsidR="00295407" w:rsidRPr="00774FA7">
        <w:rPr>
          <w:rFonts w:ascii="Times New Roman" w:eastAsia="Calibri" w:hAnsi="Times New Roman" w:cs="Times New Roman"/>
          <w:sz w:val="24"/>
          <w:szCs w:val="24"/>
        </w:rPr>
        <w:t xml:space="preserve"> Taki zabieg pozwoli na dostosowanie systemu teleinformatycznego do nowego sposobu personalizacji karty pobytowej i karty stałego pobytu, a także na przygotowanie się do wydawania zaświadczenia o zarejestrowaniu pobytu obywatela UE w nowym formacie, tj. dokumentu zabezpieczonego ze zdjęciem.</w:t>
      </w:r>
      <w:r w:rsidR="009E4A63">
        <w:rPr>
          <w:rFonts w:ascii="Times New Roman" w:eastAsia="Calibri" w:hAnsi="Times New Roman" w:cs="Times New Roman"/>
          <w:sz w:val="24"/>
          <w:szCs w:val="24"/>
        </w:rPr>
        <w:t xml:space="preserve"> Powyższa</w:t>
      </w:r>
      <w:r w:rsidR="006520B8" w:rsidRPr="00774FA7">
        <w:rPr>
          <w:rFonts w:ascii="Times New Roman" w:eastAsia="Calibri" w:hAnsi="Times New Roman" w:cs="Times New Roman"/>
          <w:sz w:val="24"/>
          <w:szCs w:val="24"/>
        </w:rPr>
        <w:t xml:space="preserve"> data jest zbieżna </w:t>
      </w:r>
      <w:r w:rsidR="00B00433">
        <w:rPr>
          <w:rFonts w:ascii="Times New Roman" w:eastAsia="Calibri" w:hAnsi="Times New Roman" w:cs="Times New Roman"/>
          <w:sz w:val="24"/>
          <w:szCs w:val="24"/>
        </w:rPr>
        <w:t xml:space="preserve">z </w:t>
      </w:r>
      <w:r w:rsidR="006520B8" w:rsidRPr="00774FA7">
        <w:rPr>
          <w:rFonts w:ascii="Times New Roman" w:eastAsia="Calibri" w:hAnsi="Times New Roman" w:cs="Times New Roman"/>
          <w:sz w:val="24"/>
          <w:szCs w:val="24"/>
        </w:rPr>
        <w:t>datą rozpoczęcia stosowania rozporządzania Rady (UE) 2019/1157.</w:t>
      </w:r>
    </w:p>
    <w:p w14:paraId="53CD6F43" w14:textId="77777777" w:rsidR="00076C40" w:rsidRPr="00774FA7" w:rsidRDefault="00076C40" w:rsidP="004F6DC6">
      <w:pPr>
        <w:spacing w:after="0" w:line="288" w:lineRule="auto"/>
        <w:ind w:firstLine="708"/>
        <w:jc w:val="both"/>
        <w:rPr>
          <w:rFonts w:ascii="Times New Roman" w:eastAsia="Calibri" w:hAnsi="Times New Roman" w:cs="Times New Roman"/>
          <w:sz w:val="24"/>
          <w:szCs w:val="24"/>
          <w:lang w:eastAsia="pl-PL"/>
        </w:rPr>
      </w:pPr>
      <w:r w:rsidRPr="00774FA7">
        <w:rPr>
          <w:rFonts w:ascii="Times New Roman" w:eastAsia="Calibri" w:hAnsi="Times New Roman" w:cs="Times New Roman"/>
          <w:sz w:val="24"/>
          <w:szCs w:val="24"/>
          <w:lang w:eastAsia="pl-PL"/>
        </w:rPr>
        <w:t>Projekt ustawy jest zgodny z prawem Unii Europejskiej.</w:t>
      </w:r>
    </w:p>
    <w:p w14:paraId="0B323DED" w14:textId="37BA45A2" w:rsidR="00076C40" w:rsidRPr="00774FA7" w:rsidRDefault="00076C40" w:rsidP="004F6DC6">
      <w:pPr>
        <w:autoSpaceDE w:val="0"/>
        <w:autoSpaceDN w:val="0"/>
        <w:adjustRightInd w:val="0"/>
        <w:spacing w:after="0" w:line="288" w:lineRule="auto"/>
        <w:ind w:firstLine="708"/>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Projekt ustawy nie zawiera przepisów technicznych, a zatem nie podlega notyfikacji, zgodnie z trybem przewidzianym w przepisach rozpo</w:t>
      </w:r>
      <w:r w:rsidRPr="00774FA7">
        <w:rPr>
          <w:rFonts w:ascii="Times New Roman" w:eastAsia="Calibri" w:hAnsi="Times New Roman" w:cs="Times New Roman"/>
          <w:sz w:val="24"/>
          <w:szCs w:val="24"/>
        </w:rPr>
        <w:softHyphen/>
        <w:t>rządzenia Rady Ministrów z dnia 23 grudnia 2002 r. w sprawie sposobu funkcjonowania krajowego systemu notyfikacji norm i</w:t>
      </w:r>
      <w:r w:rsidR="00724F37">
        <w:rPr>
          <w:rFonts w:ascii="Times New Roman" w:eastAsia="Calibri" w:hAnsi="Times New Roman" w:cs="Times New Roman"/>
          <w:sz w:val="24"/>
          <w:szCs w:val="24"/>
        </w:rPr>
        <w:t> </w:t>
      </w:r>
      <w:r w:rsidRPr="00774FA7">
        <w:rPr>
          <w:rFonts w:ascii="Times New Roman" w:eastAsia="Calibri" w:hAnsi="Times New Roman" w:cs="Times New Roman"/>
          <w:sz w:val="24"/>
          <w:szCs w:val="24"/>
        </w:rPr>
        <w:t>aktów prawnych (Dz. U. poz. 2039</w:t>
      </w:r>
      <w:r w:rsidR="00A4540B" w:rsidRPr="00774FA7">
        <w:rPr>
          <w:rFonts w:ascii="Times New Roman" w:eastAsia="Calibri" w:hAnsi="Times New Roman" w:cs="Times New Roman"/>
          <w:sz w:val="24"/>
          <w:szCs w:val="24"/>
        </w:rPr>
        <w:t xml:space="preserve">, z </w:t>
      </w:r>
      <w:proofErr w:type="spellStart"/>
      <w:r w:rsidR="00A4540B" w:rsidRPr="00774FA7">
        <w:rPr>
          <w:rFonts w:ascii="Times New Roman" w:eastAsia="Calibri" w:hAnsi="Times New Roman" w:cs="Times New Roman"/>
          <w:sz w:val="24"/>
          <w:szCs w:val="24"/>
        </w:rPr>
        <w:t>późn</w:t>
      </w:r>
      <w:proofErr w:type="spellEnd"/>
      <w:r w:rsidR="00A4540B" w:rsidRPr="00774FA7">
        <w:rPr>
          <w:rFonts w:ascii="Times New Roman" w:eastAsia="Calibri" w:hAnsi="Times New Roman" w:cs="Times New Roman"/>
          <w:sz w:val="24"/>
          <w:szCs w:val="24"/>
        </w:rPr>
        <w:t>. zm.</w:t>
      </w:r>
      <w:r w:rsidRPr="00774FA7">
        <w:rPr>
          <w:rFonts w:ascii="Times New Roman" w:eastAsia="Calibri" w:hAnsi="Times New Roman" w:cs="Times New Roman"/>
          <w:sz w:val="24"/>
          <w:szCs w:val="24"/>
        </w:rPr>
        <w:t>).</w:t>
      </w:r>
    </w:p>
    <w:p w14:paraId="2164D0D6" w14:textId="3BCBC284" w:rsidR="004B5452" w:rsidRPr="004B5452" w:rsidRDefault="00076C40" w:rsidP="004B5452">
      <w:pPr>
        <w:ind w:firstLine="709"/>
        <w:jc w:val="both"/>
        <w:rPr>
          <w:rFonts w:ascii="Times New Roman" w:eastAsia="Calibri" w:hAnsi="Times New Roman" w:cs="Times New Roman"/>
          <w:sz w:val="24"/>
          <w:szCs w:val="24"/>
        </w:rPr>
      </w:pPr>
      <w:r w:rsidRPr="00774FA7">
        <w:rPr>
          <w:rFonts w:ascii="Times New Roman" w:eastAsia="Calibri" w:hAnsi="Times New Roman" w:cs="Times New Roman"/>
          <w:sz w:val="24"/>
          <w:szCs w:val="24"/>
        </w:rPr>
        <w:t xml:space="preserve">Projekt ustawy nie wymaga przedłożenia </w:t>
      </w:r>
      <w:r w:rsidR="004B5452" w:rsidRPr="004B5452">
        <w:rPr>
          <w:rFonts w:ascii="Times New Roman" w:eastAsia="Calibri" w:hAnsi="Times New Roman" w:cs="Times New Roman"/>
          <w:sz w:val="24"/>
          <w:szCs w:val="24"/>
        </w:rPr>
        <w:t>instytucjom i organom Unii Europejskiej, w</w:t>
      </w:r>
      <w:r w:rsidR="00724F37">
        <w:rPr>
          <w:rFonts w:ascii="Times New Roman" w:eastAsia="Calibri" w:hAnsi="Times New Roman" w:cs="Times New Roman"/>
          <w:sz w:val="24"/>
          <w:szCs w:val="24"/>
        </w:rPr>
        <w:t> </w:t>
      </w:r>
      <w:r w:rsidR="004B5452" w:rsidRPr="004B5452">
        <w:rPr>
          <w:rFonts w:ascii="Times New Roman" w:eastAsia="Calibri" w:hAnsi="Times New Roman" w:cs="Times New Roman"/>
          <w:sz w:val="24"/>
          <w:szCs w:val="24"/>
        </w:rPr>
        <w:t>tym Europejskiemu Bankowi Centralnemu, w celu uzyskania opinii, dokonania powiadomienia, konsultacji albo uzgodnienia.</w:t>
      </w:r>
    </w:p>
    <w:p w14:paraId="217E65BF" w14:textId="77777777" w:rsidR="008810B1" w:rsidRPr="00774FA7" w:rsidRDefault="008810B1" w:rsidP="004F6DC6">
      <w:pPr>
        <w:autoSpaceDE w:val="0"/>
        <w:autoSpaceDN w:val="0"/>
        <w:adjustRightInd w:val="0"/>
        <w:spacing w:after="0" w:line="288" w:lineRule="auto"/>
        <w:ind w:firstLine="708"/>
        <w:jc w:val="both"/>
        <w:rPr>
          <w:rFonts w:ascii="Times New Roman" w:eastAsia="Calibri" w:hAnsi="Times New Roman" w:cs="Times New Roman"/>
          <w:sz w:val="24"/>
          <w:szCs w:val="24"/>
        </w:rPr>
      </w:pPr>
    </w:p>
    <w:sectPr w:rsidR="008810B1" w:rsidRPr="00774FA7" w:rsidSect="0081493B">
      <w:footerReference w:type="even" r:id="rId8"/>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CB493" w14:textId="77777777" w:rsidR="00630DA3" w:rsidRDefault="00630DA3">
      <w:pPr>
        <w:spacing w:after="0" w:line="240" w:lineRule="auto"/>
      </w:pPr>
      <w:r>
        <w:separator/>
      </w:r>
    </w:p>
  </w:endnote>
  <w:endnote w:type="continuationSeparator" w:id="0">
    <w:p w14:paraId="58BB9F3A" w14:textId="77777777" w:rsidR="00630DA3" w:rsidRDefault="0063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2E473" w14:textId="77777777" w:rsidR="00E63B8E" w:rsidRDefault="00E63B8E" w:rsidP="0081493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8C2ED5E" w14:textId="77777777" w:rsidR="00E63B8E" w:rsidRDefault="00E63B8E">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FA4E77" w14:textId="2A950549" w:rsidR="00E63B8E" w:rsidRPr="00C92DE6" w:rsidRDefault="00E63B8E" w:rsidP="0081493B">
    <w:pPr>
      <w:pStyle w:val="Stopka"/>
      <w:framePr w:wrap="around" w:vAnchor="text" w:hAnchor="margin" w:xAlign="center" w:y="1"/>
      <w:rPr>
        <w:rStyle w:val="Numerstrony"/>
        <w:rFonts w:ascii="Times New Roman" w:hAnsi="Times New Roman"/>
        <w:sz w:val="24"/>
        <w:szCs w:val="24"/>
      </w:rPr>
    </w:pPr>
    <w:r w:rsidRPr="00C92DE6">
      <w:rPr>
        <w:rStyle w:val="Numerstrony"/>
        <w:rFonts w:ascii="Times New Roman" w:hAnsi="Times New Roman"/>
        <w:sz w:val="24"/>
        <w:szCs w:val="24"/>
      </w:rPr>
      <w:fldChar w:fldCharType="begin"/>
    </w:r>
    <w:r w:rsidRPr="00C92DE6">
      <w:rPr>
        <w:rStyle w:val="Numerstrony"/>
        <w:rFonts w:ascii="Times New Roman" w:hAnsi="Times New Roman"/>
        <w:sz w:val="24"/>
        <w:szCs w:val="24"/>
      </w:rPr>
      <w:instrText xml:space="preserve">PAGE  </w:instrText>
    </w:r>
    <w:r w:rsidRPr="00C92DE6">
      <w:rPr>
        <w:rStyle w:val="Numerstrony"/>
        <w:rFonts w:ascii="Times New Roman" w:hAnsi="Times New Roman"/>
        <w:sz w:val="24"/>
        <w:szCs w:val="24"/>
      </w:rPr>
      <w:fldChar w:fldCharType="separate"/>
    </w:r>
    <w:r w:rsidR="003C2A40">
      <w:rPr>
        <w:rStyle w:val="Numerstrony"/>
        <w:rFonts w:ascii="Times New Roman" w:hAnsi="Times New Roman"/>
        <w:noProof/>
        <w:sz w:val="24"/>
        <w:szCs w:val="24"/>
      </w:rPr>
      <w:t>21</w:t>
    </w:r>
    <w:r w:rsidRPr="00C92DE6">
      <w:rPr>
        <w:rStyle w:val="Numerstrony"/>
        <w:rFonts w:ascii="Times New Roman" w:hAnsi="Times New Roman"/>
        <w:sz w:val="24"/>
        <w:szCs w:val="24"/>
      </w:rPr>
      <w:fldChar w:fldCharType="end"/>
    </w:r>
  </w:p>
  <w:p w14:paraId="32A0E5D3" w14:textId="77777777" w:rsidR="00E63B8E" w:rsidRDefault="00E63B8E">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BB5599" w14:textId="082947FE" w:rsidR="00E63B8E" w:rsidRDefault="00E63B8E">
    <w:pPr>
      <w:pStyle w:val="Stopka"/>
      <w:jc w:val="right"/>
    </w:pPr>
    <w:r>
      <w:fldChar w:fldCharType="begin"/>
    </w:r>
    <w:r>
      <w:instrText>PAGE   \* MERGEFORMAT</w:instrText>
    </w:r>
    <w:r>
      <w:fldChar w:fldCharType="separate"/>
    </w:r>
    <w:r w:rsidR="003C2A40" w:rsidRPr="003C2A40">
      <w:rPr>
        <w:noProof/>
        <w:lang w:val="pl-PL"/>
      </w:rPr>
      <w:t>1</w:t>
    </w:r>
    <w:r>
      <w:fldChar w:fldCharType="end"/>
    </w:r>
  </w:p>
  <w:p w14:paraId="45CFC066" w14:textId="77777777" w:rsidR="00E63B8E" w:rsidRDefault="00E63B8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BBC5D6" w14:textId="77777777" w:rsidR="00630DA3" w:rsidRDefault="00630DA3">
      <w:pPr>
        <w:spacing w:after="0" w:line="240" w:lineRule="auto"/>
      </w:pPr>
      <w:r>
        <w:separator/>
      </w:r>
    </w:p>
  </w:footnote>
  <w:footnote w:type="continuationSeparator" w:id="0">
    <w:p w14:paraId="49181C13" w14:textId="77777777" w:rsidR="00630DA3" w:rsidRDefault="00630D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5BC67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85E8F"/>
    <w:multiLevelType w:val="hybridMultilevel"/>
    <w:tmpl w:val="DF46F9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0478AB"/>
    <w:multiLevelType w:val="hybridMultilevel"/>
    <w:tmpl w:val="24C4F4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43380C"/>
    <w:multiLevelType w:val="hybridMultilevel"/>
    <w:tmpl w:val="13842E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DC42582"/>
    <w:multiLevelType w:val="hybridMultilevel"/>
    <w:tmpl w:val="41DE577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 w15:restartNumberingAfterBreak="0">
    <w:nsid w:val="1F5D633B"/>
    <w:multiLevelType w:val="multilevel"/>
    <w:tmpl w:val="AEFEEA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4994090"/>
    <w:multiLevelType w:val="hybridMultilevel"/>
    <w:tmpl w:val="1A4A10E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6D16943"/>
    <w:multiLevelType w:val="hybridMultilevel"/>
    <w:tmpl w:val="F2707D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8373489"/>
    <w:multiLevelType w:val="hybridMultilevel"/>
    <w:tmpl w:val="70B2C3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F1D4088"/>
    <w:multiLevelType w:val="hybridMultilevel"/>
    <w:tmpl w:val="81AAE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46B52EE"/>
    <w:multiLevelType w:val="hybridMultilevel"/>
    <w:tmpl w:val="9500B0E0"/>
    <w:lvl w:ilvl="0" w:tplc="D2A000F2">
      <w:start w:val="1"/>
      <w:numFmt w:val="decimal"/>
      <w:lvlText w:val="%1)"/>
      <w:lvlJc w:val="left"/>
      <w:pPr>
        <w:tabs>
          <w:tab w:val="num" w:pos="2337"/>
        </w:tabs>
        <w:ind w:left="2337" w:hanging="357"/>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5927702A"/>
    <w:multiLevelType w:val="hybridMultilevel"/>
    <w:tmpl w:val="96302050"/>
    <w:lvl w:ilvl="0" w:tplc="5532AFA2">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5F56297C"/>
    <w:multiLevelType w:val="hybridMultilevel"/>
    <w:tmpl w:val="5D0885D0"/>
    <w:lvl w:ilvl="0" w:tplc="7FD695DA">
      <w:start w:val="1"/>
      <w:numFmt w:val="lowerLetter"/>
      <w:lvlText w:val="%1)"/>
      <w:lvlJc w:val="left"/>
      <w:pPr>
        <w:ind w:left="110" w:firstLine="599"/>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3" w15:restartNumberingAfterBreak="0">
    <w:nsid w:val="5FF44D55"/>
    <w:multiLevelType w:val="hybridMultilevel"/>
    <w:tmpl w:val="BC8E2EF8"/>
    <w:lvl w:ilvl="0" w:tplc="5532AFA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658D22B6"/>
    <w:multiLevelType w:val="hybridMultilevel"/>
    <w:tmpl w:val="94D2D6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9802559"/>
    <w:multiLevelType w:val="hybridMultilevel"/>
    <w:tmpl w:val="1AE895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6C71167"/>
    <w:multiLevelType w:val="hybridMultilevel"/>
    <w:tmpl w:val="B038F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89A71A8"/>
    <w:multiLevelType w:val="hybridMultilevel"/>
    <w:tmpl w:val="EC6A212E"/>
    <w:lvl w:ilvl="0" w:tplc="4000CD0C">
      <w:start w:val="6"/>
      <w:numFmt w:val="decimal"/>
      <w:lvlText w:val="%1)"/>
      <w:lvlJc w:val="left"/>
      <w:pPr>
        <w:tabs>
          <w:tab w:val="num" w:pos="2340"/>
        </w:tabs>
        <w:ind w:left="23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7C08127B"/>
    <w:multiLevelType w:val="multilevel"/>
    <w:tmpl w:val="0409001D"/>
    <w:lvl w:ilvl="0">
      <w:start w:val="1"/>
      <w:numFmt w:val="decimal"/>
      <w:lvlText w:val="%1)"/>
      <w:lvlJc w:val="left"/>
      <w:pPr>
        <w:ind w:left="360" w:hanging="360"/>
      </w:pPr>
      <w:rPr>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D0F068F"/>
    <w:multiLevelType w:val="hybridMultilevel"/>
    <w:tmpl w:val="7A326A2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num w:numId="1">
    <w:abstractNumId w:val="2"/>
  </w:num>
  <w:num w:numId="2">
    <w:abstractNumId w:val="17"/>
  </w:num>
  <w:num w:numId="3">
    <w:abstractNumId w:val="1"/>
  </w:num>
  <w:num w:numId="4">
    <w:abstractNumId w:val="5"/>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15"/>
  </w:num>
  <w:num w:numId="9">
    <w:abstractNumId w:val="0"/>
  </w:num>
  <w:num w:numId="10">
    <w:abstractNumId w:val="14"/>
  </w:num>
  <w:num w:numId="11">
    <w:abstractNumId w:val="18"/>
  </w:num>
  <w:num w:numId="12">
    <w:abstractNumId w:val="4"/>
  </w:num>
  <w:num w:numId="13">
    <w:abstractNumId w:val="19"/>
  </w:num>
  <w:num w:numId="14">
    <w:abstractNumId w:val="9"/>
  </w:num>
  <w:num w:numId="15">
    <w:abstractNumId w:val="8"/>
  </w:num>
  <w:num w:numId="16">
    <w:abstractNumId w:val="16"/>
  </w:num>
  <w:num w:numId="17">
    <w:abstractNumId w:val="13"/>
  </w:num>
  <w:num w:numId="18">
    <w:abstractNumId w:val="11"/>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C40"/>
    <w:rsid w:val="00003E19"/>
    <w:rsid w:val="000042C8"/>
    <w:rsid w:val="000044C9"/>
    <w:rsid w:val="00007D7D"/>
    <w:rsid w:val="00016002"/>
    <w:rsid w:val="00020F55"/>
    <w:rsid w:val="0002203C"/>
    <w:rsid w:val="000236F9"/>
    <w:rsid w:val="00023A65"/>
    <w:rsid w:val="00034037"/>
    <w:rsid w:val="00034BC0"/>
    <w:rsid w:val="00035D3B"/>
    <w:rsid w:val="00042DDF"/>
    <w:rsid w:val="00043F7E"/>
    <w:rsid w:val="00050C81"/>
    <w:rsid w:val="00051258"/>
    <w:rsid w:val="00051561"/>
    <w:rsid w:val="000523F9"/>
    <w:rsid w:val="0005294D"/>
    <w:rsid w:val="00061CF9"/>
    <w:rsid w:val="00065E58"/>
    <w:rsid w:val="00066196"/>
    <w:rsid w:val="00067277"/>
    <w:rsid w:val="0007496A"/>
    <w:rsid w:val="00076C40"/>
    <w:rsid w:val="000776A2"/>
    <w:rsid w:val="00082518"/>
    <w:rsid w:val="00082E3F"/>
    <w:rsid w:val="00083B78"/>
    <w:rsid w:val="0009325B"/>
    <w:rsid w:val="000953FD"/>
    <w:rsid w:val="00095D5E"/>
    <w:rsid w:val="00095E95"/>
    <w:rsid w:val="000B30A1"/>
    <w:rsid w:val="000B6766"/>
    <w:rsid w:val="000B7281"/>
    <w:rsid w:val="000C2D82"/>
    <w:rsid w:val="000C395A"/>
    <w:rsid w:val="000C4951"/>
    <w:rsid w:val="000C704E"/>
    <w:rsid w:val="000C797A"/>
    <w:rsid w:val="000D0028"/>
    <w:rsid w:val="000D4511"/>
    <w:rsid w:val="000D4862"/>
    <w:rsid w:val="000D48D5"/>
    <w:rsid w:val="000D6A25"/>
    <w:rsid w:val="000E42B7"/>
    <w:rsid w:val="000E6155"/>
    <w:rsid w:val="000E7B01"/>
    <w:rsid w:val="000F2347"/>
    <w:rsid w:val="000F250D"/>
    <w:rsid w:val="000F3D3D"/>
    <w:rsid w:val="000F5142"/>
    <w:rsid w:val="000F6C23"/>
    <w:rsid w:val="000F7A70"/>
    <w:rsid w:val="00100898"/>
    <w:rsid w:val="00104551"/>
    <w:rsid w:val="00104AD4"/>
    <w:rsid w:val="00107605"/>
    <w:rsid w:val="00107DC6"/>
    <w:rsid w:val="00107FFD"/>
    <w:rsid w:val="00111F36"/>
    <w:rsid w:val="001213B9"/>
    <w:rsid w:val="001261C6"/>
    <w:rsid w:val="00131C83"/>
    <w:rsid w:val="00132980"/>
    <w:rsid w:val="00134712"/>
    <w:rsid w:val="00137D7F"/>
    <w:rsid w:val="00141767"/>
    <w:rsid w:val="0014554E"/>
    <w:rsid w:val="00150B5A"/>
    <w:rsid w:val="0015206B"/>
    <w:rsid w:val="00152D18"/>
    <w:rsid w:val="00153D5D"/>
    <w:rsid w:val="001562CC"/>
    <w:rsid w:val="00163848"/>
    <w:rsid w:val="0016395C"/>
    <w:rsid w:val="00163A34"/>
    <w:rsid w:val="0016581F"/>
    <w:rsid w:val="001674EB"/>
    <w:rsid w:val="00171306"/>
    <w:rsid w:val="00174D71"/>
    <w:rsid w:val="00175C44"/>
    <w:rsid w:val="001775F0"/>
    <w:rsid w:val="00184028"/>
    <w:rsid w:val="00184FCF"/>
    <w:rsid w:val="00190E09"/>
    <w:rsid w:val="001942E0"/>
    <w:rsid w:val="001A183F"/>
    <w:rsid w:val="001A18A5"/>
    <w:rsid w:val="001A3619"/>
    <w:rsid w:val="001A527C"/>
    <w:rsid w:val="001A66FC"/>
    <w:rsid w:val="001A69F2"/>
    <w:rsid w:val="001B1504"/>
    <w:rsid w:val="001B3A18"/>
    <w:rsid w:val="001B47B2"/>
    <w:rsid w:val="001B7314"/>
    <w:rsid w:val="001C1453"/>
    <w:rsid w:val="001C18CB"/>
    <w:rsid w:val="001C35AF"/>
    <w:rsid w:val="001C3732"/>
    <w:rsid w:val="001C477C"/>
    <w:rsid w:val="001C4D21"/>
    <w:rsid w:val="001C528D"/>
    <w:rsid w:val="001D15E8"/>
    <w:rsid w:val="001D65C1"/>
    <w:rsid w:val="001D6B81"/>
    <w:rsid w:val="001E236D"/>
    <w:rsid w:val="001E2EC0"/>
    <w:rsid w:val="001E2FD1"/>
    <w:rsid w:val="001E7E0A"/>
    <w:rsid w:val="001F14B7"/>
    <w:rsid w:val="001F340B"/>
    <w:rsid w:val="001F45E7"/>
    <w:rsid w:val="001F521C"/>
    <w:rsid w:val="00200B78"/>
    <w:rsid w:val="00204935"/>
    <w:rsid w:val="0020619C"/>
    <w:rsid w:val="00206C35"/>
    <w:rsid w:val="002101B9"/>
    <w:rsid w:val="00211814"/>
    <w:rsid w:val="002138DF"/>
    <w:rsid w:val="00215BA1"/>
    <w:rsid w:val="00216407"/>
    <w:rsid w:val="00216911"/>
    <w:rsid w:val="00216D3C"/>
    <w:rsid w:val="00222467"/>
    <w:rsid w:val="00222AB2"/>
    <w:rsid w:val="00222FA4"/>
    <w:rsid w:val="00223184"/>
    <w:rsid w:val="00224BFC"/>
    <w:rsid w:val="00231567"/>
    <w:rsid w:val="00236CB2"/>
    <w:rsid w:val="00236D1D"/>
    <w:rsid w:val="002402A5"/>
    <w:rsid w:val="00240B50"/>
    <w:rsid w:val="00240C08"/>
    <w:rsid w:val="002410BB"/>
    <w:rsid w:val="00244704"/>
    <w:rsid w:val="00250410"/>
    <w:rsid w:val="002513EB"/>
    <w:rsid w:val="0026165D"/>
    <w:rsid w:val="00262298"/>
    <w:rsid w:val="002634ED"/>
    <w:rsid w:val="00270AD9"/>
    <w:rsid w:val="00280A5D"/>
    <w:rsid w:val="00287939"/>
    <w:rsid w:val="00290345"/>
    <w:rsid w:val="00291E0F"/>
    <w:rsid w:val="00294979"/>
    <w:rsid w:val="00295407"/>
    <w:rsid w:val="00295520"/>
    <w:rsid w:val="00296233"/>
    <w:rsid w:val="002A0AA3"/>
    <w:rsid w:val="002A0F74"/>
    <w:rsid w:val="002A597F"/>
    <w:rsid w:val="002B1FA7"/>
    <w:rsid w:val="002B2C57"/>
    <w:rsid w:val="002B37C6"/>
    <w:rsid w:val="002B614A"/>
    <w:rsid w:val="002C7CD4"/>
    <w:rsid w:val="002D0703"/>
    <w:rsid w:val="002D139C"/>
    <w:rsid w:val="002D1D8C"/>
    <w:rsid w:val="002E155B"/>
    <w:rsid w:val="002E2CDA"/>
    <w:rsid w:val="002E657B"/>
    <w:rsid w:val="002E79E0"/>
    <w:rsid w:val="002F0A42"/>
    <w:rsid w:val="002F40DA"/>
    <w:rsid w:val="00300310"/>
    <w:rsid w:val="0030043C"/>
    <w:rsid w:val="00302437"/>
    <w:rsid w:val="00307C0E"/>
    <w:rsid w:val="00310602"/>
    <w:rsid w:val="0031060D"/>
    <w:rsid w:val="00315399"/>
    <w:rsid w:val="003166DA"/>
    <w:rsid w:val="00321EE0"/>
    <w:rsid w:val="003228BB"/>
    <w:rsid w:val="00323E8E"/>
    <w:rsid w:val="00331AC2"/>
    <w:rsid w:val="00331E36"/>
    <w:rsid w:val="00334A17"/>
    <w:rsid w:val="00335454"/>
    <w:rsid w:val="00337292"/>
    <w:rsid w:val="00344422"/>
    <w:rsid w:val="00347697"/>
    <w:rsid w:val="0035558A"/>
    <w:rsid w:val="0035726D"/>
    <w:rsid w:val="00361E19"/>
    <w:rsid w:val="003655A6"/>
    <w:rsid w:val="00365EBC"/>
    <w:rsid w:val="0036792C"/>
    <w:rsid w:val="003702D8"/>
    <w:rsid w:val="0037192B"/>
    <w:rsid w:val="00372B5A"/>
    <w:rsid w:val="00374943"/>
    <w:rsid w:val="00377777"/>
    <w:rsid w:val="00383619"/>
    <w:rsid w:val="003853DF"/>
    <w:rsid w:val="0039330C"/>
    <w:rsid w:val="003941D1"/>
    <w:rsid w:val="00396BF8"/>
    <w:rsid w:val="003A15EF"/>
    <w:rsid w:val="003A192B"/>
    <w:rsid w:val="003A21BA"/>
    <w:rsid w:val="003A526B"/>
    <w:rsid w:val="003A7464"/>
    <w:rsid w:val="003B563E"/>
    <w:rsid w:val="003B7A1D"/>
    <w:rsid w:val="003C2A40"/>
    <w:rsid w:val="003C5030"/>
    <w:rsid w:val="003C5B41"/>
    <w:rsid w:val="003C68E7"/>
    <w:rsid w:val="003D3F3C"/>
    <w:rsid w:val="003D43D6"/>
    <w:rsid w:val="003D6EDE"/>
    <w:rsid w:val="003E0D2E"/>
    <w:rsid w:val="003E1953"/>
    <w:rsid w:val="003E51C7"/>
    <w:rsid w:val="003E78E2"/>
    <w:rsid w:val="003F0932"/>
    <w:rsid w:val="003F31F4"/>
    <w:rsid w:val="004004C3"/>
    <w:rsid w:val="00402F8D"/>
    <w:rsid w:val="00403925"/>
    <w:rsid w:val="00404166"/>
    <w:rsid w:val="00406FEB"/>
    <w:rsid w:val="004104C3"/>
    <w:rsid w:val="004159DD"/>
    <w:rsid w:val="0041641A"/>
    <w:rsid w:val="004219B9"/>
    <w:rsid w:val="00425F4A"/>
    <w:rsid w:val="004268C8"/>
    <w:rsid w:val="00426B23"/>
    <w:rsid w:val="0043153F"/>
    <w:rsid w:val="00432252"/>
    <w:rsid w:val="004364A8"/>
    <w:rsid w:val="0044232B"/>
    <w:rsid w:val="00443F67"/>
    <w:rsid w:val="00444460"/>
    <w:rsid w:val="00446F70"/>
    <w:rsid w:val="004473D8"/>
    <w:rsid w:val="00447B56"/>
    <w:rsid w:val="00450AF9"/>
    <w:rsid w:val="00454B35"/>
    <w:rsid w:val="00454B4D"/>
    <w:rsid w:val="004616C6"/>
    <w:rsid w:val="0046308F"/>
    <w:rsid w:val="00464CB4"/>
    <w:rsid w:val="004676AD"/>
    <w:rsid w:val="00472E81"/>
    <w:rsid w:val="004756C5"/>
    <w:rsid w:val="00477A30"/>
    <w:rsid w:val="0048030B"/>
    <w:rsid w:val="00480CEF"/>
    <w:rsid w:val="00482466"/>
    <w:rsid w:val="004826DE"/>
    <w:rsid w:val="00483F5C"/>
    <w:rsid w:val="004939CC"/>
    <w:rsid w:val="00495B1A"/>
    <w:rsid w:val="00496717"/>
    <w:rsid w:val="00497C1D"/>
    <w:rsid w:val="004B5452"/>
    <w:rsid w:val="004B7415"/>
    <w:rsid w:val="004B7677"/>
    <w:rsid w:val="004C0715"/>
    <w:rsid w:val="004C120B"/>
    <w:rsid w:val="004C3C1F"/>
    <w:rsid w:val="004C56C9"/>
    <w:rsid w:val="004D3DC5"/>
    <w:rsid w:val="004D4C2E"/>
    <w:rsid w:val="004D61B4"/>
    <w:rsid w:val="004D676E"/>
    <w:rsid w:val="004E2B4F"/>
    <w:rsid w:val="004E3A54"/>
    <w:rsid w:val="004E6E6C"/>
    <w:rsid w:val="004F0F33"/>
    <w:rsid w:val="004F1312"/>
    <w:rsid w:val="004F3ADE"/>
    <w:rsid w:val="004F44CC"/>
    <w:rsid w:val="004F51EF"/>
    <w:rsid w:val="004F6DC6"/>
    <w:rsid w:val="00502609"/>
    <w:rsid w:val="00502A01"/>
    <w:rsid w:val="0050572C"/>
    <w:rsid w:val="00506036"/>
    <w:rsid w:val="005066E6"/>
    <w:rsid w:val="00512D28"/>
    <w:rsid w:val="005219C6"/>
    <w:rsid w:val="00526EBD"/>
    <w:rsid w:val="005416A6"/>
    <w:rsid w:val="005419E6"/>
    <w:rsid w:val="00547799"/>
    <w:rsid w:val="00552163"/>
    <w:rsid w:val="00552F95"/>
    <w:rsid w:val="00557F74"/>
    <w:rsid w:val="00562DE3"/>
    <w:rsid w:val="00565134"/>
    <w:rsid w:val="00570275"/>
    <w:rsid w:val="00570845"/>
    <w:rsid w:val="005730C0"/>
    <w:rsid w:val="005816C3"/>
    <w:rsid w:val="00584B1E"/>
    <w:rsid w:val="00586344"/>
    <w:rsid w:val="005866BD"/>
    <w:rsid w:val="005A28D0"/>
    <w:rsid w:val="005A5F98"/>
    <w:rsid w:val="005A71DA"/>
    <w:rsid w:val="005B0630"/>
    <w:rsid w:val="005B0977"/>
    <w:rsid w:val="005B2FFB"/>
    <w:rsid w:val="005B6873"/>
    <w:rsid w:val="005C7CB0"/>
    <w:rsid w:val="005D0850"/>
    <w:rsid w:val="005D5F96"/>
    <w:rsid w:val="005E123E"/>
    <w:rsid w:val="005E150A"/>
    <w:rsid w:val="005E1BDA"/>
    <w:rsid w:val="005E31E6"/>
    <w:rsid w:val="005E6CB5"/>
    <w:rsid w:val="005E7C29"/>
    <w:rsid w:val="005F09C0"/>
    <w:rsid w:val="005F1B3E"/>
    <w:rsid w:val="005F1CCB"/>
    <w:rsid w:val="005F1DAE"/>
    <w:rsid w:val="005F5F72"/>
    <w:rsid w:val="005F7C5E"/>
    <w:rsid w:val="00602C96"/>
    <w:rsid w:val="00604E4B"/>
    <w:rsid w:val="00611649"/>
    <w:rsid w:val="00614A45"/>
    <w:rsid w:val="00616B7A"/>
    <w:rsid w:val="00616DFA"/>
    <w:rsid w:val="00617958"/>
    <w:rsid w:val="006227A2"/>
    <w:rsid w:val="006257F8"/>
    <w:rsid w:val="00625AAD"/>
    <w:rsid w:val="00630DA3"/>
    <w:rsid w:val="00634A2F"/>
    <w:rsid w:val="00636868"/>
    <w:rsid w:val="00642A79"/>
    <w:rsid w:val="0064428B"/>
    <w:rsid w:val="006520B8"/>
    <w:rsid w:val="00653289"/>
    <w:rsid w:val="0065420E"/>
    <w:rsid w:val="0066006A"/>
    <w:rsid w:val="00660712"/>
    <w:rsid w:val="00661B9A"/>
    <w:rsid w:val="006621F2"/>
    <w:rsid w:val="00663674"/>
    <w:rsid w:val="00667A8D"/>
    <w:rsid w:val="0067192D"/>
    <w:rsid w:val="00682B1D"/>
    <w:rsid w:val="00687641"/>
    <w:rsid w:val="00687AF8"/>
    <w:rsid w:val="00687BC6"/>
    <w:rsid w:val="00692D2E"/>
    <w:rsid w:val="006A0BC1"/>
    <w:rsid w:val="006A0D21"/>
    <w:rsid w:val="006A19D0"/>
    <w:rsid w:val="006A499D"/>
    <w:rsid w:val="006A6D31"/>
    <w:rsid w:val="006B3CE9"/>
    <w:rsid w:val="006D0656"/>
    <w:rsid w:val="006D17BB"/>
    <w:rsid w:val="006D1BBC"/>
    <w:rsid w:val="006D6586"/>
    <w:rsid w:val="006E364F"/>
    <w:rsid w:val="006F1482"/>
    <w:rsid w:val="006F30B4"/>
    <w:rsid w:val="006F6CA9"/>
    <w:rsid w:val="00711334"/>
    <w:rsid w:val="007120E9"/>
    <w:rsid w:val="00715AFD"/>
    <w:rsid w:val="00724F37"/>
    <w:rsid w:val="007259FE"/>
    <w:rsid w:val="00727A71"/>
    <w:rsid w:val="00727C81"/>
    <w:rsid w:val="00733410"/>
    <w:rsid w:val="0073716C"/>
    <w:rsid w:val="0074164A"/>
    <w:rsid w:val="00746968"/>
    <w:rsid w:val="00746BE3"/>
    <w:rsid w:val="007502C3"/>
    <w:rsid w:val="0075196D"/>
    <w:rsid w:val="00752134"/>
    <w:rsid w:val="00762406"/>
    <w:rsid w:val="00764AE1"/>
    <w:rsid w:val="00767BA9"/>
    <w:rsid w:val="00770F1E"/>
    <w:rsid w:val="00774FA7"/>
    <w:rsid w:val="0077711D"/>
    <w:rsid w:val="00786809"/>
    <w:rsid w:val="007903C6"/>
    <w:rsid w:val="00797500"/>
    <w:rsid w:val="007A261A"/>
    <w:rsid w:val="007A63B7"/>
    <w:rsid w:val="007A6E30"/>
    <w:rsid w:val="007A75D0"/>
    <w:rsid w:val="007B38D3"/>
    <w:rsid w:val="007B4EC4"/>
    <w:rsid w:val="007C09A7"/>
    <w:rsid w:val="007C175E"/>
    <w:rsid w:val="007C29C4"/>
    <w:rsid w:val="007C647B"/>
    <w:rsid w:val="007E46AC"/>
    <w:rsid w:val="007E59CD"/>
    <w:rsid w:val="007F06C5"/>
    <w:rsid w:val="007F1F33"/>
    <w:rsid w:val="00806F0D"/>
    <w:rsid w:val="008070B4"/>
    <w:rsid w:val="0081493B"/>
    <w:rsid w:val="0082185B"/>
    <w:rsid w:val="008241F3"/>
    <w:rsid w:val="00830C62"/>
    <w:rsid w:val="008316AA"/>
    <w:rsid w:val="008321F7"/>
    <w:rsid w:val="008401BA"/>
    <w:rsid w:val="00840393"/>
    <w:rsid w:val="00842AAB"/>
    <w:rsid w:val="00843F3E"/>
    <w:rsid w:val="00845B02"/>
    <w:rsid w:val="008508ED"/>
    <w:rsid w:val="008526E9"/>
    <w:rsid w:val="0085559F"/>
    <w:rsid w:val="008567F2"/>
    <w:rsid w:val="0085782B"/>
    <w:rsid w:val="008607DC"/>
    <w:rsid w:val="008614FB"/>
    <w:rsid w:val="00862894"/>
    <w:rsid w:val="008676F3"/>
    <w:rsid w:val="00871F84"/>
    <w:rsid w:val="008722B3"/>
    <w:rsid w:val="008810B1"/>
    <w:rsid w:val="008817DD"/>
    <w:rsid w:val="00881C7A"/>
    <w:rsid w:val="00887450"/>
    <w:rsid w:val="00892CDF"/>
    <w:rsid w:val="00896342"/>
    <w:rsid w:val="008A1FB0"/>
    <w:rsid w:val="008B0DBF"/>
    <w:rsid w:val="008B1374"/>
    <w:rsid w:val="008B2CFB"/>
    <w:rsid w:val="008B4E53"/>
    <w:rsid w:val="008C261F"/>
    <w:rsid w:val="008C3D5D"/>
    <w:rsid w:val="008C53E4"/>
    <w:rsid w:val="008C644A"/>
    <w:rsid w:val="008C7E61"/>
    <w:rsid w:val="008D2A1C"/>
    <w:rsid w:val="008D7EE4"/>
    <w:rsid w:val="008E009E"/>
    <w:rsid w:val="008E075D"/>
    <w:rsid w:val="008E1B25"/>
    <w:rsid w:val="008E26E5"/>
    <w:rsid w:val="008E4974"/>
    <w:rsid w:val="008E63CC"/>
    <w:rsid w:val="008F1F26"/>
    <w:rsid w:val="008F2252"/>
    <w:rsid w:val="00903513"/>
    <w:rsid w:val="00904072"/>
    <w:rsid w:val="009104A9"/>
    <w:rsid w:val="009239F5"/>
    <w:rsid w:val="009312AB"/>
    <w:rsid w:val="00933186"/>
    <w:rsid w:val="0094150E"/>
    <w:rsid w:val="00943A93"/>
    <w:rsid w:val="00943F25"/>
    <w:rsid w:val="009455C5"/>
    <w:rsid w:val="009464FC"/>
    <w:rsid w:val="00952675"/>
    <w:rsid w:val="00956BB6"/>
    <w:rsid w:val="00957CC6"/>
    <w:rsid w:val="009611CB"/>
    <w:rsid w:val="00963B06"/>
    <w:rsid w:val="0096448F"/>
    <w:rsid w:val="00965D9F"/>
    <w:rsid w:val="0096631F"/>
    <w:rsid w:val="009663CE"/>
    <w:rsid w:val="0097679D"/>
    <w:rsid w:val="00982693"/>
    <w:rsid w:val="0098304E"/>
    <w:rsid w:val="00983771"/>
    <w:rsid w:val="00984578"/>
    <w:rsid w:val="00990BCF"/>
    <w:rsid w:val="00992373"/>
    <w:rsid w:val="00992ACF"/>
    <w:rsid w:val="0099474B"/>
    <w:rsid w:val="009A2101"/>
    <w:rsid w:val="009A6C2F"/>
    <w:rsid w:val="009A6E89"/>
    <w:rsid w:val="009A730B"/>
    <w:rsid w:val="009B267A"/>
    <w:rsid w:val="009B2874"/>
    <w:rsid w:val="009B7285"/>
    <w:rsid w:val="009C361E"/>
    <w:rsid w:val="009C574D"/>
    <w:rsid w:val="009C7873"/>
    <w:rsid w:val="009D4C5C"/>
    <w:rsid w:val="009D6F04"/>
    <w:rsid w:val="009E407B"/>
    <w:rsid w:val="009E4306"/>
    <w:rsid w:val="009E4A63"/>
    <w:rsid w:val="009F2C3E"/>
    <w:rsid w:val="009F423A"/>
    <w:rsid w:val="009F46EC"/>
    <w:rsid w:val="00A01F40"/>
    <w:rsid w:val="00A04256"/>
    <w:rsid w:val="00A047F4"/>
    <w:rsid w:val="00A05FD6"/>
    <w:rsid w:val="00A06D43"/>
    <w:rsid w:val="00A06E73"/>
    <w:rsid w:val="00A119C8"/>
    <w:rsid w:val="00A12BF0"/>
    <w:rsid w:val="00A12D4D"/>
    <w:rsid w:val="00A153B8"/>
    <w:rsid w:val="00A161B1"/>
    <w:rsid w:val="00A17F77"/>
    <w:rsid w:val="00A22352"/>
    <w:rsid w:val="00A235F1"/>
    <w:rsid w:val="00A33FCD"/>
    <w:rsid w:val="00A34526"/>
    <w:rsid w:val="00A3475D"/>
    <w:rsid w:val="00A34FB1"/>
    <w:rsid w:val="00A35C9D"/>
    <w:rsid w:val="00A369F8"/>
    <w:rsid w:val="00A36EC9"/>
    <w:rsid w:val="00A37A3B"/>
    <w:rsid w:val="00A40B33"/>
    <w:rsid w:val="00A4173F"/>
    <w:rsid w:val="00A4540B"/>
    <w:rsid w:val="00A4579B"/>
    <w:rsid w:val="00A52A60"/>
    <w:rsid w:val="00A52C1F"/>
    <w:rsid w:val="00A52F7D"/>
    <w:rsid w:val="00A55238"/>
    <w:rsid w:val="00A60E41"/>
    <w:rsid w:val="00A6271C"/>
    <w:rsid w:val="00A62A72"/>
    <w:rsid w:val="00A66FB3"/>
    <w:rsid w:val="00A670B6"/>
    <w:rsid w:val="00A67350"/>
    <w:rsid w:val="00A677FC"/>
    <w:rsid w:val="00A708F9"/>
    <w:rsid w:val="00A72999"/>
    <w:rsid w:val="00A74527"/>
    <w:rsid w:val="00A75CC2"/>
    <w:rsid w:val="00A75DF1"/>
    <w:rsid w:val="00A77C52"/>
    <w:rsid w:val="00A809A7"/>
    <w:rsid w:val="00A840DD"/>
    <w:rsid w:val="00A8463B"/>
    <w:rsid w:val="00A8773E"/>
    <w:rsid w:val="00A90B98"/>
    <w:rsid w:val="00A9353D"/>
    <w:rsid w:val="00AA5C98"/>
    <w:rsid w:val="00AB040F"/>
    <w:rsid w:val="00AB6834"/>
    <w:rsid w:val="00AB6F9D"/>
    <w:rsid w:val="00AC0E9D"/>
    <w:rsid w:val="00AC526B"/>
    <w:rsid w:val="00AC5C43"/>
    <w:rsid w:val="00AD06A4"/>
    <w:rsid w:val="00AD458A"/>
    <w:rsid w:val="00AD72EE"/>
    <w:rsid w:val="00AE20D9"/>
    <w:rsid w:val="00AE3F49"/>
    <w:rsid w:val="00AE5C59"/>
    <w:rsid w:val="00AE7344"/>
    <w:rsid w:val="00AF1306"/>
    <w:rsid w:val="00AF1AF3"/>
    <w:rsid w:val="00AF6E47"/>
    <w:rsid w:val="00B00433"/>
    <w:rsid w:val="00B02192"/>
    <w:rsid w:val="00B03E77"/>
    <w:rsid w:val="00B1093A"/>
    <w:rsid w:val="00B111BB"/>
    <w:rsid w:val="00B1592F"/>
    <w:rsid w:val="00B16607"/>
    <w:rsid w:val="00B16FB0"/>
    <w:rsid w:val="00B16FEA"/>
    <w:rsid w:val="00B209D8"/>
    <w:rsid w:val="00B22F03"/>
    <w:rsid w:val="00B316ED"/>
    <w:rsid w:val="00B379E9"/>
    <w:rsid w:val="00B411A5"/>
    <w:rsid w:val="00B41BCC"/>
    <w:rsid w:val="00B501F7"/>
    <w:rsid w:val="00B530B1"/>
    <w:rsid w:val="00B54879"/>
    <w:rsid w:val="00B612D2"/>
    <w:rsid w:val="00B61D8A"/>
    <w:rsid w:val="00B61E41"/>
    <w:rsid w:val="00B63EEC"/>
    <w:rsid w:val="00B643C8"/>
    <w:rsid w:val="00B653AD"/>
    <w:rsid w:val="00B658EB"/>
    <w:rsid w:val="00B722B3"/>
    <w:rsid w:val="00B749B4"/>
    <w:rsid w:val="00B7772F"/>
    <w:rsid w:val="00B83CA2"/>
    <w:rsid w:val="00B84693"/>
    <w:rsid w:val="00B86C6C"/>
    <w:rsid w:val="00B87545"/>
    <w:rsid w:val="00B936C1"/>
    <w:rsid w:val="00B95FEA"/>
    <w:rsid w:val="00B97F6C"/>
    <w:rsid w:val="00BA019C"/>
    <w:rsid w:val="00BA67F8"/>
    <w:rsid w:val="00BB169B"/>
    <w:rsid w:val="00BB443F"/>
    <w:rsid w:val="00BB4BEB"/>
    <w:rsid w:val="00BC087B"/>
    <w:rsid w:val="00BC33AC"/>
    <w:rsid w:val="00BC35E0"/>
    <w:rsid w:val="00BC603A"/>
    <w:rsid w:val="00BC6F19"/>
    <w:rsid w:val="00BC731C"/>
    <w:rsid w:val="00BC7FC2"/>
    <w:rsid w:val="00BD274D"/>
    <w:rsid w:val="00BD416D"/>
    <w:rsid w:val="00BD6F1F"/>
    <w:rsid w:val="00BD75B6"/>
    <w:rsid w:val="00BE272F"/>
    <w:rsid w:val="00BE39AD"/>
    <w:rsid w:val="00BF2192"/>
    <w:rsid w:val="00BF30D2"/>
    <w:rsid w:val="00C00510"/>
    <w:rsid w:val="00C02B58"/>
    <w:rsid w:val="00C06072"/>
    <w:rsid w:val="00C12AB3"/>
    <w:rsid w:val="00C1306E"/>
    <w:rsid w:val="00C13678"/>
    <w:rsid w:val="00C1626B"/>
    <w:rsid w:val="00C21E59"/>
    <w:rsid w:val="00C23377"/>
    <w:rsid w:val="00C25111"/>
    <w:rsid w:val="00C268BB"/>
    <w:rsid w:val="00C272A3"/>
    <w:rsid w:val="00C31AEF"/>
    <w:rsid w:val="00C33D63"/>
    <w:rsid w:val="00C35AB4"/>
    <w:rsid w:val="00C3683D"/>
    <w:rsid w:val="00C41E1E"/>
    <w:rsid w:val="00C45BD8"/>
    <w:rsid w:val="00C45E81"/>
    <w:rsid w:val="00C479B4"/>
    <w:rsid w:val="00C5090A"/>
    <w:rsid w:val="00C53ED7"/>
    <w:rsid w:val="00C5433B"/>
    <w:rsid w:val="00C605F7"/>
    <w:rsid w:val="00C63713"/>
    <w:rsid w:val="00C656D5"/>
    <w:rsid w:val="00C665F2"/>
    <w:rsid w:val="00C73DA4"/>
    <w:rsid w:val="00C74FA0"/>
    <w:rsid w:val="00C7642B"/>
    <w:rsid w:val="00C76600"/>
    <w:rsid w:val="00C76EFC"/>
    <w:rsid w:val="00C77CE9"/>
    <w:rsid w:val="00C95FA3"/>
    <w:rsid w:val="00C96187"/>
    <w:rsid w:val="00C97114"/>
    <w:rsid w:val="00CA3851"/>
    <w:rsid w:val="00CA4B12"/>
    <w:rsid w:val="00CB1B07"/>
    <w:rsid w:val="00CB2E92"/>
    <w:rsid w:val="00CB3C52"/>
    <w:rsid w:val="00CB6607"/>
    <w:rsid w:val="00CC10C0"/>
    <w:rsid w:val="00CC7025"/>
    <w:rsid w:val="00CD2608"/>
    <w:rsid w:val="00CD6BD5"/>
    <w:rsid w:val="00CE0B6D"/>
    <w:rsid w:val="00CE43D4"/>
    <w:rsid w:val="00CE4C6F"/>
    <w:rsid w:val="00CE607A"/>
    <w:rsid w:val="00CE751F"/>
    <w:rsid w:val="00CF269E"/>
    <w:rsid w:val="00CF73A9"/>
    <w:rsid w:val="00CF7E7C"/>
    <w:rsid w:val="00D00A41"/>
    <w:rsid w:val="00D02E31"/>
    <w:rsid w:val="00D038F4"/>
    <w:rsid w:val="00D04C80"/>
    <w:rsid w:val="00D1242F"/>
    <w:rsid w:val="00D1690E"/>
    <w:rsid w:val="00D21E4C"/>
    <w:rsid w:val="00D2284E"/>
    <w:rsid w:val="00D22C5A"/>
    <w:rsid w:val="00D233E1"/>
    <w:rsid w:val="00D307C6"/>
    <w:rsid w:val="00D34A6C"/>
    <w:rsid w:val="00D3679A"/>
    <w:rsid w:val="00D40414"/>
    <w:rsid w:val="00D412E4"/>
    <w:rsid w:val="00D42B06"/>
    <w:rsid w:val="00D42BF4"/>
    <w:rsid w:val="00D52794"/>
    <w:rsid w:val="00D5641E"/>
    <w:rsid w:val="00D612A4"/>
    <w:rsid w:val="00D62564"/>
    <w:rsid w:val="00D645FE"/>
    <w:rsid w:val="00D658ED"/>
    <w:rsid w:val="00D660E8"/>
    <w:rsid w:val="00D66D57"/>
    <w:rsid w:val="00D71A60"/>
    <w:rsid w:val="00D726C8"/>
    <w:rsid w:val="00D72E34"/>
    <w:rsid w:val="00D75542"/>
    <w:rsid w:val="00D83809"/>
    <w:rsid w:val="00D83B29"/>
    <w:rsid w:val="00D84833"/>
    <w:rsid w:val="00D8770B"/>
    <w:rsid w:val="00D903B9"/>
    <w:rsid w:val="00D927B4"/>
    <w:rsid w:val="00D95D8C"/>
    <w:rsid w:val="00DA3B72"/>
    <w:rsid w:val="00DA73A5"/>
    <w:rsid w:val="00DA759D"/>
    <w:rsid w:val="00DA7749"/>
    <w:rsid w:val="00DA78CC"/>
    <w:rsid w:val="00DB0B66"/>
    <w:rsid w:val="00DB3434"/>
    <w:rsid w:val="00DB3F4E"/>
    <w:rsid w:val="00DB46FB"/>
    <w:rsid w:val="00DB5DCF"/>
    <w:rsid w:val="00DC4244"/>
    <w:rsid w:val="00DC5C7D"/>
    <w:rsid w:val="00DC7909"/>
    <w:rsid w:val="00DD0936"/>
    <w:rsid w:val="00DD152D"/>
    <w:rsid w:val="00DD6883"/>
    <w:rsid w:val="00DD6E92"/>
    <w:rsid w:val="00DE1B66"/>
    <w:rsid w:val="00DE2D73"/>
    <w:rsid w:val="00DE3E1D"/>
    <w:rsid w:val="00DE54F5"/>
    <w:rsid w:val="00DE609F"/>
    <w:rsid w:val="00DE7224"/>
    <w:rsid w:val="00DF401A"/>
    <w:rsid w:val="00DF55D5"/>
    <w:rsid w:val="00E00CE9"/>
    <w:rsid w:val="00E04133"/>
    <w:rsid w:val="00E06DF3"/>
    <w:rsid w:val="00E06F90"/>
    <w:rsid w:val="00E17504"/>
    <w:rsid w:val="00E223CF"/>
    <w:rsid w:val="00E23828"/>
    <w:rsid w:val="00E24D0D"/>
    <w:rsid w:val="00E26A33"/>
    <w:rsid w:val="00E34BB6"/>
    <w:rsid w:val="00E36007"/>
    <w:rsid w:val="00E377EC"/>
    <w:rsid w:val="00E37E9A"/>
    <w:rsid w:val="00E4747A"/>
    <w:rsid w:val="00E512F1"/>
    <w:rsid w:val="00E5356B"/>
    <w:rsid w:val="00E55798"/>
    <w:rsid w:val="00E57A28"/>
    <w:rsid w:val="00E60CC8"/>
    <w:rsid w:val="00E621C8"/>
    <w:rsid w:val="00E63399"/>
    <w:rsid w:val="00E63B8E"/>
    <w:rsid w:val="00E64C4E"/>
    <w:rsid w:val="00E73C09"/>
    <w:rsid w:val="00E75F8C"/>
    <w:rsid w:val="00E76209"/>
    <w:rsid w:val="00E766F4"/>
    <w:rsid w:val="00E8207B"/>
    <w:rsid w:val="00E821D2"/>
    <w:rsid w:val="00E829B2"/>
    <w:rsid w:val="00E84046"/>
    <w:rsid w:val="00E84886"/>
    <w:rsid w:val="00E8542A"/>
    <w:rsid w:val="00E86665"/>
    <w:rsid w:val="00E86DF3"/>
    <w:rsid w:val="00E87D46"/>
    <w:rsid w:val="00E93FD9"/>
    <w:rsid w:val="00E97193"/>
    <w:rsid w:val="00EA2D42"/>
    <w:rsid w:val="00EA3E93"/>
    <w:rsid w:val="00EB7695"/>
    <w:rsid w:val="00EC0756"/>
    <w:rsid w:val="00EC40A5"/>
    <w:rsid w:val="00EC796C"/>
    <w:rsid w:val="00ED016E"/>
    <w:rsid w:val="00ED77B3"/>
    <w:rsid w:val="00EF14B0"/>
    <w:rsid w:val="00EF1E62"/>
    <w:rsid w:val="00EF6BF9"/>
    <w:rsid w:val="00EF6E33"/>
    <w:rsid w:val="00EF7FB4"/>
    <w:rsid w:val="00F01FD5"/>
    <w:rsid w:val="00F05625"/>
    <w:rsid w:val="00F104F1"/>
    <w:rsid w:val="00F12D3E"/>
    <w:rsid w:val="00F14371"/>
    <w:rsid w:val="00F14504"/>
    <w:rsid w:val="00F156FD"/>
    <w:rsid w:val="00F159F5"/>
    <w:rsid w:val="00F1661B"/>
    <w:rsid w:val="00F1732A"/>
    <w:rsid w:val="00F200D2"/>
    <w:rsid w:val="00F22712"/>
    <w:rsid w:val="00F24901"/>
    <w:rsid w:val="00F33A59"/>
    <w:rsid w:val="00F340C9"/>
    <w:rsid w:val="00F34A56"/>
    <w:rsid w:val="00F42F32"/>
    <w:rsid w:val="00F44F6D"/>
    <w:rsid w:val="00F51E90"/>
    <w:rsid w:val="00F56985"/>
    <w:rsid w:val="00F63988"/>
    <w:rsid w:val="00F63F6D"/>
    <w:rsid w:val="00F648B2"/>
    <w:rsid w:val="00F679EE"/>
    <w:rsid w:val="00F766AD"/>
    <w:rsid w:val="00F828AE"/>
    <w:rsid w:val="00F8461E"/>
    <w:rsid w:val="00F84FFA"/>
    <w:rsid w:val="00F875F6"/>
    <w:rsid w:val="00F94A97"/>
    <w:rsid w:val="00F966B6"/>
    <w:rsid w:val="00FA6A4C"/>
    <w:rsid w:val="00FB085D"/>
    <w:rsid w:val="00FB2A6A"/>
    <w:rsid w:val="00FB4C6B"/>
    <w:rsid w:val="00FB6C1D"/>
    <w:rsid w:val="00FB7354"/>
    <w:rsid w:val="00FC0D76"/>
    <w:rsid w:val="00FC27D5"/>
    <w:rsid w:val="00FC568C"/>
    <w:rsid w:val="00FC58ED"/>
    <w:rsid w:val="00FD2A3C"/>
    <w:rsid w:val="00FD2A72"/>
    <w:rsid w:val="00FD33BB"/>
    <w:rsid w:val="00FD3753"/>
    <w:rsid w:val="00FD4A8F"/>
    <w:rsid w:val="00FE3C61"/>
    <w:rsid w:val="00FE770E"/>
    <w:rsid w:val="00FF074C"/>
    <w:rsid w:val="00FF1F42"/>
    <w:rsid w:val="00FF52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9C926"/>
  <w15:docId w15:val="{F1202523-1CD3-4E71-8042-454F4BBA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076C40"/>
    <w:pPr>
      <w:keepNext/>
      <w:keepLines/>
      <w:spacing w:before="480" w:after="0" w:line="276" w:lineRule="auto"/>
      <w:outlineLvl w:val="0"/>
    </w:pPr>
    <w:rPr>
      <w:rFonts w:ascii="Cambria" w:eastAsia="Calibri" w:hAnsi="Cambria" w:cs="Times New Roman"/>
      <w:b/>
      <w:bCs/>
      <w:color w:val="365F91"/>
      <w:sz w:val="28"/>
      <w:szCs w:val="28"/>
      <w:lang w:val="x-none" w:eastAsia="x-none"/>
    </w:rPr>
  </w:style>
  <w:style w:type="paragraph" w:styleId="Nagwek2">
    <w:name w:val="heading 2"/>
    <w:basedOn w:val="Normalny"/>
    <w:next w:val="Normalny"/>
    <w:link w:val="Nagwek2Znak"/>
    <w:qFormat/>
    <w:rsid w:val="00076C40"/>
    <w:pPr>
      <w:keepNext/>
      <w:spacing w:before="240" w:after="60" w:line="276" w:lineRule="auto"/>
      <w:outlineLvl w:val="1"/>
    </w:pPr>
    <w:rPr>
      <w:rFonts w:ascii="Cambria" w:eastAsia="Calibri" w:hAnsi="Cambria" w:cs="Times New Roman"/>
      <w:b/>
      <w:bCs/>
      <w:i/>
      <w:iCs/>
      <w:sz w:val="28"/>
      <w:szCs w:val="28"/>
      <w:lang w:val="x-none" w:eastAsia="x-none"/>
    </w:rPr>
  </w:style>
  <w:style w:type="paragraph" w:styleId="Nagwek3">
    <w:name w:val="heading 3"/>
    <w:basedOn w:val="Normalny"/>
    <w:next w:val="Normalny"/>
    <w:link w:val="Nagwek3Znak"/>
    <w:autoRedefine/>
    <w:qFormat/>
    <w:rsid w:val="00076C40"/>
    <w:pPr>
      <w:keepNext/>
      <w:tabs>
        <w:tab w:val="left" w:pos="0"/>
      </w:tabs>
      <w:spacing w:after="0" w:line="240" w:lineRule="auto"/>
      <w:jc w:val="both"/>
      <w:outlineLvl w:val="2"/>
    </w:pPr>
    <w:rPr>
      <w:rFonts w:ascii="Calibri" w:eastAsia="Calibri" w:hAnsi="Calibri" w:cs="Times New Roman"/>
      <w:b/>
      <w:bCs/>
      <w:sz w:val="24"/>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76C40"/>
    <w:rPr>
      <w:rFonts w:ascii="Cambria" w:eastAsia="Calibri" w:hAnsi="Cambria" w:cs="Times New Roman"/>
      <w:b/>
      <w:bCs/>
      <w:color w:val="365F91"/>
      <w:sz w:val="28"/>
      <w:szCs w:val="28"/>
      <w:lang w:val="x-none" w:eastAsia="x-none"/>
    </w:rPr>
  </w:style>
  <w:style w:type="character" w:customStyle="1" w:styleId="Nagwek2Znak">
    <w:name w:val="Nagłówek 2 Znak"/>
    <w:basedOn w:val="Domylnaczcionkaakapitu"/>
    <w:link w:val="Nagwek2"/>
    <w:rsid w:val="00076C40"/>
    <w:rPr>
      <w:rFonts w:ascii="Cambria" w:eastAsia="Calibri" w:hAnsi="Cambria" w:cs="Times New Roman"/>
      <w:b/>
      <w:bCs/>
      <w:i/>
      <w:iCs/>
      <w:sz w:val="28"/>
      <w:szCs w:val="28"/>
      <w:lang w:val="x-none" w:eastAsia="x-none"/>
    </w:rPr>
  </w:style>
  <w:style w:type="character" w:customStyle="1" w:styleId="Nagwek3Znak">
    <w:name w:val="Nagłówek 3 Znak"/>
    <w:basedOn w:val="Domylnaczcionkaakapitu"/>
    <w:link w:val="Nagwek3"/>
    <w:rsid w:val="00076C40"/>
    <w:rPr>
      <w:rFonts w:ascii="Calibri" w:eastAsia="Calibri" w:hAnsi="Calibri" w:cs="Times New Roman"/>
      <w:b/>
      <w:bCs/>
      <w:sz w:val="24"/>
      <w:szCs w:val="26"/>
      <w:lang w:val="x-none"/>
    </w:rPr>
  </w:style>
  <w:style w:type="numbering" w:customStyle="1" w:styleId="Bezlisty1">
    <w:name w:val="Bez listy1"/>
    <w:next w:val="Bezlisty"/>
    <w:uiPriority w:val="99"/>
    <w:semiHidden/>
    <w:unhideWhenUsed/>
    <w:rsid w:val="00076C40"/>
  </w:style>
  <w:style w:type="character" w:styleId="Uwydatnienie">
    <w:name w:val="Emphasis"/>
    <w:uiPriority w:val="99"/>
    <w:qFormat/>
    <w:rsid w:val="00076C40"/>
    <w:rPr>
      <w:i/>
      <w:iCs/>
    </w:rPr>
  </w:style>
  <w:style w:type="paragraph" w:customStyle="1" w:styleId="Kolorowalistaakcent11">
    <w:name w:val="Kolorowa lista — akcent 11"/>
    <w:basedOn w:val="Normalny"/>
    <w:uiPriority w:val="34"/>
    <w:qFormat/>
    <w:rsid w:val="00076C40"/>
    <w:pPr>
      <w:widowControl w:val="0"/>
      <w:autoSpaceDE w:val="0"/>
      <w:autoSpaceDN w:val="0"/>
      <w:adjustRightInd w:val="0"/>
      <w:spacing w:after="0" w:line="240" w:lineRule="auto"/>
      <w:ind w:left="708"/>
    </w:pPr>
    <w:rPr>
      <w:rFonts w:ascii="Arial" w:eastAsia="Times New Roman" w:hAnsi="Arial" w:cs="Times New Roman"/>
      <w:sz w:val="20"/>
      <w:szCs w:val="20"/>
      <w:lang w:eastAsia="pl-PL"/>
    </w:rPr>
  </w:style>
  <w:style w:type="paragraph" w:customStyle="1" w:styleId="akapitzlist">
    <w:name w:val="akapitzlist"/>
    <w:basedOn w:val="Normalny"/>
    <w:rsid w:val="00076C40"/>
    <w:pPr>
      <w:autoSpaceDE w:val="0"/>
      <w:autoSpaceDN w:val="0"/>
      <w:spacing w:after="0" w:line="240" w:lineRule="auto"/>
      <w:ind w:left="708"/>
    </w:pPr>
    <w:rPr>
      <w:rFonts w:ascii="Arial" w:eastAsia="Calibri" w:hAnsi="Arial" w:cs="Arial"/>
      <w:sz w:val="20"/>
      <w:szCs w:val="20"/>
      <w:lang w:eastAsia="pl-PL"/>
    </w:rPr>
  </w:style>
  <w:style w:type="paragraph" w:customStyle="1" w:styleId="akapitzlist1">
    <w:name w:val="akapitzlist1"/>
    <w:basedOn w:val="Normalny"/>
    <w:rsid w:val="00076C40"/>
    <w:pPr>
      <w:autoSpaceDE w:val="0"/>
      <w:autoSpaceDN w:val="0"/>
      <w:spacing w:after="0" w:line="240" w:lineRule="auto"/>
      <w:ind w:left="708"/>
    </w:pPr>
    <w:rPr>
      <w:rFonts w:ascii="Arial" w:eastAsia="Calibri" w:hAnsi="Arial" w:cs="Arial"/>
      <w:sz w:val="20"/>
      <w:szCs w:val="20"/>
      <w:lang w:eastAsia="pl-PL"/>
    </w:rPr>
  </w:style>
  <w:style w:type="paragraph" w:styleId="Tekstpodstawowy">
    <w:name w:val="Body Text"/>
    <w:basedOn w:val="Normalny"/>
    <w:link w:val="TekstpodstawowyZnak"/>
    <w:rsid w:val="00076C40"/>
    <w:pPr>
      <w:spacing w:after="0" w:line="240" w:lineRule="auto"/>
      <w:ind w:firstLine="431"/>
      <w:jc w:val="both"/>
    </w:pPr>
    <w:rPr>
      <w:rFonts w:ascii="Bookman Old Style" w:eastAsia="Times New Roman" w:hAnsi="Bookman Old Style" w:cs="Times New Roman"/>
      <w:spacing w:val="10"/>
      <w:sz w:val="24"/>
      <w:szCs w:val="20"/>
      <w:lang w:eastAsia="pl-PL"/>
    </w:rPr>
  </w:style>
  <w:style w:type="character" w:customStyle="1" w:styleId="TekstpodstawowyZnak">
    <w:name w:val="Tekst podstawowy Znak"/>
    <w:basedOn w:val="Domylnaczcionkaakapitu"/>
    <w:link w:val="Tekstpodstawowy"/>
    <w:rsid w:val="00076C40"/>
    <w:rPr>
      <w:rFonts w:ascii="Bookman Old Style" w:eastAsia="Times New Roman" w:hAnsi="Bookman Old Style" w:cs="Times New Roman"/>
      <w:spacing w:val="10"/>
      <w:sz w:val="24"/>
      <w:szCs w:val="20"/>
      <w:lang w:eastAsia="pl-PL"/>
    </w:rPr>
  </w:style>
  <w:style w:type="paragraph" w:styleId="Tekstpodstawowy2">
    <w:name w:val="Body Text 2"/>
    <w:basedOn w:val="Normalny"/>
    <w:link w:val="Tekstpodstawowy2Znak"/>
    <w:rsid w:val="00076C40"/>
    <w:pPr>
      <w:spacing w:after="120" w:line="480" w:lineRule="auto"/>
    </w:pPr>
    <w:rPr>
      <w:rFonts w:ascii="Calibri" w:eastAsia="Calibri" w:hAnsi="Calibri" w:cs="Times New Roman"/>
      <w:sz w:val="24"/>
      <w:szCs w:val="24"/>
      <w:lang w:eastAsia="pl-PL"/>
    </w:rPr>
  </w:style>
  <w:style w:type="character" w:customStyle="1" w:styleId="Tekstpodstawowy2Znak">
    <w:name w:val="Tekst podstawowy 2 Znak"/>
    <w:basedOn w:val="Domylnaczcionkaakapitu"/>
    <w:link w:val="Tekstpodstawowy2"/>
    <w:rsid w:val="00076C40"/>
    <w:rPr>
      <w:rFonts w:ascii="Calibri" w:eastAsia="Calibri" w:hAnsi="Calibri" w:cs="Times New Roman"/>
      <w:sz w:val="24"/>
      <w:szCs w:val="24"/>
      <w:lang w:eastAsia="pl-PL"/>
    </w:rPr>
  </w:style>
  <w:style w:type="paragraph" w:styleId="Tekstpodstawowy3">
    <w:name w:val="Body Text 3"/>
    <w:basedOn w:val="Normalny"/>
    <w:link w:val="Tekstpodstawowy3Znak"/>
    <w:rsid w:val="00076C40"/>
    <w:pPr>
      <w:spacing w:after="120" w:line="240" w:lineRule="auto"/>
    </w:pPr>
    <w:rPr>
      <w:rFonts w:ascii="Calibri" w:eastAsia="Calibri" w:hAnsi="Calibri" w:cs="Times New Roman"/>
      <w:sz w:val="16"/>
      <w:szCs w:val="16"/>
      <w:lang w:eastAsia="pl-PL"/>
    </w:rPr>
  </w:style>
  <w:style w:type="character" w:customStyle="1" w:styleId="Tekstpodstawowy3Znak">
    <w:name w:val="Tekst podstawowy 3 Znak"/>
    <w:basedOn w:val="Domylnaczcionkaakapitu"/>
    <w:link w:val="Tekstpodstawowy3"/>
    <w:rsid w:val="00076C40"/>
    <w:rPr>
      <w:rFonts w:ascii="Calibri" w:eastAsia="Calibri" w:hAnsi="Calibri" w:cs="Times New Roman"/>
      <w:sz w:val="16"/>
      <w:szCs w:val="16"/>
      <w:lang w:eastAsia="pl-PL"/>
    </w:rPr>
  </w:style>
  <w:style w:type="paragraph" w:styleId="Tekstpodstawowywcity">
    <w:name w:val="Body Text Indent"/>
    <w:basedOn w:val="Normalny"/>
    <w:link w:val="TekstpodstawowywcityZnak"/>
    <w:uiPriority w:val="99"/>
    <w:semiHidden/>
    <w:unhideWhenUsed/>
    <w:rsid w:val="00076C40"/>
    <w:pPr>
      <w:spacing w:after="120" w:line="276" w:lineRule="auto"/>
      <w:ind w:left="283"/>
    </w:pPr>
    <w:rPr>
      <w:rFonts w:ascii="Calibri" w:eastAsia="Calibri" w:hAnsi="Calibri" w:cs="Times New Roman"/>
      <w:lang w:val="x-none"/>
    </w:rPr>
  </w:style>
  <w:style w:type="character" w:customStyle="1" w:styleId="TekstpodstawowywcityZnak">
    <w:name w:val="Tekst podstawowy wcięty Znak"/>
    <w:basedOn w:val="Domylnaczcionkaakapitu"/>
    <w:link w:val="Tekstpodstawowywcity"/>
    <w:uiPriority w:val="99"/>
    <w:semiHidden/>
    <w:rsid w:val="00076C40"/>
    <w:rPr>
      <w:rFonts w:ascii="Calibri" w:eastAsia="Calibri" w:hAnsi="Calibri" w:cs="Times New Roman"/>
      <w:lang w:val="x-none"/>
    </w:rPr>
  </w:style>
  <w:style w:type="paragraph" w:styleId="Nagwek">
    <w:name w:val="header"/>
    <w:basedOn w:val="Normalny"/>
    <w:link w:val="NagwekZnak"/>
    <w:uiPriority w:val="99"/>
    <w:unhideWhenUsed/>
    <w:rsid w:val="00076C40"/>
    <w:pPr>
      <w:tabs>
        <w:tab w:val="center" w:pos="4536"/>
        <w:tab w:val="right" w:pos="9072"/>
      </w:tabs>
      <w:spacing w:after="200" w:line="276" w:lineRule="auto"/>
    </w:pPr>
    <w:rPr>
      <w:rFonts w:ascii="Calibri" w:eastAsia="Calibri" w:hAnsi="Calibri" w:cs="Times New Roman"/>
      <w:lang w:val="x-none"/>
    </w:rPr>
  </w:style>
  <w:style w:type="character" w:customStyle="1" w:styleId="NagwekZnak">
    <w:name w:val="Nagłówek Znak"/>
    <w:basedOn w:val="Domylnaczcionkaakapitu"/>
    <w:link w:val="Nagwek"/>
    <w:uiPriority w:val="99"/>
    <w:rsid w:val="00076C40"/>
    <w:rPr>
      <w:rFonts w:ascii="Calibri" w:eastAsia="Calibri" w:hAnsi="Calibri" w:cs="Times New Roman"/>
      <w:lang w:val="x-none"/>
    </w:rPr>
  </w:style>
  <w:style w:type="paragraph" w:styleId="Stopka">
    <w:name w:val="footer"/>
    <w:basedOn w:val="Normalny"/>
    <w:link w:val="StopkaZnak"/>
    <w:uiPriority w:val="99"/>
    <w:unhideWhenUsed/>
    <w:rsid w:val="00076C40"/>
    <w:pPr>
      <w:tabs>
        <w:tab w:val="center" w:pos="4536"/>
        <w:tab w:val="right" w:pos="9072"/>
      </w:tabs>
      <w:spacing w:after="200" w:line="276" w:lineRule="auto"/>
    </w:pPr>
    <w:rPr>
      <w:rFonts w:ascii="Calibri" w:eastAsia="Calibri" w:hAnsi="Calibri" w:cs="Times New Roman"/>
      <w:lang w:val="x-none"/>
    </w:rPr>
  </w:style>
  <w:style w:type="character" w:customStyle="1" w:styleId="StopkaZnak">
    <w:name w:val="Stopka Znak"/>
    <w:basedOn w:val="Domylnaczcionkaakapitu"/>
    <w:link w:val="Stopka"/>
    <w:uiPriority w:val="99"/>
    <w:rsid w:val="00076C40"/>
    <w:rPr>
      <w:rFonts w:ascii="Calibri" w:eastAsia="Calibri" w:hAnsi="Calibri" w:cs="Times New Roman"/>
      <w:lang w:val="x-none"/>
    </w:rPr>
  </w:style>
  <w:style w:type="character" w:styleId="Numerstrony">
    <w:name w:val="page number"/>
    <w:basedOn w:val="Domylnaczcionkaakapitu"/>
    <w:rsid w:val="00076C40"/>
  </w:style>
  <w:style w:type="paragraph" w:styleId="Tekstprzypisukocowego">
    <w:name w:val="endnote text"/>
    <w:basedOn w:val="Normalny"/>
    <w:link w:val="TekstprzypisukocowegoZnak"/>
    <w:uiPriority w:val="99"/>
    <w:semiHidden/>
    <w:unhideWhenUsed/>
    <w:rsid w:val="00076C40"/>
    <w:pPr>
      <w:spacing w:after="200" w:line="276"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076C40"/>
    <w:rPr>
      <w:rFonts w:ascii="Calibri" w:eastAsia="Calibri" w:hAnsi="Calibri" w:cs="Times New Roman"/>
      <w:sz w:val="20"/>
      <w:szCs w:val="20"/>
    </w:rPr>
  </w:style>
  <w:style w:type="character" w:styleId="Odwoanieprzypisukocowego">
    <w:name w:val="endnote reference"/>
    <w:uiPriority w:val="99"/>
    <w:semiHidden/>
    <w:unhideWhenUsed/>
    <w:rsid w:val="00076C40"/>
    <w:rPr>
      <w:vertAlign w:val="superscript"/>
    </w:rPr>
  </w:style>
  <w:style w:type="paragraph" w:styleId="Tekstdymka">
    <w:name w:val="Balloon Text"/>
    <w:basedOn w:val="Normalny"/>
    <w:link w:val="TekstdymkaZnak"/>
    <w:uiPriority w:val="99"/>
    <w:semiHidden/>
    <w:unhideWhenUsed/>
    <w:rsid w:val="00076C40"/>
    <w:pPr>
      <w:spacing w:after="0" w:line="240" w:lineRule="auto"/>
    </w:pPr>
    <w:rPr>
      <w:rFonts w:ascii="Segoe UI" w:eastAsia="Calibri" w:hAnsi="Segoe UI" w:cs="Segoe UI"/>
      <w:sz w:val="18"/>
      <w:szCs w:val="18"/>
    </w:rPr>
  </w:style>
  <w:style w:type="character" w:customStyle="1" w:styleId="TekstdymkaZnak">
    <w:name w:val="Tekst dymka Znak"/>
    <w:basedOn w:val="Domylnaczcionkaakapitu"/>
    <w:link w:val="Tekstdymka"/>
    <w:uiPriority w:val="99"/>
    <w:semiHidden/>
    <w:rsid w:val="00076C40"/>
    <w:rPr>
      <w:rFonts w:ascii="Segoe UI" w:eastAsia="Calibri" w:hAnsi="Segoe UI" w:cs="Segoe UI"/>
      <w:sz w:val="18"/>
      <w:szCs w:val="18"/>
    </w:rPr>
  </w:style>
  <w:style w:type="character" w:styleId="Odwoaniedokomentarza">
    <w:name w:val="annotation reference"/>
    <w:uiPriority w:val="99"/>
    <w:semiHidden/>
    <w:unhideWhenUsed/>
    <w:rsid w:val="00076C40"/>
    <w:rPr>
      <w:sz w:val="16"/>
      <w:szCs w:val="16"/>
    </w:rPr>
  </w:style>
  <w:style w:type="paragraph" w:styleId="Tekstkomentarza">
    <w:name w:val="annotation text"/>
    <w:basedOn w:val="Normalny"/>
    <w:link w:val="TekstkomentarzaZnak"/>
    <w:unhideWhenUsed/>
    <w:rsid w:val="00076C40"/>
    <w:pPr>
      <w:spacing w:after="200" w:line="276" w:lineRule="auto"/>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076C40"/>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6C40"/>
    <w:rPr>
      <w:b/>
      <w:bCs/>
    </w:rPr>
  </w:style>
  <w:style w:type="character" w:customStyle="1" w:styleId="TematkomentarzaZnak">
    <w:name w:val="Temat komentarza Znak"/>
    <w:basedOn w:val="TekstkomentarzaZnak"/>
    <w:link w:val="Tematkomentarza"/>
    <w:uiPriority w:val="99"/>
    <w:semiHidden/>
    <w:rsid w:val="00076C40"/>
    <w:rPr>
      <w:rFonts w:ascii="Calibri" w:eastAsia="Calibri" w:hAnsi="Calibri" w:cs="Times New Roman"/>
      <w:b/>
      <w:bCs/>
      <w:sz w:val="20"/>
      <w:szCs w:val="20"/>
    </w:rPr>
  </w:style>
  <w:style w:type="paragraph" w:styleId="Akapitzlist0">
    <w:name w:val="List Paragraph"/>
    <w:basedOn w:val="Normalny"/>
    <w:uiPriority w:val="34"/>
    <w:qFormat/>
    <w:rsid w:val="00076C40"/>
    <w:pPr>
      <w:spacing w:after="0" w:line="240" w:lineRule="auto"/>
      <w:ind w:left="720"/>
      <w:contextualSpacing/>
    </w:pPr>
    <w:rPr>
      <w:rFonts w:ascii="Calibri" w:eastAsia="Calibri" w:hAnsi="Calibri" w:cs="Times New Roman"/>
      <w:sz w:val="24"/>
      <w:szCs w:val="24"/>
    </w:rPr>
  </w:style>
  <w:style w:type="paragraph" w:styleId="Poprawka">
    <w:name w:val="Revision"/>
    <w:hidden/>
    <w:uiPriority w:val="99"/>
    <w:semiHidden/>
    <w:rsid w:val="00076C40"/>
    <w:pPr>
      <w:spacing w:after="0" w:line="240" w:lineRule="auto"/>
    </w:pPr>
    <w:rPr>
      <w:rFonts w:ascii="Calibri" w:eastAsia="Calibri" w:hAnsi="Calibri" w:cs="Times New Roman"/>
    </w:rPr>
  </w:style>
  <w:style w:type="paragraph" w:customStyle="1" w:styleId="USTustnpkodeksu">
    <w:name w:val="UST(§) – ust. (§ np. kodeksu)"/>
    <w:basedOn w:val="Normalny"/>
    <w:uiPriority w:val="12"/>
    <w:qFormat/>
    <w:rsid w:val="001942E0"/>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1942E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8D2A1C"/>
    <w:pPr>
      <w:spacing w:after="0" w:line="360" w:lineRule="auto"/>
      <w:ind w:left="1020" w:hanging="510"/>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318889">
      <w:bodyDiv w:val="1"/>
      <w:marLeft w:val="0"/>
      <w:marRight w:val="0"/>
      <w:marTop w:val="0"/>
      <w:marBottom w:val="0"/>
      <w:divBdr>
        <w:top w:val="none" w:sz="0" w:space="0" w:color="auto"/>
        <w:left w:val="none" w:sz="0" w:space="0" w:color="auto"/>
        <w:bottom w:val="none" w:sz="0" w:space="0" w:color="auto"/>
        <w:right w:val="none" w:sz="0" w:space="0" w:color="auto"/>
      </w:divBdr>
    </w:div>
    <w:div w:id="165900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188C3-3A6C-4397-87CC-9E38CD569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28291</Words>
  <Characters>169746</Characters>
  <Application>Microsoft Office Word</Application>
  <DocSecurity>0</DocSecurity>
  <Lines>1414</Lines>
  <Paragraphs>395</Paragraphs>
  <ScaleCrop>false</ScaleCrop>
  <HeadingPairs>
    <vt:vector size="2" baseType="variant">
      <vt:variant>
        <vt:lpstr>Tytuł</vt:lpstr>
      </vt:variant>
      <vt:variant>
        <vt:i4>1</vt:i4>
      </vt:variant>
    </vt:vector>
  </HeadingPairs>
  <TitlesOfParts>
    <vt:vector size="1" baseType="lpstr">
      <vt:lpstr/>
    </vt:vector>
  </TitlesOfParts>
  <Company>UDSC</Company>
  <LinksUpToDate>false</LinksUpToDate>
  <CharactersWithSpaces>197642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Maciejewska Kinga</dc:creator>
  <cp:lastModifiedBy>Jarosiński Cezary</cp:lastModifiedBy>
  <cp:revision>3</cp:revision>
  <cp:lastPrinted>2019-12-18T13:34:00Z</cp:lastPrinted>
  <dcterms:created xsi:type="dcterms:W3CDTF">2020-12-02T08:50:00Z</dcterms:created>
  <dcterms:modified xsi:type="dcterms:W3CDTF">2020-12-02T08:50:00Z</dcterms:modified>
</cp:coreProperties>
</file>