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13" w14:textId="51F4DCEA" w:rsidR="00202F72" w:rsidRPr="00F061E5" w:rsidRDefault="00017E40">
      <w:pPr>
        <w:spacing w:before="240" w:line="360" w:lineRule="auto"/>
        <w:jc w:val="center"/>
        <w:rPr>
          <w:rFonts w:ascii="Times New Roman" w:eastAsia="Times New Roman" w:hAnsi="Times New Roman" w:cs="Times New Roman"/>
          <w:b/>
          <w:sz w:val="24"/>
          <w:szCs w:val="24"/>
        </w:rPr>
      </w:pPr>
      <w:bookmarkStart w:id="0" w:name="_GoBack"/>
      <w:bookmarkEnd w:id="0"/>
      <w:r w:rsidRPr="00F061E5">
        <w:rPr>
          <w:rFonts w:ascii="Times New Roman" w:eastAsia="Times New Roman" w:hAnsi="Times New Roman" w:cs="Times New Roman"/>
          <w:b/>
          <w:sz w:val="24"/>
          <w:szCs w:val="24"/>
        </w:rPr>
        <w:t>UZASADNIENIE</w:t>
      </w:r>
    </w:p>
    <w:p w14:paraId="00000014" w14:textId="77777777" w:rsidR="00202F72" w:rsidRPr="00F061E5" w:rsidRDefault="00017E40">
      <w:pPr>
        <w:spacing w:before="240" w:line="360" w:lineRule="auto"/>
        <w:jc w:val="center"/>
        <w:rPr>
          <w:rFonts w:ascii="Times New Roman" w:eastAsia="Times New Roman" w:hAnsi="Times New Roman" w:cs="Times New Roman"/>
          <w:b/>
          <w:sz w:val="24"/>
          <w:szCs w:val="24"/>
        </w:rPr>
      </w:pPr>
      <w:r w:rsidRPr="00F061E5">
        <w:rPr>
          <w:rFonts w:ascii="Times New Roman" w:eastAsia="Times New Roman" w:hAnsi="Times New Roman" w:cs="Times New Roman"/>
          <w:b/>
          <w:sz w:val="24"/>
          <w:szCs w:val="24"/>
        </w:rPr>
        <w:t xml:space="preserve"> </w:t>
      </w:r>
    </w:p>
    <w:p w14:paraId="00000015" w14:textId="77777777" w:rsidR="00202F72" w:rsidRPr="00F061E5" w:rsidRDefault="00017E40">
      <w:pPr>
        <w:shd w:val="clear" w:color="auto" w:fill="FFFFFF"/>
        <w:spacing w:line="360" w:lineRule="auto"/>
        <w:ind w:firstLine="700"/>
        <w:rPr>
          <w:rFonts w:ascii="Times New Roman" w:hAnsi="Times New Roman" w:cs="Times New Roman"/>
          <w:b/>
          <w:sz w:val="24"/>
          <w:szCs w:val="24"/>
        </w:rPr>
      </w:pPr>
      <w:r w:rsidRPr="00F061E5">
        <w:rPr>
          <w:rFonts w:ascii="Times New Roman" w:hAnsi="Times New Roman" w:cs="Times New Roman"/>
          <w:b/>
          <w:sz w:val="24"/>
          <w:szCs w:val="24"/>
        </w:rPr>
        <w:t>1. Cel i potrzeba wydania ustawy</w:t>
      </w:r>
    </w:p>
    <w:p w14:paraId="00000016" w14:textId="77777777" w:rsidR="00202F72" w:rsidRPr="00F061E5" w:rsidRDefault="00017E40">
      <w:pPr>
        <w:shd w:val="clear" w:color="auto" w:fill="FFFFFF"/>
        <w:spacing w:line="360" w:lineRule="auto"/>
        <w:ind w:firstLine="700"/>
        <w:rPr>
          <w:rFonts w:ascii="Times New Roman" w:hAnsi="Times New Roman" w:cs="Times New Roman"/>
          <w:b/>
          <w:sz w:val="24"/>
          <w:szCs w:val="24"/>
        </w:rPr>
      </w:pPr>
      <w:r w:rsidRPr="00F061E5">
        <w:rPr>
          <w:rFonts w:ascii="Times New Roman" w:hAnsi="Times New Roman" w:cs="Times New Roman"/>
          <w:b/>
          <w:sz w:val="24"/>
          <w:szCs w:val="24"/>
        </w:rPr>
        <w:t xml:space="preserve"> </w:t>
      </w:r>
    </w:p>
    <w:p w14:paraId="00000017" w14:textId="77777777" w:rsidR="00202F72" w:rsidRPr="00F061E5" w:rsidRDefault="00017E40">
      <w:pPr>
        <w:spacing w:before="240" w:line="360" w:lineRule="auto"/>
        <w:ind w:firstLine="700"/>
        <w:jc w:val="both"/>
        <w:rPr>
          <w:rFonts w:ascii="Times New Roman" w:eastAsia="Times New Roman" w:hAnsi="Times New Roman" w:cs="Times New Roman"/>
          <w:sz w:val="24"/>
          <w:szCs w:val="24"/>
        </w:rPr>
      </w:pPr>
      <w:r w:rsidRPr="00F061E5">
        <w:rPr>
          <w:rFonts w:ascii="Times New Roman" w:eastAsia="Times New Roman" w:hAnsi="Times New Roman" w:cs="Times New Roman"/>
          <w:sz w:val="24"/>
          <w:szCs w:val="24"/>
        </w:rPr>
        <w:t>Zasiłek pogrzebowy stanowi jednorazowe świadczenie, które przysługuje w razie śmierci ubezpieczonego. Świadczenie to służy pokryciu kosztów urządzenia zwyczajowo przyjętych w danej kulturze obrzędów związanych ze śmiercią i pożegnaniem osoby zmarłej. Konstrukcja zasiłku pogrzebowego oparta jest na założeniu, że wydatki związane z kosztami pogrzebu są istotnym obciążeniem dla członków rodziny zmarłego (lub innych podmiotów uprawnionych do tego świadczenia), a jednocześnie mają charakter nadzwyczajny i w związku z tym nie można wymagać, by każdy gromadził samodzielnie i regularnie środki finansowe w tym celu. Śmierć, której ryzyko chroni to świadczenie, jest bowiem zdarzeniem losowym i jako takie nie jest możliwa do racjonalnego przewidzenia. Z tych powodów zasiłek pogrzebowy ma w założeniu umożliwiać pokrycie wszystkich kosztów pogrzebu. Mowa tu o typowych w danym miejscu i środowisku wydatkach związanych z ceremonią złożenia zwłok zmarłego do grobu lub pożegnania go w inny sposób, jej przygotowaniem i związanych z nią uroczystości. W tym sensie wysokość zasiłku pogrzebowego musi z jednej strony odpowiadać rynkowym cenom usług związanych ze złożeniem zmarłego do grobu i jego pożegnaniem, z drugiej zaś typowemu zakresowi usług składającemu się w danym czasie na pogrzeb, który w powszechnym odczuciu uznany zostałby za godny. W obowiązującym stanie prawnym zasiłek pogrzebowy wynosi 4000 złotych. Kwota ta nie odpowiada aktualnym, typowym kosztom pogrzebu. Oznacza to, że zasiłek pogrzebowy przestał obecnie pełnić swoją funkcję, ponieważ nie umożliwia pokrycia całości lub większej części wydatków związanych ze złożeniem zmarłego do grobu i jego pożegnaniem. Wymaga to podwyższenia wysokości zasiłku pogrzebowego.</w:t>
      </w:r>
    </w:p>
    <w:p w14:paraId="00000018" w14:textId="77777777" w:rsidR="00202F72" w:rsidRPr="00F061E5" w:rsidRDefault="00017E40">
      <w:pPr>
        <w:spacing w:before="240" w:line="360" w:lineRule="auto"/>
        <w:rPr>
          <w:rFonts w:ascii="Times New Roman" w:eastAsia="Times New Roman" w:hAnsi="Times New Roman" w:cs="Times New Roman"/>
          <w:b/>
          <w:sz w:val="24"/>
          <w:szCs w:val="24"/>
        </w:rPr>
      </w:pPr>
      <w:r w:rsidRPr="00F061E5">
        <w:rPr>
          <w:rFonts w:ascii="Times New Roman" w:eastAsia="Times New Roman" w:hAnsi="Times New Roman" w:cs="Times New Roman"/>
          <w:b/>
          <w:sz w:val="24"/>
          <w:szCs w:val="24"/>
        </w:rPr>
        <w:t xml:space="preserve"> </w:t>
      </w:r>
    </w:p>
    <w:p w14:paraId="00000019" w14:textId="77777777" w:rsidR="00202F72" w:rsidRPr="00F061E5" w:rsidRDefault="00017E40">
      <w:pPr>
        <w:shd w:val="clear" w:color="auto" w:fill="FFFFFF"/>
        <w:spacing w:line="360" w:lineRule="auto"/>
        <w:ind w:firstLine="700"/>
        <w:rPr>
          <w:rFonts w:ascii="Times New Roman" w:hAnsi="Times New Roman" w:cs="Times New Roman"/>
          <w:b/>
          <w:sz w:val="24"/>
          <w:szCs w:val="24"/>
        </w:rPr>
      </w:pPr>
      <w:r w:rsidRPr="00F061E5">
        <w:rPr>
          <w:rFonts w:ascii="Times New Roman" w:hAnsi="Times New Roman" w:cs="Times New Roman"/>
          <w:b/>
          <w:sz w:val="24"/>
          <w:szCs w:val="24"/>
        </w:rPr>
        <w:t>2. Rzeczywisty stan w dziedzinie, która ma być unormowana</w:t>
      </w:r>
    </w:p>
    <w:p w14:paraId="0000001A" w14:textId="77777777" w:rsidR="00202F72" w:rsidRPr="00F061E5" w:rsidRDefault="00017E40">
      <w:pPr>
        <w:shd w:val="clear" w:color="auto" w:fill="FFFFFF"/>
        <w:spacing w:line="360" w:lineRule="auto"/>
        <w:ind w:firstLine="700"/>
        <w:rPr>
          <w:rFonts w:ascii="Times New Roman" w:hAnsi="Times New Roman" w:cs="Times New Roman"/>
          <w:b/>
          <w:sz w:val="24"/>
          <w:szCs w:val="24"/>
        </w:rPr>
      </w:pPr>
      <w:r w:rsidRPr="00F061E5">
        <w:rPr>
          <w:rFonts w:ascii="Times New Roman" w:hAnsi="Times New Roman" w:cs="Times New Roman"/>
          <w:b/>
          <w:sz w:val="24"/>
          <w:szCs w:val="24"/>
        </w:rPr>
        <w:t xml:space="preserve"> </w:t>
      </w:r>
    </w:p>
    <w:p w14:paraId="0000001B" w14:textId="77777777" w:rsidR="00202F72" w:rsidRPr="00F061E5" w:rsidRDefault="00017E40">
      <w:pPr>
        <w:shd w:val="clear" w:color="auto" w:fill="FFFFFF"/>
        <w:spacing w:line="360" w:lineRule="auto"/>
        <w:ind w:firstLine="700"/>
        <w:jc w:val="both"/>
        <w:rPr>
          <w:rFonts w:ascii="Times New Roman" w:hAnsi="Times New Roman" w:cs="Times New Roman"/>
          <w:sz w:val="24"/>
          <w:szCs w:val="24"/>
        </w:rPr>
      </w:pPr>
      <w:r w:rsidRPr="00F061E5">
        <w:rPr>
          <w:rFonts w:ascii="Times New Roman" w:hAnsi="Times New Roman" w:cs="Times New Roman"/>
          <w:sz w:val="24"/>
          <w:szCs w:val="24"/>
        </w:rPr>
        <w:t xml:space="preserve">Zasiłek pogrzebowy przysługuje w obecnym stanie prawnym w kwocie 4000 złotych, a w określonych przypadkach – w wysokości udokumentowanych kosztów pogrzebu, nie wyższej jednak niż 4000 złotych. Nie istnieje możliwość zwiększenia kwoty zasiłku </w:t>
      </w:r>
      <w:r w:rsidRPr="00F061E5">
        <w:rPr>
          <w:rFonts w:ascii="Times New Roman" w:hAnsi="Times New Roman" w:cs="Times New Roman"/>
          <w:sz w:val="24"/>
          <w:szCs w:val="24"/>
        </w:rPr>
        <w:lastRenderedPageBreak/>
        <w:t>pogrzebowego ponad 4000 złotych, bez względu na okoliczności związane z organizacją i przebiegiem pogrzebu ubezpieczonego.</w:t>
      </w:r>
    </w:p>
    <w:p w14:paraId="0000001C" w14:textId="77777777" w:rsidR="00202F72" w:rsidRPr="00F061E5" w:rsidRDefault="00017E40">
      <w:pPr>
        <w:shd w:val="clear" w:color="auto" w:fill="FFFFFF"/>
        <w:spacing w:line="360" w:lineRule="auto"/>
        <w:ind w:firstLine="700"/>
        <w:jc w:val="both"/>
        <w:rPr>
          <w:rFonts w:ascii="Times New Roman" w:hAnsi="Times New Roman" w:cs="Times New Roman"/>
          <w:sz w:val="24"/>
          <w:szCs w:val="24"/>
        </w:rPr>
      </w:pPr>
      <w:r w:rsidRPr="00F061E5">
        <w:rPr>
          <w:rFonts w:ascii="Times New Roman" w:hAnsi="Times New Roman" w:cs="Times New Roman"/>
          <w:sz w:val="24"/>
          <w:szCs w:val="24"/>
        </w:rPr>
        <w:t xml:space="preserve"> </w:t>
      </w:r>
    </w:p>
    <w:p w14:paraId="0000001D" w14:textId="77777777" w:rsidR="00202F72" w:rsidRPr="00F061E5" w:rsidRDefault="00017E40">
      <w:pPr>
        <w:shd w:val="clear" w:color="auto" w:fill="FFFFFF"/>
        <w:spacing w:line="360" w:lineRule="auto"/>
        <w:ind w:firstLine="700"/>
        <w:rPr>
          <w:rFonts w:ascii="Times New Roman" w:hAnsi="Times New Roman" w:cs="Times New Roman"/>
          <w:b/>
          <w:sz w:val="24"/>
          <w:szCs w:val="24"/>
        </w:rPr>
      </w:pPr>
      <w:r w:rsidRPr="00F061E5">
        <w:rPr>
          <w:rFonts w:ascii="Times New Roman" w:hAnsi="Times New Roman" w:cs="Times New Roman"/>
          <w:b/>
          <w:sz w:val="24"/>
          <w:szCs w:val="24"/>
        </w:rPr>
        <w:t>3. Różnice między dotychczasowym a projektowanym stanem prawnym</w:t>
      </w:r>
    </w:p>
    <w:p w14:paraId="0000001E" w14:textId="77777777" w:rsidR="00202F72" w:rsidRPr="00F061E5" w:rsidRDefault="00017E40">
      <w:pPr>
        <w:shd w:val="clear" w:color="auto" w:fill="FFFFFF"/>
        <w:spacing w:line="360" w:lineRule="auto"/>
        <w:ind w:firstLine="700"/>
        <w:rPr>
          <w:rFonts w:ascii="Times New Roman" w:hAnsi="Times New Roman" w:cs="Times New Roman"/>
          <w:b/>
          <w:sz w:val="24"/>
          <w:szCs w:val="24"/>
        </w:rPr>
      </w:pPr>
      <w:r w:rsidRPr="00F061E5">
        <w:rPr>
          <w:rFonts w:ascii="Times New Roman" w:hAnsi="Times New Roman" w:cs="Times New Roman"/>
          <w:b/>
          <w:sz w:val="24"/>
          <w:szCs w:val="24"/>
        </w:rPr>
        <w:t xml:space="preserve"> </w:t>
      </w:r>
    </w:p>
    <w:p w14:paraId="0000001F" w14:textId="77777777" w:rsidR="00202F72" w:rsidRPr="00F061E5" w:rsidRDefault="00017E40">
      <w:pPr>
        <w:shd w:val="clear" w:color="auto" w:fill="FFFFFF"/>
        <w:spacing w:line="360" w:lineRule="auto"/>
        <w:ind w:firstLine="700"/>
        <w:jc w:val="both"/>
        <w:rPr>
          <w:rFonts w:ascii="Times New Roman" w:hAnsi="Times New Roman" w:cs="Times New Roman"/>
          <w:sz w:val="24"/>
          <w:szCs w:val="24"/>
        </w:rPr>
      </w:pPr>
      <w:r w:rsidRPr="00F061E5">
        <w:rPr>
          <w:rFonts w:ascii="Times New Roman" w:hAnsi="Times New Roman" w:cs="Times New Roman"/>
          <w:sz w:val="24"/>
          <w:szCs w:val="24"/>
        </w:rPr>
        <w:t>Projektowana ustawa przewiduje, że kwota zasiłku pogrzebowego zostanie zwiększona z 4000 zł do 7000 zł. Rozwiązanie to służy zapewnieniu, by świadczenie to umożliwiło pokrycie wszystkich kosztów pogrzebu. Kwota zasiłku pogrzebowego nie była zmieniana od 2011 r., w obowiązujących przepisach prawa brakuje mechanizmu dostosowywania wysokości tego świadczenia do zmian w kosztach usług pogrzebowych, a te w ciągu 9 lat obowiązywania aktualnej kwoty zasiłku pogrzebowego znacząco wzrosły.</w:t>
      </w:r>
    </w:p>
    <w:p w14:paraId="00000020" w14:textId="77777777" w:rsidR="00202F72" w:rsidRPr="00F061E5" w:rsidRDefault="00017E40">
      <w:pPr>
        <w:shd w:val="clear" w:color="auto" w:fill="FFFFFF"/>
        <w:spacing w:line="360" w:lineRule="auto"/>
        <w:ind w:firstLine="700"/>
        <w:jc w:val="both"/>
        <w:rPr>
          <w:rFonts w:ascii="Times New Roman" w:hAnsi="Times New Roman" w:cs="Times New Roman"/>
          <w:sz w:val="24"/>
          <w:szCs w:val="24"/>
        </w:rPr>
      </w:pPr>
      <w:r w:rsidRPr="00F061E5">
        <w:rPr>
          <w:rFonts w:ascii="Times New Roman" w:hAnsi="Times New Roman" w:cs="Times New Roman"/>
          <w:sz w:val="24"/>
          <w:szCs w:val="24"/>
        </w:rPr>
        <w:t xml:space="preserve"> </w:t>
      </w:r>
    </w:p>
    <w:p w14:paraId="00000021" w14:textId="77777777" w:rsidR="00202F72" w:rsidRPr="00F061E5" w:rsidRDefault="00017E40">
      <w:pPr>
        <w:shd w:val="clear" w:color="auto" w:fill="FFFFFF"/>
        <w:spacing w:line="360" w:lineRule="auto"/>
        <w:ind w:firstLine="700"/>
        <w:jc w:val="both"/>
        <w:rPr>
          <w:rFonts w:ascii="Times New Roman" w:hAnsi="Times New Roman" w:cs="Times New Roman"/>
          <w:sz w:val="24"/>
          <w:szCs w:val="24"/>
        </w:rPr>
      </w:pPr>
      <w:r w:rsidRPr="00F061E5">
        <w:rPr>
          <w:rFonts w:ascii="Times New Roman" w:hAnsi="Times New Roman" w:cs="Times New Roman"/>
          <w:sz w:val="24"/>
          <w:szCs w:val="24"/>
        </w:rPr>
        <w:t>W projekcie przewidziano, że kwotę zasiłku pogrzebowego podwyższa się przy zastosowaniu wskaźnika waloryzacji emerytur i rent od miesiąca, w którym przeprowadzana jest waloryzacja. Proponowana regulacja zmierza do zapewnienia corocznego wzrostu kwoty zasiłku pogrzebowego i utrzymania jego funkcji w przyszłości, bez potrzeby interwencji ustawodawcy.</w:t>
      </w:r>
    </w:p>
    <w:p w14:paraId="00000022" w14:textId="77777777" w:rsidR="00202F72" w:rsidRPr="00F061E5" w:rsidRDefault="00017E40">
      <w:pPr>
        <w:shd w:val="clear" w:color="auto" w:fill="FFFFFF"/>
        <w:spacing w:line="360" w:lineRule="auto"/>
        <w:ind w:firstLine="700"/>
        <w:jc w:val="both"/>
        <w:rPr>
          <w:rFonts w:ascii="Times New Roman" w:hAnsi="Times New Roman" w:cs="Times New Roman"/>
          <w:sz w:val="24"/>
          <w:szCs w:val="24"/>
        </w:rPr>
      </w:pPr>
      <w:r w:rsidRPr="00F061E5">
        <w:rPr>
          <w:rFonts w:ascii="Times New Roman" w:hAnsi="Times New Roman" w:cs="Times New Roman"/>
          <w:sz w:val="24"/>
          <w:szCs w:val="24"/>
        </w:rPr>
        <w:t xml:space="preserve"> </w:t>
      </w:r>
    </w:p>
    <w:p w14:paraId="00000023" w14:textId="77777777" w:rsidR="00202F72" w:rsidRPr="00F061E5" w:rsidRDefault="00017E40">
      <w:pPr>
        <w:shd w:val="clear" w:color="auto" w:fill="FFFFFF"/>
        <w:spacing w:line="360" w:lineRule="auto"/>
        <w:ind w:firstLine="700"/>
        <w:jc w:val="both"/>
        <w:rPr>
          <w:rFonts w:ascii="Times New Roman" w:hAnsi="Times New Roman" w:cs="Times New Roman"/>
          <w:sz w:val="24"/>
          <w:szCs w:val="24"/>
        </w:rPr>
      </w:pPr>
      <w:r w:rsidRPr="00F061E5">
        <w:rPr>
          <w:rFonts w:ascii="Times New Roman" w:hAnsi="Times New Roman" w:cs="Times New Roman"/>
          <w:sz w:val="24"/>
          <w:szCs w:val="24"/>
        </w:rPr>
        <w:t>Projektowana ustawa zakłada, że w szczególnie uzasadnionych przypadkach organ rentowy może, w granicach udokumentowanych kosztów pogrzebu, przyznać zasiłek pogrzebowy w kwocie wyższej niż 7000 złotych. Umożliwia to uwzględnienie w wysokości świadczenia przyznawanego w konkretnym przypadku szczególnych, nietypowych okoliczności, które spowodowały wzrost poniesionych kosztów pogrzebu, a znajdują obiektywne uzasadnienie. W założeniu przyznawanie zasiłku pogrzebowego w zwiększonej wysokości byłoby ściśle limitowane. Projekt przewiduje, że byłoby ono ograniczone do szczególnie uzasadnionych przypadków, a koszty pogrzebu przekraczające kwotę 7000 złotych musiałyby zostać udokumentowane przez stronę. Dodatkowo kompetencja organu rentowego do przyznania zasiłku pogrzebowego w zwiększonej wysokości mieściłaby się w ramach uznania administracyjnego. W rezultacie dawałoby to możliwość dostosowania wydatków na ten cel do możliwości finansowych funduszy, z których świadczenie to byłoby wypłacane.</w:t>
      </w:r>
    </w:p>
    <w:p w14:paraId="00000024" w14:textId="77777777" w:rsidR="00202F72" w:rsidRPr="00F061E5" w:rsidRDefault="00017E40">
      <w:pPr>
        <w:shd w:val="clear" w:color="auto" w:fill="FFFFFF"/>
        <w:spacing w:line="360" w:lineRule="auto"/>
        <w:ind w:firstLine="700"/>
        <w:jc w:val="both"/>
        <w:rPr>
          <w:rFonts w:ascii="Times New Roman" w:hAnsi="Times New Roman" w:cs="Times New Roman"/>
          <w:sz w:val="24"/>
          <w:szCs w:val="24"/>
        </w:rPr>
      </w:pPr>
      <w:r w:rsidRPr="00F061E5">
        <w:rPr>
          <w:rFonts w:ascii="Times New Roman" w:hAnsi="Times New Roman" w:cs="Times New Roman"/>
          <w:sz w:val="24"/>
          <w:szCs w:val="24"/>
        </w:rPr>
        <w:t xml:space="preserve"> </w:t>
      </w:r>
    </w:p>
    <w:p w14:paraId="00000025" w14:textId="77777777" w:rsidR="00202F72" w:rsidRPr="00F061E5" w:rsidRDefault="00017E40">
      <w:pPr>
        <w:shd w:val="clear" w:color="auto" w:fill="FFFFFF"/>
        <w:spacing w:line="360" w:lineRule="auto"/>
        <w:ind w:firstLine="700"/>
        <w:jc w:val="both"/>
        <w:rPr>
          <w:rFonts w:ascii="Times New Roman" w:hAnsi="Times New Roman" w:cs="Times New Roman"/>
          <w:sz w:val="24"/>
          <w:szCs w:val="24"/>
        </w:rPr>
      </w:pPr>
      <w:r w:rsidRPr="00F061E5">
        <w:rPr>
          <w:rFonts w:ascii="Times New Roman" w:hAnsi="Times New Roman" w:cs="Times New Roman"/>
          <w:sz w:val="24"/>
          <w:szCs w:val="24"/>
        </w:rPr>
        <w:t xml:space="preserve">Decyzje w sprawach przyznania zasiłku pogrzebowego w zwiększonej wysokości, jako akty uznaniowe, podlegałyby weryfikacji w spłaszczonym administracyjnym toku instancji za pomocą wniosku o ponowne rozpatrzenie sprawy, a następnie – w drodze skargi do sądu </w:t>
      </w:r>
      <w:r w:rsidRPr="00F061E5">
        <w:rPr>
          <w:rFonts w:ascii="Times New Roman" w:hAnsi="Times New Roman" w:cs="Times New Roman"/>
          <w:sz w:val="24"/>
          <w:szCs w:val="24"/>
        </w:rPr>
        <w:lastRenderedPageBreak/>
        <w:t>administracyjnego. Jest to rozwiązanie modelowe, właściwe dla decyzji uznaniowych w sprawach z zakresu ubezpieczeń społecznych.</w:t>
      </w:r>
    </w:p>
    <w:p w14:paraId="00000026" w14:textId="77777777" w:rsidR="00202F72" w:rsidRPr="00F061E5" w:rsidRDefault="00017E40">
      <w:pPr>
        <w:shd w:val="clear" w:color="auto" w:fill="FFFFFF"/>
        <w:spacing w:line="360" w:lineRule="auto"/>
        <w:ind w:firstLine="700"/>
        <w:jc w:val="both"/>
        <w:rPr>
          <w:rFonts w:ascii="Times New Roman" w:hAnsi="Times New Roman" w:cs="Times New Roman"/>
          <w:sz w:val="24"/>
          <w:szCs w:val="24"/>
        </w:rPr>
      </w:pPr>
      <w:r w:rsidRPr="00F061E5">
        <w:rPr>
          <w:rFonts w:ascii="Times New Roman" w:hAnsi="Times New Roman" w:cs="Times New Roman"/>
          <w:sz w:val="24"/>
          <w:szCs w:val="24"/>
        </w:rPr>
        <w:t xml:space="preserve"> </w:t>
      </w:r>
    </w:p>
    <w:p w14:paraId="00000027" w14:textId="77777777" w:rsidR="00202F72" w:rsidRPr="00F061E5" w:rsidRDefault="00017E40">
      <w:pPr>
        <w:shd w:val="clear" w:color="auto" w:fill="FFFFFF"/>
        <w:spacing w:line="360" w:lineRule="auto"/>
        <w:ind w:firstLine="700"/>
        <w:rPr>
          <w:rFonts w:ascii="Times New Roman" w:hAnsi="Times New Roman" w:cs="Times New Roman"/>
          <w:b/>
          <w:sz w:val="24"/>
          <w:szCs w:val="24"/>
        </w:rPr>
      </w:pPr>
      <w:r w:rsidRPr="00F061E5">
        <w:rPr>
          <w:rFonts w:ascii="Times New Roman" w:hAnsi="Times New Roman" w:cs="Times New Roman"/>
          <w:b/>
          <w:sz w:val="24"/>
          <w:szCs w:val="24"/>
        </w:rPr>
        <w:t>4. Przewidywane skutki społeczne, gospodarcze, finansowe i prawne</w:t>
      </w:r>
    </w:p>
    <w:p w14:paraId="00000028" w14:textId="77777777" w:rsidR="00202F72" w:rsidRPr="00F061E5" w:rsidRDefault="00017E40">
      <w:pPr>
        <w:shd w:val="clear" w:color="auto" w:fill="FFFFFF"/>
        <w:spacing w:line="360" w:lineRule="auto"/>
        <w:ind w:firstLine="700"/>
        <w:rPr>
          <w:rFonts w:ascii="Times New Roman" w:hAnsi="Times New Roman" w:cs="Times New Roman"/>
          <w:b/>
          <w:sz w:val="24"/>
          <w:szCs w:val="24"/>
        </w:rPr>
      </w:pPr>
      <w:r w:rsidRPr="00F061E5">
        <w:rPr>
          <w:rFonts w:ascii="Times New Roman" w:hAnsi="Times New Roman" w:cs="Times New Roman"/>
          <w:b/>
          <w:sz w:val="24"/>
          <w:szCs w:val="24"/>
        </w:rPr>
        <w:t xml:space="preserve"> </w:t>
      </w:r>
    </w:p>
    <w:p w14:paraId="00000029" w14:textId="77777777" w:rsidR="00202F72" w:rsidRPr="00F061E5" w:rsidRDefault="00017E40">
      <w:pPr>
        <w:shd w:val="clear" w:color="auto" w:fill="FFFFFF"/>
        <w:spacing w:line="360" w:lineRule="auto"/>
        <w:ind w:firstLine="700"/>
        <w:jc w:val="both"/>
        <w:rPr>
          <w:rFonts w:ascii="Times New Roman" w:hAnsi="Times New Roman" w:cs="Times New Roman"/>
          <w:sz w:val="24"/>
          <w:szCs w:val="24"/>
        </w:rPr>
      </w:pPr>
      <w:r w:rsidRPr="00F061E5">
        <w:rPr>
          <w:rFonts w:ascii="Times New Roman" w:hAnsi="Times New Roman" w:cs="Times New Roman"/>
          <w:sz w:val="24"/>
          <w:szCs w:val="24"/>
        </w:rPr>
        <w:t>Projektowana ustawa przyczyni się do większego zaspokojenia uzasadnionych potrzeb społecznych, a w konsekwencji – do wzrostu społecznej satysfakcji z funkcjonowania systemu zabezpieczenia społecznego i jego wykonawców.</w:t>
      </w:r>
    </w:p>
    <w:p w14:paraId="0000002A" w14:textId="77777777" w:rsidR="00202F72" w:rsidRPr="00F061E5" w:rsidRDefault="00017E40">
      <w:pPr>
        <w:shd w:val="clear" w:color="auto" w:fill="FFFFFF"/>
        <w:spacing w:line="360" w:lineRule="auto"/>
        <w:ind w:firstLine="700"/>
        <w:jc w:val="both"/>
        <w:rPr>
          <w:rFonts w:ascii="Times New Roman" w:hAnsi="Times New Roman" w:cs="Times New Roman"/>
          <w:sz w:val="24"/>
          <w:szCs w:val="24"/>
        </w:rPr>
      </w:pPr>
      <w:r w:rsidRPr="00F061E5">
        <w:rPr>
          <w:rFonts w:ascii="Times New Roman" w:hAnsi="Times New Roman" w:cs="Times New Roman"/>
          <w:sz w:val="24"/>
          <w:szCs w:val="24"/>
        </w:rPr>
        <w:t xml:space="preserve"> </w:t>
      </w:r>
    </w:p>
    <w:p w14:paraId="0000002B" w14:textId="77777777" w:rsidR="00202F72" w:rsidRPr="00F061E5" w:rsidRDefault="00017E40">
      <w:pPr>
        <w:shd w:val="clear" w:color="auto" w:fill="FFFFFF"/>
        <w:spacing w:line="360" w:lineRule="auto"/>
        <w:ind w:firstLine="700"/>
        <w:jc w:val="both"/>
        <w:rPr>
          <w:rFonts w:ascii="Times New Roman" w:hAnsi="Times New Roman" w:cs="Times New Roman"/>
          <w:sz w:val="24"/>
          <w:szCs w:val="24"/>
        </w:rPr>
      </w:pPr>
      <w:r w:rsidRPr="00F061E5">
        <w:rPr>
          <w:rFonts w:ascii="Times New Roman" w:hAnsi="Times New Roman" w:cs="Times New Roman"/>
          <w:sz w:val="24"/>
          <w:szCs w:val="24"/>
        </w:rPr>
        <w:t>Przewidywane rozwiązania bezpośrednio nie oddziałują na podmioty prowadzące działalność gospodarczą, ale nie można wykluczyć, że wpłyną one na siły podaży i popytu na rynku usług pogrzebowych.</w:t>
      </w:r>
    </w:p>
    <w:p w14:paraId="0000002C" w14:textId="77777777" w:rsidR="00202F72" w:rsidRPr="00F061E5" w:rsidRDefault="00017E40">
      <w:pPr>
        <w:shd w:val="clear" w:color="auto" w:fill="FFFFFF"/>
        <w:spacing w:line="360" w:lineRule="auto"/>
        <w:ind w:firstLine="700"/>
        <w:jc w:val="both"/>
        <w:rPr>
          <w:rFonts w:ascii="Times New Roman" w:hAnsi="Times New Roman" w:cs="Times New Roman"/>
          <w:sz w:val="24"/>
          <w:szCs w:val="24"/>
        </w:rPr>
      </w:pPr>
      <w:r w:rsidRPr="00F061E5">
        <w:rPr>
          <w:rFonts w:ascii="Times New Roman" w:hAnsi="Times New Roman" w:cs="Times New Roman"/>
          <w:sz w:val="24"/>
          <w:szCs w:val="24"/>
        </w:rPr>
        <w:t xml:space="preserve"> </w:t>
      </w:r>
    </w:p>
    <w:p w14:paraId="0000002D" w14:textId="77777777" w:rsidR="00202F72" w:rsidRPr="00F061E5" w:rsidRDefault="00017E40">
      <w:pPr>
        <w:shd w:val="clear" w:color="auto" w:fill="FFFFFF"/>
        <w:spacing w:line="360" w:lineRule="auto"/>
        <w:ind w:firstLine="700"/>
        <w:jc w:val="both"/>
        <w:rPr>
          <w:rFonts w:ascii="Times New Roman" w:hAnsi="Times New Roman" w:cs="Times New Roman"/>
          <w:sz w:val="24"/>
          <w:szCs w:val="24"/>
        </w:rPr>
      </w:pPr>
      <w:r w:rsidRPr="00F061E5">
        <w:rPr>
          <w:rFonts w:ascii="Times New Roman" w:hAnsi="Times New Roman" w:cs="Times New Roman"/>
          <w:sz w:val="24"/>
          <w:szCs w:val="24"/>
        </w:rPr>
        <w:t>Projekt zakłada wzrost wysokości zasiłku pogrzebowego o 75%. Dodatkowo, przewiduje mechanizm przyznawania tego świadczenia w zwiększonej wysokości. Pozwala to szacować, że będzie on skutkował podwojeniem sumarycznych wydatków na to świadczenie ze źródeł, z których jest on finansowany. Aktualnie głównymi źródłami finansowania zasiłków pogrzebowych jest Fundusz Ubezpieczeń Społecznych (1,39 mld zł rocznie) i Fundusz Emerytalno-Rentowy Kasy Rolniczego Ubezpieczenia Społecznego (228 mln zł rocznie). Pozostałe źródła obejmują kilkadziesiąt milionów złotych rocznie. Daje to sumarycznie ok. 1,8 mld zł rocznie. Wprowadzenie projektowanych zmian spowoduje wzrost tych wydatków do ok. 3,6 mld zł rocznie, w tym po stronie Funduszu Ubezpieczeń Społecznych do ok. 2,8 mld zł rocznie i Funduszu Emerytalno-Rentowego Kasy Rolniczego Ubezpieczenia Społecznego do ok. 450 mln zł rocznie. Koszty te będą musiały znaleźć odzwierciedlenie we wzroście dotacji z budżetu państwa do obu funduszy, w tym w szczególności do Funduszu Emerytalno-Rentowego Kasy Rolniczego Ubezpieczenia Społecznego.</w:t>
      </w:r>
    </w:p>
    <w:p w14:paraId="0000002E" w14:textId="77777777" w:rsidR="00202F72" w:rsidRPr="00F061E5" w:rsidRDefault="00017E40">
      <w:pPr>
        <w:shd w:val="clear" w:color="auto" w:fill="FFFFFF"/>
        <w:spacing w:line="360" w:lineRule="auto"/>
        <w:ind w:firstLine="700"/>
        <w:jc w:val="both"/>
        <w:rPr>
          <w:rFonts w:ascii="Times New Roman" w:hAnsi="Times New Roman" w:cs="Times New Roman"/>
          <w:sz w:val="24"/>
          <w:szCs w:val="24"/>
        </w:rPr>
      </w:pPr>
      <w:r w:rsidRPr="00F061E5">
        <w:rPr>
          <w:rFonts w:ascii="Times New Roman" w:hAnsi="Times New Roman" w:cs="Times New Roman"/>
          <w:sz w:val="24"/>
          <w:szCs w:val="24"/>
        </w:rPr>
        <w:t xml:space="preserve"> </w:t>
      </w:r>
    </w:p>
    <w:p w14:paraId="0000002F" w14:textId="77777777" w:rsidR="00202F72" w:rsidRPr="00F061E5" w:rsidRDefault="00017E40">
      <w:pPr>
        <w:shd w:val="clear" w:color="auto" w:fill="FFFFFF"/>
        <w:spacing w:line="360" w:lineRule="auto"/>
        <w:ind w:firstLine="700"/>
        <w:jc w:val="both"/>
        <w:rPr>
          <w:rFonts w:ascii="Times New Roman" w:hAnsi="Times New Roman" w:cs="Times New Roman"/>
          <w:sz w:val="24"/>
          <w:szCs w:val="24"/>
        </w:rPr>
      </w:pPr>
      <w:r w:rsidRPr="00F061E5">
        <w:rPr>
          <w:rFonts w:ascii="Times New Roman" w:hAnsi="Times New Roman" w:cs="Times New Roman"/>
          <w:sz w:val="24"/>
          <w:szCs w:val="24"/>
        </w:rPr>
        <w:t xml:space="preserve">Projektowana ustawa przewiduje zwiększenie kwoty zasiłku pogrzebowego określonej w art. 80 ustawy o emeryturach i rentach z Funduszu Ubezpieczeń Społecznych. Skutki prawne tej zmiany wykraczają jednak poza bezpośredni zakres normowania tej ustawy. Ze względu na system odesłań zawarty w przepisach dotyczących zasiłku pogrzebowego umieszczonych w innych ustawach dotyczących zabezpieczenia społecznego, przewidywana zmiana spowoduje również wzrost zasiłku pogrzebowego dla osób pobierających emeryturę pomostową i członków ich rodzin, dla osób pobierających świadczenie przedemerytalne i członków ich </w:t>
      </w:r>
      <w:r w:rsidRPr="00F061E5">
        <w:rPr>
          <w:rFonts w:ascii="Times New Roman" w:hAnsi="Times New Roman" w:cs="Times New Roman"/>
          <w:sz w:val="24"/>
          <w:szCs w:val="24"/>
        </w:rPr>
        <w:lastRenderedPageBreak/>
        <w:t>rodzin, z ubezpieczenia społecznego rolników, z zaopatrzenia emerytalno-rentowego żołnierzy zawodowych i funkcjonariuszy służb mundurowych oraz dla osób pobierających rentę socjalną.</w:t>
      </w:r>
    </w:p>
    <w:p w14:paraId="00000030" w14:textId="77777777" w:rsidR="00202F72" w:rsidRPr="00F061E5" w:rsidRDefault="00017E40">
      <w:pPr>
        <w:shd w:val="clear" w:color="auto" w:fill="FFFFFF"/>
        <w:spacing w:line="360" w:lineRule="auto"/>
        <w:ind w:firstLine="700"/>
        <w:rPr>
          <w:rFonts w:ascii="Times New Roman" w:hAnsi="Times New Roman" w:cs="Times New Roman"/>
          <w:b/>
          <w:sz w:val="24"/>
          <w:szCs w:val="24"/>
        </w:rPr>
      </w:pPr>
      <w:r w:rsidRPr="00F061E5">
        <w:rPr>
          <w:rFonts w:ascii="Times New Roman" w:hAnsi="Times New Roman" w:cs="Times New Roman"/>
          <w:b/>
          <w:sz w:val="24"/>
          <w:szCs w:val="24"/>
        </w:rPr>
        <w:t xml:space="preserve"> </w:t>
      </w:r>
    </w:p>
    <w:p w14:paraId="00000031" w14:textId="77777777" w:rsidR="00202F72" w:rsidRPr="00F061E5" w:rsidRDefault="00017E40">
      <w:pPr>
        <w:shd w:val="clear" w:color="auto" w:fill="FFFFFF"/>
        <w:spacing w:line="360" w:lineRule="auto"/>
        <w:ind w:firstLine="700"/>
        <w:rPr>
          <w:rFonts w:ascii="Times New Roman" w:hAnsi="Times New Roman" w:cs="Times New Roman"/>
          <w:b/>
          <w:sz w:val="24"/>
          <w:szCs w:val="24"/>
        </w:rPr>
      </w:pPr>
      <w:r w:rsidRPr="00F061E5">
        <w:rPr>
          <w:rFonts w:ascii="Times New Roman" w:hAnsi="Times New Roman" w:cs="Times New Roman"/>
          <w:b/>
          <w:sz w:val="24"/>
          <w:szCs w:val="24"/>
        </w:rPr>
        <w:t>5. Źródła finansowania</w:t>
      </w:r>
    </w:p>
    <w:p w14:paraId="00000032" w14:textId="77777777" w:rsidR="00202F72" w:rsidRPr="00F061E5" w:rsidRDefault="00017E40">
      <w:pPr>
        <w:shd w:val="clear" w:color="auto" w:fill="FFFFFF"/>
        <w:spacing w:line="360" w:lineRule="auto"/>
        <w:ind w:firstLine="700"/>
        <w:rPr>
          <w:rFonts w:ascii="Times New Roman" w:hAnsi="Times New Roman" w:cs="Times New Roman"/>
          <w:b/>
          <w:sz w:val="24"/>
          <w:szCs w:val="24"/>
        </w:rPr>
      </w:pPr>
      <w:r w:rsidRPr="00F061E5">
        <w:rPr>
          <w:rFonts w:ascii="Times New Roman" w:hAnsi="Times New Roman" w:cs="Times New Roman"/>
          <w:b/>
          <w:sz w:val="24"/>
          <w:szCs w:val="24"/>
        </w:rPr>
        <w:t xml:space="preserve"> </w:t>
      </w:r>
    </w:p>
    <w:p w14:paraId="00000033" w14:textId="77777777" w:rsidR="00202F72" w:rsidRPr="00F061E5" w:rsidRDefault="00017E40">
      <w:pPr>
        <w:shd w:val="clear" w:color="auto" w:fill="FFFFFF"/>
        <w:spacing w:line="360" w:lineRule="auto"/>
        <w:ind w:firstLine="700"/>
        <w:jc w:val="both"/>
        <w:rPr>
          <w:rFonts w:ascii="Times New Roman" w:hAnsi="Times New Roman" w:cs="Times New Roman"/>
          <w:sz w:val="24"/>
          <w:szCs w:val="24"/>
        </w:rPr>
      </w:pPr>
      <w:r w:rsidRPr="00F061E5">
        <w:rPr>
          <w:rFonts w:ascii="Times New Roman" w:hAnsi="Times New Roman" w:cs="Times New Roman"/>
          <w:sz w:val="24"/>
          <w:szCs w:val="24"/>
        </w:rPr>
        <w:t>Podwyższenie kwoty zasiłku pogrzebowego będzie finansowane ze źródeł, z których finansowane są zasiłki pogrzebowe: z Funduszu Ubezpieczeń Społecznych w przypadku zasiłków pogrzebowych z ubezpieczenia społecznego, z Funduszu Emerytalno-Rentowego Kasy Rolniczego Ubezpieczenia Społecznego w przypadku zasiłków pogrzebowych z ubezpieczenia społecznego rolników, z Funduszu Pracy w przypadku zasiłków pogrzebowych dla osób pobierających świadczenie przedemerytalne i członków ich rodzin, z budżetu państwa w przypadku zasiłków pogrzebowych z zaopatrzenia emerytalno-rentowego żołnierzy zawodowych i funkcjonariuszy służb mundurowych oraz osób pobierających rentę socjalną. W przypadku zasiłków pogrzebowych z Funduszu Ubezpieczeń Społecznych, z Funduszu Emerytalno-Rentowego Kasy Rolniczego Ubezpieczenia Społecznego oraz z Funduszu Pracy przewidziane przez projektowaną ustawę zwiększenie wysokości zasiłków pogrzebowych będzie wymagało, w zależności od kondycji finansowej poszczególnych funduszy, zwiększenia dotacji do nich z budżetu państwa.</w:t>
      </w:r>
    </w:p>
    <w:p w14:paraId="00000034" w14:textId="77777777" w:rsidR="00202F72" w:rsidRPr="00F061E5" w:rsidRDefault="00017E40">
      <w:pPr>
        <w:shd w:val="clear" w:color="auto" w:fill="FFFFFF"/>
        <w:spacing w:line="360" w:lineRule="auto"/>
        <w:ind w:firstLine="700"/>
        <w:rPr>
          <w:rFonts w:ascii="Times New Roman" w:hAnsi="Times New Roman" w:cs="Times New Roman"/>
          <w:b/>
          <w:sz w:val="24"/>
          <w:szCs w:val="24"/>
        </w:rPr>
      </w:pPr>
      <w:r w:rsidRPr="00F061E5">
        <w:rPr>
          <w:rFonts w:ascii="Times New Roman" w:hAnsi="Times New Roman" w:cs="Times New Roman"/>
          <w:b/>
          <w:sz w:val="24"/>
          <w:szCs w:val="24"/>
        </w:rPr>
        <w:t xml:space="preserve"> </w:t>
      </w:r>
    </w:p>
    <w:p w14:paraId="00000035" w14:textId="77777777" w:rsidR="00202F72" w:rsidRPr="00F061E5" w:rsidRDefault="00017E40">
      <w:pPr>
        <w:shd w:val="clear" w:color="auto" w:fill="FFFFFF"/>
        <w:spacing w:line="360" w:lineRule="auto"/>
        <w:ind w:firstLine="700"/>
        <w:rPr>
          <w:rFonts w:ascii="Times New Roman" w:hAnsi="Times New Roman" w:cs="Times New Roman"/>
          <w:b/>
          <w:sz w:val="24"/>
          <w:szCs w:val="24"/>
        </w:rPr>
      </w:pPr>
      <w:r w:rsidRPr="00F061E5">
        <w:rPr>
          <w:rFonts w:ascii="Times New Roman" w:hAnsi="Times New Roman" w:cs="Times New Roman"/>
          <w:b/>
          <w:sz w:val="24"/>
          <w:szCs w:val="24"/>
        </w:rPr>
        <w:t>6. Założenia podstawowych aktów wykonawczych</w:t>
      </w:r>
    </w:p>
    <w:p w14:paraId="00000036" w14:textId="77777777" w:rsidR="00202F72" w:rsidRPr="00F061E5" w:rsidRDefault="00017E40">
      <w:pPr>
        <w:shd w:val="clear" w:color="auto" w:fill="FFFFFF"/>
        <w:spacing w:line="360" w:lineRule="auto"/>
        <w:ind w:firstLine="700"/>
        <w:rPr>
          <w:rFonts w:ascii="Times New Roman" w:hAnsi="Times New Roman" w:cs="Times New Roman"/>
          <w:b/>
          <w:sz w:val="24"/>
          <w:szCs w:val="24"/>
        </w:rPr>
      </w:pPr>
      <w:r w:rsidRPr="00F061E5">
        <w:rPr>
          <w:rFonts w:ascii="Times New Roman" w:hAnsi="Times New Roman" w:cs="Times New Roman"/>
          <w:b/>
          <w:sz w:val="24"/>
          <w:szCs w:val="24"/>
        </w:rPr>
        <w:t xml:space="preserve"> </w:t>
      </w:r>
    </w:p>
    <w:p w14:paraId="00000037" w14:textId="77777777" w:rsidR="00202F72" w:rsidRPr="00F061E5" w:rsidRDefault="00017E40">
      <w:pPr>
        <w:shd w:val="clear" w:color="auto" w:fill="FFFFFF"/>
        <w:spacing w:line="360" w:lineRule="auto"/>
        <w:ind w:firstLine="700"/>
        <w:rPr>
          <w:rFonts w:ascii="Times New Roman" w:hAnsi="Times New Roman" w:cs="Times New Roman"/>
          <w:sz w:val="24"/>
          <w:szCs w:val="24"/>
        </w:rPr>
      </w:pPr>
      <w:r w:rsidRPr="00F061E5">
        <w:rPr>
          <w:rFonts w:ascii="Times New Roman" w:hAnsi="Times New Roman" w:cs="Times New Roman"/>
          <w:sz w:val="24"/>
          <w:szCs w:val="24"/>
        </w:rPr>
        <w:t>Projekt nie przewiduje upoważnień do wydawania aktów wykonawczych.</w:t>
      </w:r>
    </w:p>
    <w:p w14:paraId="00000038" w14:textId="77777777" w:rsidR="00202F72" w:rsidRPr="00F061E5" w:rsidRDefault="00017E40">
      <w:pPr>
        <w:shd w:val="clear" w:color="auto" w:fill="FFFFFF"/>
        <w:spacing w:line="360" w:lineRule="auto"/>
        <w:ind w:firstLine="700"/>
        <w:rPr>
          <w:rFonts w:ascii="Times New Roman" w:hAnsi="Times New Roman" w:cs="Times New Roman"/>
          <w:sz w:val="24"/>
          <w:szCs w:val="24"/>
        </w:rPr>
      </w:pPr>
      <w:r w:rsidRPr="00F061E5">
        <w:rPr>
          <w:rFonts w:ascii="Times New Roman" w:hAnsi="Times New Roman" w:cs="Times New Roman"/>
          <w:sz w:val="24"/>
          <w:szCs w:val="24"/>
        </w:rPr>
        <w:t xml:space="preserve"> </w:t>
      </w:r>
    </w:p>
    <w:p w14:paraId="00000039" w14:textId="77777777" w:rsidR="00202F72" w:rsidRPr="00F061E5" w:rsidRDefault="00017E40">
      <w:pPr>
        <w:shd w:val="clear" w:color="auto" w:fill="FFFFFF"/>
        <w:spacing w:line="360" w:lineRule="auto"/>
        <w:ind w:firstLine="700"/>
        <w:jc w:val="both"/>
        <w:rPr>
          <w:rFonts w:ascii="Times New Roman" w:hAnsi="Times New Roman" w:cs="Times New Roman"/>
          <w:b/>
          <w:sz w:val="24"/>
          <w:szCs w:val="24"/>
        </w:rPr>
      </w:pPr>
      <w:r w:rsidRPr="00F061E5">
        <w:rPr>
          <w:rFonts w:ascii="Times New Roman" w:hAnsi="Times New Roman" w:cs="Times New Roman"/>
          <w:b/>
          <w:sz w:val="24"/>
          <w:szCs w:val="24"/>
        </w:rPr>
        <w:t>7. Oświadczenie o zgodności projektu ustawy z prawem Unii Europejskiej albo oświadczenie, że przedmiot projektowanej regulacji nie jest objęty prawem Unii Europejskiej</w:t>
      </w:r>
    </w:p>
    <w:p w14:paraId="0000003A" w14:textId="77777777" w:rsidR="00202F72" w:rsidRPr="00F061E5" w:rsidRDefault="00017E40">
      <w:pPr>
        <w:shd w:val="clear" w:color="auto" w:fill="FFFFFF"/>
        <w:spacing w:line="360" w:lineRule="auto"/>
        <w:jc w:val="both"/>
        <w:rPr>
          <w:rFonts w:ascii="Times New Roman" w:hAnsi="Times New Roman" w:cs="Times New Roman"/>
          <w:b/>
          <w:sz w:val="24"/>
          <w:szCs w:val="24"/>
        </w:rPr>
      </w:pPr>
      <w:r w:rsidRPr="00F061E5">
        <w:rPr>
          <w:rFonts w:ascii="Times New Roman" w:hAnsi="Times New Roman" w:cs="Times New Roman"/>
          <w:b/>
          <w:sz w:val="24"/>
          <w:szCs w:val="24"/>
        </w:rPr>
        <w:t xml:space="preserve">        </w:t>
      </w:r>
      <w:r w:rsidRPr="00F061E5">
        <w:rPr>
          <w:rFonts w:ascii="Times New Roman" w:hAnsi="Times New Roman" w:cs="Times New Roman"/>
          <w:b/>
          <w:sz w:val="24"/>
          <w:szCs w:val="24"/>
        </w:rPr>
        <w:tab/>
      </w:r>
    </w:p>
    <w:p w14:paraId="0000003B" w14:textId="77777777" w:rsidR="00202F72" w:rsidRPr="00F061E5" w:rsidRDefault="00017E40">
      <w:pPr>
        <w:shd w:val="clear" w:color="auto" w:fill="FFFFFF"/>
        <w:spacing w:line="360" w:lineRule="auto"/>
        <w:ind w:firstLine="700"/>
        <w:jc w:val="both"/>
        <w:rPr>
          <w:rFonts w:ascii="Times New Roman" w:hAnsi="Times New Roman" w:cs="Times New Roman"/>
          <w:sz w:val="24"/>
          <w:szCs w:val="24"/>
        </w:rPr>
      </w:pPr>
      <w:r w:rsidRPr="00F061E5">
        <w:rPr>
          <w:rFonts w:ascii="Times New Roman" w:hAnsi="Times New Roman" w:cs="Times New Roman"/>
          <w:sz w:val="24"/>
          <w:szCs w:val="24"/>
        </w:rPr>
        <w:t>Projektowana ustawa nie jest objęta prawem Unii Europejskiej.</w:t>
      </w:r>
    </w:p>
    <w:p w14:paraId="0000003C" w14:textId="77777777" w:rsidR="00202F72" w:rsidRPr="00F061E5" w:rsidRDefault="00202F72">
      <w:pPr>
        <w:rPr>
          <w:rFonts w:ascii="Times New Roman" w:hAnsi="Times New Roman" w:cs="Times New Roman"/>
          <w:sz w:val="24"/>
          <w:szCs w:val="24"/>
        </w:rPr>
      </w:pPr>
    </w:p>
    <w:sectPr w:rsidR="00202F72" w:rsidRPr="00F061E5">
      <w:pgSz w:w="11909" w:h="16834"/>
      <w:pgMar w:top="1440" w:right="1440" w:bottom="1440" w:left="1417"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2F72"/>
    <w:rsid w:val="00017E40"/>
    <w:rsid w:val="00202F72"/>
    <w:rsid w:val="002D336C"/>
    <w:rsid w:val="00B429FB"/>
    <w:rsid w:val="00EB60D6"/>
    <w:rsid w:val="00F061E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BF9F9D"/>
  <w15:docId w15:val="{1173D20F-B477-4C1B-9300-B3B70AD8E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pl" w:eastAsia="pl-PL"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style>
  <w:style w:type="paragraph" w:styleId="Nagwek1">
    <w:name w:val="heading 1"/>
    <w:basedOn w:val="Normalny"/>
    <w:next w:val="Normalny"/>
    <w:pPr>
      <w:keepNext/>
      <w:keepLines/>
      <w:spacing w:before="400" w:after="120"/>
      <w:outlineLvl w:val="0"/>
    </w:pPr>
    <w:rPr>
      <w:sz w:val="40"/>
      <w:szCs w:val="40"/>
    </w:rPr>
  </w:style>
  <w:style w:type="paragraph" w:styleId="Nagwek2">
    <w:name w:val="heading 2"/>
    <w:basedOn w:val="Normalny"/>
    <w:next w:val="Normalny"/>
    <w:pPr>
      <w:keepNext/>
      <w:keepLines/>
      <w:spacing w:before="360" w:after="120"/>
      <w:outlineLvl w:val="1"/>
    </w:pPr>
    <w:rPr>
      <w:sz w:val="32"/>
      <w:szCs w:val="32"/>
    </w:rPr>
  </w:style>
  <w:style w:type="paragraph" w:styleId="Nagwek3">
    <w:name w:val="heading 3"/>
    <w:basedOn w:val="Normalny"/>
    <w:next w:val="Normalny"/>
    <w:pPr>
      <w:keepNext/>
      <w:keepLines/>
      <w:spacing w:before="320" w:after="80"/>
      <w:outlineLvl w:val="2"/>
    </w:pPr>
    <w:rPr>
      <w:color w:val="434343"/>
      <w:sz w:val="28"/>
      <w:szCs w:val="28"/>
    </w:rPr>
  </w:style>
  <w:style w:type="paragraph" w:styleId="Nagwek4">
    <w:name w:val="heading 4"/>
    <w:basedOn w:val="Normalny"/>
    <w:next w:val="Normalny"/>
    <w:pPr>
      <w:keepNext/>
      <w:keepLines/>
      <w:spacing w:before="280" w:after="80"/>
      <w:outlineLvl w:val="3"/>
    </w:pPr>
    <w:rPr>
      <w:color w:val="666666"/>
      <w:sz w:val="24"/>
      <w:szCs w:val="24"/>
    </w:rPr>
  </w:style>
  <w:style w:type="paragraph" w:styleId="Nagwek5">
    <w:name w:val="heading 5"/>
    <w:basedOn w:val="Normalny"/>
    <w:next w:val="Normalny"/>
    <w:pPr>
      <w:keepNext/>
      <w:keepLines/>
      <w:spacing w:before="240" w:after="80"/>
      <w:outlineLvl w:val="4"/>
    </w:pPr>
    <w:rPr>
      <w:color w:val="666666"/>
    </w:rPr>
  </w:style>
  <w:style w:type="paragraph" w:styleId="Nagwek6">
    <w:name w:val="heading 6"/>
    <w:basedOn w:val="Normalny"/>
    <w:next w:val="Normalny"/>
    <w:pPr>
      <w:keepNext/>
      <w:keepLines/>
      <w:spacing w:before="240" w:after="80"/>
      <w:outlineLvl w:val="5"/>
    </w:pPr>
    <w:rPr>
      <w:i/>
      <w:color w:val="66666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pPr>
      <w:keepNext/>
      <w:keepLines/>
      <w:spacing w:after="60"/>
    </w:pPr>
    <w:rPr>
      <w:sz w:val="52"/>
      <w:szCs w:val="52"/>
    </w:rPr>
  </w:style>
  <w:style w:type="paragraph" w:styleId="Podtytu">
    <w:name w:val="Subtitle"/>
    <w:basedOn w:val="Normalny"/>
    <w:next w:val="Normalny"/>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1183</Words>
  <Characters>7103</Characters>
  <Application>Microsoft Office Word</Application>
  <DocSecurity>0</DocSecurity>
  <Lines>59</Lines>
  <Paragraphs>16</Paragraphs>
  <ScaleCrop>false</ScaleCrop>
  <HeadingPairs>
    <vt:vector size="2" baseType="variant">
      <vt:variant>
        <vt:lpstr>Tytuł</vt:lpstr>
      </vt:variant>
      <vt:variant>
        <vt:i4>1</vt:i4>
      </vt:variant>
    </vt:vector>
  </HeadingPairs>
  <TitlesOfParts>
    <vt:vector size="1" baseType="lpstr">
      <vt:lpstr/>
    </vt:vector>
  </TitlesOfParts>
  <Company>Kancelaria Sejmu</Company>
  <LinksUpToDate>false</LinksUpToDate>
  <CharactersWithSpaces>8270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Dariusz Standerski</dc:creator>
  <cp:lastModifiedBy>Grzegorz Molesztak</cp:lastModifiedBy>
  <cp:revision>3</cp:revision>
  <dcterms:created xsi:type="dcterms:W3CDTF">2020-12-01T12:27:00Z</dcterms:created>
  <dcterms:modified xsi:type="dcterms:W3CDTF">2020-12-09T12:09:00Z</dcterms:modified>
</cp:coreProperties>
</file>