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4477C5" w14:textId="77777777" w:rsidR="00A94A60" w:rsidRPr="00425CB2" w:rsidRDefault="00A94A60" w:rsidP="003F222C">
      <w:pPr>
        <w:spacing w:after="0" w:line="360" w:lineRule="auto"/>
        <w:jc w:val="center"/>
        <w:rPr>
          <w:rFonts w:ascii="Times New Roman" w:hAnsi="Times New Roman" w:cs="Times New Roman"/>
          <w:sz w:val="24"/>
          <w:szCs w:val="24"/>
        </w:rPr>
      </w:pPr>
      <w:r w:rsidRPr="00425CB2">
        <w:rPr>
          <w:rFonts w:ascii="Times New Roman" w:hAnsi="Times New Roman" w:cs="Times New Roman"/>
          <w:sz w:val="24"/>
          <w:szCs w:val="24"/>
        </w:rPr>
        <w:t>UZASADNIENIE</w:t>
      </w:r>
    </w:p>
    <w:p w14:paraId="7CB37A42" w14:textId="77777777" w:rsidR="00A94A60" w:rsidRPr="0087437A" w:rsidRDefault="00A94A60" w:rsidP="0043695F">
      <w:pPr>
        <w:spacing w:after="0" w:line="360" w:lineRule="auto"/>
        <w:jc w:val="both"/>
        <w:rPr>
          <w:rFonts w:ascii="Times New Roman" w:eastAsia="Calibri" w:hAnsi="Times New Roman" w:cs="Times New Roman"/>
          <w:iCs/>
          <w:sz w:val="24"/>
          <w:szCs w:val="24"/>
        </w:rPr>
      </w:pPr>
    </w:p>
    <w:p w14:paraId="0C6630F0" w14:textId="77777777" w:rsidR="00A94A60" w:rsidRPr="0087437A" w:rsidRDefault="00A94A60" w:rsidP="0043695F">
      <w:pPr>
        <w:spacing w:after="0" w:line="360" w:lineRule="auto"/>
        <w:jc w:val="both"/>
        <w:rPr>
          <w:rFonts w:ascii="Times New Roman" w:eastAsia="Calibri" w:hAnsi="Times New Roman" w:cs="Times New Roman"/>
          <w:iCs/>
          <w:sz w:val="24"/>
          <w:szCs w:val="24"/>
        </w:rPr>
      </w:pPr>
      <w:r w:rsidRPr="0087437A">
        <w:rPr>
          <w:rFonts w:ascii="Times New Roman" w:eastAsia="Calibri" w:hAnsi="Times New Roman" w:cs="Times New Roman"/>
          <w:iCs/>
          <w:sz w:val="24"/>
          <w:szCs w:val="24"/>
        </w:rPr>
        <w:t>W dniu 8 marca 2020 r. weszła w życie ustawa z dnia 2 marca</w:t>
      </w:r>
      <w:r w:rsidR="00394275" w:rsidRPr="0087437A">
        <w:rPr>
          <w:rFonts w:ascii="Times New Roman" w:eastAsia="Calibri" w:hAnsi="Times New Roman" w:cs="Times New Roman"/>
          <w:iCs/>
          <w:sz w:val="24"/>
          <w:szCs w:val="24"/>
        </w:rPr>
        <w:t xml:space="preserve"> 2020 r.</w:t>
      </w:r>
      <w:r w:rsidRPr="0087437A">
        <w:rPr>
          <w:rFonts w:ascii="Times New Roman" w:eastAsia="Calibri" w:hAnsi="Times New Roman" w:cs="Times New Roman"/>
          <w:iCs/>
          <w:sz w:val="24"/>
          <w:szCs w:val="24"/>
        </w:rPr>
        <w:t xml:space="preserve"> o szczególnych rozwiązaniach związanych z zapobieganiem, przeciwdziałaniem i zwalczaniem COVID-19, innych chorób zakaźnych oraz wywołanych nimi sytuacji kryzysowych (Dz. U. poz. 1842</w:t>
      </w:r>
      <w:r w:rsidR="008008FD" w:rsidRPr="0087437A">
        <w:rPr>
          <w:rFonts w:ascii="Times New Roman" w:eastAsia="Calibri" w:hAnsi="Times New Roman" w:cs="Times New Roman"/>
          <w:iCs/>
          <w:sz w:val="24"/>
          <w:szCs w:val="24"/>
        </w:rPr>
        <w:t>, z późn. zm.</w:t>
      </w:r>
      <w:r w:rsidRPr="0087437A">
        <w:rPr>
          <w:rFonts w:ascii="Times New Roman" w:eastAsia="Calibri" w:hAnsi="Times New Roman" w:cs="Times New Roman"/>
          <w:iCs/>
          <w:sz w:val="24"/>
          <w:szCs w:val="24"/>
        </w:rPr>
        <w:t>), zwana dalej „ustawą</w:t>
      </w:r>
      <w:r w:rsidR="008B4F62" w:rsidRPr="0087437A">
        <w:rPr>
          <w:rFonts w:ascii="Times New Roman" w:eastAsia="Calibri" w:hAnsi="Times New Roman" w:cs="Times New Roman"/>
          <w:iCs/>
          <w:sz w:val="24"/>
          <w:szCs w:val="24"/>
        </w:rPr>
        <w:t xml:space="preserve"> COVID-19</w:t>
      </w:r>
      <w:r w:rsidRPr="0087437A">
        <w:rPr>
          <w:rFonts w:ascii="Times New Roman" w:eastAsia="Calibri" w:hAnsi="Times New Roman" w:cs="Times New Roman"/>
          <w:iCs/>
          <w:sz w:val="24"/>
          <w:szCs w:val="24"/>
        </w:rPr>
        <w:t>”. Koncentrowała się ona na regulacjach z zakresu zapobiegania oraz zwalczania zakażenia i rozprzestrzeniania się choroby zakaźnej u ludzi, wywołanej wirusem SARS-CoV-2. W chwili przyjmowania ww. regulacji nie były znane rzeczywiste skutki wywołanego wybuchem pandemii kryzysu. Mając na uwadze konieczność zapewnienia funkcjonowania kolejnych sektorów gospodarki</w:t>
      </w:r>
      <w:r w:rsidR="0021012A" w:rsidRPr="0087437A">
        <w:rPr>
          <w:rFonts w:ascii="Times New Roman" w:eastAsia="Calibri" w:hAnsi="Times New Roman" w:cs="Times New Roman"/>
          <w:iCs/>
          <w:sz w:val="24"/>
          <w:szCs w:val="24"/>
        </w:rPr>
        <w:t xml:space="preserve"> oraz wprowadzenia rozwiązań usprawniających funkcjonowanie organów państwa, </w:t>
      </w:r>
      <w:r w:rsidRPr="0087437A">
        <w:rPr>
          <w:rFonts w:ascii="Times New Roman" w:eastAsia="Calibri" w:hAnsi="Times New Roman" w:cs="Times New Roman"/>
          <w:iCs/>
          <w:sz w:val="24"/>
          <w:szCs w:val="24"/>
        </w:rPr>
        <w:t>niezbędne jest wprowadzenie zmian w ww. ustawie</w:t>
      </w:r>
      <w:r w:rsidR="00437043" w:rsidRPr="0087437A">
        <w:rPr>
          <w:rFonts w:ascii="Times New Roman" w:eastAsia="Calibri" w:hAnsi="Times New Roman" w:cs="Times New Roman"/>
          <w:iCs/>
          <w:sz w:val="24"/>
          <w:szCs w:val="24"/>
        </w:rPr>
        <w:t xml:space="preserve"> oraz regulacjach z nią związanych</w:t>
      </w:r>
      <w:r w:rsidRPr="0087437A">
        <w:rPr>
          <w:rFonts w:ascii="Times New Roman" w:eastAsia="Calibri" w:hAnsi="Times New Roman" w:cs="Times New Roman"/>
          <w:iCs/>
          <w:sz w:val="24"/>
          <w:szCs w:val="24"/>
        </w:rPr>
        <w:t xml:space="preserve">. </w:t>
      </w:r>
    </w:p>
    <w:p w14:paraId="47701D83" w14:textId="77777777" w:rsidR="004633D5" w:rsidRPr="0087437A" w:rsidRDefault="004633D5" w:rsidP="0043695F">
      <w:pPr>
        <w:spacing w:after="0" w:line="360" w:lineRule="auto"/>
        <w:jc w:val="both"/>
        <w:rPr>
          <w:rFonts w:ascii="Times New Roman" w:eastAsia="Calibri" w:hAnsi="Times New Roman" w:cs="Times New Roman"/>
          <w:b/>
          <w:iCs/>
          <w:sz w:val="24"/>
          <w:szCs w:val="24"/>
        </w:rPr>
      </w:pPr>
    </w:p>
    <w:p w14:paraId="3328F884" w14:textId="77777777" w:rsidR="00394275" w:rsidRPr="0087437A" w:rsidRDefault="001F4A04" w:rsidP="0043695F">
      <w:pPr>
        <w:spacing w:after="0" w:line="360" w:lineRule="auto"/>
        <w:jc w:val="both"/>
        <w:rPr>
          <w:rFonts w:ascii="Times New Roman" w:eastAsia="Calibri" w:hAnsi="Times New Roman" w:cs="Times New Roman"/>
          <w:b/>
          <w:iCs/>
          <w:sz w:val="24"/>
          <w:szCs w:val="24"/>
        </w:rPr>
      </w:pPr>
      <w:r w:rsidRPr="0087437A">
        <w:rPr>
          <w:rFonts w:ascii="Times New Roman" w:eastAsia="Calibri" w:hAnsi="Times New Roman" w:cs="Times New Roman"/>
          <w:b/>
          <w:iCs/>
          <w:sz w:val="24"/>
          <w:szCs w:val="24"/>
        </w:rPr>
        <w:t xml:space="preserve">I. </w:t>
      </w:r>
      <w:r w:rsidR="00394275" w:rsidRPr="0087437A">
        <w:rPr>
          <w:rFonts w:ascii="Times New Roman" w:eastAsia="Calibri" w:hAnsi="Times New Roman" w:cs="Times New Roman"/>
          <w:b/>
          <w:iCs/>
          <w:sz w:val="24"/>
          <w:szCs w:val="24"/>
        </w:rPr>
        <w:t>Zmiany w ustawie z dnia 2 marca 2020 r. o szczególnych rozwiązaniach związanych z zapobieganiem, przeciwdziałaniem i zwalczaniem COVID-19, innych chorób zakaźnych oraz wywołanych nimi sytuacji kryzysowych (Dz. U. poz. 1842, z późn. zm.)</w:t>
      </w:r>
      <w:r w:rsidR="0021012A" w:rsidRPr="0087437A">
        <w:rPr>
          <w:rFonts w:ascii="Times New Roman" w:eastAsia="Calibri" w:hAnsi="Times New Roman" w:cs="Times New Roman"/>
          <w:b/>
          <w:iCs/>
          <w:sz w:val="24"/>
          <w:szCs w:val="24"/>
        </w:rPr>
        <w:t xml:space="preserve">, dalej jako </w:t>
      </w:r>
      <w:r w:rsidR="00C524AE" w:rsidRPr="0087437A">
        <w:rPr>
          <w:rFonts w:ascii="Times New Roman" w:eastAsia="Calibri" w:hAnsi="Times New Roman" w:cs="Times New Roman"/>
          <w:b/>
          <w:iCs/>
          <w:sz w:val="24"/>
          <w:szCs w:val="24"/>
        </w:rPr>
        <w:t>„</w:t>
      </w:r>
      <w:r w:rsidR="0021012A" w:rsidRPr="0087437A">
        <w:rPr>
          <w:rFonts w:ascii="Times New Roman" w:eastAsia="Calibri" w:hAnsi="Times New Roman" w:cs="Times New Roman"/>
          <w:b/>
          <w:iCs/>
          <w:sz w:val="24"/>
          <w:szCs w:val="24"/>
        </w:rPr>
        <w:t>ustawa COVID-19</w:t>
      </w:r>
      <w:r w:rsidR="00C524AE" w:rsidRPr="0087437A">
        <w:rPr>
          <w:rFonts w:ascii="Times New Roman" w:eastAsia="Calibri" w:hAnsi="Times New Roman" w:cs="Times New Roman"/>
          <w:b/>
          <w:iCs/>
          <w:sz w:val="24"/>
          <w:szCs w:val="24"/>
        </w:rPr>
        <w:t>”</w:t>
      </w:r>
    </w:p>
    <w:p w14:paraId="45D2B632" w14:textId="77777777" w:rsidR="002E0661" w:rsidRPr="0087437A" w:rsidRDefault="002E0661" w:rsidP="0043695F">
      <w:pPr>
        <w:spacing w:after="0" w:line="360" w:lineRule="auto"/>
        <w:jc w:val="both"/>
        <w:rPr>
          <w:rFonts w:ascii="Times New Roman" w:eastAsia="Calibri" w:hAnsi="Times New Roman" w:cs="Times New Roman"/>
          <w:iCs/>
          <w:sz w:val="24"/>
          <w:szCs w:val="24"/>
        </w:rPr>
      </w:pPr>
    </w:p>
    <w:p w14:paraId="3FA478A0" w14:textId="77777777" w:rsidR="000B715D" w:rsidRPr="0087437A" w:rsidRDefault="000B715D" w:rsidP="0043695F">
      <w:pPr>
        <w:spacing w:after="0" w:line="360" w:lineRule="auto"/>
        <w:jc w:val="both"/>
        <w:rPr>
          <w:rFonts w:ascii="Times New Roman" w:eastAsia="Calibri" w:hAnsi="Times New Roman" w:cs="Times New Roman"/>
          <w:iCs/>
          <w:sz w:val="24"/>
          <w:szCs w:val="24"/>
        </w:rPr>
      </w:pPr>
      <w:r w:rsidRPr="0087437A">
        <w:rPr>
          <w:rFonts w:ascii="Times New Roman" w:eastAsia="Calibri" w:hAnsi="Times New Roman" w:cs="Times New Roman"/>
          <w:iCs/>
          <w:sz w:val="24"/>
          <w:szCs w:val="24"/>
        </w:rPr>
        <w:t>Projektowane w art. 1 pkt 1, 2 i 9 niniejszej ustawy zmiany art. 4e, art. 4f i art. 15zzz</w:t>
      </w:r>
      <w:r w:rsidRPr="0087437A">
        <w:rPr>
          <w:rFonts w:ascii="Times New Roman" w:eastAsia="Calibri" w:hAnsi="Times New Roman" w:cs="Times New Roman"/>
          <w:iCs/>
          <w:sz w:val="24"/>
          <w:szCs w:val="24"/>
          <w:vertAlign w:val="superscript"/>
        </w:rPr>
        <w:t>1</w:t>
      </w:r>
      <w:r w:rsidRPr="0087437A">
        <w:rPr>
          <w:rFonts w:ascii="Times New Roman" w:eastAsia="Calibri" w:hAnsi="Times New Roman" w:cs="Times New Roman"/>
          <w:iCs/>
          <w:sz w:val="24"/>
          <w:szCs w:val="24"/>
        </w:rPr>
        <w:t xml:space="preserve"> ustawy COVID</w:t>
      </w:r>
      <w:r w:rsidR="00664CFA" w:rsidRPr="0087437A">
        <w:rPr>
          <w:rFonts w:ascii="Times New Roman" w:eastAsia="Calibri" w:hAnsi="Times New Roman" w:cs="Times New Roman"/>
          <w:iCs/>
          <w:sz w:val="24"/>
          <w:szCs w:val="24"/>
        </w:rPr>
        <w:t>-</w:t>
      </w:r>
      <w:r w:rsidRPr="0087437A">
        <w:rPr>
          <w:rFonts w:ascii="Times New Roman" w:eastAsia="Calibri" w:hAnsi="Times New Roman" w:cs="Times New Roman"/>
          <w:iCs/>
          <w:sz w:val="24"/>
          <w:szCs w:val="24"/>
        </w:rPr>
        <w:t>19, dotyczące uregulowania kwestii wynagrodzenia pracowników instytucjonalnej pieczy zastępczej, o których mowa w ustawie z dnia 9 czerwca 2011 r. o wspieraniu rodziny i systemie pieczy zastępczej (Dz. U. z 2020 r. poz. 821) w przypadku sprawowania opieki nad wychowankami pomimo nałożonej kwarantanny (art. 4e zmienianej ustawy), która odbywa się w tych podmiotach, wprowadzenia „rotacyjnego czasu pracy” dla pracowników instytucjonalnej pieczy zastępczej (art. 4f zmienianej ustawy) oraz tymczasowego przeniesienia pracowników samorządowych do podmiotów instytucjonalnej pieczy zastępczej (art. 15zzz1 zmienianej ustawy), mają na celu zapewnienie ochrony i bezpieczeństwa zarówno pracowników ww. podmiotów, jak i dzieci przebywających w wymienionych placówkach w czasie występowania stanu zagrożenia epidemiologicznego lub stanu epidemii COVID-19, jak również zmniejszyć prawdopodobieństwo braków kadrowych i zagrożeń z tym związanych. Zmiana uprawniająca pracodawcę do zmiany niektórych zasad organizacji pracy ma</w:t>
      </w:r>
      <w:r w:rsidR="00425CB2">
        <w:rPr>
          <w:rFonts w:ascii="Times New Roman" w:eastAsia="Calibri" w:hAnsi="Times New Roman" w:cs="Times New Roman"/>
          <w:iCs/>
          <w:sz w:val="24"/>
          <w:szCs w:val="24"/>
        </w:rPr>
        <w:t xml:space="preserve"> </w:t>
      </w:r>
      <w:r w:rsidRPr="0087437A">
        <w:rPr>
          <w:rFonts w:ascii="Times New Roman" w:eastAsia="Calibri" w:hAnsi="Times New Roman" w:cs="Times New Roman"/>
          <w:iCs/>
          <w:sz w:val="24"/>
          <w:szCs w:val="24"/>
        </w:rPr>
        <w:t>zagwarantować odpowiednią jakość i ciągłość opieki nad wychowankami instytucjonalnej pieczy zastępczej, a także zapewnić wsparcie i pomoc ich opiekunom w okresie trwania wymienionego stanu epidemicznego.</w:t>
      </w:r>
    </w:p>
    <w:p w14:paraId="23B47183" w14:textId="77777777" w:rsidR="00CC6DD0" w:rsidRPr="0087437A" w:rsidRDefault="00CC6DD0" w:rsidP="00CC6DD0">
      <w:pPr>
        <w:suppressAutoHyphens/>
        <w:autoSpaceDE w:val="0"/>
        <w:autoSpaceDN w:val="0"/>
        <w:adjustRightInd w:val="0"/>
        <w:spacing w:before="120" w:line="360" w:lineRule="auto"/>
        <w:ind w:firstLine="510"/>
        <w:jc w:val="both"/>
        <w:rPr>
          <w:rFonts w:ascii="Times New Roman" w:hAnsi="Times New Roman" w:cs="Times New Roman"/>
          <w:bCs/>
          <w:sz w:val="24"/>
          <w:szCs w:val="24"/>
        </w:rPr>
      </w:pPr>
      <w:r w:rsidRPr="0087437A">
        <w:rPr>
          <w:rFonts w:ascii="Times New Roman" w:hAnsi="Times New Roman" w:cs="Times New Roman"/>
          <w:bCs/>
          <w:sz w:val="24"/>
          <w:szCs w:val="24"/>
        </w:rPr>
        <w:lastRenderedPageBreak/>
        <w:t xml:space="preserve">W art. 1 pkt 3 projektu ustawy zaproponowano zmianę brzmienia art. 15a </w:t>
      </w:r>
      <w:r w:rsidRPr="0087437A">
        <w:rPr>
          <w:rFonts w:ascii="Times New Roman" w:hAnsi="Times New Roman" w:cs="Times New Roman"/>
          <w:sz w:val="24"/>
          <w:szCs w:val="24"/>
        </w:rPr>
        <w:t xml:space="preserve">ustawy COVID-19, </w:t>
      </w:r>
      <w:r w:rsidRPr="0087437A">
        <w:rPr>
          <w:rFonts w:ascii="Times New Roman" w:hAnsi="Times New Roman" w:cs="Times New Roman"/>
          <w:bCs/>
          <w:sz w:val="24"/>
          <w:szCs w:val="24"/>
        </w:rPr>
        <w:t>umożliwiającą pracodawcy będącemu zakładem aktywności zawodowej ubieganie się o refundację kosztów płacy niepełnosprawnego pracownika. Zaproponowana zmiana umożliwi otrzymanie refundacji zarówno wynagrodzenia, jak i należnych składek oraz podatków. Zmiany mają na celu:</w:t>
      </w:r>
    </w:p>
    <w:p w14:paraId="5C736AD5" w14:textId="77777777" w:rsidR="00CC6DD0" w:rsidRPr="0087437A" w:rsidRDefault="00CC6DD0" w:rsidP="00CC6DD0">
      <w:pPr>
        <w:suppressAutoHyphens/>
        <w:autoSpaceDE w:val="0"/>
        <w:autoSpaceDN w:val="0"/>
        <w:adjustRightInd w:val="0"/>
        <w:spacing w:before="120" w:line="360" w:lineRule="auto"/>
        <w:ind w:firstLine="510"/>
        <w:jc w:val="both"/>
        <w:rPr>
          <w:rFonts w:ascii="Times New Roman" w:hAnsi="Times New Roman" w:cs="Times New Roman"/>
          <w:bCs/>
          <w:sz w:val="24"/>
          <w:szCs w:val="24"/>
        </w:rPr>
      </w:pPr>
      <w:r w:rsidRPr="0087437A">
        <w:rPr>
          <w:rFonts w:ascii="Times New Roman" w:hAnsi="Times New Roman" w:cs="Times New Roman"/>
          <w:bCs/>
          <w:sz w:val="24"/>
          <w:szCs w:val="24"/>
        </w:rPr>
        <w:t>– umożliwienie pracodawcy ubiegania się o rekompensatę kosztów płacy niepełnosprawnego pracownika (dotychczas rekompensata dotyczyła wyłącznie wynagrodzenia niepełnosprawnego pracownika),</w:t>
      </w:r>
    </w:p>
    <w:p w14:paraId="52D648B7" w14:textId="77777777" w:rsidR="00CC6DD0" w:rsidRPr="0087437A" w:rsidRDefault="00CC6DD0" w:rsidP="00CC6DD0">
      <w:pPr>
        <w:suppressAutoHyphens/>
        <w:autoSpaceDE w:val="0"/>
        <w:autoSpaceDN w:val="0"/>
        <w:adjustRightInd w:val="0"/>
        <w:spacing w:before="120" w:line="360" w:lineRule="auto"/>
        <w:ind w:firstLine="510"/>
        <w:jc w:val="both"/>
        <w:rPr>
          <w:rFonts w:ascii="Times New Roman" w:hAnsi="Times New Roman" w:cs="Times New Roman"/>
          <w:bCs/>
          <w:sz w:val="24"/>
          <w:szCs w:val="24"/>
        </w:rPr>
      </w:pPr>
      <w:r w:rsidRPr="0087437A">
        <w:rPr>
          <w:rFonts w:ascii="Times New Roman" w:hAnsi="Times New Roman" w:cs="Times New Roman"/>
          <w:bCs/>
          <w:sz w:val="24"/>
          <w:szCs w:val="24"/>
        </w:rPr>
        <w:t>– doprecyzowanie sposobu obliczania przez pracodawcę proporcji liczby dni przestoju oraz spadku przychodu z działalności wytwórczej lub usługowej,</w:t>
      </w:r>
    </w:p>
    <w:p w14:paraId="01B07E6F" w14:textId="77777777" w:rsidR="00CC6DD0" w:rsidRPr="0087437A" w:rsidRDefault="00CC6DD0" w:rsidP="00CC6DD0">
      <w:pPr>
        <w:suppressAutoHyphens/>
        <w:autoSpaceDE w:val="0"/>
        <w:autoSpaceDN w:val="0"/>
        <w:adjustRightInd w:val="0"/>
        <w:spacing w:before="120" w:line="360" w:lineRule="auto"/>
        <w:ind w:firstLine="510"/>
        <w:jc w:val="both"/>
        <w:rPr>
          <w:rFonts w:ascii="Times New Roman" w:hAnsi="Times New Roman" w:cs="Times New Roman"/>
          <w:bCs/>
          <w:sz w:val="24"/>
          <w:szCs w:val="24"/>
        </w:rPr>
      </w:pPr>
      <w:r w:rsidRPr="0087437A">
        <w:rPr>
          <w:rFonts w:ascii="Times New Roman" w:hAnsi="Times New Roman" w:cs="Times New Roman"/>
          <w:bCs/>
          <w:sz w:val="24"/>
          <w:szCs w:val="24"/>
        </w:rPr>
        <w:t>– zmianę katalogu dokumentów potwierdzających spadek przychodów z działalności wytwórczej lub usługowej (zamiast dokumentów poświadczających spadek przychodów z działalności wprowadzono obowiązek składania przez pracodawcę oświadczenia, pod groźbą</w:t>
      </w:r>
      <w:r w:rsidR="00425CB2">
        <w:rPr>
          <w:rFonts w:ascii="Times New Roman" w:hAnsi="Times New Roman" w:cs="Times New Roman"/>
          <w:bCs/>
          <w:sz w:val="24"/>
          <w:szCs w:val="24"/>
        </w:rPr>
        <w:t xml:space="preserve"> </w:t>
      </w:r>
      <w:r w:rsidRPr="0087437A">
        <w:rPr>
          <w:rFonts w:ascii="Times New Roman" w:hAnsi="Times New Roman" w:cs="Times New Roman"/>
          <w:bCs/>
          <w:sz w:val="24"/>
          <w:szCs w:val="24"/>
        </w:rPr>
        <w:t>odpowiedzialności karnej za składanie fałszywych oświadczeń),</w:t>
      </w:r>
    </w:p>
    <w:p w14:paraId="6AEF15A7" w14:textId="77777777" w:rsidR="00CC6DD0" w:rsidRPr="0087437A" w:rsidRDefault="00CC6DD0" w:rsidP="00CC6DD0">
      <w:pPr>
        <w:suppressAutoHyphens/>
        <w:autoSpaceDE w:val="0"/>
        <w:autoSpaceDN w:val="0"/>
        <w:adjustRightInd w:val="0"/>
        <w:spacing w:before="120" w:line="360" w:lineRule="auto"/>
        <w:ind w:firstLine="510"/>
        <w:jc w:val="both"/>
        <w:rPr>
          <w:rFonts w:ascii="Times New Roman" w:hAnsi="Times New Roman" w:cs="Times New Roman"/>
          <w:bCs/>
          <w:sz w:val="24"/>
          <w:szCs w:val="24"/>
        </w:rPr>
      </w:pPr>
      <w:r w:rsidRPr="0087437A">
        <w:rPr>
          <w:rFonts w:ascii="Times New Roman" w:hAnsi="Times New Roman" w:cs="Times New Roman"/>
          <w:bCs/>
          <w:sz w:val="24"/>
          <w:szCs w:val="24"/>
        </w:rPr>
        <w:t>– wydłużenie terminu składania przez pracodawcę wniosku o rekompensatę kosztów płacy, w związku z umożliwieniem uzyskania rekompensaty kosztów płacy (zamiast dotychczasowego wynagrodzenia) – do 2 miesięcy, licząc od końca miesiąca, którego dotyczy wniosek.</w:t>
      </w:r>
    </w:p>
    <w:p w14:paraId="711EA3C0" w14:textId="77777777" w:rsidR="00CC6DD0" w:rsidRPr="0087437A" w:rsidRDefault="00CC6DD0" w:rsidP="00CC6DD0">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Zaproponowana w art. 1 w pkt 4 zmiana dotyczy zmiany brzmienia art. 15c ust. 1 ustawy COVID</w:t>
      </w:r>
      <w:r w:rsidR="00EF4B17" w:rsidRPr="0087437A">
        <w:rPr>
          <w:rFonts w:ascii="Times New Roman" w:hAnsi="Times New Roman" w:cs="Times New Roman"/>
          <w:sz w:val="24"/>
          <w:szCs w:val="24"/>
        </w:rPr>
        <w:t>-19</w:t>
      </w:r>
      <w:r w:rsidRPr="0087437A">
        <w:rPr>
          <w:rFonts w:ascii="Times New Roman" w:hAnsi="Times New Roman" w:cs="Times New Roman"/>
          <w:sz w:val="24"/>
          <w:szCs w:val="24"/>
        </w:rPr>
        <w:t xml:space="preserve">. Odesłania w nim zawarte stały się bowiem nieaktualne, w związku z poprzednimi zmianami które dotyczyły przepisów wymienionych w art. 15c ust. 1. Przepis art. 15c ust. 1 </w:t>
      </w:r>
      <w:r w:rsidR="003E1F46" w:rsidRPr="0087437A">
        <w:rPr>
          <w:rFonts w:ascii="Times New Roman" w:hAnsi="Times New Roman" w:cs="Times New Roman"/>
          <w:sz w:val="24"/>
          <w:szCs w:val="24"/>
        </w:rPr>
        <w:t xml:space="preserve">ustawy COVID-19 </w:t>
      </w:r>
      <w:r w:rsidRPr="0087437A">
        <w:rPr>
          <w:rFonts w:ascii="Times New Roman" w:hAnsi="Times New Roman" w:cs="Times New Roman"/>
          <w:sz w:val="24"/>
          <w:szCs w:val="24"/>
        </w:rPr>
        <w:t xml:space="preserve">przewiduje możliwość wydania przez wojewodę polecenia podmiotowi prowadzącemu centrum integracji społecznej lub klub integracji społecznej, o których mowa w ustawie z dnia 13 czerwca 2003 r. o zatrudnieniu socjalnym (Dz. U. z 2020 r. poz. 176), zawieszenia zajęć na czas oznaczony, w związku z przeciwdziałaniem COVID-19. Jednocześnie przepis art. 15c ust. 1 </w:t>
      </w:r>
      <w:r w:rsidR="003E7286" w:rsidRPr="0087437A">
        <w:rPr>
          <w:rFonts w:ascii="Times New Roman" w:hAnsi="Times New Roman" w:cs="Times New Roman"/>
          <w:sz w:val="24"/>
          <w:szCs w:val="24"/>
        </w:rPr>
        <w:t>ustawy COVID-19</w:t>
      </w:r>
      <w:r w:rsidRPr="0087437A">
        <w:rPr>
          <w:rFonts w:ascii="Times New Roman" w:hAnsi="Times New Roman" w:cs="Times New Roman"/>
          <w:sz w:val="24"/>
          <w:szCs w:val="24"/>
        </w:rPr>
        <w:t>, w zakresie trybu wydawania tych poleceń odsyła do art. 11 ust. 1 oraz ust. 6-8 tej ustawy.</w:t>
      </w:r>
    </w:p>
    <w:p w14:paraId="3F7CE5E0" w14:textId="77777777" w:rsidR="00CC6DD0" w:rsidRPr="0087437A" w:rsidRDefault="00CC6DD0" w:rsidP="00CC6DD0">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Na skutek nowelizacji ustawy ogłoszonej w Dz. U. poz. 695 zakres odesłania zawarty w art. 15c ust. 1 odpowiadał w istocie art. 11 ust. 1, 4, 9, 10 i 11 (ust. 4 był doregulowaniem ust. 1, a oznaczenie ust. 9, 10 i 11 jest spowodowane zmianą kolejności wcześniejszych ustępów). Obecnie przepis art. 11 utracił moc, ale jednocześnie jego treść została zawarta w </w:t>
      </w:r>
      <w:r w:rsidRPr="0087437A">
        <w:rPr>
          <w:rFonts w:ascii="Times New Roman" w:hAnsi="Times New Roman" w:cs="Times New Roman"/>
          <w:sz w:val="24"/>
          <w:szCs w:val="24"/>
        </w:rPr>
        <w:lastRenderedPageBreak/>
        <w:t>art. 11h dodanego nowelizacją ustawy ogłoszonej w Dz. U. poz. 1747. Przepis ten dokonuje niewielkich zmian w porównaniu do treści zawartej w dotychczasowym art. 11. Obecnie prawidłowym odesłaniem w art. 15c ust. 1 powinno być odniesienie do art. 11h ust. 1, 4, 5, 10-2 (ust. 5 jest dalszym doregulowaniem ust. 1, a oznaczenie ust. 10</w:t>
      </w:r>
      <w:r w:rsidR="003E7286" w:rsidRPr="0087437A">
        <w:rPr>
          <w:rFonts w:ascii="Times New Roman" w:hAnsi="Times New Roman" w:cs="Times New Roman"/>
          <w:sz w:val="24"/>
          <w:szCs w:val="24"/>
        </w:rPr>
        <w:t>–</w:t>
      </w:r>
      <w:r w:rsidRPr="0087437A">
        <w:rPr>
          <w:rFonts w:ascii="Times New Roman" w:hAnsi="Times New Roman" w:cs="Times New Roman"/>
          <w:sz w:val="24"/>
          <w:szCs w:val="24"/>
        </w:rPr>
        <w:t>12 jest spowodowane zmianą kolejności wcześniejszych ustępów).</w:t>
      </w:r>
    </w:p>
    <w:p w14:paraId="358B9639" w14:textId="77777777" w:rsidR="00CC6DD0" w:rsidRPr="0087437A" w:rsidRDefault="00CC6DD0" w:rsidP="00CC6DD0">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Zmiana zaproponowana w art. 1 pkt 4 lit. b pozwoli zabezpieczyć świadczenie integracyjne dla tych uczestników centrów integracji społecznej, którzy objęci zostali kwarantanną lub izolacją w warunkach domowych. Rozwiązania funkcjonujące do tej pory w ustawie o zatrudnieniu socjalnym umożliwiają wypłatę świadczenia integracyjnego w niepełnej wysokości w przypadku okoliczności uniemożliwiających udział w zajęciach takich jak: choroba czy usprawiedliwiona nieobecność. Skierowanie na kwarantannę lub izolację w warunkach domowych ma charakter szczególny i niezależny od woli uczestnika, a świadczenie integracyjne jest często jedynym źródłem jego przychodu. Pozbawienie go tych środków mogłoby mieć negatywny wpływ na pozostawanie przez osobę objętą kwarantanną w miejscu zamieszkania. Świadczenie integracyjne będzie wypłacane w dotychczasowej wysokości dla uprawnionych uczestników przez czas objęcia ich obowiązkową kwarantanną lub izolacją w warunkach domowych. Projektowane rozwiązanie nie generuje więc dodatkowych kosztów dla Funduszu Pracy w tym zakresie.</w:t>
      </w:r>
    </w:p>
    <w:p w14:paraId="470EC600" w14:textId="1B46D046" w:rsidR="00CC6DD0" w:rsidRPr="0087437A" w:rsidRDefault="00CC6DD0" w:rsidP="00CC6DD0">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W związku z panującą w kraju sytuacją, która wiąże się z zawieszaniem na czas oznaczony przez wojewodów zajęć w centrach integracji społecznej na terenie całych województw uzasadnione jest wprowadzenie zmiany przewidzianej w art. 1 pkt 4 lit. c projektu. Zgodnie z propozycją, w przypadku zawieszenia zajęć w centrum integracji społecznej trwającego łącznie dłużej niż 3 miesiące, kierownik jednostki może przedłużyć okres uczestnictwa w zajęciach o okres tego zawieszenia. Będzie mógł to uczynić na wniosek lub po zasięgnięciu opinii pracownika socjalnego zatrudnionego w centrum integracji społecznej w zakresie konieczności dalszej realizacji indywidualnego programu zatrudnienia socjalnego. Proponowany przepis wskazuje także, że za przedłużony okres uczestnictwa przysługuje świadczenie integracyjne na zasadach określonych w art. 15 ust. 4 – 7a ustawy z dnia 13 czerwca 2003 r. o zatrudnieniu socjalnym oraz art. 15c ust. 3 ustawy zmienianej w art. 1. Ponadto w art. </w:t>
      </w:r>
      <w:r w:rsidR="004C6AB3">
        <w:rPr>
          <w:rFonts w:ascii="Times New Roman" w:hAnsi="Times New Roman" w:cs="Times New Roman"/>
          <w:sz w:val="24"/>
          <w:szCs w:val="24"/>
        </w:rPr>
        <w:t>13</w:t>
      </w:r>
      <w:r w:rsidR="004C6AB3" w:rsidRPr="0087437A">
        <w:rPr>
          <w:rFonts w:ascii="Times New Roman" w:hAnsi="Times New Roman" w:cs="Times New Roman"/>
          <w:sz w:val="24"/>
          <w:szCs w:val="24"/>
        </w:rPr>
        <w:t xml:space="preserve"> </w:t>
      </w:r>
      <w:r w:rsidRPr="0087437A">
        <w:rPr>
          <w:rFonts w:ascii="Times New Roman" w:hAnsi="Times New Roman" w:cs="Times New Roman"/>
          <w:sz w:val="24"/>
          <w:szCs w:val="24"/>
        </w:rPr>
        <w:t xml:space="preserve">projektu przewidziano, że do łącznego okresu przedłużenia wlicza się okresy zawieszenia zajęć, które nastąpiły przed wejściem w życie projektowanej ustawy. </w:t>
      </w:r>
    </w:p>
    <w:p w14:paraId="1CCEB7CF" w14:textId="77777777" w:rsidR="00D857D4" w:rsidRPr="0087437A" w:rsidRDefault="00D857D4" w:rsidP="0043695F">
      <w:pPr>
        <w:spacing w:after="0" w:line="360" w:lineRule="auto"/>
        <w:jc w:val="both"/>
        <w:rPr>
          <w:rFonts w:ascii="Times New Roman" w:eastAsia="Calibri" w:hAnsi="Times New Roman" w:cs="Times New Roman"/>
          <w:iCs/>
          <w:sz w:val="24"/>
          <w:szCs w:val="24"/>
        </w:rPr>
      </w:pPr>
      <w:r w:rsidRPr="0087437A">
        <w:rPr>
          <w:rFonts w:ascii="Times New Roman" w:eastAsia="Calibri" w:hAnsi="Times New Roman" w:cs="Times New Roman"/>
          <w:iCs/>
          <w:sz w:val="24"/>
          <w:szCs w:val="24"/>
        </w:rPr>
        <w:t>Proponowana zmiana art. 15x ust. 2 ustawy</w:t>
      </w:r>
      <w:r w:rsidR="00C524AE" w:rsidRPr="0087437A">
        <w:rPr>
          <w:rFonts w:ascii="Times New Roman" w:eastAsia="Calibri" w:hAnsi="Times New Roman" w:cs="Times New Roman"/>
          <w:iCs/>
          <w:sz w:val="24"/>
          <w:szCs w:val="24"/>
        </w:rPr>
        <w:t xml:space="preserve"> </w:t>
      </w:r>
      <w:r w:rsidR="002E0661" w:rsidRPr="0087437A">
        <w:rPr>
          <w:rFonts w:ascii="Times New Roman" w:eastAsia="Calibri" w:hAnsi="Times New Roman" w:cs="Times New Roman"/>
          <w:iCs/>
          <w:sz w:val="24"/>
          <w:szCs w:val="24"/>
        </w:rPr>
        <w:t xml:space="preserve">COVID-19, innych chorób zakaźnych oraz wywołanych nimi sytuacji kryzysowych </w:t>
      </w:r>
      <w:r w:rsidRPr="0087437A">
        <w:rPr>
          <w:rFonts w:ascii="Times New Roman" w:eastAsia="Calibri" w:hAnsi="Times New Roman" w:cs="Times New Roman"/>
          <w:iCs/>
          <w:sz w:val="24"/>
          <w:szCs w:val="24"/>
        </w:rPr>
        <w:t xml:space="preserve">wynika z konieczności jednoznacznego wskazania, że przedsiębiorstwami, które mogą w sytuacji kryzysowej zastosować art. 15x ust. 1 ww. ustawy są także przedsiębiorstwa energetyczne wytwarzające ciepło oraz przesyłające lub dystrybuujące ciepło (analogicznie jak przedsiębiorstwa prowadzące działalność polegającą na zapewnieniu funkcjonowania systemów i obiektów infrastruktury krytycznej oraz sieci przesyłowych lub dystrybucyjnych w rozumieniu ustawy </w:t>
      </w:r>
      <w:r w:rsidR="002E0661" w:rsidRPr="0087437A">
        <w:rPr>
          <w:rFonts w:ascii="Times New Roman" w:eastAsia="Calibri" w:hAnsi="Times New Roman" w:cs="Times New Roman"/>
          <w:iCs/>
          <w:sz w:val="24"/>
          <w:szCs w:val="24"/>
        </w:rPr>
        <w:t>–</w:t>
      </w:r>
      <w:r w:rsidRPr="0087437A">
        <w:rPr>
          <w:rFonts w:ascii="Times New Roman" w:eastAsia="Calibri" w:hAnsi="Times New Roman" w:cs="Times New Roman"/>
          <w:iCs/>
          <w:sz w:val="24"/>
          <w:szCs w:val="24"/>
        </w:rPr>
        <w:t xml:space="preserve"> Prawo energetyczne).</w:t>
      </w:r>
    </w:p>
    <w:p w14:paraId="416E3074" w14:textId="77777777" w:rsidR="00D857D4" w:rsidRPr="0087437A" w:rsidRDefault="00D857D4" w:rsidP="0043695F">
      <w:pPr>
        <w:spacing w:after="0" w:line="360" w:lineRule="auto"/>
        <w:jc w:val="both"/>
        <w:rPr>
          <w:rFonts w:ascii="Times New Roman" w:eastAsia="Calibri" w:hAnsi="Times New Roman" w:cs="Times New Roman"/>
          <w:iCs/>
          <w:sz w:val="24"/>
          <w:szCs w:val="24"/>
        </w:rPr>
      </w:pPr>
      <w:r w:rsidRPr="0087437A">
        <w:rPr>
          <w:rFonts w:ascii="Times New Roman" w:eastAsia="Calibri" w:hAnsi="Times New Roman" w:cs="Times New Roman"/>
          <w:iCs/>
          <w:sz w:val="24"/>
          <w:szCs w:val="24"/>
        </w:rPr>
        <w:t xml:space="preserve">Powodem zaproponowanej zmiany są wątpliwości zgłaszane przez przedsiębiorstwa energetyczne, prowadzące działalność gospodarczą w zakresie dostawy ciepła. </w:t>
      </w:r>
    </w:p>
    <w:p w14:paraId="3B45AB15" w14:textId="77777777" w:rsidR="00D857D4" w:rsidRPr="0087437A" w:rsidRDefault="00D857D4" w:rsidP="0043695F">
      <w:pPr>
        <w:spacing w:after="0" w:line="360" w:lineRule="auto"/>
        <w:jc w:val="both"/>
        <w:rPr>
          <w:rFonts w:ascii="Times New Roman" w:eastAsia="Calibri" w:hAnsi="Times New Roman" w:cs="Times New Roman"/>
          <w:iCs/>
          <w:sz w:val="24"/>
          <w:szCs w:val="24"/>
        </w:rPr>
      </w:pPr>
      <w:r w:rsidRPr="0087437A">
        <w:rPr>
          <w:rFonts w:ascii="Times New Roman" w:eastAsia="Calibri" w:hAnsi="Times New Roman" w:cs="Times New Roman"/>
          <w:iCs/>
          <w:sz w:val="24"/>
          <w:szCs w:val="24"/>
        </w:rPr>
        <w:t>Mając na uwadze znaczenie nieprzerwanych dostaw ciepła do mieszkańców i instytucji publicznych, w tym szpitali i przychodni zdrowia, rozszerzenie przepisu o przedsiębiorstwa prowadzące działalność w tym zakresie, należy uznać za bardzo istotne dla bezpieczeństwa publicznego.</w:t>
      </w:r>
    </w:p>
    <w:p w14:paraId="7AC10F67" w14:textId="77777777" w:rsidR="00285F7D" w:rsidRPr="0087437A" w:rsidRDefault="00285F7D" w:rsidP="0043695F">
      <w:pPr>
        <w:spacing w:after="0" w:line="360" w:lineRule="auto"/>
        <w:jc w:val="both"/>
        <w:rPr>
          <w:rFonts w:ascii="Times New Roman" w:hAnsi="Times New Roman" w:cs="Times New Roman"/>
          <w:sz w:val="24"/>
          <w:szCs w:val="24"/>
        </w:rPr>
      </w:pPr>
    </w:p>
    <w:p w14:paraId="5B78ED42" w14:textId="77777777" w:rsidR="00CA6302" w:rsidRPr="0087437A" w:rsidRDefault="00285F7D"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b/>
          <w:sz w:val="24"/>
          <w:szCs w:val="24"/>
        </w:rPr>
        <w:t>Zmiana dotycząca art. 15zt.</w:t>
      </w:r>
      <w:r w:rsidRPr="0087437A">
        <w:rPr>
          <w:rFonts w:ascii="Times New Roman" w:hAnsi="Times New Roman" w:cs="Times New Roman"/>
          <w:sz w:val="24"/>
          <w:szCs w:val="24"/>
        </w:rPr>
        <w:t xml:space="preserve"> </w:t>
      </w:r>
      <w:r w:rsidR="00CA6302" w:rsidRPr="0087437A">
        <w:rPr>
          <w:rFonts w:ascii="Times New Roman" w:hAnsi="Times New Roman" w:cs="Times New Roman"/>
          <w:sz w:val="24"/>
          <w:szCs w:val="24"/>
        </w:rPr>
        <w:t xml:space="preserve">W swoim dotychczasowym brzmieniu przepis art. 15zt ust. 1 </w:t>
      </w:r>
      <w:r w:rsidR="00781E8D" w:rsidRPr="0087437A">
        <w:rPr>
          <w:rFonts w:ascii="Times New Roman" w:hAnsi="Times New Roman" w:cs="Times New Roman"/>
          <w:sz w:val="24"/>
          <w:szCs w:val="24"/>
        </w:rPr>
        <w:t xml:space="preserve">ustawy COVID-19 </w:t>
      </w:r>
      <w:r w:rsidR="00CA6302" w:rsidRPr="0087437A">
        <w:rPr>
          <w:rFonts w:ascii="Times New Roman" w:hAnsi="Times New Roman" w:cs="Times New Roman"/>
          <w:sz w:val="24"/>
          <w:szCs w:val="24"/>
        </w:rPr>
        <w:t>zawęża krąg osób, którym przysługiwać będzie mogło świadczenie postojowe wydawane na podstawie ewentualnego rozporządzenia Rady Ministrów, do osób, które już w przeszłości otrzymały to świadczenie. Oznacza to, że osoby, które dotąd nie spełniały ogólnych kryteriów z art. 15zq (np. ze względu na założenie działalności gospodarczej po 1 kwietnia 2020 r.) i w konsekwencji – nie otrzymały dotąd wsparcia, nie będą mogły skorzystać z takiego świadczenia, nawet jeżeli w myśl warunków określonych w tym rozporządzeniu będą się do niego teoretycznie kwalifikowały. Poprawka ma na celu wyeliminowanie tego problemu poprzez wskazanie, że świadczenie może być przyznane także osobom, które dotąd nie skorzystały ze świadczenia postojowego; będą one natomiast oczywiście musiały spełnić warunki wyszczególnione w rozporządzeniu.</w:t>
      </w:r>
    </w:p>
    <w:p w14:paraId="4932ED25" w14:textId="77777777" w:rsidR="00CA6302" w:rsidRPr="0087437A" w:rsidRDefault="00CA6302" w:rsidP="0043695F">
      <w:pPr>
        <w:spacing w:after="0" w:line="360" w:lineRule="auto"/>
        <w:jc w:val="both"/>
        <w:rPr>
          <w:rFonts w:ascii="Times New Roman" w:eastAsia="Calibri" w:hAnsi="Times New Roman" w:cs="Times New Roman"/>
          <w:iCs/>
          <w:sz w:val="24"/>
          <w:szCs w:val="24"/>
        </w:rPr>
      </w:pPr>
    </w:p>
    <w:p w14:paraId="41C07B0F" w14:textId="77777777" w:rsidR="007B5895" w:rsidRPr="0087437A" w:rsidRDefault="007B5895" w:rsidP="007B5895">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W art. 1 pkt </w:t>
      </w:r>
      <w:r w:rsidR="006429EA" w:rsidRPr="0087437A">
        <w:rPr>
          <w:rFonts w:ascii="Times New Roman" w:hAnsi="Times New Roman" w:cs="Times New Roman"/>
          <w:sz w:val="24"/>
          <w:szCs w:val="24"/>
        </w:rPr>
        <w:t>7</w:t>
      </w:r>
      <w:r w:rsidRPr="0087437A">
        <w:rPr>
          <w:rFonts w:ascii="Times New Roman" w:hAnsi="Times New Roman" w:cs="Times New Roman"/>
          <w:sz w:val="24"/>
          <w:szCs w:val="24"/>
        </w:rPr>
        <w:t xml:space="preserve"> zaproponowana zmiana dotyczy art. 15zzf</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ustawy </w:t>
      </w:r>
      <w:r w:rsidR="006429EA" w:rsidRPr="0087437A">
        <w:rPr>
          <w:rFonts w:ascii="Times New Roman" w:hAnsi="Times New Roman" w:cs="Times New Roman"/>
          <w:sz w:val="24"/>
          <w:szCs w:val="24"/>
        </w:rPr>
        <w:t>COVID-19</w:t>
      </w:r>
      <w:r w:rsidRPr="0087437A">
        <w:rPr>
          <w:rFonts w:ascii="Times New Roman" w:hAnsi="Times New Roman" w:cs="Times New Roman"/>
          <w:sz w:val="24"/>
          <w:szCs w:val="24"/>
        </w:rPr>
        <w:t>.</w:t>
      </w:r>
      <w:r w:rsidRPr="0087437A">
        <w:rPr>
          <w:rFonts w:ascii="Times New Roman" w:hAnsi="Times New Roman" w:cs="Times New Roman"/>
          <w:bCs/>
          <w:sz w:val="24"/>
          <w:szCs w:val="24"/>
        </w:rPr>
        <w:t xml:space="preserve"> </w:t>
      </w:r>
      <w:r w:rsidRPr="0087437A">
        <w:rPr>
          <w:rFonts w:ascii="Times New Roman" w:hAnsi="Times New Roman" w:cs="Times New Roman"/>
          <w:sz w:val="24"/>
          <w:szCs w:val="24"/>
        </w:rPr>
        <w:t>W porównaniu do dotychczasowego brzmienia, rozszerza się zakres zadań (o art. 35 ust. 1 pkt 5, art. 35a ust. 1 pkt 7 ustawy o rehabilitacji zawodowej i społecznej oraz zatrudnianiu osób niepełnosprawnych) w odniesieniu do których, w zakresie niezbędnym do niwelowania i ograniczenia negatywnych skutków COVID-19, organy i podmioty powołane do zawierania umów mogą, na wniosek strony lub za jej zgodą, w drodze aneksu do zawartej umowy, zmienić jej warunki, w tym w szczególności wydłużyć termin na jej realizację lub przesunąć termin na realizację zobowiązań z niej wynikających.</w:t>
      </w:r>
    </w:p>
    <w:p w14:paraId="103DC764" w14:textId="77777777" w:rsidR="007B5895" w:rsidRPr="0087437A" w:rsidRDefault="007B5895" w:rsidP="007B5895">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Przepis art. 35 ust. 1 pkt 5 ustawy o rehabilitacji zawodowej i społecznej oraz zatrudnianiu osób niepełnosprawnych określa zadania samorządu województwa polegające na</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dofinansowaniu robót budowlanych w rozumieniu przepisów ustawy z dnia 7 lipca 1994 r. – Prawo budowlane (Dz. U. z 2020 r. poz. 1333, z późn. zm.) dotyczących obiektów służących rehabilitacji, w związku z potrzebami osób niepełnosprawnych, z wyjątkiem</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 xml:space="preserve">rozbiórki tych obiektów. </w:t>
      </w:r>
    </w:p>
    <w:p w14:paraId="2D17121C" w14:textId="77777777" w:rsidR="007B5895" w:rsidRPr="0087437A" w:rsidRDefault="007B5895" w:rsidP="007B5895">
      <w:pPr>
        <w:spacing w:after="0" w:line="360" w:lineRule="auto"/>
        <w:jc w:val="both"/>
        <w:rPr>
          <w:rFonts w:ascii="Times New Roman" w:eastAsia="Times New Roman" w:hAnsi="Times New Roman" w:cs="Times New Roman"/>
          <w:sz w:val="24"/>
          <w:szCs w:val="24"/>
          <w:lang w:eastAsia="pl-PL"/>
        </w:rPr>
      </w:pPr>
      <w:r w:rsidRPr="0087437A">
        <w:rPr>
          <w:rFonts w:ascii="Times New Roman" w:hAnsi="Times New Roman" w:cs="Times New Roman"/>
          <w:sz w:val="24"/>
          <w:szCs w:val="24"/>
        </w:rPr>
        <w:t xml:space="preserve">Natomiast przepis art. 35a ust. 1 pkt 7 ustawy o rehabilitacji zawodowej i społecznej oraz zatrudnianiu osób niepełnosprawnych) określa zadania samorządu powiatu m. in. Na dofinansowanie </w:t>
      </w:r>
      <w:r w:rsidRPr="0087437A">
        <w:rPr>
          <w:rFonts w:ascii="Times New Roman" w:eastAsia="Times New Roman" w:hAnsi="Times New Roman" w:cs="Times New Roman"/>
          <w:sz w:val="24"/>
          <w:szCs w:val="24"/>
          <w:lang w:eastAsia="pl-PL"/>
        </w:rPr>
        <w:t>likwidacji barier architektonicznych, czy też w komunikowaniu się i technicznych, w związku z indywidualnymi potrzebami osób niepełnosprawnych.</w:t>
      </w:r>
    </w:p>
    <w:p w14:paraId="691E7A49" w14:textId="77777777" w:rsidR="007B5895" w:rsidRPr="0087437A" w:rsidRDefault="007B5895" w:rsidP="007B5895">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Zadania te dofinansowywane są ze środków Państwowego Funduszu Rehabilitacji Osób Niepełnosprawnych.</w:t>
      </w:r>
    </w:p>
    <w:p w14:paraId="5146329D" w14:textId="77777777" w:rsidR="007B5895" w:rsidRPr="0087437A" w:rsidRDefault="007B5895" w:rsidP="007B5895">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Środki PFRON powinny zostać wykorzystane w danym roku budżetowym, zgodnie z zawieranymi umowami.</w:t>
      </w:r>
    </w:p>
    <w:p w14:paraId="0D1080B0" w14:textId="77777777" w:rsidR="007B5895" w:rsidRPr="0087437A" w:rsidRDefault="007B5895" w:rsidP="007B5895">
      <w:pPr>
        <w:autoSpaceDE w:val="0"/>
        <w:autoSpaceDN w:val="0"/>
        <w:adjustRightInd w:val="0"/>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W związku z obecną sytuacją epidemiczną w kraju i związanymi z tym problemami w zakresie terminowego wykonania zakresu przedsięwzięcia określonego w umowie, istnieje realne zagrożenie związane z terminową realizacją zadań oraz możliwością wykorzystania środków PFRON w danym roku budżetowym. W związku z powyższym zasadne jest uregulowanie kwestii związanych z możliwością przesunięcia (dokończenia) realizacji umowy oraz rozliczenia przekazanego dofinansowania w roku 2021 (dodanie ust. 2 w art. 15zzf</w:t>
      </w:r>
      <w:r w:rsidRPr="0087437A">
        <w:rPr>
          <w:rFonts w:ascii="Times New Roman" w:hAnsi="Times New Roman" w:cs="Times New Roman"/>
          <w:sz w:val="24"/>
          <w:szCs w:val="24"/>
          <w:vertAlign w:val="superscript"/>
        </w:rPr>
        <w:t>1</w:t>
      </w:r>
      <w:r w:rsidR="00425CB2">
        <w:rPr>
          <w:rFonts w:ascii="Times New Roman" w:hAnsi="Times New Roman" w:cs="Times New Roman"/>
          <w:sz w:val="24"/>
          <w:szCs w:val="24"/>
        </w:rPr>
        <w:t xml:space="preserve">). </w:t>
      </w:r>
    </w:p>
    <w:p w14:paraId="4D2596A2" w14:textId="77777777" w:rsidR="007B5895" w:rsidRPr="0087437A" w:rsidRDefault="007B5895" w:rsidP="0043695F">
      <w:pPr>
        <w:autoSpaceDE w:val="0"/>
        <w:autoSpaceDN w:val="0"/>
        <w:adjustRightInd w:val="0"/>
        <w:spacing w:after="0" w:line="360" w:lineRule="auto"/>
        <w:jc w:val="both"/>
        <w:rPr>
          <w:rFonts w:ascii="Times New Roman" w:hAnsi="Times New Roman" w:cs="Times New Roman"/>
          <w:sz w:val="24"/>
          <w:szCs w:val="24"/>
        </w:rPr>
      </w:pPr>
    </w:p>
    <w:p w14:paraId="3610B59F" w14:textId="77777777" w:rsidR="00A94A60" w:rsidRPr="0087437A" w:rsidRDefault="00754F16" w:rsidP="0043695F">
      <w:pPr>
        <w:autoSpaceDE w:val="0"/>
        <w:autoSpaceDN w:val="0"/>
        <w:adjustRightInd w:val="0"/>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W art. 1 pkt 8 zaproponowana zmiana dotyczy </w:t>
      </w:r>
      <w:r w:rsidR="00726B7C" w:rsidRPr="0087437A">
        <w:rPr>
          <w:rFonts w:ascii="Times New Roman" w:hAnsi="Times New Roman" w:cs="Times New Roman"/>
          <w:b/>
          <w:sz w:val="24"/>
          <w:szCs w:val="24"/>
        </w:rPr>
        <w:t>art. 15zzu ustawy COVID-19.</w:t>
      </w:r>
      <w:r w:rsidR="00726B7C" w:rsidRPr="0087437A">
        <w:rPr>
          <w:rFonts w:ascii="Times New Roman" w:hAnsi="Times New Roman" w:cs="Times New Roman"/>
          <w:sz w:val="24"/>
          <w:szCs w:val="24"/>
        </w:rPr>
        <w:t xml:space="preserve"> </w:t>
      </w:r>
      <w:r w:rsidR="00A94A60" w:rsidRPr="0087437A">
        <w:rPr>
          <w:rFonts w:ascii="Times New Roman" w:hAnsi="Times New Roman" w:cs="Times New Roman"/>
          <w:sz w:val="24"/>
          <w:szCs w:val="24"/>
        </w:rPr>
        <w:t>Obowiązujący stan wstrzymania wykonania tytułu wykonawczego nakazującego opróżnienie lokalu mieszkalnego (art. 15zzu ustawy</w:t>
      </w:r>
      <w:r w:rsidR="00726B7C" w:rsidRPr="0087437A">
        <w:rPr>
          <w:rFonts w:ascii="Times New Roman" w:hAnsi="Times New Roman" w:cs="Times New Roman"/>
          <w:sz w:val="24"/>
          <w:szCs w:val="24"/>
        </w:rPr>
        <w:t xml:space="preserve"> COVID-19</w:t>
      </w:r>
      <w:r w:rsidR="00A94A60" w:rsidRPr="0087437A">
        <w:rPr>
          <w:rFonts w:ascii="Times New Roman" w:hAnsi="Times New Roman" w:cs="Times New Roman"/>
          <w:sz w:val="24"/>
          <w:szCs w:val="24"/>
        </w:rPr>
        <w:t>), w sytuacji gdy nastąpiło wywłaszczenie lub przejęcie z mocy prawa nieruchomości celem realizacji inwestycji celu publicznego jest bardzo niekorzystne dla inwestora publicznego, zwłaszcza dla inwestora realizującego wielomilionowe inwestycje, jakim jest GDDKiA</w:t>
      </w:r>
      <w:r w:rsidR="00A94A60" w:rsidRPr="0087437A">
        <w:t xml:space="preserve"> </w:t>
      </w:r>
      <w:r w:rsidR="00A94A60" w:rsidRPr="0087437A">
        <w:rPr>
          <w:rFonts w:ascii="Times New Roman" w:hAnsi="Times New Roman" w:cs="Times New Roman"/>
          <w:sz w:val="24"/>
          <w:szCs w:val="24"/>
        </w:rPr>
        <w:t xml:space="preserve">jak również inwestora kolejowego czy również inwestora realizującego lotnisko użytku publicznego. Zauważyć bowiem należy, że brak opróżnienia lokalu mieszkalnego, którego własność przeszła na stronę publiczną (w przypadku decyzji o zezwoleniu na realizację inwestycji drogowej przejęcie następuje z mocy prawa) w znaczący sposób utrudnia realizację inwestycji. Należy podkreślić, iż w przypadku inwestycji liniowych, do których należą inwestycje drogowe jak również kolejowe, brak wydania jednej nieruchomości jest równoznaczny z brakiem możliwości realizacji inwestycji na tym obszarze, co zwykle przekłada się na brak możliwości realizacji inwestycji na danym odcinku. Aktualnie w przypadku co najmniej jednej inwestycji drogowej realizowanej przez GDDKiA, dla której została wydana decyzja o zezwoleniu na realizację inwestycji drogowej jeden właściciel nieruchomości (przy czym inwestycja jest wielokilometrowa) sprzeciwia się jej wydaniu i konieczne jest wszczęcie postępowania egzekucyjnego. Z uwagi na fakt, że decyzje inwestycyjne dotyczące inwestycji przeciwpowodziowych także pozwalają opróżnić lokal mieszkalny w przypadku lokalizacji inwestycji na określonym terenie, zasadne jest także do tego rodzaju inwestycji wprowadzenie zaproponowanego wyłączenia. W związku z powyższym proponuje się zmianę obowiązującego art. 15zzu ust. 2 ustawy wprowadzenie dodatkowego wyjątku od ogólnej zasady wstrzymującej wykonanie wszelkich tytułów wykonawczych nakazujących opróżnienie lokalu mieszkalnego. </w:t>
      </w:r>
    </w:p>
    <w:p w14:paraId="3A145666" w14:textId="77777777" w:rsidR="00BA4753" w:rsidRPr="0087437A" w:rsidRDefault="00BA4753" w:rsidP="0043695F">
      <w:pPr>
        <w:spacing w:after="0" w:line="360" w:lineRule="auto"/>
        <w:jc w:val="both"/>
        <w:rPr>
          <w:rFonts w:ascii="Times New Roman" w:eastAsia="Calibri" w:hAnsi="Times New Roman" w:cs="Times New Roman"/>
          <w:sz w:val="24"/>
          <w:szCs w:val="24"/>
        </w:rPr>
      </w:pPr>
    </w:p>
    <w:p w14:paraId="39436564" w14:textId="4853C613"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Celem regulacji zawartej w art. 15zzzca ustawy</w:t>
      </w:r>
      <w:r w:rsidR="00DE03A8" w:rsidRPr="0087437A">
        <w:rPr>
          <w:rFonts w:ascii="Times New Roman" w:eastAsia="Calibri" w:hAnsi="Times New Roman" w:cs="Times New Roman"/>
          <w:sz w:val="24"/>
          <w:szCs w:val="24"/>
        </w:rPr>
        <w:t xml:space="preserve"> COVID-19</w:t>
      </w:r>
      <w:r w:rsidRPr="0087437A">
        <w:rPr>
          <w:rFonts w:ascii="Times New Roman" w:eastAsia="Calibri" w:hAnsi="Times New Roman" w:cs="Times New Roman"/>
          <w:sz w:val="24"/>
          <w:szCs w:val="24"/>
        </w:rPr>
        <w:t xml:space="preserve"> jest utrzymanie ważności certyfikatów lotnisk, w okresie obowiązywania stanu epidemii. Nieprzeprowadzenie czynności kontrolnych w stosunku do lotnisk, o których mowa w art. 54 ust. 2a lub 2b ustawy – Prawo lotnicze, skutkuje nieutrzymaniem ważności certyfikatu, a w dalszej perspektywie skutkuje również brakiem możliwości prowadzenia działalności lotniczej certyfikowanej na tych lotniskach. Mając na względzie dynamiczne zmiany w zakresie liczby zakażeń wirusem SARS-Co</w:t>
      </w:r>
      <w:r w:rsidR="00425CB2">
        <w:rPr>
          <w:rFonts w:ascii="Times New Roman" w:eastAsia="Calibri" w:hAnsi="Times New Roman" w:cs="Times New Roman"/>
          <w:sz w:val="24"/>
          <w:szCs w:val="24"/>
        </w:rPr>
        <w:t>V</w:t>
      </w:r>
      <w:r w:rsidRPr="0087437A">
        <w:rPr>
          <w:rFonts w:ascii="Times New Roman" w:eastAsia="Calibri" w:hAnsi="Times New Roman" w:cs="Times New Roman"/>
          <w:sz w:val="24"/>
          <w:szCs w:val="24"/>
        </w:rPr>
        <w:t>-2, nie ma możliwości jednoznacznie wskazać, że wymagane przepisami prawa kontrole odbędą się terminowo. Dodatkowo, biorąc pod uwagę specyfikę prowadzenia kontroli na lotniskach (kontrola infrastruktury, oznakowania poziomego, znaków pionowych, oświetlenia, przeszkód lotniczych, powierzchni ograniczających) nie ma możliwości przeprowadzenia kontroli w sposób zdalny. Ponadto, wysoka liczba zakażeń wirusem SARS-Co</w:t>
      </w:r>
      <w:r w:rsidR="00425CB2">
        <w:rPr>
          <w:rFonts w:ascii="Times New Roman" w:eastAsia="Calibri" w:hAnsi="Times New Roman" w:cs="Times New Roman"/>
          <w:sz w:val="24"/>
          <w:szCs w:val="24"/>
        </w:rPr>
        <w:t>V</w:t>
      </w:r>
      <w:r w:rsidRPr="0087437A">
        <w:rPr>
          <w:rFonts w:ascii="Times New Roman" w:eastAsia="Calibri" w:hAnsi="Times New Roman" w:cs="Times New Roman"/>
          <w:sz w:val="24"/>
          <w:szCs w:val="24"/>
        </w:rPr>
        <w:t>-2, powoduje zagrożenie dla inspektorów Urzędu Lotnictwa Cywilnego, którzy ze względu na wąską specyfikę działalności, muszą posiadać odpowiednie kwalifikacje i doświadczenie do przeprowadzania postępowań (w tym kontroli) z tego zakresu.</w:t>
      </w:r>
    </w:p>
    <w:p w14:paraId="69957B1A"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Mając na względzie obowiązek przeprowadzania ćwiczeń praktycznych całościowych i częściowych, o których mowa w przepisach wydanych na podstawie art. 85 ustawy – Prawo lotnicze, z udziałem wszystkich zaangażowanych jednostek, organów i służb, ustala się w projektowanym art. 15zzzda ustawy</w:t>
      </w:r>
      <w:r w:rsidR="00DE03A8" w:rsidRPr="0087437A">
        <w:rPr>
          <w:rFonts w:ascii="Times New Roman" w:eastAsia="Calibri" w:hAnsi="Times New Roman" w:cs="Times New Roman"/>
          <w:sz w:val="24"/>
          <w:szCs w:val="24"/>
        </w:rPr>
        <w:t xml:space="preserve"> COVID-19</w:t>
      </w:r>
      <w:r w:rsidRPr="0087437A">
        <w:rPr>
          <w:rFonts w:ascii="Times New Roman" w:eastAsia="Calibri" w:hAnsi="Times New Roman" w:cs="Times New Roman"/>
          <w:sz w:val="24"/>
          <w:szCs w:val="24"/>
        </w:rPr>
        <w:t>, że zarządzający lotniskiem może przeprowadzić te ćwiczenia w inny sposób, po odpowiednim uzgodnieniu z Prezesem Urzędu Lotnictwa Cywilnego. Biorąc pod uwagę fakt, że obecnie służby takie jak pogotowie ratunkowe czy Policja, zaangażowane są w inne działania, mające na celu ratowanie życia i zdrowia ludzkiego, dopuszcza się brak udziału tych służb w wyżej wskazanych ćwiczeniach. Stosowne uzgodnienie z Prezesem Urzędu Lotnictwa Cywilnego będzie obowiązkowe, celem zapewnienia spełnienia wymagań w zakresie odpowiedniego zabezpieczenia lotnisk na wypadek sytuacji zagrożenia (w tym również sytuacji epidemicznych).</w:t>
      </w:r>
    </w:p>
    <w:p w14:paraId="26A0831E" w14:textId="77777777" w:rsidR="00040031" w:rsidRPr="0087437A" w:rsidRDefault="00040031" w:rsidP="0043695F">
      <w:pPr>
        <w:spacing w:after="0" w:line="360" w:lineRule="auto"/>
        <w:jc w:val="both"/>
        <w:rPr>
          <w:rFonts w:ascii="Times New Roman" w:eastAsia="Calibri" w:hAnsi="Times New Roman" w:cs="Times New Roman"/>
          <w:sz w:val="24"/>
          <w:szCs w:val="24"/>
        </w:rPr>
      </w:pPr>
    </w:p>
    <w:p w14:paraId="76D2D43C"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Zmiana brzmienia przepisu art. 15zzzze ustawy</w:t>
      </w:r>
      <w:r w:rsidR="00DE03A8" w:rsidRPr="0087437A">
        <w:rPr>
          <w:rFonts w:ascii="Times New Roman" w:eastAsia="Calibri" w:hAnsi="Times New Roman" w:cs="Times New Roman"/>
          <w:sz w:val="24"/>
          <w:szCs w:val="24"/>
        </w:rPr>
        <w:t xml:space="preserve"> COVID-19</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podyktowana jest faktem utraty mocy obowiązującej przez rozporządzenie Ministra Transportu, Budownictwa i Gospodarki Morskiej z dnia 31 lipca 2012 r. w sprawie Krajowego Programu Ochrony Lotnictwa Cywilnego</w:t>
      </w:r>
      <w:r w:rsidRPr="0087437A">
        <w:t xml:space="preserve"> </w:t>
      </w:r>
      <w:r w:rsidRPr="0087437A">
        <w:rPr>
          <w:rFonts w:ascii="Times New Roman" w:eastAsia="Calibri" w:hAnsi="Times New Roman" w:cs="Times New Roman"/>
          <w:sz w:val="24"/>
          <w:szCs w:val="24"/>
        </w:rPr>
        <w:t xml:space="preserve">(Dz. U. z 2018 r. poz. 631). Jednocześnie wydaje się, że zastosowanie odesłania dynamicznego wszędzie tam gdzie jest to możliwe (tak jak w niniejszym przypadku) jest rozwiązaniem bardziej prawidłowym, bowiem nie pociąga za sobą konieczności zmiany ustawy o tak szczególnym charakterze zawsze wówczas gdy dochodzi do uchylenia aktu wykonawczego, do którego się odsyła. Liczne zmiany ustawy </w:t>
      </w:r>
      <w:r w:rsidR="00DE03A8" w:rsidRPr="0087437A">
        <w:rPr>
          <w:rFonts w:ascii="Times New Roman" w:eastAsia="Calibri" w:hAnsi="Times New Roman" w:cs="Times New Roman"/>
          <w:sz w:val="24"/>
          <w:szCs w:val="24"/>
        </w:rPr>
        <w:t xml:space="preserve">COVID-19 </w:t>
      </w:r>
      <w:r w:rsidRPr="0087437A">
        <w:rPr>
          <w:rFonts w:ascii="Times New Roman" w:eastAsia="Calibri" w:hAnsi="Times New Roman" w:cs="Times New Roman"/>
          <w:sz w:val="24"/>
          <w:szCs w:val="24"/>
        </w:rPr>
        <w:t>wpływają na utratę jej czytelności.</w:t>
      </w:r>
    </w:p>
    <w:p w14:paraId="112506CC" w14:textId="77777777" w:rsidR="00A94A60" w:rsidRPr="0087437A" w:rsidRDefault="00A94A60" w:rsidP="0043695F">
      <w:pPr>
        <w:pStyle w:val="BGK"/>
        <w:spacing w:line="360" w:lineRule="auto"/>
        <w:jc w:val="both"/>
        <w:rPr>
          <w:rFonts w:ascii="Times New Roman" w:hAnsi="Times New Roman" w:cs="Times New Roman"/>
          <w:szCs w:val="22"/>
          <w:lang w:bidi="pl-PL"/>
        </w:rPr>
      </w:pPr>
      <w:r w:rsidRPr="0087437A">
        <w:rPr>
          <w:rFonts w:ascii="Times New Roman" w:eastAsia="Calibri" w:hAnsi="Times New Roman" w:cs="Times New Roman"/>
        </w:rPr>
        <w:t>Z tego również powodu dokonano zmiany brzmienia art. 15zzzzf ustawy</w:t>
      </w:r>
      <w:r w:rsidR="00DE03A8" w:rsidRPr="0087437A">
        <w:rPr>
          <w:rFonts w:ascii="Times New Roman" w:eastAsia="Calibri" w:hAnsi="Times New Roman" w:cs="Times New Roman"/>
        </w:rPr>
        <w:t xml:space="preserve"> COVID-19</w:t>
      </w:r>
      <w:r w:rsidRPr="0087437A">
        <w:rPr>
          <w:rFonts w:ascii="Times New Roman" w:eastAsia="Calibri" w:hAnsi="Times New Roman" w:cs="Times New Roman"/>
        </w:rPr>
        <w:t>.</w:t>
      </w:r>
      <w:r w:rsidRPr="0087437A">
        <w:rPr>
          <w:rFonts w:ascii="Times New Roman" w:hAnsi="Times New Roman" w:cs="Times New Roman"/>
          <w:szCs w:val="22"/>
          <w:lang w:bidi="pl-PL"/>
        </w:rPr>
        <w:t xml:space="preserve"> Zasadne jest wydłużenie ważności szkoleń z zakresu ochrony lotnictwa cywilnego, na podstawie których zostały wydane karty identyfikacyjne portu lotniczego, ze względu na ograniczone zasoby ludzkie i techniczne zarządzającego lotniskiem w celu procedowania w ramach przedłużania ważności przedmiotowych kart identyfikacyjnych. Ponadto zastosowanie wydłużenia ważności szkoleń ograniczy konieczność organizacji dodatkowych szkoleń i tym samym zminimalizuje zagrożenie epidemiczne. Jednocześnie zastosowanie wydłużenia dla konieczności powtarzania szkoleń z zakresu ochrony lotnictwa umożliwi dalsze wykonywanie czynności służbowych w sytuacji ograniczonych zasobów ludzkich.</w:t>
      </w:r>
    </w:p>
    <w:p w14:paraId="54828378" w14:textId="77777777" w:rsidR="00A94A60" w:rsidRPr="0087437A" w:rsidRDefault="00A94A60" w:rsidP="0043695F">
      <w:pPr>
        <w:autoSpaceDE w:val="0"/>
        <w:autoSpaceDN w:val="0"/>
        <w:adjustRightInd w:val="0"/>
        <w:spacing w:after="0" w:line="360" w:lineRule="auto"/>
        <w:ind w:right="34"/>
        <w:jc w:val="both"/>
        <w:textAlignment w:val="center"/>
        <w:rPr>
          <w:rFonts w:ascii="Times New Roman" w:eastAsia="MS Mincho" w:hAnsi="Times New Roman" w:cs="Times New Roman"/>
          <w:sz w:val="24"/>
          <w:lang w:eastAsia="pl-PL" w:bidi="pl-PL"/>
        </w:rPr>
      </w:pPr>
      <w:r w:rsidRPr="0087437A">
        <w:rPr>
          <w:rFonts w:ascii="Times New Roman" w:eastAsia="MS Mincho" w:hAnsi="Times New Roman" w:cs="Times New Roman"/>
          <w:sz w:val="24"/>
          <w:lang w:eastAsia="pl-PL" w:bidi="pl-PL"/>
        </w:rPr>
        <w:t>Wydłużenie ważności szkoleń, o których mowa w Krajowym Programie Szkolenia w zakresie ochrony lotnictwa cywilnego, ma na celu umożliwienie dalszego wykonywania czynności służbowych, pomimo problemów podmiotów zaangażowanych w ochronę lotnictwa cywilnego z zasobami ludzkimi oraz dostępnością stanowisk komputerowych z dedykowanymi systemami szkoleniowymi.</w:t>
      </w:r>
    </w:p>
    <w:p w14:paraId="2DFA77C0"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MS Mincho" w:hAnsi="Times New Roman" w:cs="Times New Roman"/>
          <w:sz w:val="24"/>
          <w:lang w:eastAsia="pl-PL" w:bidi="pl-PL"/>
        </w:rPr>
        <w:t>Mając na uwadze konieczność zachowania odpowiednich środków ostrożności ze względu na wprowadzenie stanu epidemii, zasadne jest umożliwienie szerokiego stosowania kształcenia z zakresu ochrony lotnictwa cywilnego z wykorzystaniem multimedialnych systemów komputerowych (e-learning) przy jednoczesnej zdalnej dostępności instruktora ochrony. Powyższe umożliwi dalsze wykonywanie obowiązków służbowych przez personel wymagający ukończenia poszczególnych szkoleń z zakresu ochrony lotnictwa cywilnego jak i też zminimalizuje zagrożenie epidemiczne.</w:t>
      </w:r>
    </w:p>
    <w:p w14:paraId="7CD0BC77" w14:textId="77777777" w:rsidR="00DE03A8" w:rsidRPr="0087437A" w:rsidRDefault="00DE03A8" w:rsidP="0043695F">
      <w:pPr>
        <w:spacing w:after="0" w:line="360" w:lineRule="auto"/>
        <w:jc w:val="both"/>
        <w:rPr>
          <w:rFonts w:ascii="Times New Roman" w:eastAsia="Calibri" w:hAnsi="Times New Roman" w:cs="Times New Roman"/>
          <w:sz w:val="24"/>
          <w:szCs w:val="24"/>
        </w:rPr>
      </w:pPr>
    </w:p>
    <w:p w14:paraId="6EDB1884"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Uzasadnieniem dla wprowadzenia rozwiązań przewidzianych w projektowanych art. 15zzzzfa–15zzzzfj jest fakt, że Komisja Europejska zwróciła uwagę, iż przedłużenie ważności wyznaczeń zarejestrowanych agentów, zarejestrowanych dostawców zaopatrzenia pokładowego, znanych nadawców, znanych dostawców zaopatrzenia portu lotniczego, znanych dostawców zaopatrzenia pokładowego może być utrudnione lub niemożliwe w związku z epidemią COVID-19. Procedura przedłużenia ważności w/w podmiotów oparta jest na przeprowadzeniu wizji lokalnej w miejscu wykonywania przez podmiot działalności. Odbycie wizji lokalnej może być obecnie niemożliwe. Komisja Europejska zasugerowała, że regulacje w zakresie przedłużania ważności ww. podmiotów powinny być dokonane na mocy prawa wewnętrznego.</w:t>
      </w:r>
    </w:p>
    <w:p w14:paraId="66486062"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Komisja Europejska zwróciła uwagę, iż wykonywanie czynności kontroli jakości przez podmioty wykonujące działalność lotniczą może być może być utrudnione lub niemożliwe w związku z epidemią COVID-19. Komisja Europejska zasugerowała, że wyjątkowe procedury określające obowiązki podmiotów w zakresie kontroli jakości powinny być dokonane na mocy prawa wewnętrznego.</w:t>
      </w:r>
    </w:p>
    <w:p w14:paraId="01A6871E"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Zgodnie z przepisami rozporządzenia wydawanego na podstawie art. 189 ust. 2 ustawy z dnia 3 lipca 2002 r. – Prawo lotnicze każdy ze środków ochrony, o których mowa w pkt 8.1 załącznika II do</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rozporządzenia Parlamentu Europejskiego i Rady (WE) nr 300/2008 z dnia 11 marca 2008 r. w sprawie wspólnych zasad w dziedzinie ochrony lotnictwa cywilnego i uchylającego rozporządzenie (WE) nr 2320/2002 (</w:t>
      </w:r>
      <w:r w:rsidRPr="0087437A">
        <w:rPr>
          <w:rFonts w:ascii="Times New Roman" w:eastAsia="Times New Roman" w:hAnsi="Times New Roman" w:cs="Arial"/>
          <w:sz w:val="24"/>
          <w:szCs w:val="20"/>
          <w:lang w:eastAsia="ar-SA"/>
        </w:rPr>
        <w:t>Dz. Urz. UE L 97 z 09.04.2008, str. 72, z późn. zm.)</w:t>
      </w:r>
      <w:r w:rsidRPr="0087437A">
        <w:rPr>
          <w:rFonts w:ascii="Times New Roman" w:eastAsia="Calibri" w:hAnsi="Times New Roman" w:cs="Times New Roman"/>
          <w:sz w:val="24"/>
          <w:szCs w:val="24"/>
        </w:rPr>
        <w:t xml:space="preserve">, w zakresie dotyczącym danego podmiotu podlega testowi ochrony przynajmniej raz na kwartał. W sytuacji związanej z trwającą epidemią COVID-19 wykonywanie testów z określoną w ww. przepisie częstotliwością może zostać znacznie utrudnione lub uniemożliwione. Dlatego uzasadnionym jest zawieszenie obowiązku wykonywania testów ochrony do dnia odwołania stanu zagrożenia epidemicznego albo stanu epidemii. </w:t>
      </w:r>
    </w:p>
    <w:p w14:paraId="6C9A3282"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Komisja Europejska zwróciła uwagę, iż aktualizacja biblioteki obrazów TIP, o której mowa w pkt 12.5.6 decyzji wykonawczej Komisji C (2015) 8005 z dnia 16 listopada 2015 r. ustanawiającej szczegółowe środki w celu wprowadzenia w życie wspólnych podstawowych norm ochrony lotnictwa cywilnego, zawierającej informacje, o których mowa w art. 18 lit. a rozporządzenia (WE) 300/2008 (niepublikowana w Dz. Urz. UE), może być utrudniona ze względu na epidemię COVID-19. Należy zapewnić podmiotom odpowiedzialnym za kontrolę bezpieczeństwa odpowiedni termin na dokonanie aktualizacji bibliotek obrazów. Komisja Europejska zasugerowała, że regulacje w zakresie przedłużania ważności bibliotek FTI i CTI podmiotów powinny być dokonane na mocy prawa wewnętrznego.</w:t>
      </w:r>
    </w:p>
    <w:p w14:paraId="7290904C"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Ponadto, zgodnie z pkt 6.8.1.1 załącznika do rozporządzenia wykonawczego Komisji (UE) nr 2015/1998 z dnia 5 listopada 2015 r. ustanawiającego szczegółowe środki w celu wprowadzenia w życie wspólnych podstawowych norm ochrony lotnictwa cywilnego (Dz. Urz. UE L 299 z 14.11.2015,</w:t>
      </w:r>
      <w:r w:rsidR="006C2013" w:rsidRPr="0087437A">
        <w:rPr>
          <w:rFonts w:ascii="Times New Roman" w:eastAsia="Calibri" w:hAnsi="Times New Roman" w:cs="Times New Roman"/>
          <w:sz w:val="24"/>
          <w:szCs w:val="24"/>
        </w:rPr>
        <w:t xml:space="preserve"> str. 1,</w:t>
      </w:r>
      <w:r w:rsidRPr="0087437A">
        <w:rPr>
          <w:rFonts w:ascii="Times New Roman" w:eastAsia="Calibri" w:hAnsi="Times New Roman" w:cs="Times New Roman"/>
          <w:sz w:val="24"/>
          <w:szCs w:val="24"/>
        </w:rPr>
        <w:t xml:space="preserve"> z późn. zm.) przewoźnik lotniczy przewożący ładunek lub pocztę z kraju trzeciego powinien uzyskać wyznaczenie „przewoźnika ładunków lotniczych lub poczty lotniczej prowadzącego przewóz z portu lotniczego państwa trzeciego do Unii” (ACC3). Jednym z elementów procedury wyznaczenia jest niezależna wizja lokalna w porcie lotniczym w kraju trzecim, co podczas pandemii COVID-19 jest niewykonalne.</w:t>
      </w:r>
    </w:p>
    <w:p w14:paraId="2EFCAEB8"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Stosownie do pkt 6.8.3 decyzji wykonawczej Komisji C(2015)8005, Prezes Urzędu Lotnictwa Cywilnego może zwolnić z powyższych wymogów serię lotów przewoźnika lotniczego, jednakże program ochrony takie przewoźnika musi zawierać określone w przepisach informacje dotyczące portu lotniczego w kraju trzecim. Zgodnie z przepisami rozporządzenia wydawanego na podstawie art. 187 ustawy z dnia 3 lipca 2002 r. – Prawo lotnicze przewoźnik lotniczy opracowuje program ochrony i jego aktualizacje po uzgodnieniu z Policją i Strażą Graniczną.</w:t>
      </w:r>
    </w:p>
    <w:p w14:paraId="2EC78D1B"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Proponowany przepis ma uprościć procedurę aktualizacji programu ochrony przewoźników lotniczych, a przez to umożliwić im prowadzenie przewozu ładunków z krajów trzecich pomimo braku możliwości przeprowadzenia procedury zatwierdzenia jako ACC3. Usprawnienie procedury aktualizacji programów ochrony ma istotne znaczenie ze względu na brak możliwości przewidzenia z odpowiednim wyprzedzeniem na jakich trasach będzie odbywała się przewóz, w tym przewóz środków koniecznych do walki z COVID-19.</w:t>
      </w:r>
    </w:p>
    <w:p w14:paraId="387D0A7E"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Proponowany przepis dotyczący wystawiania kart identyfikacyjnych portu lotniczego upoważniających do dostępu bez eskorty do strefy zastrzeżonej portu lotniczego dla osób, co do których zarządzający innym lotniskiem przeprowadził sprawdzenie przeszłości, ma umożliwić elastyczną dyslokację pracowników sektora transportu lotniczego pomiędzy różnymi portami lotniczymi. Okres oczekiwania na informację o braku negatywnych przesłanek, co jest warunkiem uzyskania dostępu bez eskorty do stref zastrzeżonych lotniska, wynosi 30 dni, tymczasem w trakcie obowiązywania stanu epidemii może zaistnieć potrzeba nagłego przesunięcia pracowników sektora transportu lotniczego, w celu podtrzymania funkcjonowania lotniska.</w:t>
      </w:r>
    </w:p>
    <w:p w14:paraId="30085AC4" w14:textId="77777777" w:rsidR="00070543" w:rsidRPr="0087437A" w:rsidRDefault="00070543" w:rsidP="0043695F">
      <w:pPr>
        <w:spacing w:after="0" w:line="360" w:lineRule="auto"/>
        <w:jc w:val="both"/>
        <w:rPr>
          <w:rFonts w:ascii="Times New Roman" w:hAnsi="Times New Roman" w:cs="Times New Roman"/>
          <w:sz w:val="24"/>
          <w:szCs w:val="24"/>
        </w:rPr>
      </w:pPr>
    </w:p>
    <w:p w14:paraId="4B8EE69F"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Dyspozytorzy ruchu lotniczego są personelem niezbędnym do prawidłowego planowania operacyjnego i wykonywania operacji lotniczych w ramach tzw. lotnictwa komercyjnego (tj. m.in. w ramach lotów repatriacyjnych obywateli RP do kraju, lotów CARGO, DGR i innych). Mając na uwadze powyższe ustawodawca, w projektowanym art. 15zzzzga, zdecydował się wydłużyć terminy ważności licencji FDL, oraz czasu na uzyskanie stosownego doświadczenia praktycznego do ww. uprawnienia na czas trwania epidemii i do 90 dni od jej odwołania.</w:t>
      </w:r>
    </w:p>
    <w:p w14:paraId="44323E4C" w14:textId="77777777" w:rsidR="00A94A60" w:rsidRPr="0087437A" w:rsidRDefault="00A94A60" w:rsidP="0043695F">
      <w:pPr>
        <w:spacing w:line="360" w:lineRule="auto"/>
        <w:jc w:val="both"/>
        <w:rPr>
          <w:rFonts w:ascii="Times New Roman" w:hAnsi="Times New Roman" w:cs="Times New Roman"/>
          <w:sz w:val="24"/>
          <w:szCs w:val="24"/>
        </w:rPr>
      </w:pPr>
      <w:r w:rsidRPr="0087437A">
        <w:rPr>
          <w:rFonts w:ascii="Times New Roman" w:hAnsi="Times New Roman" w:cs="Times New Roman"/>
          <w:sz w:val="24"/>
          <w:szCs w:val="24"/>
        </w:rPr>
        <w:t>Natomiast przewidziane w art. 15zzzzgb wydłużenie okresu ważności egzaminów teoretycznych, o których mowa w § 33 rozporządzenia Ministra Infrastruktury z dnia 1 sierpnia 2018 r.</w:t>
      </w:r>
      <w:r w:rsidRPr="0087437A">
        <w:rPr>
          <w:rFonts w:ascii="Times New Roman" w:hAnsi="Times New Roman" w:cs="Times New Roman"/>
          <w:i/>
          <w:iCs/>
          <w:sz w:val="24"/>
          <w:szCs w:val="24"/>
        </w:rPr>
        <w:t xml:space="preserve"> </w:t>
      </w:r>
      <w:r w:rsidRPr="0087437A">
        <w:rPr>
          <w:rFonts w:ascii="Times New Roman" w:hAnsi="Times New Roman" w:cs="Times New Roman"/>
          <w:sz w:val="24"/>
          <w:szCs w:val="24"/>
        </w:rPr>
        <w:t>w sprawie egzaminów państwowych na licencje, świadectwa kwalifikacji oraz uprawnienia do nich wpisywane (Dz. U. poz. 1745, z późn. zm.), będzie dotyczyć zarówno licencji dyspozytorów ruchu lotniczego (FDL), jak i pozostałych krajowych licencji: mechaników lotniczych, pilotów wiatrakowców, nawigatorów lotniczych oraz posiadaczy świadectw kwalifikacji. W normalnych okolicznościach egzaminy teoretyczne tracą ważność po upływie 24 miesięcy od dnia uzyskania zaliczenia egzaminu teoretycznego. W okolicznościach regulowanych niniejszym rozwiązaniem w najbardziej skrajnym przypadku utracą one moc wraz z upływem 30 miesięcy od dnia uzyskania zaliczenia egzaminu teoretycznego. Przepis nie będzie odnosić się natomiast do licencji personelu lotniczego, do których zastosowanie mają bezpośrednio wymagania określone przepisami prawa UE, w tym rozporządzenia Komisji (UE) nr 1178/2011 z dnia 3 listopada 2011 r. ustanawiającego wymagania techniczne i procedury administracyjne odnoszące się do załóg w lotnictwie cywilnym zgodnie z rozporządzeniem Parlamentu Europejskiego i Rady (WE) nr 216/2008 (Dz. Urz. UE L 311 z 25.11.2011, str. 1, z późn zm.) oraz rozporządzenia Komisji (UE) 2015/340 z dnia 20 lutego 2015 r. ustanawiającego wymagania techniczne i procedury administracyjne dotyczące licencji i certyfikatów kontrolerów ruchu lotniczego zgodnie z rozporządzeniem Parlamentu Europejskiego i Rady (WE) nr 216/2008, zmieniającego rozporządzenie wykonawcze Komisji (UE) nr 923/2012 i uchylającego rozporządzenie Komisji (UE) nr 805/2011 (Dz. Urz. UE L 63 z 06.03.2015, str. 1).</w:t>
      </w:r>
    </w:p>
    <w:p w14:paraId="568CCFF6" w14:textId="77777777" w:rsidR="003A2AF8" w:rsidRPr="0087437A" w:rsidRDefault="003A2AF8" w:rsidP="0043695F">
      <w:pPr>
        <w:spacing w:line="360" w:lineRule="auto"/>
        <w:jc w:val="both"/>
        <w:rPr>
          <w:rFonts w:ascii="Times New Roman" w:eastAsia="Calibri" w:hAnsi="Times New Roman" w:cs="Times New Roman"/>
          <w:bCs/>
          <w:sz w:val="24"/>
          <w:szCs w:val="24"/>
        </w:rPr>
      </w:pPr>
    </w:p>
    <w:p w14:paraId="7312EED9" w14:textId="77777777" w:rsidR="00A94A60" w:rsidRPr="0087437A" w:rsidRDefault="00A94A60" w:rsidP="0043695F">
      <w:pPr>
        <w:spacing w:line="360" w:lineRule="auto"/>
        <w:jc w:val="both"/>
        <w:rPr>
          <w:rFonts w:ascii="Times New Roman" w:eastAsia="Calibri" w:hAnsi="Times New Roman" w:cs="Times New Roman"/>
          <w:bCs/>
          <w:sz w:val="24"/>
          <w:szCs w:val="24"/>
        </w:rPr>
      </w:pPr>
      <w:r w:rsidRPr="0087437A">
        <w:rPr>
          <w:rFonts w:ascii="Times New Roman" w:eastAsia="Calibri" w:hAnsi="Times New Roman" w:cs="Times New Roman"/>
          <w:bCs/>
          <w:sz w:val="24"/>
          <w:szCs w:val="24"/>
        </w:rPr>
        <w:t>Zmiana art. art. 15zzzzh ust. 2 ustawy</w:t>
      </w:r>
      <w:r w:rsidR="003A2AF8" w:rsidRPr="0087437A">
        <w:rPr>
          <w:rFonts w:ascii="Times New Roman" w:eastAsia="Calibri" w:hAnsi="Times New Roman" w:cs="Times New Roman"/>
          <w:bCs/>
          <w:sz w:val="24"/>
          <w:szCs w:val="24"/>
        </w:rPr>
        <w:t xml:space="preserve"> COVID-19</w:t>
      </w:r>
      <w:r w:rsidRPr="0087437A">
        <w:rPr>
          <w:rFonts w:ascii="Times New Roman" w:eastAsia="Calibri" w:hAnsi="Times New Roman" w:cs="Times New Roman"/>
          <w:bCs/>
          <w:sz w:val="24"/>
          <w:szCs w:val="24"/>
        </w:rPr>
        <w:t xml:space="preserve"> jest niezbędna z uwagi na fakt, że wydane zostało nowe rozporządzenie w sprawie badań lotniczo-lekarskich a co za tym idzie odesłanie do rozporządzenia z dnia 27 maja 2013 r. stało się nieadekwatne.</w:t>
      </w:r>
    </w:p>
    <w:p w14:paraId="3861FCE9" w14:textId="77777777" w:rsidR="003A2AF8" w:rsidRPr="0087437A" w:rsidRDefault="003A2AF8" w:rsidP="0043695F">
      <w:pPr>
        <w:spacing w:after="0" w:line="360" w:lineRule="auto"/>
        <w:jc w:val="both"/>
        <w:rPr>
          <w:rFonts w:ascii="Times New Roman" w:eastAsia="Calibri" w:hAnsi="Times New Roman" w:cs="Times New Roman"/>
          <w:sz w:val="24"/>
          <w:szCs w:val="24"/>
        </w:rPr>
      </w:pPr>
    </w:p>
    <w:p w14:paraId="223036B6" w14:textId="77777777" w:rsidR="00A94A60" w:rsidRPr="0087437A" w:rsidRDefault="003A2AF8" w:rsidP="0043695F">
      <w:pPr>
        <w:spacing w:after="0" w:line="360" w:lineRule="auto"/>
        <w:jc w:val="both"/>
        <w:rPr>
          <w:rFonts w:ascii="Times New Roman" w:eastAsia="Calibri" w:hAnsi="Times New Roman" w:cs="Times New Roman"/>
          <w:bCs/>
          <w:sz w:val="24"/>
          <w:szCs w:val="24"/>
        </w:rPr>
      </w:pPr>
      <w:r w:rsidRPr="0087437A">
        <w:rPr>
          <w:rFonts w:ascii="Times New Roman" w:eastAsia="Calibri" w:hAnsi="Times New Roman" w:cs="Times New Roman"/>
          <w:bCs/>
          <w:sz w:val="24"/>
          <w:szCs w:val="24"/>
        </w:rPr>
        <w:t>Zmianę brzmienia przepisu art. 15zzzzk ust. 1 ustawy</w:t>
      </w:r>
      <w:r w:rsidR="00247EE6" w:rsidRPr="0087437A">
        <w:rPr>
          <w:rFonts w:ascii="Times New Roman" w:eastAsia="Calibri" w:hAnsi="Times New Roman" w:cs="Times New Roman"/>
          <w:bCs/>
          <w:sz w:val="24"/>
          <w:szCs w:val="24"/>
        </w:rPr>
        <w:t xml:space="preserve"> COVID-19</w:t>
      </w:r>
      <w:r w:rsidRPr="0087437A">
        <w:rPr>
          <w:rFonts w:ascii="Times New Roman" w:eastAsia="Calibri" w:hAnsi="Times New Roman" w:cs="Times New Roman"/>
          <w:sz w:val="24"/>
          <w:szCs w:val="24"/>
        </w:rPr>
        <w:t xml:space="preserve"> </w:t>
      </w:r>
      <w:r w:rsidRPr="0087437A">
        <w:rPr>
          <w:rFonts w:ascii="Times New Roman" w:eastAsia="Calibri" w:hAnsi="Times New Roman" w:cs="Times New Roman"/>
          <w:bCs/>
          <w:sz w:val="24"/>
          <w:szCs w:val="24"/>
        </w:rPr>
        <w:t>zaproponowano,</w:t>
      </w:r>
      <w:r w:rsidRPr="0087437A">
        <w:rPr>
          <w:rFonts w:ascii="Times New Roman" w:eastAsia="Calibri" w:hAnsi="Times New Roman" w:cs="Times New Roman"/>
          <w:sz w:val="24"/>
          <w:szCs w:val="24"/>
        </w:rPr>
        <w:t xml:space="preserve"> p</w:t>
      </w:r>
      <w:r w:rsidR="00A94A60" w:rsidRPr="0087437A">
        <w:rPr>
          <w:rFonts w:ascii="Times New Roman" w:eastAsia="Calibri" w:hAnsi="Times New Roman" w:cs="Times New Roman"/>
          <w:sz w:val="24"/>
          <w:szCs w:val="24"/>
        </w:rPr>
        <w:t>onieważ rekomendacje EASA dot</w:t>
      </w:r>
      <w:r w:rsidR="00247EE6" w:rsidRPr="0087437A">
        <w:rPr>
          <w:rFonts w:ascii="Times New Roman" w:eastAsia="Calibri" w:hAnsi="Times New Roman" w:cs="Times New Roman"/>
          <w:sz w:val="24"/>
          <w:szCs w:val="24"/>
        </w:rPr>
        <w:t>yczą</w:t>
      </w:r>
      <w:r w:rsidR="00A94A60" w:rsidRPr="0087437A">
        <w:rPr>
          <w:rFonts w:ascii="Times New Roman" w:eastAsia="Calibri" w:hAnsi="Times New Roman" w:cs="Times New Roman"/>
          <w:sz w:val="24"/>
          <w:szCs w:val="24"/>
        </w:rPr>
        <w:t xml:space="preserve"> środka </w:t>
      </w:r>
      <w:r w:rsidR="00A94A60" w:rsidRPr="0087437A">
        <w:rPr>
          <w:rFonts w:ascii="Times New Roman" w:eastAsia="Calibri" w:hAnsi="Times New Roman" w:cs="Times New Roman"/>
          <w:bCs/>
          <w:sz w:val="24"/>
          <w:szCs w:val="24"/>
        </w:rPr>
        <w:t>UN1987 Alcohols, n.o.s. a nie UN1887 Alcohols, n.o.s.</w:t>
      </w:r>
    </w:p>
    <w:p w14:paraId="2EAFA335" w14:textId="77777777" w:rsidR="00247EE6" w:rsidRPr="0087437A" w:rsidRDefault="00247EE6" w:rsidP="0043695F">
      <w:pPr>
        <w:spacing w:after="0" w:line="360" w:lineRule="auto"/>
        <w:jc w:val="both"/>
        <w:rPr>
          <w:rFonts w:ascii="Times New Roman" w:eastAsia="Calibri" w:hAnsi="Times New Roman" w:cs="Times New Roman"/>
          <w:bCs/>
          <w:sz w:val="24"/>
          <w:szCs w:val="24"/>
        </w:rPr>
      </w:pPr>
    </w:p>
    <w:p w14:paraId="2314FFD9" w14:textId="1EF5E4F3" w:rsidR="00A94A60" w:rsidRPr="0087437A" w:rsidRDefault="0050610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Uzasadnieniem dla zmiany wprowadzonej w art. 1 pkt 17 niniejszej ustawy jest fakt, że z</w:t>
      </w:r>
      <w:r w:rsidR="00A94A60" w:rsidRPr="0087437A">
        <w:rPr>
          <w:rFonts w:ascii="Times New Roman" w:eastAsia="Calibri" w:hAnsi="Times New Roman" w:cs="Times New Roman"/>
          <w:sz w:val="24"/>
          <w:szCs w:val="24"/>
        </w:rPr>
        <w:t>godnie z § 10 ust. 2 rozporządzenia Ministra Infrastruktury z dnia 30 września 2020 r. w sprawie certyfikacji działalności w lotnictwie cywilnym (Dz. U. poz. 1694), w przypadku przedłużania ważności certyfikatu praktyczna weryfikacja spełnienia wymagań jest realizowana w oparciu o wyniki czynności, o których mowa w art. 162 ust. 1 ustawy z dnia 3 lipca 2002 r. – Prawo lotnicze. Zgodnie z powyższym w trakcie trwania ważności certyfikatu, przeprowadzane są kontrole ciągłego nadzoru operacyjnego, w każdym oddziale, w którym podmiot posiadający certyfikat agenta obsługi naziemnej, prowadzi działalność. Obecnie największy agent obsługi naziemnej posiada 11 oddziałów. Nieprzeprowadzenie czynności kontrolnych u agentów</w:t>
      </w:r>
      <w:r w:rsidR="00A94A60" w:rsidRPr="0087437A">
        <w:t xml:space="preserve"> </w:t>
      </w:r>
      <w:r w:rsidR="00A94A60" w:rsidRPr="0087437A">
        <w:rPr>
          <w:rFonts w:ascii="Times New Roman" w:eastAsia="Calibri" w:hAnsi="Times New Roman" w:cs="Times New Roman"/>
          <w:sz w:val="24"/>
          <w:szCs w:val="24"/>
        </w:rPr>
        <w:t>obsługi naziemnej skutkuje brakiem możliwości przedłużenia certyfikatu, co w przypadku mniejszych lotnisk będzie skutkowało brakiem dostępności paliwa lotniczego lub infrastruktury magazynowej dla przesyłek cargo. Obecnie, mając na względzie dynamiczne zmiany w zakresie liczby zakażeń wirusem SARS-Co</w:t>
      </w:r>
      <w:r w:rsidR="00425CB2">
        <w:rPr>
          <w:rFonts w:ascii="Times New Roman" w:eastAsia="Calibri" w:hAnsi="Times New Roman" w:cs="Times New Roman"/>
          <w:sz w:val="24"/>
          <w:szCs w:val="24"/>
        </w:rPr>
        <w:t>V</w:t>
      </w:r>
      <w:r w:rsidR="00A94A60" w:rsidRPr="0087437A">
        <w:rPr>
          <w:rFonts w:ascii="Times New Roman" w:eastAsia="Calibri" w:hAnsi="Times New Roman" w:cs="Times New Roman"/>
          <w:sz w:val="24"/>
          <w:szCs w:val="24"/>
        </w:rPr>
        <w:t>-2, nie ma możliwości jednoznacznie wskazać, że wymagane przepisami prawa kontrole ciągłego nadzoru operacyjnego odbędą się terminowo, a rosnąca liczba zakażeń wirusem SARS-Co</w:t>
      </w:r>
      <w:r w:rsidR="00425CB2">
        <w:rPr>
          <w:rFonts w:ascii="Times New Roman" w:eastAsia="Calibri" w:hAnsi="Times New Roman" w:cs="Times New Roman"/>
          <w:sz w:val="24"/>
          <w:szCs w:val="24"/>
        </w:rPr>
        <w:t>V</w:t>
      </w:r>
      <w:r w:rsidR="00A94A60" w:rsidRPr="0087437A">
        <w:rPr>
          <w:rFonts w:ascii="Times New Roman" w:eastAsia="Calibri" w:hAnsi="Times New Roman" w:cs="Times New Roman"/>
          <w:sz w:val="24"/>
          <w:szCs w:val="24"/>
        </w:rPr>
        <w:t>-2, powoduje zagrożenie w dostępności inspektorów Urzędu Lotnictwa Cywilnego, którzy ze względu na wąską specyfikę działalności, muszą posiadać odpowiednie kwalifikacje i doświadczenie do przeprowadzania kontroli ze wskazanego zakresu. Dodatkowo, biorąc pod uwagę specyfikę prowadzenia kontroli u agentów obsługi naziemnej (kontrola infrastruktury magazynowej, kontrole jakości paliwa, stan sprzętu do obsługi naziemnej) nie ma możliwości przeprowadzenia kontroli w sposób zdalny. W związku z powyższym zasadne jest dodanie projektowanego art. 15zzzzka.</w:t>
      </w:r>
    </w:p>
    <w:p w14:paraId="77A7E844" w14:textId="77777777" w:rsidR="004A5A31" w:rsidRPr="0087437A" w:rsidRDefault="004A5A31" w:rsidP="0043695F">
      <w:pPr>
        <w:spacing w:line="360" w:lineRule="auto"/>
        <w:jc w:val="both"/>
        <w:rPr>
          <w:rFonts w:ascii="Times New Roman" w:eastAsia="Calibri" w:hAnsi="Times New Roman" w:cs="Times New Roman"/>
          <w:sz w:val="24"/>
          <w:szCs w:val="24"/>
        </w:rPr>
      </w:pPr>
    </w:p>
    <w:p w14:paraId="7F8680FE" w14:textId="77777777" w:rsidR="00A94A60" w:rsidRPr="0087437A" w:rsidRDefault="00A94A60"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Propozycja zawarta w art. 15zzzzla</w:t>
      </w:r>
      <w:r w:rsidR="004A5A31" w:rsidRPr="0087437A">
        <w:rPr>
          <w:rFonts w:ascii="Times New Roman" w:eastAsia="Calibri" w:hAnsi="Times New Roman" w:cs="Times New Roman"/>
          <w:sz w:val="24"/>
          <w:szCs w:val="24"/>
        </w:rPr>
        <w:t xml:space="preserve"> ustawy COVID-19</w:t>
      </w:r>
      <w:r w:rsidRPr="0087437A">
        <w:rPr>
          <w:rFonts w:ascii="Times New Roman" w:eastAsia="Calibri" w:hAnsi="Times New Roman" w:cs="Times New Roman"/>
          <w:sz w:val="24"/>
          <w:szCs w:val="24"/>
        </w:rPr>
        <w:t xml:space="preserve"> wprowadza skrócenie i ułatwienie przeprowadzania procesu zmian wysokości opłat lotniskowych, które miałyby skutkować obniżeniem stawek niektórych opłat lotniskowych. Biorąc pod uwagę, iż przewoźnicy ponoszą niektóre opłaty lotniskowe w wysokości znacznie wyższej niż w normalnej sytuacji (np. opłaty postojowe), może okazać się, że zmiana taryfy opłat lotniskowych jest pożądana przez użytkowników i zarządzającego lotniskiem użytku publicznego. Tym samym oraz biorąc pod uwagę, iż zmiana taryfy opłat lotniskowych jest procesem długotrwałym, niezbędne jest w okresie stanu epidemii, określenie takich ram dla procesu zmiany taryfy opłat lotniskowych, które umożliwiłyby sprawne procedowanie zmian wysokości opłat lotniskowych, z jednoczesnym zachowaniem podstawowych zasad dla przeprowadzenia tego procesu określonych w dyrektywie Parlamentu Europejskiego i Rady 2009/12/WE z dnia 11 marca 2009 r. w sprawie opłat lotniskowych (Dz. Urz. UE L 70 z 14.03.2009, str. 11).</w:t>
      </w:r>
      <w:r w:rsidRPr="0087437A">
        <w:rPr>
          <w:rFonts w:ascii="Times New Roman" w:eastAsia="Calibri" w:hAnsi="Times New Roman" w:cs="Times New Roman"/>
          <w:i/>
          <w:sz w:val="24"/>
          <w:szCs w:val="24"/>
        </w:rPr>
        <w:t xml:space="preserve"> </w:t>
      </w:r>
      <w:r w:rsidRPr="0087437A">
        <w:rPr>
          <w:rFonts w:ascii="Times New Roman" w:eastAsia="Calibri" w:hAnsi="Times New Roman" w:cs="Times New Roman"/>
          <w:sz w:val="24"/>
          <w:szCs w:val="24"/>
        </w:rPr>
        <w:t>Tym samym proponuje się umożliwienie: przeprowadzenia konsultacji zmiany taryfy opłat lotniskowych, w sytuacji gdy zmiana ta miałaby na celu wprowadzenie czasowych ułatwień dla przewoźników lotniczych przez zarządzających lotniskami użytku publicznego, w formie korespondencyjnej także poprzez wymianę korespondencji elektronicznej z przewoźnikami lotniczymi stale korzystającymi z lotniska – zdefiniowanymi w art. 77 ust. 2 ustawy z dnia 3 lipca 2002 r. – Prawo lotnicze; skrócenia okresu konsultacji do</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tygodnia; przedłożenia skonsultowanej propozycji zmian taryfy opłat lotniskowych Prezesowi Urzędu Lotnictwa Cywilnego, bezpośrednio po przeprowadzonych konsultacjach – czasowa rezygnacja z obowiązku przestrzegania terminów określonych w art. 77b ust. 1 oraz 77d ust. 1 ustawy z dnia 3 lipca 2002 r. – Prawo lotnicze; zatwierdzania zmian taryfy opłat lotniskowych w terminie 7 dni od dnia jej otrzymania przez Prezesa Urzędu Lotnictwa Cywilnego – w formie decyzji administracyjnej dla lotnisk obsługujących powyżej 5 mln pasażerów rocznie albo w formie tzw. „milczącej zgody” dla lotnisk obsługujących poniżej 5 mln pasażerów rocznie, chyba że niezbędne będą dodatkowe wyjaśnienia.</w:t>
      </w:r>
    </w:p>
    <w:p w14:paraId="660FA00F" w14:textId="77777777" w:rsidR="00A94A60" w:rsidRPr="0087437A" w:rsidRDefault="00A94A60" w:rsidP="0043695F">
      <w:pPr>
        <w:spacing w:after="120" w:line="360" w:lineRule="auto"/>
        <w:jc w:val="both"/>
        <w:rPr>
          <w:rFonts w:ascii="Times New Roman" w:eastAsia="Times New Roman" w:hAnsi="Times New Roman" w:cs="Times New Roman"/>
          <w:sz w:val="24"/>
          <w:szCs w:val="24"/>
        </w:rPr>
      </w:pPr>
      <w:r w:rsidRPr="0087437A">
        <w:rPr>
          <w:rFonts w:ascii="Times New Roman" w:eastAsia="Times New Roman" w:hAnsi="Times New Roman" w:cs="Times New Roman"/>
          <w:sz w:val="24"/>
          <w:szCs w:val="24"/>
        </w:rPr>
        <w:t>W przypadku określenia przez ministra właściwego do spraw finansów publicznych w drodze rozporządzenia wydawanego na podstawie art. 15zzh ust. 1 ustawy innego terminu na zatwierdzenie sprawozdania finansowego, o którym mowa w</w:t>
      </w:r>
      <w:r w:rsidR="00425CB2">
        <w:rPr>
          <w:rFonts w:ascii="Times New Roman" w:eastAsia="Times New Roman" w:hAnsi="Times New Roman" w:cs="Times New Roman"/>
          <w:sz w:val="24"/>
          <w:szCs w:val="24"/>
        </w:rPr>
        <w:t xml:space="preserve"> </w:t>
      </w:r>
      <w:r w:rsidRPr="0087437A">
        <w:rPr>
          <w:rFonts w:ascii="Times New Roman" w:eastAsia="Times New Roman" w:hAnsi="Times New Roman" w:cs="Times New Roman"/>
          <w:sz w:val="24"/>
          <w:szCs w:val="24"/>
        </w:rPr>
        <w:t>ustawie z dnia 29 września 1994 r. o rachunkowości (Dz. U. z 2019 r. poz. 351, z późn. zm.), dochowanie terminu określonego w art. 9 ust. 13 ustawy z dnia 8 grudnia 2006 r. o Polskiej Agencji Żeglugi Powietrznej (Dz. U. z 2017 r. poz. 1967, z późn. zm.) nie będzie możliwe. Stąd też istnieje konieczność skorelowania terminu na</w:t>
      </w:r>
      <w:r w:rsidR="00425CB2">
        <w:rPr>
          <w:rFonts w:ascii="Times New Roman" w:eastAsia="Times New Roman" w:hAnsi="Times New Roman" w:cs="Times New Roman"/>
          <w:sz w:val="24"/>
          <w:szCs w:val="24"/>
        </w:rPr>
        <w:t xml:space="preserve"> </w:t>
      </w:r>
      <w:r w:rsidRPr="0087437A">
        <w:rPr>
          <w:rFonts w:ascii="Times New Roman" w:eastAsia="Times New Roman" w:hAnsi="Times New Roman" w:cs="Times New Roman"/>
          <w:sz w:val="24"/>
          <w:szCs w:val="24"/>
        </w:rPr>
        <w:t xml:space="preserve">przedstawienie przez Prezesa Polskiej Agencji Żeglugi Powietrznej Prezesowi Urzędu Lotnictwa Cywilnego do zaopiniowania sprawozdania finansowego Agencji (wraz ze sprawozdaniem z badania) oraz rocznego sprawozdania z działalności Agencji, z ewentualnym nowym terminem zatwierdzenia sprawozdania finansowego. </w:t>
      </w:r>
      <w:r w:rsidRPr="0087437A">
        <w:rPr>
          <w:rFonts w:ascii="Times New Roman" w:eastAsia="Calibri" w:hAnsi="Times New Roman" w:cs="Times New Roman"/>
          <w:sz w:val="24"/>
          <w:szCs w:val="24"/>
        </w:rPr>
        <w:t xml:space="preserve">Z powyższych względów w art. 15zzzzlb </w:t>
      </w:r>
      <w:r w:rsidR="004A5A31" w:rsidRPr="0087437A">
        <w:rPr>
          <w:rFonts w:ascii="Times New Roman" w:eastAsia="Calibri" w:hAnsi="Times New Roman" w:cs="Times New Roman"/>
          <w:sz w:val="24"/>
          <w:szCs w:val="24"/>
        </w:rPr>
        <w:t xml:space="preserve">ustawy COVID-19 </w:t>
      </w:r>
      <w:r w:rsidRPr="0087437A">
        <w:rPr>
          <w:rFonts w:ascii="Times New Roman" w:eastAsia="Calibri" w:hAnsi="Times New Roman" w:cs="Times New Roman"/>
          <w:sz w:val="24"/>
          <w:szCs w:val="24"/>
        </w:rPr>
        <w:t>z</w:t>
      </w:r>
      <w:r w:rsidRPr="0087437A">
        <w:rPr>
          <w:rFonts w:ascii="Times New Roman" w:eastAsia="Times New Roman" w:hAnsi="Times New Roman" w:cs="Times New Roman"/>
          <w:sz w:val="24"/>
          <w:szCs w:val="24"/>
        </w:rPr>
        <w:t>aproponowano, aby następowało to najpóźniej miesiąc przed upływem terminu na zatwierdzenie sprawozdania finansowego, co będzie spójne z dziś już obowiązującym terminem ujętym w art. 9 ust. 13 ustawy z dnia 8 grudnia 2006 r. o Polskiej Agencji Żeglugi Powietrznej.</w:t>
      </w:r>
    </w:p>
    <w:p w14:paraId="007C4F2C" w14:textId="77777777" w:rsidR="00A94A60" w:rsidRPr="0087437A" w:rsidRDefault="00A94A60" w:rsidP="0043695F">
      <w:pPr>
        <w:spacing w:after="12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Propozycja zawarta w art. 15zzzzlc </w:t>
      </w:r>
      <w:r w:rsidR="004A5A31" w:rsidRPr="0087437A">
        <w:rPr>
          <w:rFonts w:ascii="Times New Roman" w:eastAsia="Calibri" w:hAnsi="Times New Roman" w:cs="Times New Roman"/>
          <w:sz w:val="24"/>
          <w:szCs w:val="24"/>
        </w:rPr>
        <w:t xml:space="preserve">ustawy COVID-19 </w:t>
      </w:r>
      <w:r w:rsidRPr="0087437A">
        <w:rPr>
          <w:rFonts w:ascii="Times New Roman" w:eastAsia="Calibri" w:hAnsi="Times New Roman" w:cs="Times New Roman"/>
          <w:sz w:val="24"/>
          <w:szCs w:val="24"/>
        </w:rPr>
        <w:t>dotyczy koordynacji rozkładów lotów. Biorąc pod uwagę obecną sytuację ograniczeń w ruchu, wynikającą z działań poszczególnych państw jak i samych przewoźników lotniczych, należy wziąć pod uwagę, iż lotniska, na których wprowadzona została koordynacja rozkładów lotów, mogą nie wykazywać w obecnym okresie, a także przez okres odbudowywania ruchu lotniczego problemów z przepustowością, które uzasadniały wprowadzenie na tych lotniskach koordynacji rozkładów lotów. Tym samym, wydaje się uzasadnione, aby na ten czas możliwe było czasowe zawieszenie koordynacji rozkładów lotów. Przedmiotowa zmiana mogłaby być przeprowadzana na wniosek zarządzającego lotniskiem użytku publicznego, po uzgodnieniu takiego zawieszenia z komitetem koordynacyjnym działającym na danym lotnisku i koordynatorem. Procedura zmiany zakładałaby także przyspieszone, korespondencyjne konsultacje z przewoźnikami lotniczymi. Ze względu na niemożliwy do ustalenia z góry okres trwania zawieszenia należy określić również przepisy pozwalające na zachowanie ciągłości koordynacji rozkładów lotów w okresie zawieszenia, a w szczególności ciągłość wykonywania działalności przez koordynatora rozkładów lotów (w zakresie zapewnienia pokrywania kosztów jego funkcjonowania) oraz zachowanie praw historycznych przewoźników lotniczych w odniesieniu do przydzielonych im przed okresem zawieszenia koordynacji rozkładów lotów czasów na start lub lądowanie. Wskazane jest również opisanie procedur zniesienia zawieszenia koordynacji rozkładów lotów. Należy zauważyć, że zgodnie z rozporządzeniem Parlamentu Europejskiego i Rady (UE) 2020/459 z dnia 30 marca 2020 r. zmieniającym rozporządzenie (EWG) nr 95/93 w sprawie wspólnych zasad przydzielania czasu na start lub lądowanie w portach lotniczych Wspólnoty (Dz. Urz. UE L 99 z 31.03.2020, str. 1, z późn. zm.) oraz rozporządzeniem delegowanym Komisji (UE) 2020/1477 z dnia 14 października 2020 r. zmieniającym rozporządzenie Rady (EWG) nr 95/93 w odniesieniu do tymczasowego przedłużenia obowiązywania nadzwyczajnych środków w celu zaradzenia skutkom pandemii COVID-19</w:t>
      </w:r>
      <w:r w:rsidRPr="0087437A">
        <w:t xml:space="preserve"> (</w:t>
      </w:r>
      <w:r w:rsidRPr="0087437A">
        <w:rPr>
          <w:rFonts w:ascii="Times New Roman" w:eastAsia="Calibri" w:hAnsi="Times New Roman" w:cs="Times New Roman"/>
          <w:sz w:val="24"/>
          <w:szCs w:val="24"/>
        </w:rPr>
        <w:t>Dz. Urz. UE L 338 z 15.10.2020, str. 4), historyczność czasów na start i lądowanie dla przewoźników lotniczych jest zachowana na sezony Lato 2020 i Zima 2020/2021. Komisja Europejska planuje również kolejne zmiany rozporządzenia Rady (EWG) nr 95/93 z dnia 18 stycznia 1993 r. w sprawie wspólnych zasad przydzielania czasu na start lub lądowanie w portach lotniczych Wspólnoty (Dz. Urz. UE L 14 z 22.01.1993, str. 1, z późn. zm.), mające na celu załagodzenie skutków epidemii COVID-19, natomiast ww. rozporządzenia ani planowane zmiany nie wprowadzają możliwości zawieszenia koordynacji rozkładów lotów w przypadku, gdy spadek ruchu w porcie lotniczym to uzasadnia. Tym samym wprowadzenie wyżej opisanych przepisów do prawa krajowego będzie stanowiło kolejną i szerszą możliwość ograniczenia skutków wystąpienia epidemii w koordynowanych portach lotniczych.</w:t>
      </w:r>
    </w:p>
    <w:p w14:paraId="3BF5F7CB"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Ponieważ w okresie obowiązywania stanu zagrożenia epidemicznego albo stanu epidemii mogą występować ograniczenia w przemieszczaniu się oraz kontaktowaniu, które uniemożliwiają wykonywanie inspekcji statków powietrznych, w ramach sprawdzenia zdatności do lotu statków powietrznych w przypadku odnowienia pozwolenia na wykonywanie lotów w kategorii specjalnej albo świadectwa zdatności do lotu,</w:t>
      </w:r>
      <w:r w:rsidRPr="0087437A" w:rsidDel="00137045">
        <w:rPr>
          <w:rFonts w:ascii="Times New Roman" w:hAnsi="Times New Roman" w:cs="Times New Roman"/>
          <w:sz w:val="24"/>
          <w:szCs w:val="24"/>
        </w:rPr>
        <w:t xml:space="preserve"> </w:t>
      </w:r>
      <w:r w:rsidRPr="0087437A">
        <w:rPr>
          <w:rFonts w:ascii="Times New Roman" w:hAnsi="Times New Roman" w:cs="Times New Roman"/>
          <w:sz w:val="24"/>
          <w:szCs w:val="24"/>
        </w:rPr>
        <w:t xml:space="preserve">w art. 15zzzzld </w:t>
      </w:r>
      <w:r w:rsidR="00D93A7B"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 xml:space="preserve">proponuje się wprowadzić możliwość </w:t>
      </w:r>
      <w:r w:rsidRPr="0087437A">
        <w:rPr>
          <w:rFonts w:ascii="Times New Roman" w:hAnsi="Times New Roman" w:cs="Times New Roman"/>
          <w:iCs/>
          <w:sz w:val="24"/>
          <w:szCs w:val="24"/>
        </w:rPr>
        <w:t xml:space="preserve">odroczenia odnowienia pozwolenia na wykonywanie lotów w kategorii specjalnej albo świadectwa zdatności do lotu i tym samym zezwolenie na użytkowanie statku powietrznego na okres nie dłuższy niż 6 miesięcy przy spełnieniu jednak warunków gwarantujących bezpieczeństwo ich eksploatacji. Ograniczenia takie mogą występować w szczególności w przypadku konieczności wykonania inspekcji na statkach powietrznych bazujących poza granicami RP, gdzie dodatkowo mogą występować obostrzenia w postaci np. obowiązkowej kwarantanny. Przepis umożliwia podjęcie działań analogicznych do możliwości udzielania tymczasowych zwolnień zgodnie z rozporządzeniem Parlamentu Europejskiego i Rady (UE) 2018/1139 z dnia 4 lipca 2018 r. w sprawie wspólnych zasad w dziedzinie lotnictwa cywilnego i utworzenia Agencji Unii Europejskiej ds. Bezpieczeństwa Lotniczego oraz zmieniającym rozporządzenia Parlamentu Europejskiego i Rady (WE) nr 2111/2005, (WE) nr 1008/2008, (UE) nr 996/2010, (UE) nr 376/2014 i dyrektywy Parlamentu Europejskiego i Rady 2014/30/UE i 2014/53/UE, a także uchylającym rozporządzenia Parlamentu Europejskiego i Rady (WE) nr 552/2004 i (WE) nr 216/2008 i rozporządzenie Rady (EWG) nr 3922/91 (Dz. Urz. UE L 212 z 22.08.2018, str. 1) dla statków powietrznych objętych pod nadzorem Agencji Unii Europejskiej ds. Bezpieczeństwa Lotniczego (EASA). W przepisach ustawy z dnia 3 lipca 2002 r - Prawo lotnicze nie ma przepisów, które umożliwiałyby takie działanie wobec statków powietrznych nieobjętych nadzorem EASA, do którego mają zastosowanie przepisy ww. ustawy. </w:t>
      </w:r>
      <w:r w:rsidRPr="0087437A">
        <w:rPr>
          <w:rFonts w:ascii="Times New Roman" w:hAnsi="Times New Roman" w:cs="Times New Roman"/>
          <w:sz w:val="24"/>
          <w:szCs w:val="24"/>
        </w:rPr>
        <w:t>Ważność dokumentów nie będzie więc automatycznie przedłużana, ale użytkownicy statków powietrznych będą mogli ubiegać się o uzyskanie odroczenia odnowienia ich ważności w drodze decyzji Prezesa Urzędu Lotnictwa Cywilnego.</w:t>
      </w:r>
    </w:p>
    <w:p w14:paraId="662FF20C" w14:textId="77777777" w:rsidR="00A94A60" w:rsidRPr="0087437A" w:rsidRDefault="00A94A60"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Rozwiązanie zaproponowane w art. 15zzzzle </w:t>
      </w:r>
      <w:r w:rsidR="00D93A7B" w:rsidRPr="0087437A">
        <w:rPr>
          <w:rFonts w:ascii="Times New Roman" w:eastAsia="Calibri" w:hAnsi="Times New Roman" w:cs="Times New Roman"/>
          <w:sz w:val="24"/>
          <w:szCs w:val="24"/>
        </w:rPr>
        <w:t xml:space="preserve">ustawy COVID-19 </w:t>
      </w:r>
      <w:r w:rsidRPr="0087437A">
        <w:rPr>
          <w:rFonts w:ascii="Times New Roman" w:eastAsia="Calibri" w:hAnsi="Times New Roman" w:cs="Times New Roman"/>
          <w:sz w:val="24"/>
          <w:szCs w:val="24"/>
        </w:rPr>
        <w:t>jest rozwiązaniem analogicznym do obowiązującego przy kontrolach przedsiębiorców – art. 51 ust. 3 i 3a ustawy z dnia 6 marca 2018 r. – Prawo przedsiębiorców (Dz. U. z 2019 r. poz. 1292, z późn. zm.). Jego wprowadzenie do wszelkich kontroli przeprowadzanych przez Prezesa Urzędu Lotnictwa Cywilnego jest jednak niezbędne, bowiem Prezes Urzędu Lotnictwa Cywilnego przeprowadza kontrole nie tylko w podmiotach będących przedsiębiorcami, ale i takich które przedsiębiorcami nie są (kontrole podmiotów nieprowadzących działalności gospodarczej czy kontrole osób fizycznych).</w:t>
      </w:r>
    </w:p>
    <w:p w14:paraId="5865B0B7" w14:textId="77777777" w:rsidR="00A94A60" w:rsidRPr="0087437A" w:rsidRDefault="00A94A60" w:rsidP="0043695F">
      <w:pPr>
        <w:spacing w:after="120" w:line="360" w:lineRule="auto"/>
        <w:jc w:val="both"/>
        <w:rPr>
          <w:rFonts w:ascii="Times New Roman" w:hAnsi="Times New Roman" w:cs="Times New Roman"/>
          <w:sz w:val="24"/>
          <w:szCs w:val="24"/>
        </w:rPr>
      </w:pPr>
      <w:r w:rsidRPr="0087437A">
        <w:rPr>
          <w:rFonts w:ascii="Times New Roman" w:eastAsia="Calibri" w:hAnsi="Times New Roman" w:cs="Times New Roman"/>
          <w:sz w:val="24"/>
          <w:szCs w:val="24"/>
        </w:rPr>
        <w:t>Wprowadzone zmiany mają na celu uelastycznienie sposobu dokonywania przez Prezesa Urzędu Lotnictwa Cywilnego kontroli w podmiotach kontrolowanych w okresie obowiązującego stanu zagrożenia epidemicznego albo stanu epidemii. Zaproponowane przepisy dają możliwość dokonywania kontroli zdalnej w sytuacji, kiedy może to usprawnić przeprowadzenie kontroli, pozwalając jednocześnie na</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zachowanie dystansu społecznego, który z uwagi na rozprzestrzenianie się choroby zakaźnej w chwili obecnej jest niezwykle istotny. Kontrole zdalne pozwalają natomiast na zdecydowane ograniczenie kontaktów międzyludzkich, a to z kolei eliminuje ryzyko związane z szerzeniem się chorób zakaźnych. Zmiany te wychodzą zarazem naprzeciw postulatom zniesienia uciążliwości w funkcjonowaniu kontrolowanego podmiotu w czasie prowadzonej kontroli, a zarazem dają możliwość przyspieszenia postępowań poprzez wykorzystanie postępu technicznego wpływającego na upowszechnianie rozwiązań służących porozumiewaniu się na odległość.</w:t>
      </w:r>
    </w:p>
    <w:p w14:paraId="50394E12"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W art. 15zzzzlf</w:t>
      </w:r>
      <w:r w:rsidR="00D93A7B" w:rsidRPr="0087437A">
        <w:rPr>
          <w:rFonts w:ascii="Times New Roman" w:hAnsi="Times New Roman" w:cs="Times New Roman"/>
          <w:sz w:val="24"/>
          <w:szCs w:val="24"/>
        </w:rPr>
        <w:t xml:space="preserve"> </w:t>
      </w:r>
      <w:r w:rsidR="00D93A7B"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zakłada się wprowadzenie przepisu umożliwiającego składanie do akt spraw prowadzonych przez Prezesa Urzędu Lotnictwa Cywilnego na podstawie art. 37, 46 i 53 ustawy z dnia 3 lipca 2002 r. – Prawo lotnicze, tj. postępowaniach zmierzających do wydania niezbędnych dokumentów technicznych, w tym świadectwa rejestracji, świadectwa zdatności do lotu, poświadczenia przeglądu zdatności do lotu, czy też świadectwa zdatności w zakresie hałasu, kopii dokumentów w miejsce ich oryginałów lub poświadczonych za zgodność z oryginałem kopii pod warunkiem, że oryginały tych dokumentów zostaną dostarczone już po wydaniu decyzji. Obecnie art. 21a ust. 4 i 5 ustawy – Prawo lotnicze wskazuje na kategorie wniosków i dokumentów, które mogą być składane do Prezesa Urzędu Lotnictwa Cywilnego w postaci kopii.</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Zasadnym jest rozszerzenie kategorii dokumentów składanych w formie kopii przez strony postępowań, celem usprawnienia i przyspieszenia prowadzonych postępowań administracyjnych, a czasem wręcz umożliwienia wszczęcia postępowań bez konieczności wzywania strony do uzupełnienia braków formalnych w postaci doręczenia do akt sprawy oryginałów dokumentów lub poświadczonych za zgodność z oryginałem kopii.</w:t>
      </w:r>
    </w:p>
    <w:p w14:paraId="4174F077" w14:textId="30DDE0B2"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W tym zakresie wprowadzenie przepisu wskazującego, że wszystkie dokumenty przedkładane przez stronę we wskazanych powyżej postępowaniach mogą być w formie kopii, a strona obowiązana będzie do przedłożenia Prezesowi Urzędu Lotnictwa Cywilnego oryginału lub potwierdzonej za zgodność z oryginałem kopii w terminie 30 dni od doręczenia jej decyzji, pod rygorem jej cofnięcia przede wszystkim umożliwi Prezesowi Urzędu Lotnictwa Cywilnego wydanie decyzji administracyjnej w oparciu o kopie w sytuacjach, które z uwagi na obowiązujący stan epidemii, jak i światowej pan</w:t>
      </w:r>
      <w:bookmarkStart w:id="0" w:name="_GoBack"/>
      <w:bookmarkEnd w:id="0"/>
      <w:r w:rsidRPr="0087437A">
        <w:rPr>
          <w:rFonts w:ascii="Times New Roman" w:hAnsi="Times New Roman" w:cs="Times New Roman"/>
          <w:sz w:val="24"/>
          <w:szCs w:val="24"/>
        </w:rPr>
        <w:t xml:space="preserve">demii </w:t>
      </w:r>
      <w:r w:rsidR="00733FF2" w:rsidRPr="0087437A">
        <w:rPr>
          <w:rFonts w:ascii="Times New Roman" w:hAnsi="Times New Roman" w:cs="Times New Roman"/>
          <w:sz w:val="24"/>
          <w:szCs w:val="24"/>
        </w:rPr>
        <w:t>C</w:t>
      </w:r>
      <w:r w:rsidR="00733FF2">
        <w:rPr>
          <w:rFonts w:ascii="Times New Roman" w:hAnsi="Times New Roman" w:cs="Times New Roman"/>
          <w:sz w:val="24"/>
          <w:szCs w:val="24"/>
        </w:rPr>
        <w:t>OVID</w:t>
      </w:r>
      <w:r w:rsidRPr="0087437A">
        <w:rPr>
          <w:rFonts w:ascii="Times New Roman" w:hAnsi="Times New Roman" w:cs="Times New Roman"/>
          <w:sz w:val="24"/>
          <w:szCs w:val="24"/>
        </w:rPr>
        <w:t>-19, inaczej nie mogłyby zostać wydane. Strona nie miałaby bowiem możliwości doręczenia w stosunkowo krótkim czasie do organu oryginału wymaganych dokumentów lub poświadczonej za zgodność z oryginałem kopii z uwagi na obostrzenia związane z zakazami przemieszczania się, w tym zwłaszcza zakazami lotów międzynarodowych. Dla przykładu wskazać można na obowiązujące w Stanach Zjednoczonych przepisy podatkowe, zgodnie z którymi po wydaniu przez nadzór amerykański (FAA) oświadczenia, o którym mowa w 21.A.174 lit. b ppkt 2 rozporządzenia Komisji (UE) nr 748/2012 z dnia 3 sierpnia 2012 r. ustanawiającego przepisy wykonawcze dotyczące certyfikacji statków powietrznych i związanych z nimi wyrobów, części i akcesoriów w zakresie zdatności do lotu i ochrony środowiska oraz dotyczące certyfikacji organizacji projektujących i produkujących (Dz. Urz. UE L 224 z 21.08.2012, str. 1, z późn. zm.), niezbędnym jest, aby statek powietrzny, dla którego wydane zostało to oświadczenie, opuścił Stany Zjednoczone w bardzo krótkim czasie. Brak jest zatem możliwości w ciągu tego okresu, mając na uwadze istniejące, a także ewentualne przyszłe obostrzenia epidemiczne, jak również związane z tym starania, by w miarę możliwości ograniczyć kontakty międzyludzkie i przekazać „oświadczenia o zgodności” Prezesowi Urzędu Lotnictwa Cywilnego w oryginale lub w poświadczonej za zgodność z oryginałem kopii. Analogiczny problem dotyczy potwierdzenia uzyskania tytułu prawnego do dysponowania statkiem powietrznym (tzw. „bill of sale”) niezbędnego do wydania świadectwa rejestracji zgodnie z art. 37 ust. 3 pkt 3 i ust. 5 ustawy z dnia 3 lipca 2002 r. – Prawo lotnicze. Problemy takie wyniknęły obecnie przy dostarczeniu dwóch statków powietrznych Boeing 787 Dreamliner dla narodowego przewoźnika lotniczego Polskie Linie Lotnicze LOT. Prezesowi Urzędu Lotnictwa Cywilnego wiadomym jest, że podobne sytuacje wynikną przy dostarczaniu statków powietrznych dla innych polskich przewoźników lotniczych. Stąd, aby umożliwić m. in. statkom powietrznym, które znajdują się poza granicami RP, a które zostały nabyte, czy też wyleasingowane przez stronę, ich przylot do Polski, koniecznym jest wprowadzenie zawnioskowanej zmiany. Statek powietrzny bowiem nie może lecieć bez wpisu do rejestru statków powietrznych, a także bez odpowiednich dokumentów poświadczających zdatność do lotu. Jednocześnie z uwagi na to, że przedkładane dokumenty są niezwykle istotne z punktu widzenia bezpieczeństwa lotów, a także wykazania prawa własności statku powietrznego i ewentualnych nadużyć z nim związanych, koniecznym jest to, aby w rezultacie Prezesowi Urzędu Lotnictwa Cywilnego zostały przedłożone oryginały lub potwierdzone za zgodność z oryginałem kopie tych dokumentów. Trzeba bowiem mieć względzie fakt, że dokumenty tj. świadectwo zdatności do lotu czy świadectwo rejestracji statku powietrznego nie są dokumentami, w oparciu o które odbywa się jeden lot, np. w celu przylotu na terytorium RP. Są to bowiem dokumenty, których obecność na pokładzie wymagana jest podczas wykonywania każdego lotu. Ponadto, projektowany przepis zapewni możliwość zebrania pełnego materiału dowodowego w ramach prowadzonych spraw i służyć będzie realizacji zasady szybkości postępowania, zasady prawdy obiektywnej, zasady proporcjonalności oraz zasady wysłuchania strony. Dodatkowo zaproponowana regulacja stanowić będzie rozwiązanie zapewniające stronom prowadzonych postępowań czynny udział w prowadzonych sprawach w postaci umożliwienia im składania dokumentów także w formie kopii.</w:t>
      </w:r>
    </w:p>
    <w:p w14:paraId="3E39DC99"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Propozycja zawarta w art. 15zzzzlg </w:t>
      </w:r>
      <w:r w:rsidR="00D93A7B"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 xml:space="preserve">wprowadzana na okoliczność obowiązywania stanu zagrożenia epidemicznego albo stanu epidemii i związanych z tym ograniczeń w przemieszczaniu się oraz komunikacji, w szczególności w ruchu międzynarodowym, ma umożliwić przebazowanie statków powietrznych z fabryki albo baz obsługowych do kraju. Zgodnie z pkt NCC.GEN.140 załącznika VI do rozporządzenia Komisji (UE) nr 965/2012 z dnia 5 października 2012 r. ustanawiającego wymagania techniczne i procedury administracyjne odnoszące się do operacji lotniczych zgodnie z rozporządzeniem Parlamentu Europejskiego i Rady (WE) nr 216/2008 (Dz. Urz. UE L 296 z 25.10.2012, str. 1, z późn. zm.) podczas każdego lotu na pokładzie statku powietrznego objętego nadzorem EASA znajdują się oryginały świadectwa rejestracji, świadectwa zdatności do lotu oraz świadectwa zdatności w zakresie hałasu. Jednak na zasadzie odstępstwa od art. 5 ww. rozporządzenia, zgodnie z jego art. 6 ust. 3, loty bez przewożenia pasażerów lub ładunku, wykonywane w celu przebazowania samolotu lub śmigłowca na potrzeby remontu, naprawy, obsługi technicznej, inspekcji, dostawy, eksportu lub inne podobne potrzeby wykonuje się w zgodnie z wymaganiami określonymi w prawie krajowym państwa członkowskiego. Wykonywanie takich lotów regulują przepisy art. 158 ust. 3a do ust. 4 ustawy z dnia 3 lipca 2002 r. – Prawo lotnicze oraz przepisy dotyczące wykonywania operacji lotniczych wydane na podstawie art. 159 ust. 1 tej ustawy. Niniejsze rozwiązanie pozwoli na loty takich statków powietrznych nie z oryginałami świadectwa rejestracji, świadectwa zdatności do lotu oraz świadectwa zdatności w zakresie hałasu, lecz z odpisami ww. dokumentów poświadczonymi przez Prezesa Urzędu Lotnictwa Cywilnego elektronicznie przy użyciu kwalifikowanego podpisu elektronicznego zgodnie z rozwiązaniem przewidzianym w art. 76a § 2a KPA. </w:t>
      </w:r>
    </w:p>
    <w:p w14:paraId="4CD0AB7A"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W odniesieniu do propozycji dodania art. 15zzzzlh </w:t>
      </w:r>
      <w:r w:rsidR="00D93A7B"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należy zauważyć, że w</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aktualnym stanie epidemii znaczącej redukcji uległy możliwości prowadzenia przez Urząd Lotnictwa Cywilnego (ULC) w jego siedzibie w Warszawie państwowych egzaminów teoretycznych zmierzających do wydania licencji lotniczych. W takim stanie rzeczy, zasadne jest wprowadzenie czasowych regulacji, zapewniających formalną i faktyczną możliwość prowadzenia ww. egzaminów, celem zapewnienia utrzymania odpowiedniej liczby personelu lotniczego. Aktualnie obowiązujące przepisy stanowią, iż prowadzenie teoretycznych egzaminów państwowych na licencje pilotów możliwe jest jedynie w ramach infrastruktury zapewnionej w siedzibie ULC. Mając na uwadze ograniczenia prawne związane z reżimem sanitarnym, prowadzenie tych egzaminów przy zmniejszonych wolumenach osobowych (zarówno osób obsługujących sesje egzaminacyjne, jak i liczby zdających, mogących faktycznie odbyć egzamin w tym samym czasie), niezbędnym jest wprowadzenie rozwiązań tymczasowych, zapewniających utrzymanie minimalnego wymaganego poziomu bezpieczeństwa, przy jednoczesnym niepowiększaniu ekspozycji personelu na ryzyko epidemiczne, poprzez rozłożenie skupiska zdających na kilka mniejszych grup umiejscowionych na różnych obszarach Rzeczypospolitej Polskiej. Optymalnym rozwiązaniem w ocenie projektodawcy wydaje się zatem wprowadzenie możliwości przeprowadzania egzaminów teoretycznych dla części personelu lotniczego</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 xml:space="preserve">w siedzibie innych niż ULC podmiotów, którymi mogą być np. organizacje szkolenia lotniczego, spełniające odpowiednie wymagania techniczne (infrastrukturalne, sprzętowe) oraz prawne (przepisy UE, RODO, wytyczne ULC). Urząd Lotnictwa Cywilnego posiada doświadczenie z przeszłości oraz obecne w ramach m.in. współpracy z organizacjami szkolenia lotniczego pozostającymi jednocześnie uczelniami wyższymi, kształcącymi przyszłych pilotów, takimi jak LAW w Dęblinie, PWSZ Chełm, OKL Politechniki Rzeszowskiej czy Politechnika Poznańska w zakresie przeprowadzania poza siedzibą ULC egzaminów językowych dla personelu lotniczego (KSEJ – Krajowy System Egzaminów Językowych). Zaprezentowane w projekcie przepisy określające minimalne wymagania techniczne oraz prawne, jakie obowiązany będzie spełniać podmiot, w którym będą przeprowadzane egzaminy, uwzględniają m.in. dotychczasową praktykę oraz treść porozumień dwustronnych zawartych w ramach współpracy Prezesa Urzędu Lotnictwa Cywilnego z ww. uczelniami, w których odbywają się egzaminy językowe. Czerpiąc z tych sprawdzonych wzorców proponuje się konstrukcję polegającą na nieodpłatnym zapewnieniu przez zainteresowane podmioty pomieszczeń i sprzętu konicznych do przeprowadzenia części egzaminów. Przepis dotyczy wyłącznie egzaminów teoretycznych do tzw. licencji niezawodowych pilotów, tj. do licencji rekreacyjnych i turystycznych w ramach specjalności pilotów: samolotowych, śmigłowcowych, szybowcowych oraz balonowych. Powyższe nie oznacza, iż Prezes Urzędu Lotnictwa Cywilnego całkowicie zrezygnuje z przeprowadzania takich egzaminów w siedzibie ULC w sytuacji podpisania stosownego porozumienia, a stanowi jedynie alternatywę dla obecnych rozwiązań, korzystną ze względu na obostrzenia sanitarne związane z epidemią COVID-19 (dodatkowe kilka miejsc zdawania egzaminów poza Warszawą rozładuje ewentualne kolejki oraz ułatwi dojazd osób z innych/dalszych regionów Polski). Powyższe zawężenie jest możliwe, gdyż egzaminy teoretyczne do ww. licencji prowadzone są przy pomocy Krajowego Banku Pytań (KBP), opracowanego i administrowanego przez ULC, a nie jak w przypadku licencji zawodowych tzw. unijnego banku pytań ECQB, pozostającego własnością intelektualną Agencji Unii Europejskiej ds. Bezpieczeństwa Lotniczego. Pozyskanie podmiotów do nieodpłatnej współpracy nie powinno stanowić problemu, mając na względzie dobro wyższe, jakim kieruje się projektodawca oraz tymczasowość tego rozwiązania. Zaproponowano, aby przeprowadzeniem egzaminów mogły zająć się wyłącznie podmioty, z którymi Prezes Urzędu Lotnictwa Cywilnego zawrze w tym zakresie porozumienie. Porozumienie będzie zawierało szczegóły dotyczące warunków technicznych oraz administracyjnych przeprowadzania egzaminów, określało sposób weryfikacji przez Prezesa Urzędu Lotnictwa Cywilnego spełniania wymagań określonych w ustawie oraz przesłanki rozwiązania porozumienia. Nadzór nad egzaminami nadal sprawować będzie Prezes Urzędu Lotnictwa Cywilnego wg dotychczasowych zasad (software ULC + obsługa IT) oraz wymagań określonych przepisami prawa. Zmiana polegać będzie jedynie na zmianie miejsca przeprowadzania egzaminów do licencji niezawodowych do pomieszczeń znajdujących się poza siedzibą ULC, pozostających we władaniu podmiotów zainteresowanych, np. ośrodków akademickich, a także wykorzystaniu w celu przeprowadzenia egzaminów sprzętu komputerowego oraz monitorującego zapewnianego przez podmioty zainteresowane). Co do wymagań stricte technicznych w zakresie odrębnej, dedykowanej przeprowadzaniu egzaminów sali egzaminacyjnej, to wymagane jest jej wyposażenie minimum w system monitoringu oraz co najmniej 10 indywidualnych stanowisk komputerowych ze sprzętem komputerowym o poniższych parametrach: </w:t>
      </w:r>
    </w:p>
    <w:p w14:paraId="7C4F559D"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System: Windows 7 lub nowszy</w:t>
      </w:r>
      <w:r w:rsidRPr="0087437A">
        <w:rPr>
          <w:rFonts w:ascii="Times New Roman" w:hAnsi="Times New Roman" w:cs="Times New Roman"/>
          <w:sz w:val="24"/>
          <w:szCs w:val="24"/>
        </w:rPr>
        <w:tab/>
      </w:r>
    </w:p>
    <w:p w14:paraId="0A945044"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Procesor: 2 Ghz lub szybszy</w:t>
      </w:r>
    </w:p>
    <w:p w14:paraId="76D7E74A"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RAM: minimum 2GB</w:t>
      </w:r>
    </w:p>
    <w:p w14:paraId="53D0F0A0"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Miejsce na dysku: minimum 1GB wolnego</w:t>
      </w:r>
    </w:p>
    <w:p w14:paraId="11AC15F3"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Monitor z rozdzielczością 1920x1080, minimum 22”</w:t>
      </w:r>
    </w:p>
    <w:p w14:paraId="11D2CD5E"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Łącze: przepustowość od 5 Mbps symetrycznie, stacjonarne</w:t>
      </w:r>
    </w:p>
    <w:p w14:paraId="5F1D4A91"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Założenia te znajdą odzwierciedlenie w treści porozumienia. </w:t>
      </w:r>
    </w:p>
    <w:p w14:paraId="01C27818"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Ponadto w celu ochrony systemów informatycznych służących do przetwarzania danych osobowych kandydatów na egzaminy przed zagrożeniami pochodzącymi z Internetu stosuje się zabezpieczenia chroniące przed nieuprawnionym dostępem (UTM – zintegrowane, wielofunkcyjne zapory sieciowe oferujące funkcje antywirusowe, funkcje sondy wykrywającej i blokującej próby włamań, filtra treści stron internetowych, routera, VPN, translatora adresów (NAT), kontroli aplikacji oraz ochrony przed wyciekiem danych). Transmisja danych osobowych przez publiczną sieć telekomunikacyjną jest zabezpieczona środkami kryptograficznej ochrony danych.</w:t>
      </w:r>
    </w:p>
    <w:p w14:paraId="1C85D4E9"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Pandemia choroby COVID-19 spowodowała również znaczący spadek przychodów pasażerskich przewoźników kolejowych. W celu zapewnienia tym przedsiębiorcom płynności finansowej, wprowadzono nowe przepisy ustawy, które umożliwiały ministrowi właściwemu do spraw transportu przekazywania wsparcia finansowego z budżetu państwa albo z Fundusz Przeciwdziałania COVID-19 jedynie tym przewoźnikom, którzy świadczyli usługi publicznego transportu zbiorowego w transporcie kolejowym w przewozach wojewódzkich, międzywojewódzkich oraz międzynarodowych.</w:t>
      </w:r>
    </w:p>
    <w:p w14:paraId="5545BE38" w14:textId="77777777" w:rsidR="00661FC3" w:rsidRPr="0087437A" w:rsidRDefault="00661FC3" w:rsidP="0043695F">
      <w:pPr>
        <w:spacing w:after="0" w:line="360" w:lineRule="auto"/>
        <w:jc w:val="both"/>
        <w:rPr>
          <w:rFonts w:ascii="Times New Roman" w:hAnsi="Times New Roman" w:cs="Times New Roman"/>
          <w:sz w:val="24"/>
          <w:szCs w:val="24"/>
        </w:rPr>
      </w:pPr>
    </w:p>
    <w:p w14:paraId="6F9F5770"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Zmiany zaproponowane w art. art. 15zzzzl</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ust. 1 i 4 oraz w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 xml:space="preserve">1 </w:t>
      </w:r>
      <w:r w:rsidR="00661FC3"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polegają na rozszerzeniu katalogu podmiotów uprawnionych do korzystania ze wsparcia finansowego na podstawie art. 15zzzzl</w:t>
      </w:r>
      <w:r w:rsidRPr="0087437A">
        <w:rPr>
          <w:rFonts w:ascii="Times New Roman" w:hAnsi="Times New Roman" w:cs="Times New Roman"/>
          <w:sz w:val="24"/>
          <w:szCs w:val="24"/>
          <w:vertAlign w:val="superscript"/>
        </w:rPr>
        <w:t>1</w:t>
      </w:r>
      <w:r w:rsidR="00EB474A" w:rsidRPr="0087437A">
        <w:rPr>
          <w:rFonts w:ascii="Times New Roman" w:hAnsi="Times New Roman" w:cs="Times New Roman"/>
          <w:sz w:val="24"/>
          <w:szCs w:val="24"/>
        </w:rPr>
        <w:t>–</w:t>
      </w:r>
      <w:r w:rsidRPr="0087437A">
        <w:rPr>
          <w:rFonts w:ascii="Times New Roman" w:hAnsi="Times New Roman" w:cs="Times New Roman"/>
          <w:sz w:val="24"/>
          <w:szCs w:val="24"/>
        </w:rPr>
        <w:t>15zzzzl</w:t>
      </w:r>
      <w:r w:rsidRPr="0087437A">
        <w:rPr>
          <w:rFonts w:ascii="Times New Roman" w:hAnsi="Times New Roman" w:cs="Times New Roman"/>
          <w:sz w:val="24"/>
          <w:szCs w:val="24"/>
          <w:vertAlign w:val="superscript"/>
        </w:rPr>
        <w:t>4</w:t>
      </w:r>
      <w:r w:rsidRPr="0087437A">
        <w:rPr>
          <w:rFonts w:ascii="Times New Roman" w:hAnsi="Times New Roman" w:cs="Times New Roman"/>
          <w:sz w:val="24"/>
          <w:szCs w:val="24"/>
        </w:rPr>
        <w:t xml:space="preserve"> </w:t>
      </w:r>
      <w:r w:rsidR="00661FC3" w:rsidRPr="0087437A">
        <w:rPr>
          <w:rFonts w:ascii="Times New Roman" w:eastAsia="Calibri" w:hAnsi="Times New Roman" w:cs="Times New Roman"/>
          <w:sz w:val="24"/>
          <w:szCs w:val="24"/>
        </w:rPr>
        <w:t>ustawy COVID-19</w:t>
      </w:r>
      <w:r w:rsidRPr="0087437A">
        <w:rPr>
          <w:rFonts w:ascii="Times New Roman" w:hAnsi="Times New Roman" w:cs="Times New Roman"/>
          <w:sz w:val="24"/>
          <w:szCs w:val="24"/>
        </w:rPr>
        <w:t xml:space="preserve">. Aktualnie obowiązujące przepisy ograniczają beneficjentów ustawy do operatorów publicznego transportu zbiorowego w transporcie kolejowym świadczącym usługi wojewódzkich, międzywojewódzkich i międzynarodowych przewozów pasażerskich. Proponowana nowelizacja umożliwi przekazywanie wsparcia również operatorom kolejowych przewozów pasażerskich: gminnych, międzygminnych, powiatowych, międzypowiatowych, powiatowo-gminnych oraz metropolitalnych. </w:t>
      </w:r>
    </w:p>
    <w:p w14:paraId="4EEA4F82"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Zmiana zaproponowana w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3 </w:t>
      </w:r>
      <w:r w:rsidR="00661FC3" w:rsidRPr="0087437A">
        <w:rPr>
          <w:rFonts w:ascii="Times New Roman" w:eastAsia="Calibri" w:hAnsi="Times New Roman" w:cs="Times New Roman"/>
          <w:sz w:val="24"/>
          <w:szCs w:val="24"/>
        </w:rPr>
        <w:t>ustawy COVID-19</w:t>
      </w:r>
      <w:r w:rsidR="00425CB2">
        <w:rPr>
          <w:rFonts w:ascii="Times New Roman" w:eastAsia="Calibri" w:hAnsi="Times New Roman" w:cs="Times New Roman"/>
          <w:sz w:val="24"/>
          <w:szCs w:val="24"/>
        </w:rPr>
        <w:t xml:space="preserve"> </w:t>
      </w:r>
      <w:r w:rsidRPr="0087437A">
        <w:rPr>
          <w:rFonts w:ascii="Times New Roman" w:hAnsi="Times New Roman" w:cs="Times New Roman"/>
          <w:sz w:val="24"/>
          <w:szCs w:val="24"/>
        </w:rPr>
        <w:t>polega na ustawowym określeniu wsparcia udzielanego konkretnym operatorom. Zgodnie z propozycją, wysokość przekazanych środków finansowych danemu operatorowi w danym miesiącu równa jest wysokości środków finansowych przekazanych temu operatorowi w tym samym miesiącu roku 2020. Z tym, że wysokość przekazanych środków finansowych w miesiącach pierwszego kwartału jest równa wysokości środków przekazanych temu operatorowi w kwietniu 2020 r., ponieważ w pierwszym kwartale 2020 r. wsparcie nie było jeszcze udzielane. Zmiana została zaproponowana ponieważ dotychczasowe brzmienie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3 </w:t>
      </w:r>
      <w:r w:rsidR="00CE0429"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mogło odnosić się tylko do pierwszego roku pandemii COVID-19, kiedy budżety organizatorów były konstruowane bez uwzględniania pandemii. Konsekwencją zmiany treści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3 </w:t>
      </w:r>
      <w:r w:rsidR="00CE0429" w:rsidRPr="0087437A">
        <w:rPr>
          <w:rFonts w:ascii="Times New Roman" w:eastAsia="Calibri" w:hAnsi="Times New Roman" w:cs="Times New Roman"/>
          <w:sz w:val="24"/>
          <w:szCs w:val="24"/>
        </w:rPr>
        <w:t>ustawy COVID-19</w:t>
      </w:r>
      <w:r w:rsidR="00425CB2">
        <w:rPr>
          <w:rFonts w:ascii="Times New Roman" w:eastAsia="Calibri" w:hAnsi="Times New Roman" w:cs="Times New Roman"/>
          <w:sz w:val="24"/>
          <w:szCs w:val="24"/>
        </w:rPr>
        <w:t xml:space="preserve"> </w:t>
      </w:r>
      <w:r w:rsidRPr="0087437A">
        <w:rPr>
          <w:rFonts w:ascii="Times New Roman" w:hAnsi="Times New Roman" w:cs="Times New Roman"/>
          <w:sz w:val="24"/>
          <w:szCs w:val="24"/>
        </w:rPr>
        <w:t>jest uchylenie ust. 4-5 tego artykułu, nie ma bowiem potrzeby:</w:t>
      </w:r>
    </w:p>
    <w:p w14:paraId="0DF916C1"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wskazywania na konieczność pomniejszania wsparcia udzielanego na podstawie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o wsparcie otrzymane na podstawie art. 15zzzzl</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ustawy COVID-19</w:t>
      </w:r>
      <w:r w:rsidRPr="0087437A">
        <w:rPr>
          <w:rFonts w:ascii="Times New Roman" w:hAnsi="Times New Roman" w:cs="Times New Roman"/>
          <w:sz w:val="24"/>
          <w:szCs w:val="24"/>
        </w:rPr>
        <w:t>,</w:t>
      </w:r>
    </w:p>
    <w:p w14:paraId="27EAAC80"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przekazywania ministrowi kwot, które nie decydują już o wysokości otrzymywanego wsparcia (wniosek o wsparcie zostanie odpowiednio zmodyfikowany).</w:t>
      </w:r>
    </w:p>
    <w:p w14:paraId="70E881CA" w14:textId="77777777" w:rsidR="00FF5FB2" w:rsidRPr="0087437A" w:rsidRDefault="00FF5FB2" w:rsidP="0043695F">
      <w:pPr>
        <w:spacing w:after="0" w:line="360" w:lineRule="auto"/>
        <w:jc w:val="both"/>
        <w:rPr>
          <w:rFonts w:ascii="Times New Roman" w:hAnsi="Times New Roman" w:cs="Times New Roman"/>
          <w:sz w:val="24"/>
          <w:szCs w:val="24"/>
        </w:rPr>
      </w:pPr>
    </w:p>
    <w:p w14:paraId="22C813AD"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Drugi rok obowiązywania ustawy jest również powodem zmiany treści art. 15zzzzl</w:t>
      </w:r>
      <w:r w:rsidRPr="0087437A">
        <w:rPr>
          <w:rFonts w:ascii="Times New Roman" w:hAnsi="Times New Roman" w:cs="Times New Roman"/>
          <w:sz w:val="24"/>
          <w:szCs w:val="24"/>
          <w:vertAlign w:val="superscript"/>
        </w:rPr>
        <w:t>3</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ustawy COVID-19</w:t>
      </w:r>
      <w:r w:rsidRPr="0087437A">
        <w:rPr>
          <w:rFonts w:ascii="Times New Roman" w:hAnsi="Times New Roman" w:cs="Times New Roman"/>
          <w:sz w:val="24"/>
          <w:szCs w:val="24"/>
        </w:rPr>
        <w:t>. Ponownie należy bowiem założyć, że budżety organizatorów na 2021 r. uwzględniły pandemię COVID-19, a równocześnie aktualne pozostaje założenie, że wsparcie udzielane operatorom na podstawie ustawy przekazywane jest w celu minimalizowania negatywnych konsekwencji pandemii niezależnie od tego, że to organizator pozostaje wyłącznie odpowiedzialny za ofertę publicznego transportu zbiorowego.</w:t>
      </w:r>
    </w:p>
    <w:p w14:paraId="70A79FE6"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Proponowane zmiany umożliwiają udzielanie wsparcia finansowego na podstawie przepisów art. 15zzzzl</w:t>
      </w:r>
      <w:r w:rsidRPr="0087437A">
        <w:rPr>
          <w:rFonts w:ascii="Times New Roman" w:hAnsi="Times New Roman" w:cs="Times New Roman"/>
          <w:sz w:val="24"/>
          <w:szCs w:val="24"/>
          <w:vertAlign w:val="superscript"/>
        </w:rPr>
        <w:t>1</w:t>
      </w:r>
      <w:r w:rsidR="00851B42" w:rsidRPr="0087437A">
        <w:rPr>
          <w:rFonts w:ascii="Times New Roman" w:hAnsi="Times New Roman" w:cs="Times New Roman"/>
          <w:sz w:val="24"/>
          <w:szCs w:val="24"/>
        </w:rPr>
        <w:t>–</w:t>
      </w:r>
      <w:r w:rsidRPr="0087437A">
        <w:rPr>
          <w:rFonts w:ascii="Times New Roman" w:hAnsi="Times New Roman" w:cs="Times New Roman"/>
          <w:sz w:val="24"/>
          <w:szCs w:val="24"/>
        </w:rPr>
        <w:t>15zzzzl</w:t>
      </w:r>
      <w:r w:rsidRPr="0087437A">
        <w:rPr>
          <w:rFonts w:ascii="Times New Roman" w:hAnsi="Times New Roman" w:cs="Times New Roman"/>
          <w:sz w:val="24"/>
          <w:szCs w:val="24"/>
          <w:vertAlign w:val="superscript"/>
        </w:rPr>
        <w:t>4</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po dniu 31 grudnia 2020 r. Utrzymano fakultatywność wsparcia udzielanego na podstawie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ustawy COVID-19</w:t>
      </w:r>
      <w:r w:rsidRPr="0087437A">
        <w:rPr>
          <w:rFonts w:ascii="Times New Roman" w:hAnsi="Times New Roman" w:cs="Times New Roman"/>
          <w:sz w:val="24"/>
          <w:szCs w:val="24"/>
        </w:rPr>
        <w:t>, natomiast prawo do udzielania wsparcia na podstawie art. 15zzzzl</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w:t>
      </w:r>
      <w:r w:rsidR="00CE0429"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ograniczono do dnia 30 września 2020 r., z uwagi na fakt, iż limit dotacji przedmiotowej w rozdz. 60001 klasyfikacji budżetowej jest niższy niż w latach 2019-2020.</w:t>
      </w:r>
    </w:p>
    <w:p w14:paraId="69AE2267" w14:textId="77777777" w:rsidR="00FF5FB2" w:rsidRPr="0087437A" w:rsidRDefault="00FF5FB2" w:rsidP="0043695F">
      <w:pPr>
        <w:spacing w:after="0" w:line="360" w:lineRule="auto"/>
        <w:jc w:val="both"/>
        <w:rPr>
          <w:rFonts w:ascii="Times New Roman" w:hAnsi="Times New Roman" w:cs="Times New Roman"/>
          <w:sz w:val="24"/>
          <w:szCs w:val="24"/>
        </w:rPr>
      </w:pPr>
    </w:p>
    <w:p w14:paraId="586AC054"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Projektowany przepis art. 15zzzzl</w:t>
      </w:r>
      <w:r w:rsidRPr="0087437A">
        <w:rPr>
          <w:rFonts w:ascii="Times New Roman" w:hAnsi="Times New Roman" w:cs="Times New Roman"/>
          <w:sz w:val="24"/>
          <w:szCs w:val="24"/>
          <w:vertAlign w:val="superscript"/>
        </w:rPr>
        <w:t xml:space="preserve">5 </w:t>
      </w:r>
      <w:r w:rsidR="00CE0429" w:rsidRPr="0087437A">
        <w:rPr>
          <w:rFonts w:ascii="Times New Roman" w:eastAsia="Calibri" w:hAnsi="Times New Roman" w:cs="Times New Roman"/>
          <w:sz w:val="24"/>
          <w:szCs w:val="24"/>
        </w:rPr>
        <w:t xml:space="preserve">ustawy COVID-19 </w:t>
      </w:r>
      <w:r w:rsidRPr="0087437A">
        <w:rPr>
          <w:rFonts w:ascii="Times New Roman" w:hAnsi="Times New Roman" w:cs="Times New Roman"/>
          <w:sz w:val="24"/>
          <w:szCs w:val="24"/>
        </w:rPr>
        <w:t>ma na celu ograniczenie skutków pandemii wirusa SARS-CoV-2 dla przedsiębiorstw transportowych realizujących transport drogowy, w wyniku których nastąpiło drastyczne zmniejszenie liczby realizowanych przewozów i przede wszystkim przewożonych pasażerów ze względu na ograniczenia w zakresie możliwości przemieszczania się obywateli. W związku z epidemią choroby COVID-19 przedsiębiorstwa transportowe realizujące publiczny transport drogowy na podstawie zezwoleń wydanych na podstawie art. 18 ustawy z dnia 6 września 2001 r. o transporcie drogowym (Dz. U. z 2019 r. poz. 2140, z późn. zm.) jak i w oparciu o zawarte umowy na podstawie ustawy o publicznym transporcie zbiorowym z jednostkami samorządu terytorialnego, znalazły się w trudnej sytuacji ekonomicznej - z uwagi na utracone przychody ze sprzedaży. W wyniku drastycznego spadku liczby pasażerów podróżujących firmy przewozowe zmuszone są</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do zawieszania swojej działalności w zakresie świadczenia usług przewozowych. Ograniczenia w funkcjonowaniu publicznego transportu zbiorowego oraz skali strat poniesionych przez przewoźników i operatorów</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 xml:space="preserve">przewozów autobusowych o charakterze użyteczności publicznej wskazują na konieczność podjęcia pilnych działań w zakresie pomocy finansowej, która pomoże zapobiec zaprzestaniu świadczenia przez nich usług przewozowych oraz utracie płynności finansowej w związku z epidemią choroby COVID-19. W związku z powyższym, proponuje się wprowadzić mechanizm wsparcia dla przewoźników przewozów autobusowych o charakterze użyteczności publicznej w transporcie drogowym w celu umożliwienia im kontynuacji prowadzonej działalności w zakresie usług przewozowych. Proponowane przepisy zakładają przekazywanie przewoźnikom osób w transporcie drogowym środków finansowych za miesiące obowiązywania ograniczeń w przemieszczaniu się środkami publicznego transportu zbiorowego w zakresie liczby zajętych miejsc siedzących albo miejsc siedzących i stojących w stosunku do dokumentacji technicznej lub techniczno-ruchowej pojazdu </w:t>
      </w:r>
      <w:r w:rsidR="009A7271" w:rsidRPr="0087437A">
        <w:rPr>
          <w:rFonts w:ascii="Times New Roman" w:hAnsi="Times New Roman" w:cs="Times New Roman"/>
          <w:sz w:val="24"/>
          <w:szCs w:val="24"/>
        </w:rPr>
        <w:t>jednak nie dłużej niż do dnia 31 grudnia 2021 r</w:t>
      </w:r>
      <w:r w:rsidRPr="0087437A">
        <w:rPr>
          <w:rFonts w:ascii="Times New Roman" w:hAnsi="Times New Roman" w:cs="Times New Roman"/>
          <w:sz w:val="24"/>
          <w:szCs w:val="24"/>
        </w:rPr>
        <w:t>, na poziomie kwoty dopłaty do krajowych autobusowych przewozów pasażerskich, o której mowa w art. 8a ust. 2 ustawy z dnia 20 czerwca 1992 r. o uprawnieniach do ulgowych przejazdów środkami publicznego transportu zbiorowego (Dz. U. z 2018 r. poz. 295), rozliczonej za te same miesięczne okresy roku 2019, pomniejszonej o przekazane przewoźnikom autobusowym środki dopłaty, przekazanej na finansowanie utraconych przychodów w związku ze stosowaniem ustawowych uprawnień do ulgowych przejazdów za te miesiące, a operatorom na poziomie rekompensaty, o której mowa w art. 54 ust. 2 pkt 1 ustawy z dnia 16 grudnia 2010 r. o publicznym transporcie zbiorowym rozliczonej za odpowiadające im miesiące roku 2019, pomniejszonej o przekazaną tym operatorom rekompensatę na finansowanie utraconych przychodów w związku ze stosowaniem ustawowych uprawnień do ulgowych przejazdów za te miesiące. Środki finansowe przekazywane będą</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przez właściwe miejscowo samorządy województwa na podstawie złożonego wniosku. Kwota środków finansowych ustalana będzie odrębnie za każdą z utrzymanych linii komunikacyjnych za każdy miesiąc, w którym obowiązywały ograniczenia w przemieszczaniu się środkami publicznego transportu zbiorowego w zakresie liczby zajętych miejsc siedzących albo miejsc siedzących i stojących w stosunku do dokumentacji technicznej lub techniczno-ruchowej pojazdu oraz za okres 30 dni od dnia zniesienia tych ograniczeń. Przewoźnik autobusowy, w odniesieniu do przewozów autobusowych o charakterze użyteczności publicznej - organizator zobowiązany zostanie do rozliczenia otrzymanych środków finansowych w terminie 45 dni od dnia ich otrzymania. W rozliczeniu środków przedstawia się odrębnie poniesione koszty i przychody związane ze świadczeniem usług przewozu osób oraz kwotę deficytu stanowiącą różnicę między tymi pozycjami i podlegającą rozliczeniu. Kwota deficytu rozliczana będzie przez właściwie miejscowo samorząd województwa do wysokości przekazanych środków finansowych. W przypadku gdy kwota deficytu za dany miesiąc jest mniejsza od kwoty przekazanych środków finansowych, nierozliczona kwota</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podlega zwrotowi. Jednocześnie należy zaznaczyć, że środki finansowe stanowią pomoc publiczną, podlegającą notyfikacji Komisji Europejskiej. Do czasu zatwierdzenia pomocy przez Komisję Europejską, ww. środki nie będą mogły zostać wdrożone.</w:t>
      </w:r>
    </w:p>
    <w:p w14:paraId="12613A79"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Zgodnie z art. 31 ust. 3 dyrektywy Parlamentu Europejskiego i Rady 2012/34/UE z dnia 21 listopada 2012 r. w sprawie utworzenia jednolitego europejskiego obszaru kolejowego (Dz. Urz. UE L 343 z 14.12.2012, str. 32, z późn. zm.), zwanej dalej „dyrektywą 2012/34/UE”, opłaty za dostęp do infrastruktury, które mają być uiszczane na rzecz zarządcy infrastruktury, nie mogą być niższe od kosztów, które są bezpośrednio ponoszone jako rezultat przejazdu pociągu. Art. 32 ust. 1 dyrektywy 2012/34/UE umożliwia państwom członkowskim dokonywanie podwyżek, jeżeli pozwala na to kondycja rynku. Art. 36 dyrektywy 2012/34/UE przewiduje system opłat rezerwacyjnych, zgodnie z którym pobieranie tych opłat jest obowiązkowe w przypadku, gdy wnioskodawca, w tym przedsiębiorstwa kolejowe, regularnie nie wykorzystuje przyznanych tras lub ich części. Epidemia COVID-19 spowodowała poważne zakłócenia ruchu kolejowego, które doprowadziły do częstego odwoływania tras pociągów i pogorszyła kondycję niektórych segmentów rynku. Ze względu na epidemię COVID-19 uiszczanie przez przewoźników kolejowych powyższych opłat mogło okazać się niemożliwe, dlatego rozporządzenie Parlamentu Europejskiego i Rady (UE) 2020/1429 z dnia 7 października 2020 r. ustanawiające środki na rzecz zrównoważonego rynku kolejowego w związku z epidemią COVID-19 (Dz. Urz. UE L 333 z 12.10.2020, str. 1) pozwala państwom członkowskim na zezwolenie zarządcom infrastruktury kolejowej na częściowe lub całkowite uchylenie opłat lub ich odroczenie, stosowane w sposób przejrzysty, obiektywny i niedyskryminacyjny wobec wszystkich przewoźników. Wszelkie obniżki opłat mogą generować utratę dochodów po stronie zarządcy infrastruktury, która co do zasady podlega rekompensacie zgodnie z art. 8 ust. 4</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ww. dyrektywy 2012/34/UE. W związku z powyższym projektowaną ustawa dodaje się art. 15zzzzl</w:t>
      </w:r>
      <w:r w:rsidRPr="0087437A">
        <w:rPr>
          <w:rFonts w:ascii="Times New Roman" w:hAnsi="Times New Roman" w:cs="Times New Roman"/>
          <w:sz w:val="24"/>
          <w:szCs w:val="24"/>
          <w:vertAlign w:val="superscript"/>
        </w:rPr>
        <w:t>6</w:t>
      </w:r>
      <w:r w:rsidRPr="0087437A">
        <w:rPr>
          <w:rFonts w:ascii="Times New Roman" w:hAnsi="Times New Roman" w:cs="Times New Roman"/>
          <w:sz w:val="24"/>
          <w:szCs w:val="24"/>
        </w:rPr>
        <w:t>, który umożliwia zrekompensowanie negatywnych skutków finansowych, jakie odczuli zarządcy infrastruktury kolejowej podejmując działania związane z przeciwdziałaniem skutkom epidemii COVID-19, w szczególności polegające na możliwości rezygnacji z pobierania niektórych opłat od przewoźników kolejowych. Koszty te powinny być zrekompensowane ze środków Funduszu Przeciwdziałania COVID-19. Wypłata środków następować będzie w sposób określony w przepisach dotyczących funkcjonowania Funduszu Przeciwdziałania COVID-19, tj. zgodnie z art. 65 ustawy z dnia 31 marca 2020 r. o zmianie ustawy o szczególnych rozwiązaniach związanych z zapobieganiem, przeciwdziałaniem i zwalczaniem COVID-19, innych chorób zakaźnych oraz wywołanych nimi sytuacji kryzysowych oraz niektórych innych ustaw (Dz. U. poz. 568</w:t>
      </w:r>
      <w:r w:rsidR="00851B42" w:rsidRPr="0087437A">
        <w:rPr>
          <w:rFonts w:ascii="Times New Roman" w:hAnsi="Times New Roman" w:cs="Times New Roman"/>
          <w:sz w:val="24"/>
          <w:szCs w:val="24"/>
        </w:rPr>
        <w:t>, z późn. zm.</w:t>
      </w:r>
      <w:r w:rsidRPr="0087437A">
        <w:rPr>
          <w:rFonts w:ascii="Times New Roman" w:hAnsi="Times New Roman" w:cs="Times New Roman"/>
          <w:sz w:val="24"/>
          <w:szCs w:val="24"/>
        </w:rPr>
        <w:t xml:space="preserve">). </w:t>
      </w:r>
    </w:p>
    <w:p w14:paraId="370CF346"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Projektowane w przedmiotowym zakresie zmiany umożliwią</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(w zakresie uzależnionym od limitu środków przeznaczonych na wykonanie dyspozycji wprowadzonych przepisów):</w:t>
      </w:r>
    </w:p>
    <w:p w14:paraId="06DD8A91"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a) zrekompensowanie strat PKP PLK S.A. w 2020 r. z tytułu niepobierania od połowy marca br., zawieszonych opłat rezerwacyjnych za niewykorzystanie przydzielonej zdolności przepustowej z zakresie Indywidualnego i Rocznego Rozkładu Jazdy (dot. art. 33 ust. 3 ustawy z dnia 28 marca 2003 r. o transporcie kolejowym) – opłaty te zostają aktualnie przywracane ze względu na kwestie poprawy przepustowości sieci (od 7-go września br. dla IRJ oraz od nowego rozkładu jazdy w grudniu b.r. dla RRJ), </w:t>
      </w:r>
    </w:p>
    <w:p w14:paraId="7C1990BF"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b) obniżenie, po uzgodnieniu z ministrem właściwym do spraw finansów publicznych oraz ministrem właściwym do spraw transportu, stawek dostępu do infrastruktury kolejowej o max. 50 % (dot. art. 33 ust. 4 ustawy z dnia 28 marca 2003 r. o transporcie kolejowym) – przepis jest istotny zwłaszcza dla transportu pasażerskiego w okresach drastycznego zmniejszenie ruchu pociągów i ograniczenia przewozu pasażerów, związanego z obostrzeniami sanitarnymi w okresie pandemii Covid-19, </w:t>
      </w:r>
    </w:p>
    <w:p w14:paraId="7BD2F8CD"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c) niepobieranie, po uzgodnieniu z ministrem właściwym do spraw finansów publicznych oraz ministrem właściwym do spraw transportu, tzw. mark-upów w transporcie towarowym (zatwierdzonej podwyżki stawki jednostkowej), jako marży zysku zarządcy w stosunku do podstawowej stawki dostępu (dot. art. 33 ust. 6 ustawy z dnia 28 marca 2003 r. o transporcie kolejowym) – przepis ma uzasadnienie w związku z aktualną kondycją rynku kolejowego w okresie pandemii Covid-19, gdyż możliwość stosowania podwyższenia takich stawek i pobierania mark-up-ów jest wskazana w dyrektywie 2012/34/UE jako zależna od kwestii kondycji rynku.</w:t>
      </w:r>
    </w:p>
    <w:p w14:paraId="679FD5C5"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Jednocześnie należy zaznaczyć,</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że ww. środki finansowe stanowią pomoc publiczną, podlegającą notyfikacji Komisji Europejskiej. Do czasu zatwierdzenia pomocy przez Komisję Europejską, ww. środki nie będą mogły zostać wdrożone.</w:t>
      </w:r>
    </w:p>
    <w:p w14:paraId="79D8C5CC" w14:textId="77777777" w:rsidR="00EC3138" w:rsidRPr="0087437A" w:rsidRDefault="00EC3138" w:rsidP="0043695F">
      <w:pPr>
        <w:spacing w:line="360" w:lineRule="auto"/>
        <w:jc w:val="both"/>
        <w:rPr>
          <w:rFonts w:ascii="Times New Roman" w:eastAsia="Calibri" w:hAnsi="Times New Roman" w:cs="Times New Roman"/>
          <w:b/>
          <w:sz w:val="24"/>
          <w:szCs w:val="24"/>
        </w:rPr>
      </w:pPr>
    </w:p>
    <w:p w14:paraId="0C291E25" w14:textId="77777777" w:rsidR="00A94A60" w:rsidRPr="0087437A" w:rsidRDefault="00D711FF"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b/>
          <w:sz w:val="24"/>
          <w:szCs w:val="24"/>
        </w:rPr>
        <w:t xml:space="preserve">Zmiana w zakresie nadawania uprawnień inspektora ochrony radiologicznej oraz o </w:t>
      </w:r>
      <w:r w:rsidR="00E0498E" w:rsidRPr="0087437A">
        <w:rPr>
          <w:rFonts w:ascii="Times New Roman" w:eastAsia="Calibri" w:hAnsi="Times New Roman" w:cs="Times New Roman"/>
          <w:b/>
          <w:sz w:val="24"/>
          <w:szCs w:val="24"/>
        </w:rPr>
        <w:t xml:space="preserve">uprawnień </w:t>
      </w:r>
      <w:r w:rsidRPr="0087437A">
        <w:rPr>
          <w:rFonts w:ascii="Times New Roman" w:eastAsia="Calibri" w:hAnsi="Times New Roman" w:cs="Times New Roman"/>
          <w:b/>
          <w:sz w:val="24"/>
          <w:szCs w:val="24"/>
        </w:rPr>
        <w:t>do zajmowania stanowiska mającego istotne znaczenie dla zapewnienia bezpieczeństwa jądrowego i ochrony radiologicznej.</w:t>
      </w:r>
      <w:r w:rsidRPr="0087437A">
        <w:rPr>
          <w:rFonts w:ascii="Times New Roman" w:eastAsia="Calibri" w:hAnsi="Times New Roman" w:cs="Times New Roman"/>
          <w:sz w:val="24"/>
          <w:szCs w:val="24"/>
        </w:rPr>
        <w:t xml:space="preserve"> </w:t>
      </w:r>
      <w:r w:rsidR="00A94A60" w:rsidRPr="0087437A">
        <w:rPr>
          <w:rFonts w:ascii="Times New Roman" w:eastAsia="Calibri" w:hAnsi="Times New Roman" w:cs="Times New Roman"/>
          <w:sz w:val="24"/>
          <w:szCs w:val="24"/>
        </w:rPr>
        <w:t>W związku z wprowadzeniem na terytorium Rzeczypospolitej Polskiej stanu zagrożenia epidemicznego, a następnie stanu epidemii zostały wstrzymane szkolenia oraz egzaminy dla osób ubiegających się o uprawnienia inspektora ochrony radiologicznej oraz o uprawnienia do zajmowania stanowiska mającego istotne znaczenie dla zapewnienia bezpieczeństwa jądrowego i ochrony radiologicznej, nadawane na podstawie ustawy z dnia 29 listopada 2000 r. – Prawo atomowe</w:t>
      </w:r>
      <w:r w:rsidR="00FA32D2" w:rsidRPr="0087437A">
        <w:rPr>
          <w:rFonts w:ascii="Times New Roman" w:eastAsia="Calibri" w:hAnsi="Times New Roman" w:cs="Times New Roman"/>
          <w:sz w:val="24"/>
          <w:szCs w:val="24"/>
        </w:rPr>
        <w:t xml:space="preserve"> (Dz. U. z 2019 r. poz. 1792, z późn. zm.)</w:t>
      </w:r>
      <w:r w:rsidR="00A94A60" w:rsidRPr="0087437A">
        <w:rPr>
          <w:rFonts w:ascii="Times New Roman" w:eastAsia="Calibri" w:hAnsi="Times New Roman" w:cs="Times New Roman"/>
          <w:sz w:val="24"/>
          <w:szCs w:val="24"/>
        </w:rPr>
        <w:t xml:space="preserve">. </w:t>
      </w:r>
    </w:p>
    <w:p w14:paraId="20762ECF" w14:textId="77777777" w:rsidR="00A94A60" w:rsidRPr="0087437A" w:rsidRDefault="00A94A60"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Stosownie do art. 7 ust. 3 i 5 ww. ustawy uprawnienia inspektora ochrony radiologicznej uprawniają do sprawowania w jednostkach organizacyjnych wykonujących działalność związaną z narażeniem na działanie promieniowania jonizującego wewnętrznego nadzoru nad przestrzeganiem wymagań ochrony radiologicznej i bezpieczeństwa jądrowego, co ma szczególne znaczenie dla zapewnienia bezpieczeństwa w jednostkach eksploatujących obiekty jądrowe oraz w jednostkach ochrony zdrowia wykonujących ekspozycje medyczne. Uprawnienia te nadawane są na okres 5 lat, a sprawowanie wewnętrznego nadzoru nad działalnością jednostki przez inspektora ochrony radiologicznej jest warunkiem bez którego spełnienia jednostka organizacyjna nie może prowadzić działalności związanej z narażeniem na promieniowanie jonizujące.</w:t>
      </w:r>
    </w:p>
    <w:p w14:paraId="70EE8BF8" w14:textId="77777777" w:rsidR="00A94A60" w:rsidRPr="0087437A" w:rsidRDefault="00A94A60"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Przepis art. 12 ust. 1 ustawy – Prawo atomowe stanowi podstawę nadawania uprawnień do zajmowania stanowiska mającego</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xml:space="preserve">istotne znaczenie dla zapewnienia bezpieczeństwa jądrowego i ochrony radiologicznej. Stanowisko to obejmuje szereg specjalności takich jak między innymi operator reaktora badawczego, operator przechowalnika wypalonego paliwa jądrowego, operator akceleratora stosowanego do celów medycznych oraz urządzeń do teleradioterapii, operator urządzeń do brachyterapii ze źródłami promieniotwórczymi. Uprawnienia te co do zasady nadawane są na okres 5 lat, a w obiektach jądrowych na 3 lata. Bez ich posiadania nie jest możliwe zajmowanie ww. stanowisk i obsługa specjalistycznych źródeł promieniowania jonizującego. </w:t>
      </w:r>
    </w:p>
    <w:p w14:paraId="0A7CA1F5" w14:textId="77777777" w:rsidR="00A94A60" w:rsidRPr="0087437A" w:rsidRDefault="00A94A60"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Przepis art. 15zzzzn ustawy COVID-19, który przedłużył o 9 miesięcy ważność wygasających w okresie obowiązywania stanu zagrożenia epidemicznego albo stanu epidemii albo w okresie 30 dni następujących po ich odwołaniu uprawnień inspektorów ochrony radiologicznej oraz uprawnień do zajmowania stanowiska mającego istotne znaczenie dla zapewnienia bezpieczeństwa jądrowego i ochrony radiologicznej, wszedł w życie z dniem 31 marca 2020 r. Ma on bardzo istotne znaczenie dla zapewniania ciągłości pracy jednostek organizacyjnych wykonujących działalność związaną z promieniowaniem jonizującym, a zwłaszcza polskich obiektów jądrowych (w tym reaktora badawczego Maria produkującego radiofarmaceutyki na potrzeby onkologii) oraz jednostek ochrony zdrowia (w tym szpitali onkologicznych prowadzących ekspozycje medyczne, w szczególności w ramach radioterapii). W związku z tym, że stan zagrożenia epidemicznego został wprowadzony z dniem 14 marca 2020 r. (rozporządzenie Ministra Zdrowia z dnia 13 marca 2020 r. w sprawie ogłoszenia na obszarze Rzeczypospolitej Polskiej stanu zagrożenia epidemicznego, Dz. U. poz. 433, z późn. zm.), a stan epidemii na terenie Rzeczypospolitej Polskiej, który został wprowadzony rozporządzeniem Ministra Zdrowia z dnia 20 marca 2020 r. w sprawie ogłoszenia na obszarze Rzeczypospolitej Polskiej stanu epidemii (Dz. U. poz. 491, z późn. zm.) wciąż obowiązuje, istnieje niebezpieczeństwo, że przedłużone uprawnienia zaczną wygasać. Z uwagi na spowodowaną wprowadzonymi obostrzeniami dotyczącymi zgromadzeń niemożność organizowania egzaminów dla tych osób nie będzie możliwe nadanie im uprawnień na kolejny pięcioletni albo trzyletni okres wynikający z art. 7 ust. 9 i art. 12 ust. 3 ustawy z dnia 29 listopada 2000 r. – Prawo atomowe.</w:t>
      </w:r>
    </w:p>
    <w:p w14:paraId="6A5DE707" w14:textId="77777777" w:rsidR="00A94A60" w:rsidRPr="0087437A" w:rsidRDefault="00A94A60" w:rsidP="0043695F">
      <w:pPr>
        <w:spacing w:line="360" w:lineRule="auto"/>
        <w:jc w:val="both"/>
        <w:rPr>
          <w:rFonts w:ascii="Times New Roman" w:hAnsi="Times New Roman" w:cs="Times New Roman"/>
          <w:sz w:val="24"/>
          <w:szCs w:val="24"/>
        </w:rPr>
      </w:pPr>
      <w:r w:rsidRPr="0087437A">
        <w:rPr>
          <w:rFonts w:ascii="Times New Roman" w:eastAsia="Calibri" w:hAnsi="Times New Roman" w:cs="Times New Roman"/>
          <w:sz w:val="24"/>
          <w:szCs w:val="24"/>
        </w:rPr>
        <w:t>Ocenia się, że przepis może objąć swoim zakresem ponad 1200 osób, które dzięki przedłużeniu uprawnień będą mogły wykonywać swoje zadania zawodowe, gwarantując zarazem wysoki poziom bezpieczeństwa jądrowego i ochrony radiologicznej w jednostkach organizacyjnych wykonujących działalność związaną z narażeniem na promieniowanie jonizujące. Proponowany termin zachowania ważności uprawnień (18 miesięcy) gwarantuje z jednej strony</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ochronę interesów osób, które nabyły te uprawnienia i jednostek organizacyjnych prowadzących działalność związaną z narażeniem na promieniowanie jonizujące, w których osoby te są zatrudnione, z drugiej strony – pozwoli organom nadającym uprawnienia (Prezesowi Państwowej Agencji Atomistyki oraz w odniesieniu do uprawnień inspektora ochrony radiologicznej w medycznych pracowniach rentgenowskich – Głównemu Inspektorowi Sanitarnemu) zorganizować i przeprowadzić egzaminy oraz przeprowadzić proces nadania uprawnień.</w:t>
      </w:r>
      <w:r w:rsidRPr="0087437A">
        <w:rPr>
          <w:rFonts w:ascii="Times New Roman" w:hAnsi="Times New Roman" w:cs="Times New Roman"/>
          <w:sz w:val="24"/>
          <w:szCs w:val="24"/>
        </w:rPr>
        <w:tab/>
      </w:r>
    </w:p>
    <w:p w14:paraId="2F74EC22" w14:textId="77777777" w:rsidR="0081240A" w:rsidRPr="0087437A" w:rsidRDefault="0081240A" w:rsidP="0043695F">
      <w:pPr>
        <w:spacing w:line="360" w:lineRule="auto"/>
        <w:jc w:val="both"/>
        <w:rPr>
          <w:rFonts w:ascii="Times New Roman" w:hAnsi="Times New Roman" w:cs="Times New Roman"/>
          <w:sz w:val="24"/>
          <w:szCs w:val="24"/>
        </w:rPr>
      </w:pPr>
    </w:p>
    <w:p w14:paraId="3393A01B" w14:textId="77777777" w:rsidR="0081240A" w:rsidRPr="0087437A" w:rsidRDefault="0081240A" w:rsidP="0043695F">
      <w:pPr>
        <w:spacing w:after="0" w:line="360" w:lineRule="auto"/>
        <w:jc w:val="both"/>
        <w:rPr>
          <w:rFonts w:ascii="Times New Roman" w:eastAsia="Times New Roman" w:hAnsi="Times New Roman" w:cs="Times New Roman"/>
          <w:sz w:val="24"/>
          <w:szCs w:val="24"/>
          <w:lang w:eastAsia="pl-PL"/>
        </w:rPr>
      </w:pPr>
      <w:r w:rsidRPr="0087437A">
        <w:rPr>
          <w:rFonts w:ascii="Times New Roman" w:eastAsia="Calibri" w:hAnsi="Times New Roman" w:cs="Times New Roman"/>
          <w:sz w:val="24"/>
          <w:szCs w:val="24"/>
        </w:rPr>
        <w:t>Odnośnie zmian zaproponowanych w art. 31x ust. 2-5 ustawy COVID-19 zauważa się, że o</w:t>
      </w:r>
      <w:r w:rsidRPr="0087437A">
        <w:rPr>
          <w:rFonts w:ascii="Times New Roman" w:eastAsia="Times New Roman" w:hAnsi="Times New Roman" w:cs="Times New Roman"/>
          <w:sz w:val="24"/>
          <w:szCs w:val="24"/>
          <w:lang w:eastAsia="pl-PL"/>
        </w:rPr>
        <w:t>bowiązujący stan epidemii skutecznie utrudnia utrzymanie ciągłości procesu odnawiania przez pracowników przedsiębiorstw energetycznych:</w:t>
      </w:r>
    </w:p>
    <w:p w14:paraId="4171F7C9" w14:textId="77777777" w:rsidR="0081240A" w:rsidRPr="0087437A" w:rsidRDefault="0081240A" w:rsidP="0043695F">
      <w:pPr>
        <w:numPr>
          <w:ilvl w:val="0"/>
          <w:numId w:val="1"/>
        </w:numPr>
        <w:spacing w:after="0" w:line="360" w:lineRule="auto"/>
        <w:ind w:left="0" w:firstLine="0"/>
        <w:contextualSpacing/>
        <w:jc w:val="both"/>
        <w:rPr>
          <w:rFonts w:ascii="Times New Roman" w:hAnsi="Times New Roman" w:cs="Times New Roman"/>
          <w:sz w:val="24"/>
          <w:szCs w:val="24"/>
        </w:rPr>
      </w:pPr>
      <w:r w:rsidRPr="0087437A">
        <w:rPr>
          <w:rFonts w:ascii="Times New Roman" w:hAnsi="Times New Roman" w:cs="Times New Roman"/>
          <w:sz w:val="24"/>
          <w:szCs w:val="24"/>
        </w:rPr>
        <w:t xml:space="preserve">świadectw </w:t>
      </w:r>
      <w:r w:rsidRPr="0087437A">
        <w:rPr>
          <w:rFonts w:ascii="Times New Roman" w:eastAsia="Times New Roman" w:hAnsi="Times New Roman" w:cs="Times New Roman"/>
          <w:sz w:val="24"/>
          <w:szCs w:val="24"/>
          <w:lang w:eastAsia="pl-PL"/>
        </w:rPr>
        <w:t>potwierdzających posiadanie kwalifikacji w zakresie eksploatacji sieci, urządzeń i instalacji oraz</w:t>
      </w:r>
      <w:r w:rsidRPr="0087437A">
        <w:rPr>
          <w:rFonts w:ascii="Times New Roman" w:hAnsi="Times New Roman" w:cs="Times New Roman"/>
          <w:sz w:val="24"/>
          <w:szCs w:val="24"/>
        </w:rPr>
        <w:t xml:space="preserve"> </w:t>
      </w:r>
    </w:p>
    <w:p w14:paraId="4C3BBAE7" w14:textId="77777777" w:rsidR="0081240A" w:rsidRPr="0087437A" w:rsidRDefault="0081240A" w:rsidP="0043695F">
      <w:pPr>
        <w:numPr>
          <w:ilvl w:val="0"/>
          <w:numId w:val="1"/>
        </w:numPr>
        <w:spacing w:after="0" w:line="360" w:lineRule="auto"/>
        <w:ind w:left="0" w:firstLine="0"/>
        <w:contextualSpacing/>
        <w:jc w:val="both"/>
        <w:rPr>
          <w:rFonts w:ascii="Times New Roman" w:hAnsi="Times New Roman" w:cs="Times New Roman"/>
          <w:sz w:val="24"/>
          <w:szCs w:val="24"/>
        </w:rPr>
      </w:pPr>
      <w:r w:rsidRPr="0087437A">
        <w:rPr>
          <w:rFonts w:ascii="Times New Roman" w:hAnsi="Times New Roman" w:cs="Times New Roman"/>
          <w:sz w:val="24"/>
          <w:szCs w:val="24"/>
        </w:rPr>
        <w:t>zaświadczeń kwalifikacyjnych (techniczno-dozorowych)</w:t>
      </w:r>
    </w:p>
    <w:p w14:paraId="2A7E0470" w14:textId="77777777" w:rsidR="0081240A" w:rsidRPr="0087437A" w:rsidRDefault="0081240A" w:rsidP="0043695F">
      <w:pPr>
        <w:spacing w:after="0" w:line="360" w:lineRule="auto"/>
        <w:jc w:val="both"/>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lang w:eastAsia="pl-PL"/>
        </w:rPr>
        <w:t>- co generuje istotne ryzyko możliwości kontynuowania przez te przedsiębiorstwa realizacji wszystkich zadań ze względu na niedobory pracowników posiadających ważne zaświadczenia i świadectwa.</w:t>
      </w:r>
    </w:p>
    <w:p w14:paraId="3F7D1255" w14:textId="77777777" w:rsidR="0081240A" w:rsidRPr="0087437A" w:rsidRDefault="0081240A" w:rsidP="0043695F">
      <w:pPr>
        <w:spacing w:after="0" w:line="360" w:lineRule="auto"/>
        <w:jc w:val="both"/>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lang w:eastAsia="pl-PL"/>
        </w:rPr>
        <w:t>Przedłużenie okresu obowiązywania wydanych świadectw potwierdzających posiadanie kwalifikacji w zakresie eksploatacji sieci oraz urządzeń i instalacji, o których mowa w art. 54 ust. 1 ustawy z dnia 10 kwietnia 1997 r. – Prawo energetyczne (ust. 2) oraz przedłużenie możliwości zdalnego przeprowadzenia egzaminu sprawdzającego te kwalifikacje (ust. 3) jest niezbędne ze względu na nadal obowiązujący stan epidemii. Przyjęcie powyższego rozwiązania jest niezwykle istotne, bowiem prace na rynku paliw i energii (czyli w elektrowniach, elektrociepłowniach, ciepłowniach, u operatorów systemów przesyłowych i dystrybucyjnych elektroenergetycznych i gazowych oraz u konsumentów) mogą wykonywać bez nadzoru jedynie osoby posiadające właściwe świadectwa kwalifikacyjne. Jest to grupa ok. 100 000 osób. Niektóre z tych świadectw mają charakter terminowy.</w:t>
      </w:r>
    </w:p>
    <w:p w14:paraId="3C3511F5" w14:textId="77777777" w:rsidR="0081240A" w:rsidRPr="0087437A" w:rsidRDefault="0081240A" w:rsidP="0043695F">
      <w:pPr>
        <w:spacing w:after="0" w:line="360" w:lineRule="auto"/>
        <w:jc w:val="both"/>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lang w:eastAsia="pl-PL"/>
        </w:rPr>
        <w:t>Nowe brzmienie ust. 3 i 4 ma na celu przedłużenie terminu ważności świadectw</w:t>
      </w:r>
      <w:r w:rsidR="00425CB2">
        <w:rPr>
          <w:rFonts w:ascii="Times New Roman" w:eastAsia="Times New Roman" w:hAnsi="Times New Roman" w:cs="Times New Roman"/>
          <w:sz w:val="24"/>
          <w:szCs w:val="24"/>
          <w:lang w:eastAsia="pl-PL"/>
        </w:rPr>
        <w:t xml:space="preserve"> </w:t>
      </w:r>
      <w:r w:rsidRPr="0087437A">
        <w:rPr>
          <w:rFonts w:ascii="Times New Roman" w:eastAsia="Times New Roman" w:hAnsi="Times New Roman" w:cs="Times New Roman"/>
          <w:sz w:val="24"/>
          <w:szCs w:val="24"/>
          <w:lang w:eastAsia="pl-PL"/>
        </w:rPr>
        <w:t>kwalifikacyjnych (techniczno-dozorowych) umożliwiających wykonywanie zadań przez pracowników przedsiębiorstw energetycznych (m.in. przy budowie gazociągów, przyłączaniu nowych odbiorców) – do 180 dni po ustaniu stanu epidemii.</w:t>
      </w:r>
    </w:p>
    <w:p w14:paraId="5AFEBDFE" w14:textId="77777777" w:rsidR="0081240A" w:rsidRPr="0087437A" w:rsidRDefault="0081240A" w:rsidP="0043695F">
      <w:pPr>
        <w:spacing w:after="0" w:line="360" w:lineRule="auto"/>
        <w:jc w:val="both"/>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lang w:eastAsia="pl-PL"/>
        </w:rPr>
        <w:t>W związku ze stanem epidemii przedsiębiorstwa energetyczne mają ograniczoną możliwość prowadzenia szkoleń dla pracowników, które są niezbędne do wydłużenia okresu ważności uprawnień do wykonywania zadań (szkolenia prowadzone są w reżimie sanitarnym w ograniczonych grupach lub wstrzymane). Powoduje to powstanie zaległości w przedłużeniu uprawnień. Ponieważ proces dojścia do odnowienia wszystkich uprawnień musi być rozłożony w czasie, konieczne jest wprowadzenie okresu przejściowego po ustaniu epidemii.</w:t>
      </w:r>
    </w:p>
    <w:p w14:paraId="79CB98E1" w14:textId="77777777" w:rsidR="005D6862" w:rsidRPr="0087437A" w:rsidRDefault="005D6862" w:rsidP="005D6862">
      <w:pPr>
        <w:spacing w:line="360" w:lineRule="auto"/>
        <w:ind w:firstLine="708"/>
        <w:jc w:val="both"/>
        <w:rPr>
          <w:rFonts w:ascii="Times New Roman" w:hAnsi="Times New Roman" w:cs="Times New Roman"/>
          <w:sz w:val="24"/>
          <w:szCs w:val="24"/>
        </w:rPr>
      </w:pPr>
    </w:p>
    <w:p w14:paraId="12B4E741" w14:textId="77777777" w:rsidR="005D6862" w:rsidRPr="0087437A" w:rsidRDefault="005D6862" w:rsidP="005D6862">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Zaproponowane w art. 1 pkt 26 niniejszej ustawy zmiany polegają na umożliwieniu opatrywania decyzji i innych pism sporządzanych w sprawach świadczeń przyznawanych i wypłacanych przez Zakład Ubezpieczeń Społecznych, zamiast podpisem odręcznym – nadrukiem imienia i nazwiska wraz ze stanowiskiem służbowym osoby upoważnionej do ich wydawania (art. 31 zda). Rozwiązanie analogiczne do proponowanego funkcjonuje już w odniesieniu do decyzji wydawanych przez Zakład w procesie masowym – m. in. w odniesieniu do decyzji waloryzacyjnych (art. 93 ust. 2 ustawy z dnia 17 grudnia 1998 r. o emeryturach i rentach </w:t>
      </w:r>
      <w:r w:rsidRPr="0087437A">
        <w:rPr>
          <w:rFonts w:ascii="Times New Roman" w:hAnsi="Times New Roman" w:cs="Times New Roman"/>
          <w:bCs/>
          <w:sz w:val="24"/>
          <w:szCs w:val="24"/>
        </w:rPr>
        <w:br/>
      </w:r>
      <w:r w:rsidRPr="0087437A">
        <w:rPr>
          <w:rFonts w:ascii="Times New Roman" w:hAnsi="Times New Roman" w:cs="Times New Roman"/>
          <w:sz w:val="24"/>
          <w:szCs w:val="24"/>
        </w:rPr>
        <w:t>z Funduszu Ubezpieczeń Społecznych).</w:t>
      </w:r>
      <w:r w:rsidRPr="0087437A">
        <w:rPr>
          <w:rFonts w:ascii="Times New Roman" w:hAnsi="Times New Roman" w:cs="Times New Roman"/>
          <w:sz w:val="24"/>
          <w:szCs w:val="24"/>
        </w:rPr>
        <w:tab/>
      </w:r>
      <w:r w:rsidRPr="0087437A">
        <w:rPr>
          <w:rFonts w:ascii="Times New Roman" w:hAnsi="Times New Roman" w:cs="Times New Roman"/>
          <w:sz w:val="24"/>
          <w:szCs w:val="24"/>
        </w:rPr>
        <w:br/>
        <w:t xml:space="preserve"> </w:t>
      </w:r>
      <w:r w:rsidRPr="0087437A">
        <w:rPr>
          <w:rFonts w:ascii="Times New Roman" w:hAnsi="Times New Roman" w:cs="Times New Roman"/>
          <w:sz w:val="24"/>
          <w:szCs w:val="24"/>
        </w:rPr>
        <w:tab/>
        <w:t>Obecna sytuacja epidemiologiczna w Polsce wymusza rozszerzenie zastosowania powyższego rozwiązania na inne postępowania prowadzone przez Zakład w sprawach świadczeń. Przyspieszy to cały proces wydawania decyzji oraz wysłania jej świadczeniobiorcy.</w:t>
      </w:r>
    </w:p>
    <w:p w14:paraId="4118514D" w14:textId="23B7FC99" w:rsidR="00425CB2" w:rsidRDefault="005D6862" w:rsidP="005D6862">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Natomiast dodawany art. 31zdb ma na celu okresowe wydłużenie wymaganych przepisami prawa (dla określonej grupy dłużników zajętej wierzytelności) terminów tygodniowych (7 - dniowych) na złożenie oświadczeń lub przekazanie informacji w sprawach zajętych wierzytelności w postępowaniach egzekucyjnych. Konieczność wydłużenia tych terminów spowodowana jest ogólną sytuacją wywołaną przez pandemię wirusa SARS-C</w:t>
      </w:r>
      <w:r w:rsidR="00425CB2">
        <w:rPr>
          <w:rFonts w:ascii="Times New Roman" w:hAnsi="Times New Roman" w:cs="Times New Roman"/>
          <w:sz w:val="24"/>
          <w:szCs w:val="24"/>
        </w:rPr>
        <w:t>o</w:t>
      </w:r>
      <w:r w:rsidRPr="0087437A">
        <w:rPr>
          <w:rFonts w:ascii="Times New Roman" w:hAnsi="Times New Roman" w:cs="Times New Roman"/>
          <w:sz w:val="24"/>
          <w:szCs w:val="24"/>
        </w:rPr>
        <w:t>V</w:t>
      </w:r>
      <w:r w:rsidR="00425CB2">
        <w:rPr>
          <w:rFonts w:ascii="Times New Roman" w:hAnsi="Times New Roman" w:cs="Times New Roman"/>
          <w:sz w:val="24"/>
          <w:szCs w:val="24"/>
        </w:rPr>
        <w:t>-</w:t>
      </w:r>
      <w:r w:rsidRPr="0087437A">
        <w:rPr>
          <w:rFonts w:ascii="Times New Roman" w:hAnsi="Times New Roman" w:cs="Times New Roman"/>
          <w:sz w:val="24"/>
          <w:szCs w:val="24"/>
        </w:rPr>
        <w:t>2. Dotrzymanie terminów tygodniowych (7 - dniowych) w okresie pandemii przy zwiększonej absencji pracowników organów rentowych, organów emerytalnych i organów emerytalno - rentowych przyznających i wypłacających świadczenia podlegające zajęciu, spowodowanej chorobą, pobytem na kwarantannie lub opieką nad dzieckiem jest znacznie utrudnione. Naruszenie tych terminów może zaś rodzić odpowiedzialność finansową obciążającą budżet</w:t>
      </w:r>
      <w:r w:rsidR="00425CB2">
        <w:rPr>
          <w:rFonts w:ascii="Times New Roman" w:hAnsi="Times New Roman" w:cs="Times New Roman"/>
          <w:sz w:val="24"/>
          <w:szCs w:val="24"/>
        </w:rPr>
        <w:t>y pracowników lub instytucji.</w:t>
      </w:r>
    </w:p>
    <w:p w14:paraId="5CF3C2A6" w14:textId="77777777" w:rsidR="005D6862" w:rsidRPr="0087437A" w:rsidRDefault="009A30DF" w:rsidP="005D6862">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W art. 19 niniejszej ustawy p</w:t>
      </w:r>
      <w:r w:rsidR="005D6862" w:rsidRPr="0087437A">
        <w:rPr>
          <w:rFonts w:ascii="Times New Roman" w:hAnsi="Times New Roman" w:cs="Times New Roman"/>
          <w:sz w:val="24"/>
          <w:szCs w:val="24"/>
        </w:rPr>
        <w:t xml:space="preserve">roponuje się również wprowadzenie przepisu określającego, że wydłużenie terminów dotyczy zajęć egzekucyjnych dokonanych nie wcześniej niż w dniu wejścia w życie ustawy zmieniającej. </w:t>
      </w:r>
    </w:p>
    <w:p w14:paraId="0E7F45AE" w14:textId="77777777" w:rsidR="008A7C48" w:rsidRPr="0087437A" w:rsidRDefault="008A7C48" w:rsidP="0043695F">
      <w:pPr>
        <w:pStyle w:val="USTustnpkodeksu"/>
        <w:ind w:firstLine="0"/>
      </w:pPr>
    </w:p>
    <w:p w14:paraId="43A0E2DA" w14:textId="77777777" w:rsidR="007F3D33" w:rsidRPr="0087437A" w:rsidRDefault="007F3D33" w:rsidP="00461FD8">
      <w:pPr>
        <w:pStyle w:val="USTustnpkodeksu"/>
        <w:ind w:firstLine="708"/>
      </w:pPr>
      <w:r w:rsidRPr="0087437A">
        <w:t xml:space="preserve">Proponowana zmiana </w:t>
      </w:r>
      <w:r w:rsidR="00425CB2">
        <w:t>art. 31</w:t>
      </w:r>
      <w:r w:rsidR="009074D8" w:rsidRPr="0087437A">
        <w:t>zzca ustawy</w:t>
      </w:r>
      <w:r w:rsidR="00E55D43" w:rsidRPr="0087437A">
        <w:t xml:space="preserve"> COVID-19</w:t>
      </w:r>
      <w:r w:rsidR="009074D8" w:rsidRPr="0087437A">
        <w:t xml:space="preserve"> </w:t>
      </w:r>
      <w:r w:rsidR="00461FD8" w:rsidRPr="00461FD8">
        <w:t xml:space="preserve">(art. 1 pkt 27 projektu ustawy) </w:t>
      </w:r>
      <w:r w:rsidRPr="0087437A">
        <w:t>polega na przedłużeniu na 2021 r. możliwości podejmowania przez rady gmin uchwał zwalniających z opłat za zezwolenie na sprzedaż napojów alkoholowych przeznaczonych do spożycia w miejscu sprzedaży lub przedłużających termin na ich wniesienie do końca roku. Poprawka umożliwia proponowanie przez rady gmin programów pomocowych dla przedsiębiorców najbardziej dotkniętych ograniczeniami w życiu społeczno</w:t>
      </w:r>
      <w:r w:rsidRPr="0087437A">
        <w:softHyphen/>
      </w:r>
      <w:r w:rsidRPr="0087437A">
        <w:noBreakHyphen/>
        <w:t>gospodarczym, tj. z branży gastronomicznej, ponieważ to w większości te podmioty korzystają z wymienionego rodzaju zezwolenia.</w:t>
      </w:r>
    </w:p>
    <w:p w14:paraId="0E2B9958" w14:textId="77777777" w:rsidR="007F3D33" w:rsidRPr="0087437A" w:rsidRDefault="007F3D33" w:rsidP="0043695F">
      <w:pPr>
        <w:pStyle w:val="USTustnpkodeksu"/>
        <w:ind w:firstLine="0"/>
      </w:pPr>
      <w:r w:rsidRPr="0087437A">
        <w:t>Z uwagi na okoliczność, że termin wniesienia opłaty za rok 2021 mija 31 stycznia 2021 r., a jej nieuiszczenie, w wymaganym</w:t>
      </w:r>
      <w:r w:rsidR="00425CB2">
        <w:t xml:space="preserve"> </w:t>
      </w:r>
      <w:r w:rsidRPr="0087437A">
        <w:t>ustawą z dnia 26 października 1982 r. o wychowaniu w trzeźwości i przeciwdziałaniu alkoholizm</w:t>
      </w:r>
      <w:r w:rsidR="008A7C48" w:rsidRPr="0087437A">
        <w:t>owi (Dz. U. z 2019 r. poz. 2277</w:t>
      </w:r>
      <w:r w:rsidR="008A7C48" w:rsidRPr="0087437A">
        <w:rPr>
          <w:rFonts w:ascii="Times New Roman" w:eastAsia="Calibri" w:hAnsi="Times New Roman" w:cs="Times New Roman"/>
          <w:szCs w:val="24"/>
        </w:rPr>
        <w:t>, z późn. zm.</w:t>
      </w:r>
      <w:r w:rsidRPr="0087437A">
        <w:t>) terminie i wysokości, powoduje utratę zezwolenia, przedłożone uzupełnienie obowiązującego porządku prawnego jest pilnie potrzebne.</w:t>
      </w:r>
    </w:p>
    <w:p w14:paraId="39A677C5" w14:textId="77777777" w:rsidR="007F3D33" w:rsidRPr="0087437A" w:rsidRDefault="007F3D33" w:rsidP="0043695F">
      <w:pPr>
        <w:pStyle w:val="USTustnpkodeksu"/>
        <w:tabs>
          <w:tab w:val="left" w:pos="7512"/>
        </w:tabs>
        <w:ind w:firstLine="0"/>
      </w:pPr>
      <w:r w:rsidRPr="0087437A">
        <w:t>Powyższa zmiana jest neutralna z punktu widzenia budżetu państwa.</w:t>
      </w:r>
    </w:p>
    <w:p w14:paraId="424DA040" w14:textId="77777777" w:rsidR="001934E7" w:rsidRPr="0087437A" w:rsidRDefault="001934E7" w:rsidP="0043695F">
      <w:pPr>
        <w:pStyle w:val="NIEARTTEKSTtekstnieartykuowanynppodstprawnarozplubpreambua"/>
        <w:ind w:firstLine="0"/>
      </w:pPr>
    </w:p>
    <w:p w14:paraId="37098F5E" w14:textId="77777777" w:rsidR="00A21631" w:rsidRPr="0087437A" w:rsidRDefault="00A21631" w:rsidP="00A21631">
      <w:pPr>
        <w:pStyle w:val="NIEARTTEKSTtekstnieartykuowanynppodstprawnarozplubpreambua"/>
      </w:pPr>
      <w:r w:rsidRPr="0087437A">
        <w:t xml:space="preserve">Przepisy </w:t>
      </w:r>
      <w:r w:rsidR="004D5383" w:rsidRPr="0087437A">
        <w:t xml:space="preserve">zawarte w art. 1 pkt 28 niniejszej ustawy </w:t>
      </w:r>
      <w:r w:rsidRPr="0087437A">
        <w:t>umożliwią przekazanie przez ministra właściwego do spraw kultury i ochrony dziedzictwa narodowego Polskiemu Instytutowi Sztuki Filmowej, zwanemu dalej „PISF”, środków finansowych w kwocie 120 000 000 zł. Środki zostaną przekazane na wniosek Dyrektora PISF z przeznaczeniem na działania mające na celu wsparcie branży kinematograficznej w trudnym okresie pandemii COVID</w:t>
      </w:r>
      <w:r w:rsidRPr="0087437A">
        <w:softHyphen/>
      </w:r>
      <w:r w:rsidRPr="0087437A">
        <w:noBreakHyphen/>
        <w:t>19. Środki Finansowe pochodzą z Funduszu Przeciwdziałania COVID</w:t>
      </w:r>
      <w:r w:rsidRPr="0087437A">
        <w:softHyphen/>
      </w:r>
      <w:r w:rsidRPr="0087437A">
        <w:noBreakHyphen/>
        <w:t>19.</w:t>
      </w:r>
    </w:p>
    <w:p w14:paraId="04CDD401" w14:textId="77777777" w:rsidR="00A21631" w:rsidRPr="0087437A" w:rsidRDefault="00A21631" w:rsidP="00A21631">
      <w:pPr>
        <w:pStyle w:val="NIEARTTEKSTtekstnieartykuowanynppodstprawnarozplubpreambua"/>
      </w:pPr>
      <w:r w:rsidRPr="0087437A">
        <w:t>Środki będą przyznawane:</w:t>
      </w:r>
    </w:p>
    <w:p w14:paraId="674AEF72" w14:textId="77777777" w:rsidR="00A21631" w:rsidRPr="0087437A" w:rsidRDefault="00A21631" w:rsidP="00A21631">
      <w:pPr>
        <w:pStyle w:val="PKTpunkt"/>
      </w:pPr>
      <w:r w:rsidRPr="0087437A">
        <w:t>1)</w:t>
      </w:r>
      <w:r w:rsidRPr="0087437A">
        <w:tab/>
        <w:t>podmiotom prowadzącym dzia</w:t>
      </w:r>
      <w:r w:rsidRPr="0087437A">
        <w:rPr>
          <w:rFonts w:hint="eastAsia"/>
        </w:rPr>
        <w:t>ł</w:t>
      </w:r>
      <w:r w:rsidRPr="0087437A">
        <w:t>alno</w:t>
      </w:r>
      <w:r w:rsidRPr="0087437A">
        <w:rPr>
          <w:rFonts w:hint="eastAsia"/>
        </w:rPr>
        <w:t>ść</w:t>
      </w:r>
      <w:r w:rsidRPr="0087437A">
        <w:t xml:space="preserve"> w zakresie kinematografii; będą to podmioty, o których mowa w art. 22 ust. 1 ustawy z dnia 30 czerwca 2005 r. o kinematografii (Dz. U. z 2019 r. poz. 2199 oraz z 2020 r. poz. 568 i 875), wykonujące działalność lub świadczącym usługi na terytorium Rzeczypospolitej Polskiej; wsparcie zostanie przyznane w formie dotacji, pożyczki lub poręczenia na zasadach określonych w ustawie z dnia 30 czerwca 2005 r. o kinematografii;</w:t>
      </w:r>
    </w:p>
    <w:p w14:paraId="40D0D463" w14:textId="77777777" w:rsidR="00A21631" w:rsidRPr="0087437A" w:rsidRDefault="00A21631" w:rsidP="00A21631">
      <w:pPr>
        <w:pStyle w:val="PKTpunkt"/>
      </w:pPr>
      <w:r w:rsidRPr="0087437A">
        <w:t>2)</w:t>
      </w:r>
      <w:r w:rsidRPr="0087437A">
        <w:tab/>
        <w:t xml:space="preserve">osobom fizycznym w formie stypendium. </w:t>
      </w:r>
    </w:p>
    <w:p w14:paraId="2670A9FD" w14:textId="77777777" w:rsidR="00A21631" w:rsidRPr="0087437A" w:rsidRDefault="00A21631" w:rsidP="00A21631">
      <w:pPr>
        <w:pStyle w:val="NIEARTTEKSTtekstnieartykuowanynppodstprawnarozplubpreambua"/>
      </w:pPr>
      <w:r w:rsidRPr="0087437A">
        <w:t>Wnioski o powyższą pomoc mogą być składane od dnia ogłoszenia naboru do dnia 30 kwietnia 2021 r. Kosztami kwalifikowanymi będą koszty poniesione przez beneficjentów w okresie od dnia 1 listopada 2020 r. do dnia 30 kwietnia 2021 r.</w:t>
      </w:r>
    </w:p>
    <w:p w14:paraId="4B362873" w14:textId="77777777" w:rsidR="00A21631" w:rsidRPr="0087437A" w:rsidRDefault="00A21631" w:rsidP="00A21631">
      <w:pPr>
        <w:pStyle w:val="NIEARTTEKSTtekstnieartykuowanynppodstprawnarozplubpreambua"/>
      </w:pPr>
      <w:r w:rsidRPr="0087437A">
        <w:t xml:space="preserve">W ramach przekazanych środków planowane są, omówione poniżej, trzy główne obszary interwencji oraz dodatkowe wsparcie w formie stypendiów dla na rzecz osób biorących udział w tworzeniu utworu audiowizualnego, które znalazły się w trudnej sytuacji materialnej w związku z epidemią COVID </w:t>
      </w:r>
      <w:r w:rsidRPr="0087437A">
        <w:noBreakHyphen/>
        <w:t>19.</w:t>
      </w:r>
      <w:r w:rsidR="00425CB2">
        <w:t xml:space="preserve"> </w:t>
      </w:r>
    </w:p>
    <w:p w14:paraId="77BA9FF0" w14:textId="77777777" w:rsidR="00A21631" w:rsidRPr="0087437A" w:rsidRDefault="00A21631" w:rsidP="00A21631">
      <w:pPr>
        <w:pStyle w:val="NIEARTTEKSTtekstnieartykuowanynppodstprawnarozplubpreambua"/>
      </w:pPr>
      <w:r w:rsidRPr="0087437A">
        <w:t>Przyznanie środków podmiotom działającym w sektorze kinematografii, o których mowa w art. 22 ust. 1 ustawy o kinematografii, nastąpi na zasadach określonych w tej ustawie oraz aktach wykonawczych wydanych na jej podstawie.</w:t>
      </w:r>
    </w:p>
    <w:p w14:paraId="4D96A410" w14:textId="77777777" w:rsidR="00A21631" w:rsidRPr="0087437A" w:rsidRDefault="00A21631" w:rsidP="00A21631">
      <w:pPr>
        <w:pStyle w:val="NIEARTTEKSTtekstnieartykuowanynppodstprawnarozplubpreambua"/>
      </w:pPr>
      <w:r w:rsidRPr="0087437A">
        <w:t>I.</w:t>
      </w:r>
      <w:r w:rsidRPr="0087437A">
        <w:tab/>
        <w:t>Wsparcie dla produkcji filmowych</w:t>
      </w:r>
    </w:p>
    <w:p w14:paraId="2720C69E" w14:textId="77777777" w:rsidR="00A21631" w:rsidRPr="0087437A" w:rsidRDefault="00A21631" w:rsidP="00A21631">
      <w:pPr>
        <w:pStyle w:val="NIEARTTEKSTtekstnieartykuowanynppodstprawnarozplubpreambua"/>
      </w:pPr>
      <w:r w:rsidRPr="0087437A">
        <w:t>Na podstawie informacji zebranych przez PISF szacuje się, że do końca kwietnia 2021 r. będzie czynnych około 60 planów filmowych. Jest pewne, że koszty bezpośrednie w tych produkcjach wzrosną ze względu na obostrzenia związane z COVID</w:t>
      </w:r>
      <w:r w:rsidRPr="0087437A">
        <w:softHyphen/>
      </w:r>
      <w:r w:rsidRPr="0087437A">
        <w:noBreakHyphen/>
        <w:t>19. Istotnym jest szybkie przekazanie dodatkowych środków finansowych na rzecz producentów filmowych, aby produkcje filmowe mogły być realizowane w czasie kryzysu. Koszty dodatkowe, jakie producenci ponoszą z tytułu pandemii, są szacowane przez Polski Instytut Sztuki Filmowej na około 10% budżetu filmu.</w:t>
      </w:r>
      <w:r w:rsidR="00425CB2">
        <w:t xml:space="preserve"> </w:t>
      </w:r>
      <w:r w:rsidRPr="0087437A">
        <w:t>Statystycznie budżet polskiego filmu wynosi około 7 000 000 zł, z tego wynika, że zakładana wysokość pożyczki na poziomie około 715 000 zł (średnia wysokość pożyczki, mediana liczona na podstawie średniego budżetu</w:t>
      </w:r>
      <w:r w:rsidR="00425CB2">
        <w:t xml:space="preserve"> </w:t>
      </w:r>
      <w:r w:rsidRPr="0087437A">
        <w:t>718 918 zł – co jest zbliżone do średniej pożyczki) dla 1 utworu audiowizualnego (715 000 zł x 56 = 40 040 000 zł). Maksymalna kwota przyznanej pożyczki może wynieść 1 000 000 zł.</w:t>
      </w:r>
    </w:p>
    <w:p w14:paraId="2F7055D8" w14:textId="77777777" w:rsidR="00A21631" w:rsidRPr="0087437A" w:rsidRDefault="00A21631" w:rsidP="00A21631">
      <w:pPr>
        <w:pStyle w:val="NIEARTTEKSTtekstnieartykuowanynppodstprawnarozplubpreambua"/>
      </w:pPr>
      <w:r w:rsidRPr="0087437A">
        <w:t>II.</w:t>
      </w:r>
      <w:r w:rsidRPr="0087437A">
        <w:tab/>
        <w:t xml:space="preserve">Wsparcie dla promocji </w:t>
      </w:r>
    </w:p>
    <w:p w14:paraId="039A0D06" w14:textId="77777777" w:rsidR="00A21631" w:rsidRPr="0087437A" w:rsidRDefault="00A21631" w:rsidP="00A21631">
      <w:pPr>
        <w:pStyle w:val="NIEARTTEKSTtekstnieartykuowanynppodstprawnarozplubpreambua"/>
      </w:pPr>
      <w:r w:rsidRPr="0087437A">
        <w:t>Obecnie już zaplanowano do końca kwietnia 2021 r. 25 premier filmowych. Ponadto część filmów jest w fazie produkcji lub których produkcja została już zakończona, a jedynie czekają na wyznaczenie daty premiery. Kwota dofinansowania, którą PISF chce przekazać na program pomocowy dla dystrybutorów wynosi maksymalnie 3 000 000 zł (na pokrycie realnych kosztów Prints &amp; Advertising („P&amp;A”) w czasie COVID</w:t>
      </w:r>
      <w:r w:rsidRPr="0087437A">
        <w:softHyphen/>
      </w:r>
      <w:r w:rsidRPr="0087437A">
        <w:noBreakHyphen/>
        <w:t>19 oraz opłatę „za przyszłe wpływy” dla producenta). Łączna kwota przewidziana na program wynosi 40 000 000 zł (3 000 000 zł x 13,50 = 40 500 000 zł – przy założeniu maksymalnego wykorzystania dotacji). Rzeczywiście ilość premier kinowych będzie mniejsza niż 25 zaplanowanych ze względu na częściowe przenoszenie dystrybucji do kanałów internetowych. Dlatego, zgodnie z szacunkami PISF,</w:t>
      </w:r>
      <w:r w:rsidR="00425CB2">
        <w:t xml:space="preserve"> </w:t>
      </w:r>
      <w:r w:rsidRPr="0087437A">
        <w:t>realnie wsparcie zostanie skierowane do około 13</w:t>
      </w:r>
      <w:r w:rsidRPr="0087437A">
        <w:noBreakHyphen/>
        <w:t xml:space="preserve">18 premier kinowych przy różnych wartościach dotacji. Producenci oraz dystrybutorzy czekają również na wprowadzenie do dystrybucji kinowej innych niż (premiery) filmów, które powinny znaleźć się w kanałach dystrybucji. Dodatkowe finansowanie połączone z opłatą licencyjną dla producentów pozwoli częściowo pokryć inwestycje oraz koszty wkładów własnych poniesionych przez producentów oraz koproducentów filmów. </w:t>
      </w:r>
    </w:p>
    <w:p w14:paraId="47F25295" w14:textId="77777777" w:rsidR="00A21631" w:rsidRPr="0087437A" w:rsidRDefault="00A21631" w:rsidP="00A21631">
      <w:pPr>
        <w:pStyle w:val="NIEARTTEKSTtekstnieartykuowanynppodstprawnarozplubpreambua"/>
      </w:pPr>
    </w:p>
    <w:p w14:paraId="3656E8D5" w14:textId="77777777" w:rsidR="00A21631" w:rsidRPr="0087437A" w:rsidRDefault="00A21631" w:rsidP="00A21631">
      <w:pPr>
        <w:pStyle w:val="NIEARTTEKSTtekstnieartykuowanynppodstprawnarozplubpreambua"/>
      </w:pPr>
      <w:r w:rsidRPr="0087437A">
        <w:t>III.</w:t>
      </w:r>
      <w:r w:rsidRPr="0087437A">
        <w:tab/>
        <w:t>Wsparcie dla kin</w:t>
      </w:r>
    </w:p>
    <w:p w14:paraId="3F2F10E4" w14:textId="77777777" w:rsidR="00A21631" w:rsidRPr="0087437A" w:rsidRDefault="00A21631" w:rsidP="00A21631">
      <w:pPr>
        <w:pStyle w:val="NIEARTTEKSTtekstnieartykuowanynppodstprawnarozplubpreambua"/>
      </w:pPr>
      <w:r w:rsidRPr="0087437A">
        <w:t>Ostatnim i niezbędnym ogniwem wsparcia polskiej kinematografii są kina studyjne i małe kina prowadzone przez mikroprzedsiębiorców, gdzie wyświetlane są polskie filmy. Ta część branży została najbardziej dotknięta skutkami COVID</w:t>
      </w:r>
      <w:r w:rsidRPr="0087437A">
        <w:softHyphen/>
      </w:r>
      <w:r w:rsidRPr="0087437A">
        <w:noBreakHyphen/>
        <w:t>19. Kilkumiesięczne zamknięcie, następnie ograniczenie widowni do 25% i obawy widzów przed uczestnictwem we wspólnym seansie spowodowało drastyczny spadek widowni w ostatnich miesiącach (spadek widowni szacowany jest na blisko 90% w porównaniu do roku ubiegłego). Brak wsparcia finansowego dla tych podmiotów, które nie prowadzą działalności na dużą skalę, grozi im upadłością.</w:t>
      </w:r>
    </w:p>
    <w:p w14:paraId="0BA7C8AF" w14:textId="77777777" w:rsidR="00A21631" w:rsidRPr="0087437A" w:rsidRDefault="00A21631" w:rsidP="00A21631">
      <w:pPr>
        <w:pStyle w:val="NIEARTTEKSTtekstnieartykuowanynppodstprawnarozplubpreambua"/>
      </w:pPr>
      <w:r w:rsidRPr="0087437A">
        <w:t>Do Sieci Kin Studyjnych należy obecnie 188 kin, które dysponują 294 salami. Poza Siecią pozostaje około 100 małych kin niezrzeszonych, w których liczba ekranów jest szacowana na ok. 150.</w:t>
      </w:r>
    </w:p>
    <w:p w14:paraId="3ECA8A7C" w14:textId="77777777" w:rsidR="00A21631" w:rsidRPr="0087437A" w:rsidRDefault="00A21631" w:rsidP="00A21631">
      <w:pPr>
        <w:pStyle w:val="NIEARTTEKSTtekstnieartykuowanynppodstprawnarozplubpreambua"/>
      </w:pPr>
      <w:r w:rsidRPr="0087437A">
        <w:t>Koszt wsparcia wszystkich wymienionych kin przez okres 6 miesięcy wyniósłby</w:t>
      </w:r>
      <w:r w:rsidR="00425CB2">
        <w:t xml:space="preserve"> </w:t>
      </w:r>
      <w:r w:rsidRPr="0087437A">
        <w:t xml:space="preserve">40 000 000 zł. Wynika to z założenia udzielania wsparcia dla poszczególnego kina </w:t>
      </w:r>
    </w:p>
    <w:p w14:paraId="7B2F97A0" w14:textId="77777777" w:rsidR="00A21631" w:rsidRPr="0087437A" w:rsidRDefault="00A21631" w:rsidP="00A21631">
      <w:pPr>
        <w:pStyle w:val="NIEARTTEKSTtekstnieartykuowanynppodstprawnarozplubpreambua"/>
      </w:pPr>
      <w:r w:rsidRPr="0087437A">
        <w:t>w wysokości 15 000 zł na jeden ekran miesięcznie.</w:t>
      </w:r>
    </w:p>
    <w:p w14:paraId="6BD8DA7F" w14:textId="77777777" w:rsidR="00A21631" w:rsidRPr="0087437A" w:rsidRDefault="00A21631" w:rsidP="00A21631">
      <w:pPr>
        <w:pStyle w:val="NIEARTTEKSTtekstnieartykuowanynppodstprawnarozplubpreambua"/>
      </w:pPr>
    </w:p>
    <w:tbl>
      <w:tblPr>
        <w:tblW w:w="9781" w:type="dxa"/>
        <w:tblLook w:val="04A0" w:firstRow="1" w:lastRow="0" w:firstColumn="1" w:lastColumn="0" w:noHBand="0" w:noVBand="1"/>
      </w:tblPr>
      <w:tblGrid>
        <w:gridCol w:w="2127"/>
        <w:gridCol w:w="2126"/>
        <w:gridCol w:w="2268"/>
        <w:gridCol w:w="3260"/>
      </w:tblGrid>
      <w:tr w:rsidR="0087437A" w:rsidRPr="0087437A" w14:paraId="5C82CF6B" w14:textId="77777777" w:rsidTr="00E55D43">
        <w:tc>
          <w:tcPr>
            <w:tcW w:w="2127" w:type="dxa"/>
          </w:tcPr>
          <w:p w14:paraId="79432043" w14:textId="77777777" w:rsidR="00A21631" w:rsidRPr="0087437A" w:rsidRDefault="00A21631" w:rsidP="00E55D43">
            <w:pPr>
              <w:pStyle w:val="TEKSTwTABELItekstzwcitympierwwierszem"/>
            </w:pPr>
            <w:r w:rsidRPr="0087437A">
              <w:t>Beneficjenci</w:t>
            </w:r>
          </w:p>
        </w:tc>
        <w:tc>
          <w:tcPr>
            <w:tcW w:w="2126" w:type="dxa"/>
          </w:tcPr>
          <w:p w14:paraId="1F399A5C" w14:textId="77777777" w:rsidR="00A21631" w:rsidRPr="0087437A" w:rsidRDefault="00A21631" w:rsidP="00E55D43">
            <w:pPr>
              <w:pStyle w:val="TEKSTwTABELItekstzwcitympierwwierszem"/>
            </w:pPr>
            <w:r w:rsidRPr="0087437A">
              <w:t>Liczba kin</w:t>
            </w:r>
          </w:p>
        </w:tc>
        <w:tc>
          <w:tcPr>
            <w:tcW w:w="2268" w:type="dxa"/>
          </w:tcPr>
          <w:p w14:paraId="7FE3842C" w14:textId="77777777" w:rsidR="00A21631" w:rsidRPr="0087437A" w:rsidRDefault="00A21631" w:rsidP="00E55D43">
            <w:pPr>
              <w:pStyle w:val="TEKSTwTABELItekstzwcitympierwwierszem"/>
            </w:pPr>
            <w:r w:rsidRPr="0087437A">
              <w:t>Liczba ekranów</w:t>
            </w:r>
          </w:p>
        </w:tc>
        <w:tc>
          <w:tcPr>
            <w:tcW w:w="3260" w:type="dxa"/>
          </w:tcPr>
          <w:p w14:paraId="56529A7F" w14:textId="77777777" w:rsidR="00A21631" w:rsidRPr="0087437A" w:rsidRDefault="00A21631" w:rsidP="00E55D43">
            <w:pPr>
              <w:pStyle w:val="TEKSTwTABELItekstzwcitympierwwierszem"/>
            </w:pPr>
            <w:r w:rsidRPr="0087437A">
              <w:t>Dofinansowanie PISF</w:t>
            </w:r>
            <w:r w:rsidR="00425CB2">
              <w:t xml:space="preserve"> </w:t>
            </w:r>
            <w:r w:rsidRPr="0087437A">
              <w:t xml:space="preserve">(15 000 zł na ekran </w:t>
            </w:r>
          </w:p>
          <w:p w14:paraId="39FDE68F" w14:textId="77777777" w:rsidR="00A21631" w:rsidRPr="0087437A" w:rsidRDefault="00A21631" w:rsidP="00E55D43">
            <w:pPr>
              <w:pStyle w:val="TEKSTwTABELItekstzwcitympierwwierszem"/>
            </w:pPr>
            <w:r w:rsidRPr="0087437A">
              <w:t>przez 6 m</w:t>
            </w:r>
            <w:r w:rsidRPr="0087437A">
              <w:softHyphen/>
            </w:r>
            <w:r w:rsidRPr="0087437A">
              <w:noBreakHyphen/>
              <w:t>cy)</w:t>
            </w:r>
          </w:p>
        </w:tc>
      </w:tr>
      <w:tr w:rsidR="0087437A" w:rsidRPr="0087437A" w14:paraId="26D4021E" w14:textId="77777777" w:rsidTr="00E55D43">
        <w:tc>
          <w:tcPr>
            <w:tcW w:w="2127" w:type="dxa"/>
          </w:tcPr>
          <w:p w14:paraId="215C230D" w14:textId="77777777" w:rsidR="00A21631" w:rsidRPr="0087437A" w:rsidRDefault="00A21631" w:rsidP="00E55D43">
            <w:pPr>
              <w:pStyle w:val="TEKSTwTABELItekstzwcitympierwwierszem"/>
            </w:pPr>
            <w:r w:rsidRPr="0087437A">
              <w:t>Kina studyjne</w:t>
            </w:r>
          </w:p>
        </w:tc>
        <w:tc>
          <w:tcPr>
            <w:tcW w:w="2126" w:type="dxa"/>
          </w:tcPr>
          <w:p w14:paraId="66B961C4" w14:textId="77777777" w:rsidR="00A21631" w:rsidRPr="0087437A" w:rsidRDefault="00A21631" w:rsidP="00E55D43">
            <w:pPr>
              <w:pStyle w:val="TEKSTwTABELItekstzwcitympierwwierszem"/>
            </w:pPr>
            <w:r w:rsidRPr="0087437A">
              <w:t>188</w:t>
            </w:r>
          </w:p>
        </w:tc>
        <w:tc>
          <w:tcPr>
            <w:tcW w:w="2268" w:type="dxa"/>
          </w:tcPr>
          <w:p w14:paraId="70E8974F" w14:textId="77777777" w:rsidR="00A21631" w:rsidRPr="0087437A" w:rsidRDefault="00A21631" w:rsidP="00E55D43">
            <w:pPr>
              <w:pStyle w:val="TEKSTwTABELItekstzwcitympierwwierszem"/>
            </w:pPr>
            <w:r w:rsidRPr="0087437A">
              <w:t>294</w:t>
            </w:r>
          </w:p>
        </w:tc>
        <w:tc>
          <w:tcPr>
            <w:tcW w:w="3260" w:type="dxa"/>
          </w:tcPr>
          <w:p w14:paraId="26019C40" w14:textId="77777777" w:rsidR="00A21631" w:rsidRPr="0087437A" w:rsidRDefault="00A21631" w:rsidP="00E55D43">
            <w:pPr>
              <w:pStyle w:val="TEKSTwTABELItekstzwcitympierwwierszem"/>
            </w:pPr>
            <w:r w:rsidRPr="0087437A">
              <w:t>26 460 000 zł</w:t>
            </w:r>
          </w:p>
        </w:tc>
      </w:tr>
      <w:tr w:rsidR="0087437A" w:rsidRPr="0087437A" w14:paraId="61EBB0FA" w14:textId="77777777" w:rsidTr="00E55D43">
        <w:tc>
          <w:tcPr>
            <w:tcW w:w="2127" w:type="dxa"/>
          </w:tcPr>
          <w:p w14:paraId="2E61FB96" w14:textId="77777777" w:rsidR="00A21631" w:rsidRPr="0087437A" w:rsidRDefault="00A21631" w:rsidP="00E55D43">
            <w:pPr>
              <w:pStyle w:val="TEKSTwTABELItekstzwcitympierwwierszem"/>
            </w:pPr>
            <w:r w:rsidRPr="0087437A">
              <w:t>Małe kina</w:t>
            </w:r>
          </w:p>
        </w:tc>
        <w:tc>
          <w:tcPr>
            <w:tcW w:w="2126" w:type="dxa"/>
          </w:tcPr>
          <w:p w14:paraId="7FFD764A" w14:textId="77777777" w:rsidR="00A21631" w:rsidRPr="0087437A" w:rsidRDefault="00A21631" w:rsidP="00E55D43">
            <w:pPr>
              <w:pStyle w:val="TEKSTwTABELItekstzwcitympierwwierszem"/>
            </w:pPr>
            <w:r w:rsidRPr="0087437A">
              <w:t>ok. 100</w:t>
            </w:r>
          </w:p>
        </w:tc>
        <w:tc>
          <w:tcPr>
            <w:tcW w:w="2268" w:type="dxa"/>
          </w:tcPr>
          <w:p w14:paraId="39AFFC0E" w14:textId="77777777" w:rsidR="00A21631" w:rsidRPr="0087437A" w:rsidRDefault="00A21631" w:rsidP="00E55D43">
            <w:pPr>
              <w:pStyle w:val="TEKSTwTABELItekstzwcitympierwwierszem"/>
            </w:pPr>
            <w:r w:rsidRPr="0087437A">
              <w:t>ok. 150</w:t>
            </w:r>
          </w:p>
        </w:tc>
        <w:tc>
          <w:tcPr>
            <w:tcW w:w="3260" w:type="dxa"/>
          </w:tcPr>
          <w:p w14:paraId="2F6572A3" w14:textId="77777777" w:rsidR="00A21631" w:rsidRPr="0087437A" w:rsidRDefault="00A21631" w:rsidP="00E55D43">
            <w:pPr>
              <w:pStyle w:val="TEKSTwTABELItekstzwcitympierwwierszem"/>
            </w:pPr>
            <w:r w:rsidRPr="0087437A">
              <w:t>ok. 13 500 000 zł</w:t>
            </w:r>
          </w:p>
        </w:tc>
      </w:tr>
      <w:tr w:rsidR="00A21631" w:rsidRPr="0087437A" w14:paraId="37B2E436" w14:textId="77777777" w:rsidTr="00E55D43">
        <w:tc>
          <w:tcPr>
            <w:tcW w:w="2127" w:type="dxa"/>
          </w:tcPr>
          <w:p w14:paraId="29F157E4" w14:textId="77777777" w:rsidR="00A21631" w:rsidRPr="0087437A" w:rsidRDefault="00A21631" w:rsidP="00E55D43">
            <w:pPr>
              <w:pStyle w:val="TEKSTwTABELItekstzwcitympierwwierszem"/>
            </w:pPr>
            <w:r w:rsidRPr="0087437A">
              <w:t>Razem</w:t>
            </w:r>
          </w:p>
        </w:tc>
        <w:tc>
          <w:tcPr>
            <w:tcW w:w="2126" w:type="dxa"/>
          </w:tcPr>
          <w:p w14:paraId="2AC57CFA" w14:textId="77777777" w:rsidR="00A21631" w:rsidRPr="0087437A" w:rsidRDefault="00A21631" w:rsidP="00E55D43">
            <w:pPr>
              <w:pStyle w:val="TEKSTwTABELItekstzwcitympierwwierszem"/>
            </w:pPr>
            <w:r w:rsidRPr="0087437A">
              <w:t>ok. 288</w:t>
            </w:r>
          </w:p>
        </w:tc>
        <w:tc>
          <w:tcPr>
            <w:tcW w:w="2268" w:type="dxa"/>
          </w:tcPr>
          <w:p w14:paraId="755850AB" w14:textId="77777777" w:rsidR="00A21631" w:rsidRPr="0087437A" w:rsidRDefault="00A21631" w:rsidP="00E55D43">
            <w:pPr>
              <w:pStyle w:val="TEKSTwTABELItekstzwcitympierwwierszem"/>
            </w:pPr>
            <w:r w:rsidRPr="0087437A">
              <w:t>ok. 444</w:t>
            </w:r>
          </w:p>
        </w:tc>
        <w:tc>
          <w:tcPr>
            <w:tcW w:w="3260" w:type="dxa"/>
          </w:tcPr>
          <w:p w14:paraId="581BA5C2" w14:textId="77777777" w:rsidR="00A21631" w:rsidRPr="0087437A" w:rsidRDefault="00A21631" w:rsidP="00E55D43">
            <w:pPr>
              <w:pStyle w:val="TEKSTwTABELItekstzwcitympierwwierszem"/>
            </w:pPr>
            <w:r w:rsidRPr="0087437A">
              <w:t>39 960 000 zł</w:t>
            </w:r>
          </w:p>
        </w:tc>
      </w:tr>
    </w:tbl>
    <w:p w14:paraId="64E9B233" w14:textId="77777777" w:rsidR="00A21631" w:rsidRPr="0087437A" w:rsidRDefault="00A21631" w:rsidP="00A21631">
      <w:pPr>
        <w:pStyle w:val="NIEARTTEKSTtekstnieartykuowanynppodstprawnarozplubpreambua"/>
      </w:pPr>
    </w:p>
    <w:p w14:paraId="74662C69" w14:textId="77777777" w:rsidR="00A21631" w:rsidRPr="0087437A" w:rsidRDefault="00A21631" w:rsidP="00A21631">
      <w:pPr>
        <w:pStyle w:val="NIEARTTEKSTtekstnieartykuowanynppodstprawnarozplubpreambua"/>
      </w:pPr>
    </w:p>
    <w:p w14:paraId="0EC2A8D7" w14:textId="77777777" w:rsidR="00A21631" w:rsidRPr="0087437A" w:rsidRDefault="00A21631" w:rsidP="00A21631">
      <w:pPr>
        <w:pStyle w:val="NIEARTTEKSTtekstnieartykuowanynppodstprawnarozplubpreambua"/>
      </w:pPr>
      <w:r w:rsidRPr="0087437A">
        <w:t>Przekazanie ww. środków finansowych umożliwi przetrwanie branży kinematografii. Brak wsparcia finansowego dla wskazanych powyżej sektorów branży filmowej spowodowałoby całkowite zahamowanie dystrybucji filmów w kinach, brak zwrotu inwestycji polskim przedsiębiorcom działającym w branży kinematografii (co może spowodować</w:t>
      </w:r>
      <w:r w:rsidR="00425CB2">
        <w:t xml:space="preserve"> </w:t>
      </w:r>
      <w:r w:rsidRPr="0087437A">
        <w:t>likwidację wielu firm zajmujących się produkcją audiowizualną) oraz zamknięcie na stałe kin studyjnych w Polsce.</w:t>
      </w:r>
    </w:p>
    <w:p w14:paraId="5CD3FAC6" w14:textId="77777777" w:rsidR="00A21631" w:rsidRPr="0087437A" w:rsidRDefault="00A21631" w:rsidP="00A21631">
      <w:pPr>
        <w:pStyle w:val="NIEARTTEKSTtekstnieartykuowanynppodstprawnarozplubpreambua"/>
      </w:pPr>
    </w:p>
    <w:p w14:paraId="4B486063" w14:textId="77777777" w:rsidR="00A21631" w:rsidRPr="0087437A" w:rsidRDefault="00A21631" w:rsidP="00A21631">
      <w:pPr>
        <w:pStyle w:val="NIEARTTEKSTtekstnieartykuowanynppodstprawnarozplubpreambua"/>
      </w:pPr>
      <w:r w:rsidRPr="0087437A">
        <w:t>IV.</w:t>
      </w:r>
      <w:r w:rsidRPr="0087437A">
        <w:tab/>
        <w:t>Stypendia</w:t>
      </w:r>
    </w:p>
    <w:p w14:paraId="32A6835E" w14:textId="77777777" w:rsidR="00A21631" w:rsidRPr="0087437A" w:rsidRDefault="00A21631" w:rsidP="00A21631">
      <w:pPr>
        <w:pStyle w:val="NIEARTTEKSTtekstnieartykuowanynppodstprawnarozplubpreambua"/>
      </w:pPr>
      <w:r w:rsidRPr="0087437A">
        <w:t>Ze środków pochodzących z Funduszu Przeciwdziałania COVID</w:t>
      </w:r>
      <w:r w:rsidRPr="0087437A">
        <w:softHyphen/>
      </w:r>
      <w:r w:rsidRPr="0087437A">
        <w:noBreakHyphen/>
        <w:t xml:space="preserve">19 Dyrektor PISF będzie mógł udzielić stypendiów na podstawie art. 13 ust. 3 ustawy z dnia 30 czerwca 2005 r. o kinematografii. Kwota przeznaczona na rzecz stypendiów będzie wynosić maksymalnie 4 mln zł. Środki na stypendia będą przyznawane w przypadku niepełnego wykorzystania środków na programy. </w:t>
      </w:r>
    </w:p>
    <w:p w14:paraId="390A78FA" w14:textId="77777777" w:rsidR="00A21631" w:rsidRPr="0087437A" w:rsidRDefault="00A21631" w:rsidP="00A21631">
      <w:pPr>
        <w:pStyle w:val="NIEARTTEKSTtekstnieartykuowanynppodstprawnarozplubpreambua"/>
      </w:pPr>
      <w:r w:rsidRPr="0087437A">
        <w:t xml:space="preserve">Forma stypendiów dla osób fizycznych umożliwi wsparcie socjalne podmiotów, które nie uzyskają wsparcia z innych źródeł. Sytuacja twórców filmowych jest niezwykle niejednorodna, a mechanizm stypendium umożliwi wsparcie osób najbardziej narażonych na ubóstwo. </w:t>
      </w:r>
    </w:p>
    <w:p w14:paraId="61CFE1C4" w14:textId="77777777" w:rsidR="00A21631" w:rsidRPr="0087437A" w:rsidRDefault="00A21631" w:rsidP="00A21631">
      <w:pPr>
        <w:pStyle w:val="NIEARTTEKSTtekstnieartykuowanynppodstprawnarozplubpreambua"/>
      </w:pPr>
      <w:r w:rsidRPr="0087437A">
        <w:t xml:space="preserve">Stypendia mogą być przyznane przez PISF na wniosek osoby fizycznej. Stypendia będą przyznawane na rzecz osób biorących udział w tworzeniu utworu audiowizualnego, które znalazły się w trudnej sytuacji materialnej w związku z epidemią COVID </w:t>
      </w:r>
      <w:r w:rsidRPr="0087437A">
        <w:softHyphen/>
      </w:r>
      <w:r w:rsidRPr="0087437A">
        <w:noBreakHyphen/>
        <w:t>19.</w:t>
      </w:r>
    </w:p>
    <w:p w14:paraId="7F14F8F6" w14:textId="77777777" w:rsidR="00B91A3C" w:rsidRPr="0087437A" w:rsidRDefault="00A21631" w:rsidP="00A21631">
      <w:pPr>
        <w:pStyle w:val="NIEARTTEKSTtekstnieartykuowanynppodstprawnarozplubpreambua"/>
        <w:ind w:firstLine="0"/>
      </w:pPr>
      <w:r w:rsidRPr="0087437A">
        <w:t>Projekt szczegółowo określa treść wniosku o uzyskanie stypendium oraz wspólny dla wszystkich beneficjentów termin składnia wniosków.</w:t>
      </w:r>
      <w:r w:rsidR="00425CB2">
        <w:t xml:space="preserve"> </w:t>
      </w:r>
    </w:p>
    <w:p w14:paraId="629FF09F" w14:textId="77777777" w:rsidR="00B91A3C" w:rsidRPr="0087437A" w:rsidRDefault="00B91A3C" w:rsidP="0043695F">
      <w:pPr>
        <w:pStyle w:val="USTustnpkodeksu"/>
        <w:tabs>
          <w:tab w:val="left" w:pos="7512"/>
        </w:tabs>
        <w:ind w:firstLine="0"/>
      </w:pPr>
    </w:p>
    <w:p w14:paraId="2CDEFC53"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W </w:t>
      </w:r>
      <w:r w:rsidR="000B5060" w:rsidRPr="0087437A">
        <w:rPr>
          <w:rFonts w:ascii="Times New Roman" w:eastAsia="Calibri" w:hAnsi="Times New Roman" w:cs="Times New Roman"/>
          <w:sz w:val="24"/>
          <w:szCs w:val="24"/>
        </w:rPr>
        <w:t>art. 1 pkt 2</w:t>
      </w:r>
      <w:r w:rsidR="00CF7E3E" w:rsidRPr="0087437A">
        <w:rPr>
          <w:rFonts w:ascii="Times New Roman" w:eastAsia="Calibri" w:hAnsi="Times New Roman" w:cs="Times New Roman"/>
          <w:sz w:val="24"/>
          <w:szCs w:val="24"/>
        </w:rPr>
        <w:t>9</w:t>
      </w:r>
      <w:r w:rsidR="000B5060" w:rsidRPr="0087437A">
        <w:rPr>
          <w:rFonts w:ascii="Times New Roman" w:eastAsia="Calibri" w:hAnsi="Times New Roman" w:cs="Times New Roman"/>
          <w:sz w:val="24"/>
          <w:szCs w:val="24"/>
        </w:rPr>
        <w:t xml:space="preserve"> niniejszej ustawy</w:t>
      </w:r>
      <w:r w:rsidRPr="0087437A">
        <w:rPr>
          <w:rFonts w:ascii="Times New Roman" w:eastAsia="Calibri" w:hAnsi="Times New Roman" w:cs="Times New Roman"/>
          <w:sz w:val="24"/>
          <w:szCs w:val="24"/>
        </w:rPr>
        <w:t xml:space="preserve"> proponuje się także zmian</w:t>
      </w:r>
      <w:r w:rsidR="000B5060" w:rsidRPr="0087437A">
        <w:rPr>
          <w:rFonts w:ascii="Times New Roman" w:eastAsia="Calibri" w:hAnsi="Times New Roman" w:cs="Times New Roman"/>
          <w:sz w:val="24"/>
          <w:szCs w:val="24"/>
        </w:rPr>
        <w:t>ę</w:t>
      </w:r>
      <w:r w:rsidRPr="0087437A">
        <w:rPr>
          <w:rFonts w:ascii="Times New Roman" w:eastAsia="Calibri" w:hAnsi="Times New Roman" w:cs="Times New Roman"/>
          <w:sz w:val="24"/>
          <w:szCs w:val="24"/>
        </w:rPr>
        <w:t xml:space="preserve"> w art. 36 ustawy</w:t>
      </w:r>
      <w:r w:rsidR="00CF7E3E" w:rsidRPr="0087437A">
        <w:rPr>
          <w:rFonts w:ascii="Times New Roman" w:eastAsia="Calibri" w:hAnsi="Times New Roman" w:cs="Times New Roman"/>
          <w:sz w:val="24"/>
          <w:szCs w:val="24"/>
        </w:rPr>
        <w:t xml:space="preserve"> COVID-19</w:t>
      </w:r>
      <w:r w:rsidRPr="0087437A">
        <w:rPr>
          <w:rFonts w:ascii="Times New Roman" w:eastAsia="Calibri" w:hAnsi="Times New Roman" w:cs="Times New Roman"/>
          <w:sz w:val="24"/>
          <w:szCs w:val="24"/>
        </w:rPr>
        <w:t>.</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Z uwagi na przedłużający się stan epidemiczny,</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wskazane jest przedłużenie ob</w:t>
      </w:r>
      <w:r w:rsidR="00D043DD" w:rsidRPr="0087437A">
        <w:rPr>
          <w:rFonts w:ascii="Times New Roman" w:eastAsia="Calibri" w:hAnsi="Times New Roman" w:cs="Times New Roman"/>
          <w:sz w:val="24"/>
          <w:szCs w:val="24"/>
        </w:rPr>
        <w:t>owiązywania przepisów art. 8d–</w:t>
      </w:r>
      <w:r w:rsidRPr="0087437A">
        <w:rPr>
          <w:rFonts w:ascii="Times New Roman" w:eastAsia="Calibri" w:hAnsi="Times New Roman" w:cs="Times New Roman"/>
          <w:sz w:val="24"/>
          <w:szCs w:val="24"/>
        </w:rPr>
        <w:t xml:space="preserve">8f ustawy z dnia 2 marca 2020 r. o szczególnych rozwiązaniach związanych z zapobieganiem, przeciwdziałaniem i zwalczaniem COVID-19, innych chorób zakaźnych oraz wywołanych nimi sytuacji kryzysowych (Dz. U. poz. </w:t>
      </w:r>
      <w:r w:rsidR="00D043DD" w:rsidRPr="0087437A">
        <w:rPr>
          <w:rFonts w:ascii="Times New Roman" w:eastAsia="Calibri" w:hAnsi="Times New Roman" w:cs="Times New Roman"/>
          <w:sz w:val="24"/>
          <w:szCs w:val="24"/>
        </w:rPr>
        <w:t>1842,</w:t>
      </w:r>
      <w:r w:rsidRPr="0087437A">
        <w:rPr>
          <w:rFonts w:ascii="Times New Roman" w:eastAsia="Calibri" w:hAnsi="Times New Roman" w:cs="Times New Roman"/>
          <w:sz w:val="24"/>
          <w:szCs w:val="24"/>
        </w:rPr>
        <w:t xml:space="preserve"> z późn. zm.), stanowiących podstawę ograniczenia kosztów pozaodsetkowych kredytu konsumenckiego.</w:t>
      </w:r>
    </w:p>
    <w:p w14:paraId="0182B999"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Obniżenie maksymalnej wysokości kosztów poza-odsetkowych kredytu na czas przewidziany w ustawie ma chronić szczególnie wrażliwych klientów przed wykorzystywaniem ich słabszej pozycji przez pożyczkodawców (</w:t>
      </w:r>
      <w:r w:rsidRPr="0087437A">
        <w:rPr>
          <w:rFonts w:ascii="Times New Roman" w:eastAsia="Calibri" w:hAnsi="Times New Roman" w:cs="Times New Roman"/>
          <w:i/>
          <w:sz w:val="24"/>
          <w:szCs w:val="24"/>
        </w:rPr>
        <w:t>predatory lending</w:t>
      </w:r>
      <w:r w:rsidRPr="0087437A">
        <w:rPr>
          <w:rFonts w:ascii="Times New Roman" w:eastAsia="Calibri" w:hAnsi="Times New Roman" w:cs="Times New Roman"/>
          <w:sz w:val="24"/>
          <w:szCs w:val="24"/>
        </w:rPr>
        <w:t xml:space="preserve">). Dotyczy to zwłaszcza sytuacji, kiedy pożyczkodawca – co już obecnie zdarza się w wielu podmiotach oferujących szybkie pożyczki – stosowałby maksymalne stawki kosztów pozaodsetkowych. </w:t>
      </w:r>
    </w:p>
    <w:p w14:paraId="0F16D3F7"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Różnicę w kosztach (odsetki i prowizje) poniesionych przez konsumenta, przy założeniu stosowania maksymalnych (lub prawie maksymalnych) kosztów pozaodsetkowych, na przykładzie pięciu pożyczek, przedstawia poniższe zestawienie:</w:t>
      </w:r>
    </w:p>
    <w:tbl>
      <w:tblPr>
        <w:tblStyle w:val="Tabela-Siatka"/>
        <w:tblW w:w="0" w:type="auto"/>
        <w:tblLook w:val="04A0" w:firstRow="1" w:lastRow="0" w:firstColumn="1" w:lastColumn="0" w:noHBand="0" w:noVBand="1"/>
      </w:tblPr>
      <w:tblGrid>
        <w:gridCol w:w="2567"/>
        <w:gridCol w:w="2224"/>
        <w:gridCol w:w="2391"/>
        <w:gridCol w:w="1880"/>
      </w:tblGrid>
      <w:tr w:rsidR="0087437A" w:rsidRPr="0087437A" w14:paraId="132A20B9" w14:textId="77777777" w:rsidTr="00FD7C67">
        <w:tc>
          <w:tcPr>
            <w:tcW w:w="2567" w:type="dxa"/>
          </w:tcPr>
          <w:p w14:paraId="79CE52BD"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Pożyczka</w:t>
            </w:r>
          </w:p>
        </w:tc>
        <w:tc>
          <w:tcPr>
            <w:tcW w:w="2224" w:type="dxa"/>
          </w:tcPr>
          <w:p w14:paraId="7B492836"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Koszt całkowity – obecne regulacje</w:t>
            </w:r>
          </w:p>
        </w:tc>
        <w:tc>
          <w:tcPr>
            <w:tcW w:w="2391" w:type="dxa"/>
          </w:tcPr>
          <w:p w14:paraId="4098987A"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Koszt całkowity – proponowane regulacje</w:t>
            </w:r>
          </w:p>
        </w:tc>
        <w:tc>
          <w:tcPr>
            <w:tcW w:w="1880" w:type="dxa"/>
          </w:tcPr>
          <w:p w14:paraId="391E59B6"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Redukcja kosztu</w:t>
            </w:r>
          </w:p>
          <w:p w14:paraId="5C646957"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 </w:t>
            </w:r>
          </w:p>
        </w:tc>
      </w:tr>
      <w:tr w:rsidR="0087437A" w:rsidRPr="0087437A" w14:paraId="107D170D" w14:textId="77777777" w:rsidTr="00FD7C67">
        <w:tc>
          <w:tcPr>
            <w:tcW w:w="2567" w:type="dxa"/>
          </w:tcPr>
          <w:p w14:paraId="5236252F"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500 zł na 15 dni, nieoprocentowana,</w:t>
            </w:r>
          </w:p>
          <w:p w14:paraId="023D5CF6"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tylko okres przejściowy</w:t>
            </w:r>
          </w:p>
          <w:p w14:paraId="0723F787" w14:textId="77777777" w:rsidR="00C23A6A" w:rsidRPr="0087437A" w:rsidRDefault="00C23A6A" w:rsidP="0043695F">
            <w:pPr>
              <w:jc w:val="both"/>
              <w:rPr>
                <w:rFonts w:ascii="Times New Roman" w:eastAsia="Calibri" w:hAnsi="Times New Roman" w:cs="Times New Roman"/>
                <w:sz w:val="24"/>
                <w:szCs w:val="24"/>
              </w:rPr>
            </w:pPr>
          </w:p>
        </w:tc>
        <w:tc>
          <w:tcPr>
            <w:tcW w:w="2224" w:type="dxa"/>
          </w:tcPr>
          <w:p w14:paraId="09DBA554"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125,00</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zł</w:t>
            </w:r>
          </w:p>
        </w:tc>
        <w:tc>
          <w:tcPr>
            <w:tcW w:w="2391" w:type="dxa"/>
          </w:tcPr>
          <w:p w14:paraId="4A624339"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25,00 zł</w:t>
            </w:r>
          </w:p>
        </w:tc>
        <w:tc>
          <w:tcPr>
            <w:tcW w:w="1880" w:type="dxa"/>
          </w:tcPr>
          <w:p w14:paraId="36B9C9BD"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80%</w:t>
            </w:r>
          </w:p>
        </w:tc>
      </w:tr>
      <w:tr w:rsidR="0087437A" w:rsidRPr="0087437A" w14:paraId="0027E73A" w14:textId="77777777" w:rsidTr="00FD7C67">
        <w:tc>
          <w:tcPr>
            <w:tcW w:w="2567" w:type="dxa"/>
          </w:tcPr>
          <w:p w14:paraId="29EA1AD3"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1000 zł na 90 dni, oprocentowanie 7,2%, prowizja niekredytowana,</w:t>
            </w:r>
          </w:p>
          <w:p w14:paraId="1513E6F9"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tylko okres przejściowy</w:t>
            </w:r>
          </w:p>
        </w:tc>
        <w:tc>
          <w:tcPr>
            <w:tcW w:w="2224" w:type="dxa"/>
          </w:tcPr>
          <w:p w14:paraId="37909B86"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337,02 zł</w:t>
            </w:r>
          </w:p>
        </w:tc>
        <w:tc>
          <w:tcPr>
            <w:tcW w:w="2391" w:type="dxa"/>
          </w:tcPr>
          <w:p w14:paraId="41AB3EF1"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177,02 zł</w:t>
            </w:r>
          </w:p>
        </w:tc>
        <w:tc>
          <w:tcPr>
            <w:tcW w:w="1880" w:type="dxa"/>
          </w:tcPr>
          <w:p w14:paraId="619A8688"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47%</w:t>
            </w:r>
          </w:p>
        </w:tc>
      </w:tr>
      <w:tr w:rsidR="0087437A" w:rsidRPr="0087437A" w14:paraId="757811DD" w14:textId="77777777" w:rsidTr="00FD7C67">
        <w:tc>
          <w:tcPr>
            <w:tcW w:w="2567" w:type="dxa"/>
          </w:tcPr>
          <w:p w14:paraId="15DE4B0E"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1000 zł na 6 miesięcy,</w:t>
            </w:r>
          </w:p>
          <w:p w14:paraId="0BF2074C"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oprocentowanie 5%,</w:t>
            </w:r>
          </w:p>
          <w:p w14:paraId="5F0E9AB9"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prowizja kredytowana,</w:t>
            </w:r>
          </w:p>
          <w:p w14:paraId="4E528C5F"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tylko okres przejściowy</w:t>
            </w:r>
          </w:p>
        </w:tc>
        <w:tc>
          <w:tcPr>
            <w:tcW w:w="2224" w:type="dxa"/>
          </w:tcPr>
          <w:p w14:paraId="4FDFEA68"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412,28 zł</w:t>
            </w:r>
          </w:p>
        </w:tc>
        <w:tc>
          <w:tcPr>
            <w:tcW w:w="2391" w:type="dxa"/>
          </w:tcPr>
          <w:p w14:paraId="5C308613"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190,35 zł</w:t>
            </w:r>
          </w:p>
        </w:tc>
        <w:tc>
          <w:tcPr>
            <w:tcW w:w="1880" w:type="dxa"/>
          </w:tcPr>
          <w:p w14:paraId="4C946F21"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54%</w:t>
            </w:r>
          </w:p>
        </w:tc>
      </w:tr>
      <w:tr w:rsidR="0087437A" w:rsidRPr="0087437A" w14:paraId="6D2750A9" w14:textId="77777777" w:rsidTr="00FD7C67">
        <w:tc>
          <w:tcPr>
            <w:tcW w:w="2567" w:type="dxa"/>
          </w:tcPr>
          <w:p w14:paraId="1A523310"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1000 zł na 12 miesięcy,</w:t>
            </w:r>
          </w:p>
          <w:p w14:paraId="5E7DB651"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oprocentowanie 7,2%,</w:t>
            </w:r>
          </w:p>
          <w:p w14:paraId="17C82289"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prowizja kredytowana,</w:t>
            </w:r>
          </w:p>
          <w:p w14:paraId="73E1A4D4"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tylko okres przejściowy</w:t>
            </w:r>
          </w:p>
        </w:tc>
        <w:tc>
          <w:tcPr>
            <w:tcW w:w="2224" w:type="dxa"/>
          </w:tcPr>
          <w:p w14:paraId="327D48A9"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575,30 zł</w:t>
            </w:r>
          </w:p>
        </w:tc>
        <w:tc>
          <w:tcPr>
            <w:tcW w:w="2391" w:type="dxa"/>
          </w:tcPr>
          <w:p w14:paraId="0B5947C0"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229,75 zł</w:t>
            </w:r>
          </w:p>
        </w:tc>
        <w:tc>
          <w:tcPr>
            <w:tcW w:w="1880" w:type="dxa"/>
          </w:tcPr>
          <w:p w14:paraId="7B2247BE"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60%</w:t>
            </w:r>
          </w:p>
        </w:tc>
      </w:tr>
    </w:tbl>
    <w:p w14:paraId="184E615A" w14:textId="77777777" w:rsidR="00C23A6A" w:rsidRPr="0087437A" w:rsidRDefault="00C23A6A" w:rsidP="0043695F">
      <w:pPr>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t>
      </w:r>
      <w:r w:rsidRPr="0087437A">
        <w:rPr>
          <w:rFonts w:ascii="Times New Roman" w:eastAsia="Calibri" w:hAnsi="Times New Roman" w:cs="Times New Roman"/>
          <w:i/>
          <w:sz w:val="24"/>
          <w:szCs w:val="24"/>
        </w:rPr>
        <w:t>oprocentowanie 7,2% odpowiada maksymalnemu oprocentowaniu po obniżeniu stopy referencyjnej NBP do 0,1%</w:t>
      </w:r>
      <w:r w:rsidRPr="0087437A">
        <w:rPr>
          <w:rFonts w:ascii="Times New Roman" w:eastAsia="Calibri" w:hAnsi="Times New Roman" w:cs="Times New Roman"/>
          <w:sz w:val="24"/>
          <w:szCs w:val="24"/>
        </w:rPr>
        <w:t>)</w:t>
      </w:r>
    </w:p>
    <w:p w14:paraId="11F97A36"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Wprowadzone zmiany zdecydowanie zniechęcają do udzielania bardzo krótkich, wysokokosztowych pożyczek, czyli tych najbliższych lichwie. Przy pożyczkach średnioterminowych w okresie przejściowym (czas obowiązywania przepisów specustawy) konsument może liczyć na obniżenie kosztów związanych z kredytem o więcej niż połowę. </w:t>
      </w:r>
    </w:p>
    <w:p w14:paraId="2AD22C28" w14:textId="77777777" w:rsidR="00C23A6A" w:rsidRPr="0087437A" w:rsidRDefault="00C23A6A" w:rsidP="0043695F">
      <w:pPr>
        <w:spacing w:after="0" w:line="360" w:lineRule="auto"/>
        <w:jc w:val="both"/>
        <w:rPr>
          <w:rFonts w:ascii="Times New Roman" w:eastAsia="Calibri" w:hAnsi="Times New Roman" w:cs="Times New Roman"/>
          <w:b/>
          <w:sz w:val="24"/>
          <w:szCs w:val="24"/>
        </w:rPr>
      </w:pPr>
      <w:r w:rsidRPr="0087437A">
        <w:rPr>
          <w:rFonts w:ascii="Times New Roman" w:eastAsia="Calibri" w:hAnsi="Times New Roman" w:cs="Times New Roman"/>
          <w:b/>
          <w:sz w:val="24"/>
          <w:szCs w:val="24"/>
        </w:rPr>
        <w:t>Odniesienie do argumentu o ograniczeniu dostępu do kredytów i wpychaniu konsumentów w szarą strefę:</w:t>
      </w:r>
    </w:p>
    <w:p w14:paraId="5BF4B965" w14:textId="77777777" w:rsidR="00C23A6A" w:rsidRPr="0087437A" w:rsidRDefault="00C23A6A" w:rsidP="0043695F">
      <w:pPr>
        <w:spacing w:after="0" w:line="360" w:lineRule="auto"/>
        <w:jc w:val="both"/>
        <w:rPr>
          <w:rFonts w:ascii="Times New Roman" w:eastAsia="Calibri" w:hAnsi="Times New Roman" w:cs="Times New Roman"/>
          <w:b/>
          <w:sz w:val="24"/>
          <w:szCs w:val="24"/>
        </w:rPr>
      </w:pPr>
      <w:r w:rsidRPr="0087437A">
        <w:rPr>
          <w:rFonts w:ascii="Times New Roman" w:eastAsia="Calibri" w:hAnsi="Times New Roman" w:cs="Times New Roman"/>
          <w:sz w:val="24"/>
          <w:szCs w:val="24"/>
        </w:rPr>
        <w:t xml:space="preserve">Kwestią, która jest często podnoszona podczas dyskusji o redukcji kosztów pożyczek (choćby przy pracy na ustawą o przeciwdziałaniu lichwie z 2019 r.) jest wycofanie się z rynku pożyczkobiorców i przejęcie części klientów przez szarą strefę/lombardy. Wspomniany argument często był podnoszony przez kredytodawców i ich organizacje branżowe po wprowadzeniu w ustawie z dnia 2 marca 2020 r. o szczególnych rozwiązaniach związanych z zapobieganiem, przeciwdziałaniem i zwalczaniem COVID-19, innych chorób zakaźnych oraz wywołanych nimi sytuacji kryzysowych obniżenia pozaodsetkowych kosztów kredytu konsumenckiego. Biorąc jednak pod uwagę dane dotyczące sytuacji konsumentów w okresie I fali pandemii w okresie po jej opadnięciu w październiku 2020 r. – należy wskazać, że argument nie jest trafny i był przez branżę pożyczkową nadużywany. </w:t>
      </w:r>
      <w:r w:rsidRPr="0087437A">
        <w:rPr>
          <w:rFonts w:ascii="Times New Roman" w:eastAsia="Calibri" w:hAnsi="Times New Roman" w:cs="Times New Roman"/>
          <w:b/>
          <w:sz w:val="24"/>
          <w:szCs w:val="24"/>
        </w:rPr>
        <w:t xml:space="preserve">Generalnie wskutek pandemii w coraz mniejszym stopniu Polacy chcą korzystać z kredytów w finansowaniu ważnych wydatków </w:t>
      </w:r>
      <w:r w:rsidRPr="0087437A">
        <w:rPr>
          <w:rFonts w:ascii="Times New Roman" w:eastAsia="Calibri" w:hAnsi="Times New Roman" w:cs="Times New Roman"/>
          <w:sz w:val="24"/>
          <w:szCs w:val="24"/>
        </w:rPr>
        <w:t>– jest to wypadkowa zarówno spadku skłonności do wydawania pieniędzy, posiadanych oszczędności, jak i obaw gospodarstw domowych co do przyszłości w obliczu pandemii – w szczególności obaw przed bezrobociem i niepewnością co rozwoju sytuacji gospodarczej. Spadek skłonności do korzystania z kredytów miał niewątpliwy wpływ na zmniejszenie akcji kredytowej.</w:t>
      </w:r>
      <w:r w:rsidRPr="0087437A">
        <w:rPr>
          <w:rFonts w:ascii="Times New Roman" w:eastAsia="Calibri" w:hAnsi="Times New Roman" w:cs="Times New Roman"/>
          <w:b/>
          <w:sz w:val="24"/>
          <w:szCs w:val="24"/>
        </w:rPr>
        <w:t xml:space="preserve"> Zatem spadek liczby udzielanych kredytów nie wynika, jak to wskazują instytucje kredytowe, jedynie z ograniczenia udzielania kredytów, ale też w znaczącym stopniu ze spadku skłonności do ich brania. </w:t>
      </w:r>
    </w:p>
    <w:p w14:paraId="567940BD"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b/>
          <w:sz w:val="24"/>
          <w:szCs w:val="24"/>
        </w:rPr>
        <w:t>Teza o ograniczeniu dostępu do kredytowania poprzez ograniczenie pozaodsetkowych kosztów kredytu szerokim grupom ludności, co skutkuje ich wypchnięciem do szarej strefy jest zatem nieuprawniona, co potwierdzają wyniki poniższych badań.</w:t>
      </w:r>
    </w:p>
    <w:p w14:paraId="04B585D4"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Polacy w okres pandemii wchodzili z rzeczywistości silnie rozwijającej się gospodarki, dobrej sytuacji na rynku pracy, osobom o najniższych dochodach zapewniono wysokie, ale co najważniejsze trwałe transfery socjalne – spowodowało to, że okres I fali, jak i lockdown nie uderzył</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xml:space="preserve">tak mocno w finanse Polaków i gospodarstw domowych, jak to prognozowano na początku wybuchu pandemii. </w:t>
      </w:r>
    </w:p>
    <w:p w14:paraId="42DBD076" w14:textId="77777777" w:rsidR="00C23A6A" w:rsidRPr="0087437A" w:rsidRDefault="00C23A6A" w:rsidP="0043695F">
      <w:pPr>
        <w:spacing w:after="0" w:line="360" w:lineRule="auto"/>
        <w:jc w:val="both"/>
        <w:rPr>
          <w:rFonts w:ascii="Times New Roman" w:eastAsia="Calibri" w:hAnsi="Times New Roman" w:cs="Times New Roman"/>
          <w:b/>
          <w:sz w:val="24"/>
          <w:szCs w:val="24"/>
        </w:rPr>
      </w:pPr>
      <w:r w:rsidRPr="0087437A">
        <w:rPr>
          <w:rFonts w:ascii="Times New Roman" w:eastAsia="Calibri" w:hAnsi="Times New Roman" w:cs="Times New Roman"/>
          <w:b/>
          <w:sz w:val="24"/>
          <w:szCs w:val="24"/>
          <w:shd w:val="clear" w:color="auto" w:fill="FFFFFF"/>
        </w:rPr>
        <w:t>Oszczędności gospodarstw domowych na progu pandemii:</w:t>
      </w:r>
    </w:p>
    <w:p w14:paraId="05D90C6C" w14:textId="77777777" w:rsidR="00C23A6A" w:rsidRPr="0087437A" w:rsidRDefault="00C23A6A" w:rsidP="0043695F">
      <w:pPr>
        <w:numPr>
          <w:ilvl w:val="0"/>
          <w:numId w:val="3"/>
        </w:numPr>
        <w:spacing w:after="0" w:line="360" w:lineRule="auto"/>
        <w:ind w:left="0" w:firstLine="0"/>
        <w:contextualSpacing/>
        <w:jc w:val="both"/>
        <w:rPr>
          <w:rFonts w:ascii="Times New Roman" w:eastAsia="Calibri" w:hAnsi="Times New Roman" w:cs="Times New Roman"/>
          <w:sz w:val="24"/>
          <w:szCs w:val="24"/>
          <w:shd w:val="clear" w:color="auto" w:fill="FFFFFF"/>
        </w:rPr>
      </w:pPr>
      <w:r w:rsidRPr="0087437A">
        <w:rPr>
          <w:rFonts w:ascii="Times New Roman" w:eastAsia="Calibri" w:hAnsi="Times New Roman" w:cs="Times New Roman"/>
          <w:sz w:val="24"/>
          <w:szCs w:val="24"/>
        </w:rPr>
        <w:t>Stopa oszczędności gospodarstw domowych w Unii Europejskiej wzrosła rok do roku najmocniej historii (o 3,5 pkt. proc.)</w:t>
      </w:r>
      <w:r w:rsidRPr="0087437A">
        <w:rPr>
          <w:rFonts w:ascii="Times New Roman" w:eastAsia="Calibri" w:hAnsi="Times New Roman" w:cs="Times New Roman"/>
          <w:sz w:val="24"/>
          <w:szCs w:val="24"/>
          <w:vertAlign w:val="superscript"/>
        </w:rPr>
        <w:footnoteReference w:id="1"/>
      </w:r>
      <w:r w:rsidRPr="0087437A">
        <w:rPr>
          <w:rFonts w:ascii="Times New Roman" w:eastAsia="Calibri" w:hAnsi="Times New Roman" w:cs="Times New Roman"/>
          <w:sz w:val="24"/>
          <w:szCs w:val="24"/>
        </w:rPr>
        <w:t>.</w:t>
      </w:r>
    </w:p>
    <w:p w14:paraId="72BE3EA2" w14:textId="77777777" w:rsidR="00C23A6A" w:rsidRPr="0087437A" w:rsidRDefault="00C23A6A" w:rsidP="0043695F">
      <w:pPr>
        <w:numPr>
          <w:ilvl w:val="0"/>
          <w:numId w:val="3"/>
        </w:numPr>
        <w:spacing w:after="0" w:line="360" w:lineRule="auto"/>
        <w:ind w:left="0" w:firstLine="0"/>
        <w:contextualSpacing/>
        <w:jc w:val="both"/>
        <w:rPr>
          <w:rFonts w:ascii="Times New Roman" w:eastAsia="Calibri" w:hAnsi="Times New Roman" w:cs="Times New Roman"/>
          <w:sz w:val="24"/>
          <w:szCs w:val="24"/>
          <w:shd w:val="clear" w:color="auto" w:fill="FFFFFF"/>
        </w:rPr>
      </w:pPr>
      <w:r w:rsidRPr="0087437A">
        <w:rPr>
          <w:rFonts w:ascii="Times New Roman" w:eastAsia="Calibri" w:hAnsi="Times New Roman" w:cs="Times New Roman"/>
          <w:sz w:val="24"/>
          <w:szCs w:val="24"/>
          <w:shd w:val="clear" w:color="auto" w:fill="FFFFFF"/>
        </w:rPr>
        <w:t>Wzrost stopy oszczędności gospodarstw domowych Eurostat tłumaczy wzrostem dochodu rozporządzalnego, czyli całkowitego dochodu pomniejszonego o podatki oraz składki na ubezpieczenia społeczne i zdrowotne.</w:t>
      </w:r>
    </w:p>
    <w:p w14:paraId="0775BDEC" w14:textId="77777777" w:rsidR="00C23A6A" w:rsidRPr="0087437A" w:rsidRDefault="00C23A6A" w:rsidP="0043695F">
      <w:pPr>
        <w:numPr>
          <w:ilvl w:val="0"/>
          <w:numId w:val="3"/>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Oszczędności wzrosły we wszystkich państwach członkowskich UE, dla których dostępne są dane. </w:t>
      </w:r>
      <w:r w:rsidRPr="0087437A">
        <w:rPr>
          <w:rFonts w:ascii="Times New Roman" w:eastAsia="Calibri" w:hAnsi="Times New Roman" w:cs="Times New Roman"/>
          <w:b/>
          <w:sz w:val="24"/>
          <w:szCs w:val="24"/>
        </w:rPr>
        <w:t>Najmocniejszy wzrost odnotowano w Słowenii (+7,7 pkt. proc.), a następnie w Polsce (+6,8 pkt proc)</w:t>
      </w:r>
      <w:r w:rsidRPr="0087437A">
        <w:rPr>
          <w:rFonts w:ascii="Times New Roman" w:eastAsia="Calibri" w:hAnsi="Times New Roman" w:cs="Times New Roman"/>
          <w:sz w:val="24"/>
          <w:szCs w:val="24"/>
          <w:vertAlign w:val="superscript"/>
        </w:rPr>
        <w:t xml:space="preserve"> </w:t>
      </w:r>
      <w:r w:rsidRPr="0087437A">
        <w:rPr>
          <w:rFonts w:ascii="Times New Roman" w:eastAsia="Calibri" w:hAnsi="Times New Roman" w:cs="Times New Roman"/>
          <w:sz w:val="24"/>
          <w:szCs w:val="24"/>
          <w:vertAlign w:val="superscript"/>
        </w:rPr>
        <w:footnoteReference w:id="2"/>
      </w:r>
      <w:r w:rsidRPr="0087437A">
        <w:rPr>
          <w:rFonts w:ascii="Times New Roman" w:eastAsia="Calibri" w:hAnsi="Times New Roman" w:cs="Times New Roman"/>
          <w:sz w:val="24"/>
          <w:szCs w:val="24"/>
        </w:rPr>
        <w:t xml:space="preserve">. </w:t>
      </w:r>
    </w:p>
    <w:p w14:paraId="4B03BDF5" w14:textId="77777777" w:rsidR="00C23A6A" w:rsidRPr="0087437A" w:rsidRDefault="00C23A6A" w:rsidP="0043695F">
      <w:pPr>
        <w:spacing w:after="0" w:line="360" w:lineRule="auto"/>
        <w:jc w:val="both"/>
        <w:rPr>
          <w:rFonts w:ascii="Times New Roman" w:eastAsia="Calibri" w:hAnsi="Times New Roman" w:cs="Times New Roman"/>
          <w:bCs/>
          <w:sz w:val="24"/>
          <w:szCs w:val="24"/>
          <w:shd w:val="clear" w:color="auto" w:fill="FFFFFF"/>
        </w:rPr>
      </w:pPr>
      <w:r w:rsidRPr="0087437A">
        <w:rPr>
          <w:rFonts w:ascii="Times New Roman" w:eastAsia="Calibri" w:hAnsi="Times New Roman" w:cs="Times New Roman"/>
          <w:b/>
          <w:bCs/>
          <w:sz w:val="24"/>
          <w:szCs w:val="24"/>
          <w:shd w:val="clear" w:color="auto" w:fill="FFFFFF"/>
        </w:rPr>
        <w:t>Struktura aktywów polskich gospodarstw domowych</w:t>
      </w:r>
      <w:r w:rsidRPr="0087437A">
        <w:rPr>
          <w:rFonts w:ascii="Times New Roman" w:eastAsia="Calibri" w:hAnsi="Times New Roman" w:cs="Times New Roman"/>
          <w:b/>
          <w:bCs/>
          <w:sz w:val="24"/>
          <w:szCs w:val="24"/>
          <w:shd w:val="clear" w:color="auto" w:fill="FFFFFF"/>
          <w:vertAlign w:val="superscript"/>
        </w:rPr>
        <w:footnoteReference w:id="3"/>
      </w:r>
      <w:r w:rsidRPr="0087437A">
        <w:rPr>
          <w:rFonts w:ascii="Times New Roman" w:eastAsia="Calibri" w:hAnsi="Times New Roman" w:cs="Times New Roman"/>
          <w:b/>
          <w:bCs/>
          <w:sz w:val="24"/>
          <w:szCs w:val="24"/>
          <w:shd w:val="clear" w:color="auto" w:fill="FFFFFF"/>
        </w:rPr>
        <w:t>:</w:t>
      </w:r>
      <w:r w:rsidRPr="0087437A">
        <w:rPr>
          <w:rFonts w:ascii="Times New Roman" w:eastAsia="Calibri" w:hAnsi="Times New Roman" w:cs="Times New Roman"/>
          <w:bCs/>
          <w:sz w:val="24"/>
          <w:szCs w:val="24"/>
          <w:shd w:val="clear" w:color="auto" w:fill="FFFFFF"/>
        </w:rPr>
        <w:t xml:space="preserve"> </w:t>
      </w:r>
    </w:p>
    <w:p w14:paraId="699B34D2" w14:textId="77777777" w:rsidR="00C23A6A" w:rsidRPr="0087437A" w:rsidRDefault="00C23A6A" w:rsidP="0043695F">
      <w:pPr>
        <w:numPr>
          <w:ilvl w:val="0"/>
          <w:numId w:val="4"/>
        </w:numPr>
        <w:spacing w:after="0" w:line="360" w:lineRule="auto"/>
        <w:ind w:left="0" w:firstLine="0"/>
        <w:contextualSpacing/>
        <w:jc w:val="both"/>
        <w:rPr>
          <w:rFonts w:ascii="Times New Roman" w:eastAsia="Calibri" w:hAnsi="Times New Roman" w:cs="Times New Roman"/>
          <w:bCs/>
          <w:sz w:val="24"/>
          <w:szCs w:val="24"/>
          <w:shd w:val="clear" w:color="auto" w:fill="FFFFFF"/>
        </w:rPr>
      </w:pPr>
      <w:r w:rsidRPr="0087437A">
        <w:rPr>
          <w:rFonts w:ascii="Times New Roman" w:eastAsia="Calibri" w:hAnsi="Times New Roman" w:cs="Times New Roman"/>
          <w:bCs/>
          <w:sz w:val="24"/>
          <w:szCs w:val="24"/>
          <w:shd w:val="clear" w:color="auto" w:fill="FFFFFF"/>
        </w:rPr>
        <w:t>gotówka i depozyty - około 55% aktywów,</w:t>
      </w:r>
    </w:p>
    <w:p w14:paraId="02464DCF" w14:textId="77777777" w:rsidR="00C23A6A" w:rsidRPr="0087437A" w:rsidRDefault="00C23A6A" w:rsidP="0043695F">
      <w:pPr>
        <w:numPr>
          <w:ilvl w:val="0"/>
          <w:numId w:val="4"/>
        </w:numPr>
        <w:spacing w:after="0" w:line="360" w:lineRule="auto"/>
        <w:ind w:left="0" w:firstLine="0"/>
        <w:contextualSpacing/>
        <w:jc w:val="both"/>
        <w:rPr>
          <w:rFonts w:ascii="Times New Roman" w:eastAsia="Calibri" w:hAnsi="Times New Roman" w:cs="Times New Roman"/>
          <w:bCs/>
          <w:sz w:val="24"/>
          <w:szCs w:val="24"/>
          <w:shd w:val="clear" w:color="auto" w:fill="FFFFFF"/>
        </w:rPr>
      </w:pPr>
      <w:r w:rsidRPr="0087437A">
        <w:rPr>
          <w:rFonts w:ascii="Times New Roman" w:eastAsia="Calibri" w:hAnsi="Times New Roman" w:cs="Times New Roman"/>
          <w:bCs/>
          <w:sz w:val="24"/>
          <w:szCs w:val="24"/>
          <w:shd w:val="clear" w:color="auto" w:fill="FFFFFF"/>
        </w:rPr>
        <w:t>udziały kapitałowe i udziały lub jednostki uczestnictwa w funduszach inwestycyjnych - około 23%</w:t>
      </w:r>
    </w:p>
    <w:p w14:paraId="5E23B8CB" w14:textId="77777777" w:rsidR="00C23A6A" w:rsidRPr="0087437A" w:rsidRDefault="00C23A6A" w:rsidP="0043695F">
      <w:pPr>
        <w:numPr>
          <w:ilvl w:val="0"/>
          <w:numId w:val="4"/>
        </w:numPr>
        <w:spacing w:after="0" w:line="360" w:lineRule="auto"/>
        <w:ind w:left="0" w:firstLine="0"/>
        <w:contextualSpacing/>
        <w:jc w:val="both"/>
        <w:rPr>
          <w:rFonts w:ascii="Times New Roman" w:eastAsia="Calibri" w:hAnsi="Times New Roman" w:cs="Times New Roman"/>
          <w:bCs/>
          <w:sz w:val="24"/>
          <w:szCs w:val="24"/>
          <w:shd w:val="clear" w:color="auto" w:fill="FFFFFF"/>
        </w:rPr>
      </w:pPr>
      <w:r w:rsidRPr="0087437A">
        <w:rPr>
          <w:rFonts w:ascii="Times New Roman" w:eastAsia="Calibri" w:hAnsi="Times New Roman" w:cs="Times New Roman"/>
          <w:bCs/>
          <w:sz w:val="24"/>
          <w:szCs w:val="24"/>
          <w:shd w:val="clear" w:color="auto" w:fill="FFFFFF"/>
        </w:rPr>
        <w:t>systemy ubezpieczeniowe, emerytalnorentowe i standaryzowanych gwarancji – ok. 12% aktywów finansowych,</w:t>
      </w:r>
    </w:p>
    <w:p w14:paraId="1B751F3D" w14:textId="77777777" w:rsidR="00C23A6A" w:rsidRPr="0087437A" w:rsidRDefault="00C23A6A" w:rsidP="0043695F">
      <w:pPr>
        <w:numPr>
          <w:ilvl w:val="0"/>
          <w:numId w:val="4"/>
        </w:numPr>
        <w:spacing w:after="0" w:line="360" w:lineRule="auto"/>
        <w:ind w:left="0" w:firstLine="0"/>
        <w:contextualSpacing/>
        <w:jc w:val="both"/>
        <w:rPr>
          <w:rFonts w:ascii="Times New Roman" w:eastAsia="Calibri" w:hAnsi="Times New Roman" w:cs="Times New Roman"/>
          <w:bCs/>
          <w:sz w:val="24"/>
          <w:szCs w:val="24"/>
          <w:shd w:val="clear" w:color="auto" w:fill="FFFFFF"/>
        </w:rPr>
      </w:pPr>
      <w:r w:rsidRPr="0087437A">
        <w:rPr>
          <w:rFonts w:ascii="Times New Roman" w:eastAsia="Calibri" w:hAnsi="Times New Roman" w:cs="Times New Roman"/>
          <w:bCs/>
          <w:sz w:val="24"/>
          <w:szCs w:val="24"/>
          <w:shd w:val="clear" w:color="auto" w:fill="FFFFFF"/>
        </w:rPr>
        <w:t>pozostałe 10% stanowią walory luksusowe, złoto + nieruchomości.</w:t>
      </w:r>
    </w:p>
    <w:p w14:paraId="773C2952"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Wg. danych PIE i PFR (II fala badania nastrojów gospodarstw domowych przeprowadzonego przez PIE i PFR - koniec lipca 2020) pandemia w mniejszym stopniu, niż przypuszczano wpłynęła na sytuację finansową polskich gospodarstw domowych:</w:t>
      </w:r>
    </w:p>
    <w:p w14:paraId="5A0A178A" w14:textId="11CD004D" w:rsidR="00C23A6A" w:rsidRPr="0087437A" w:rsidRDefault="00C23A6A" w:rsidP="0043695F">
      <w:pPr>
        <w:numPr>
          <w:ilvl w:val="0"/>
          <w:numId w:val="5"/>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41% respondentów pandemia twierdzi, że pandemia nie wpłynęła na stan oszczędności </w:t>
      </w:r>
    </w:p>
    <w:p w14:paraId="5035E093" w14:textId="009150B6" w:rsidR="00C23A6A" w:rsidRPr="0087437A" w:rsidRDefault="00C23A6A" w:rsidP="0043695F">
      <w:pPr>
        <w:numPr>
          <w:ilvl w:val="0"/>
          <w:numId w:val="5"/>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30% ankietowanych w, odnotowało zmniejszenie oszczędności </w:t>
      </w:r>
    </w:p>
    <w:p w14:paraId="3DF54045" w14:textId="61D1F536" w:rsidR="00C23A6A" w:rsidRPr="0087437A" w:rsidRDefault="00C23A6A" w:rsidP="0043695F">
      <w:pPr>
        <w:numPr>
          <w:ilvl w:val="0"/>
          <w:numId w:val="5"/>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8% ankietowanych deklaruje zwiększenie oszczędności </w:t>
      </w:r>
    </w:p>
    <w:p w14:paraId="04AF5AE1" w14:textId="77777777" w:rsidR="00C23A6A" w:rsidRPr="0087437A" w:rsidRDefault="00C23A6A" w:rsidP="0043695F">
      <w:pPr>
        <w:numPr>
          <w:ilvl w:val="0"/>
          <w:numId w:val="5"/>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Wartość depozytów gospodarstw domowych w sierpniu 2020 r. ukształtowała się na poziomie 731.293 mln PLN, tj. była o 21,1% </w:t>
      </w:r>
      <w:r w:rsidRPr="0087437A">
        <w:rPr>
          <w:rFonts w:ascii="Times New Roman" w:eastAsia="Calibri" w:hAnsi="Times New Roman" w:cs="Times New Roman"/>
          <w:b/>
          <w:sz w:val="24"/>
          <w:szCs w:val="24"/>
        </w:rPr>
        <w:t>większa niż rok wcześniej i o 14,7% większa niż na koniec I kwartału br.</w:t>
      </w:r>
    </w:p>
    <w:p w14:paraId="563E2BF9"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b/>
          <w:sz w:val="24"/>
          <w:szCs w:val="24"/>
        </w:rPr>
        <w:t>Ciężar finansowy pandemii Covid-19 rozłożony był nierówno.</w:t>
      </w:r>
      <w:r w:rsidRPr="0087437A">
        <w:rPr>
          <w:rFonts w:ascii="Times New Roman" w:eastAsia="Calibri" w:hAnsi="Times New Roman" w:cs="Times New Roman"/>
          <w:sz w:val="24"/>
          <w:szCs w:val="24"/>
        </w:rPr>
        <w:t xml:space="preserve"> Większość konsumentów oszczędza teraz w większym stopniu, gdyż bardziej boi się o jutro i ma mniej okazji do wydawania (nie chodzi do kina, na koncerty, zdecydowanie rzadziej jeździ za granicę). Jednak osoby, które straciły pracę lub część dochodów musiały niejednokrotnie sięgnąć po swoje oszczędności, aby zapłacić bieżące rachunki. </w:t>
      </w:r>
      <w:r w:rsidRPr="0087437A">
        <w:rPr>
          <w:rFonts w:ascii="Times New Roman" w:eastAsia="Calibri" w:hAnsi="Times New Roman" w:cs="Times New Roman"/>
          <w:b/>
          <w:sz w:val="24"/>
          <w:szCs w:val="24"/>
        </w:rPr>
        <w:t>Polacy deklarują spadek wydatków mniej więcej jednakowo często jak mieszkańcy innych krajów.</w:t>
      </w:r>
      <w:r w:rsidRPr="0087437A">
        <w:rPr>
          <w:rFonts w:ascii="Times New Roman" w:eastAsia="Calibri" w:hAnsi="Times New Roman" w:cs="Times New Roman"/>
          <w:sz w:val="24"/>
          <w:szCs w:val="24"/>
        </w:rPr>
        <w:t xml:space="preserve"> To dość zaskakujące, gdyż przebieg pandemii i lock-downu był w Polsce dotąd łagodniejszy niż np. na południu Europy. Sugeruje to większą potrzebę bezpieczeństwa finansowego mieszkańców naszego kraju.</w:t>
      </w:r>
    </w:p>
    <w:p w14:paraId="2A29DF2D"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Jednocześnie jak można było się tego spodziewać (Raport PIE i PRF) pokazał, że pandemia </w:t>
      </w:r>
      <w:r w:rsidRPr="0087437A">
        <w:rPr>
          <w:rFonts w:ascii="Times New Roman" w:eastAsia="Calibri" w:hAnsi="Times New Roman" w:cs="Times New Roman"/>
          <w:b/>
          <w:sz w:val="24"/>
          <w:szCs w:val="24"/>
        </w:rPr>
        <w:t>mocno uderzyła w plany zakupowe Polaków.</w:t>
      </w:r>
      <w:r w:rsidRPr="0087437A">
        <w:rPr>
          <w:rFonts w:ascii="Times New Roman" w:eastAsia="Calibri" w:hAnsi="Times New Roman" w:cs="Times New Roman"/>
          <w:sz w:val="24"/>
          <w:szCs w:val="24"/>
        </w:rPr>
        <w:t xml:space="preserve"> Do końca lipca 11% Polaków wskazywało, że z powodu pandemii zrezygnowało z zaplanowanych inwestycji w zakup samochodu, mieszkania, domu, ziemi lub remont mieszkania lub domu, z nich zrezygnowało. </w:t>
      </w:r>
    </w:p>
    <w:p w14:paraId="23639485" w14:textId="77777777" w:rsidR="00C23A6A" w:rsidRPr="0087437A" w:rsidRDefault="00C23A6A" w:rsidP="0043695F">
      <w:pPr>
        <w:spacing w:after="0" w:line="360" w:lineRule="auto"/>
        <w:jc w:val="both"/>
        <w:rPr>
          <w:rFonts w:ascii="Times New Roman" w:eastAsia="Calibri" w:hAnsi="Times New Roman" w:cs="Times New Roman"/>
          <w:b/>
          <w:sz w:val="24"/>
          <w:szCs w:val="24"/>
        </w:rPr>
      </w:pPr>
      <w:r w:rsidRPr="0087437A">
        <w:rPr>
          <w:rFonts w:ascii="Times New Roman" w:eastAsia="Calibri" w:hAnsi="Times New Roman" w:cs="Times New Roman"/>
          <w:b/>
          <w:sz w:val="24"/>
          <w:szCs w:val="24"/>
        </w:rPr>
        <w:t>Tempo zadłużania się Polaków:</w:t>
      </w:r>
    </w:p>
    <w:p w14:paraId="3E457D9F" w14:textId="77777777" w:rsidR="00C23A6A" w:rsidRPr="0087437A" w:rsidRDefault="00C23A6A" w:rsidP="0043695F">
      <w:pPr>
        <w:numPr>
          <w:ilvl w:val="0"/>
          <w:numId w:val="6"/>
        </w:numPr>
        <w:spacing w:after="0" w:line="360" w:lineRule="auto"/>
        <w:ind w:left="0" w:firstLine="0"/>
        <w:contextualSpacing/>
        <w:jc w:val="both"/>
        <w:rPr>
          <w:rFonts w:ascii="Times New Roman" w:eastAsia="Calibri" w:hAnsi="Times New Roman" w:cs="Times New Roman"/>
          <w:sz w:val="24"/>
          <w:szCs w:val="24"/>
          <w:shd w:val="clear" w:color="auto" w:fill="FFFFFF"/>
        </w:rPr>
      </w:pPr>
      <w:r w:rsidRPr="0087437A">
        <w:rPr>
          <w:rFonts w:ascii="Times New Roman" w:eastAsia="Calibri" w:hAnsi="Times New Roman" w:cs="Times New Roman"/>
          <w:b/>
          <w:sz w:val="24"/>
          <w:szCs w:val="24"/>
          <w:shd w:val="clear" w:color="auto" w:fill="FFFFFF"/>
        </w:rPr>
        <w:t>Wejście w okres pandemii</w:t>
      </w:r>
      <w:r w:rsidRPr="0087437A">
        <w:rPr>
          <w:rFonts w:ascii="Times New Roman" w:eastAsia="Calibri" w:hAnsi="Times New Roman" w:cs="Times New Roman"/>
          <w:sz w:val="24"/>
          <w:szCs w:val="24"/>
          <w:shd w:val="clear" w:color="auto" w:fill="FFFFFF"/>
        </w:rPr>
        <w:t>:</w:t>
      </w:r>
    </w:p>
    <w:p w14:paraId="0AF1054C"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Według Rejestru Dłużników BIG InfoMonitor w pierwszym kwartale br. zaległości kredytowe i pozakredytowe Polaków wzrosły o ponad 2 mld zł (do 79,8 mld zł), a liczba niesolidnych dłużników zwiększyła się o prawie 37 tys. osób. Nieopłacone w terminie zobowiązanie albo opóźnioną o 30 dni ratę kredytu ma ponad 2,83 mln osób.</w:t>
      </w:r>
    </w:p>
    <w:p w14:paraId="5B64E17D"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Wartość długów z tytułu:</w:t>
      </w:r>
    </w:p>
    <w:p w14:paraId="482B710B" w14:textId="77777777" w:rsidR="00C23A6A" w:rsidRPr="0087437A" w:rsidRDefault="00C23A6A" w:rsidP="0043695F">
      <w:pPr>
        <w:numPr>
          <w:ilvl w:val="0"/>
          <w:numId w:val="7"/>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niespłacanych rachunków, alimentów i czynszów wzrosła w ciągu kwartału o 449,5 mln (1,1 proc.), </w:t>
      </w:r>
    </w:p>
    <w:p w14:paraId="459C9DC5" w14:textId="77777777" w:rsidR="00C23A6A" w:rsidRPr="0087437A" w:rsidRDefault="00C23A6A" w:rsidP="0043695F">
      <w:pPr>
        <w:numPr>
          <w:ilvl w:val="0"/>
          <w:numId w:val="7"/>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nieregulowanych w terminie kredytów o 1,6 (4,5 proc.). </w:t>
      </w:r>
    </w:p>
    <w:p w14:paraId="245D6230"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Suma zaległości pozakredytowych sięga 42,7 mld zł, a kredytów, których spłatę kredytobiorcy opóźniają o minimum 30 dni w kwocie co najmniej 200 zł to łącznie 37,1 mld zł.</w:t>
      </w:r>
    </w:p>
    <w:p w14:paraId="2D8C9A30" w14:textId="77777777" w:rsidR="00C23A6A" w:rsidRPr="0087437A" w:rsidRDefault="00C23A6A" w:rsidP="0043695F">
      <w:pPr>
        <w:shd w:val="clear" w:color="auto" w:fill="FFFFFF"/>
        <w:spacing w:after="0" w:line="360" w:lineRule="auto"/>
        <w:jc w:val="both"/>
        <w:textAlignment w:val="baseline"/>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bdr w:val="none" w:sz="0" w:space="0" w:color="auto" w:frame="1"/>
          <w:lang w:eastAsia="pl-PL"/>
        </w:rPr>
        <w:t xml:space="preserve">W porównaniu z czwartym kwartałem 2019 r. łączna liczba niesolidnych dłużników zwiększyła się o 36 862 osób i wyniosła na koniec marca 2 833 569. </w:t>
      </w:r>
    </w:p>
    <w:p w14:paraId="0603F99C" w14:textId="77777777" w:rsidR="00C23A6A" w:rsidRPr="0087437A" w:rsidRDefault="00C23A6A" w:rsidP="0043695F">
      <w:pPr>
        <w:numPr>
          <w:ilvl w:val="0"/>
          <w:numId w:val="6"/>
        </w:numPr>
        <w:spacing w:after="0" w:line="360" w:lineRule="auto"/>
        <w:ind w:left="0" w:firstLine="0"/>
        <w:contextualSpacing/>
        <w:jc w:val="both"/>
        <w:rPr>
          <w:rFonts w:ascii="Times New Roman" w:eastAsia="Calibri" w:hAnsi="Times New Roman" w:cs="Times New Roman"/>
          <w:b/>
          <w:sz w:val="24"/>
          <w:szCs w:val="24"/>
        </w:rPr>
      </w:pPr>
      <w:r w:rsidRPr="0087437A">
        <w:rPr>
          <w:rFonts w:ascii="Times New Roman" w:eastAsia="Calibri" w:hAnsi="Times New Roman" w:cs="Times New Roman"/>
          <w:b/>
          <w:sz w:val="24"/>
          <w:szCs w:val="24"/>
        </w:rPr>
        <w:t>Pierwsza fala pandemii – II kwartał 2020 r.:</w:t>
      </w:r>
    </w:p>
    <w:p w14:paraId="618B84CD"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O ponad 1,2 mld zł, do 81 mld zł wzrosły w ciągu kwietnia i maja długi Polaków z powodu nieopłaconych rachunków i rat kredytów. </w:t>
      </w:r>
    </w:p>
    <w:p w14:paraId="40728FFA"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Wzrost wartości długów</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xml:space="preserve">w okresie kwietnia i maja 2020 r. z tytułu: </w:t>
      </w:r>
    </w:p>
    <w:p w14:paraId="060A4C0E" w14:textId="77777777" w:rsidR="00C23A6A" w:rsidRPr="0087437A" w:rsidRDefault="00C23A6A" w:rsidP="0043695F">
      <w:pPr>
        <w:numPr>
          <w:ilvl w:val="0"/>
          <w:numId w:val="8"/>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niespłacanych rachunków o 273 mln zł (0,6 proc.), </w:t>
      </w:r>
    </w:p>
    <w:p w14:paraId="54146D95" w14:textId="77777777" w:rsidR="00C23A6A" w:rsidRPr="0087437A" w:rsidRDefault="00C23A6A" w:rsidP="0043695F">
      <w:pPr>
        <w:numPr>
          <w:ilvl w:val="0"/>
          <w:numId w:val="8"/>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nieregulowanych w terminie kredytów o 939,3 mln zł (2,5 proc.). </w:t>
      </w:r>
    </w:p>
    <w:p w14:paraId="2EBCC552"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Suma zaległości pozakredytowych wynosi 42,9 mld zł, a kredytów opóźnianych o min. 30 dni i o wartości co najmniej 200 zł, to ponad 38 mld zł.</w:t>
      </w:r>
    </w:p>
    <w:p w14:paraId="1AEAAC9D"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Times New Roman" w:hAnsi="Times New Roman" w:cs="Times New Roman"/>
          <w:sz w:val="24"/>
          <w:szCs w:val="24"/>
          <w:lang w:eastAsia="pl-PL"/>
        </w:rPr>
        <w:t xml:space="preserve">Tempo zadłużania jest dwukrotnie wyższe niż przed rokiem, </w:t>
      </w:r>
      <w:r w:rsidRPr="0087437A">
        <w:rPr>
          <w:rFonts w:ascii="Times New Roman" w:eastAsia="Times New Roman" w:hAnsi="Times New Roman" w:cs="Times New Roman"/>
          <w:b/>
          <w:sz w:val="24"/>
          <w:szCs w:val="24"/>
          <w:lang w:eastAsia="pl-PL"/>
        </w:rPr>
        <w:t>jednakże pandemia nie przyspieszyła póki co tempa zadłużania się biorąc pod uwagę dane z końca I kwartału</w:t>
      </w:r>
      <w:r w:rsidR="00425CB2">
        <w:rPr>
          <w:rFonts w:ascii="Times New Roman" w:eastAsia="Times New Roman" w:hAnsi="Times New Roman" w:cs="Times New Roman"/>
          <w:b/>
          <w:sz w:val="24"/>
          <w:szCs w:val="24"/>
          <w:lang w:eastAsia="pl-PL"/>
        </w:rPr>
        <w:t xml:space="preserve"> </w:t>
      </w:r>
      <w:r w:rsidRPr="0087437A">
        <w:rPr>
          <w:rFonts w:ascii="Times New Roman" w:eastAsia="Times New Roman" w:hAnsi="Times New Roman" w:cs="Times New Roman"/>
          <w:b/>
          <w:sz w:val="24"/>
          <w:szCs w:val="24"/>
          <w:lang w:eastAsia="pl-PL"/>
        </w:rPr>
        <w:t>i końca II kwartału 2020</w:t>
      </w:r>
      <w:r w:rsidRPr="0087437A">
        <w:rPr>
          <w:rFonts w:ascii="Times New Roman" w:eastAsia="Times New Roman" w:hAnsi="Times New Roman" w:cs="Times New Roman"/>
          <w:sz w:val="24"/>
          <w:szCs w:val="24"/>
          <w:lang w:eastAsia="pl-PL"/>
        </w:rPr>
        <w:t xml:space="preserve"> - z danych Rejestru Dłużników BIG InfoMonitor oraz Biura Informacji Kredytowej.</w:t>
      </w:r>
    </w:p>
    <w:p w14:paraId="37ECC400" w14:textId="77777777" w:rsidR="00C23A6A" w:rsidRPr="0087437A" w:rsidRDefault="00C23A6A" w:rsidP="0043695F">
      <w:pPr>
        <w:spacing w:after="0"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Skutki ekonomiczne (wpływ na wyniki finansowy i ryzyka) proponowanych rozwiązań dla podmiotów oferujących pożyczki konsumenckie są trudne do przewidzenia:</w:t>
      </w:r>
    </w:p>
    <w:p w14:paraId="1127F9FC" w14:textId="77777777" w:rsidR="00C23A6A" w:rsidRPr="0087437A" w:rsidRDefault="00C23A6A" w:rsidP="0043695F">
      <w:pPr>
        <w:numPr>
          <w:ilvl w:val="0"/>
          <w:numId w:val="2"/>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Zdaniem firm pożyczkowych (Stanowisko ZPF z 23 marca 2019 r. </w:t>
      </w:r>
      <w:r w:rsidRPr="0087437A">
        <w:rPr>
          <w:rFonts w:ascii="Times New Roman" w:eastAsia="Calibri" w:hAnsi="Times New Roman" w:cs="Times New Roman"/>
          <w:i/>
          <w:sz w:val="24"/>
          <w:szCs w:val="24"/>
        </w:rPr>
        <w:t>Proponowana zmiana limitu pozaodsetkowych kosztów kredytu wymaga rzetelnej analizy ekonomicznej</w:t>
      </w:r>
      <w:r w:rsidRPr="0087437A">
        <w:rPr>
          <w:rFonts w:ascii="Times New Roman" w:eastAsia="Calibri" w:hAnsi="Times New Roman" w:cs="Times New Roman"/>
          <w:sz w:val="24"/>
          <w:szCs w:val="24"/>
        </w:rPr>
        <w:t xml:space="preserve"> </w:t>
      </w:r>
      <w:hyperlink r:id="rId7" w:history="1">
        <w:r w:rsidRPr="0087437A">
          <w:rPr>
            <w:rFonts w:ascii="Times New Roman" w:eastAsia="Calibri" w:hAnsi="Times New Roman" w:cs="Times New Roman"/>
            <w:sz w:val="24"/>
            <w:szCs w:val="24"/>
            <w:u w:val="single"/>
          </w:rPr>
          <w:t>https://zpf.pl/proponowana-zmiana-limitu-pozaodsetkowych-kosztow-kredytu-wymaga-rzetelnej-analizy-ekonomicznej/</w:t>
        </w:r>
      </w:hyperlink>
      <w:r w:rsidRPr="0087437A">
        <w:rPr>
          <w:rFonts w:ascii="Times New Roman" w:eastAsia="Calibri" w:hAnsi="Times New Roman" w:cs="Times New Roman"/>
          <w:sz w:val="24"/>
          <w:szCs w:val="24"/>
        </w:rPr>
        <w:t xml:space="preserve">)całkowity kosz mikropożyczki oscyluje w przedziale 26-38% kwoty pożyczki, a dla pożyczki długoterminowej w przedziale 49-76%. Liczby te należy jednak interpretować w szerszym kontekście: firmy pożyczkowe preferują model biznesowy, w którym udzielenie pożyczki jest szybkie i łatwe, ale związane z wysokim ryzykiem częściowego lub całkowitego niespłacenia przez klienta (należy też podkreślić, że w takim modelu wysokie koszty ryzykownych klientów są przerzucane na klientów odpowiedzialnych i uczciwych). Ocena Skutków Regulacji dla projektu ustawy z 2019 o przeciwdziałaniu lichwie przewidywała, że zmniejszone koszty pozaodsetkowe kredytów może spowodować rewolucję w branży, upadek sporej części podmiotów, zmiana modelu biznesowego funkcjonowania pozostających na rynku i wreszcie przejęcie istotnej części klientów firm sektora pożyczkowego przez banki. W przypadku tymczasowości rozwiązania, ryzyka te (zwłaszcza ryzyko upadłości części sektora) są oczywiście mniejsze, ale wciąż istnieją. </w:t>
      </w:r>
    </w:p>
    <w:p w14:paraId="45AE050C" w14:textId="77777777" w:rsidR="00C23A6A" w:rsidRPr="0087437A" w:rsidRDefault="00C23A6A" w:rsidP="0043695F">
      <w:pPr>
        <w:numPr>
          <w:ilvl w:val="0"/>
          <w:numId w:val="2"/>
        </w:numPr>
        <w:spacing w:after="0" w:line="360" w:lineRule="auto"/>
        <w:ind w:left="0" w:firstLine="0"/>
        <w:contextualSpacing/>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W przypadku banków, proponowane limity kosztów pozaodsetkowych nie są tak radykalną redukcją stosowanych obecnie prowizji jak w przypadku firm pożyczkowych. Prowizja na poziome 14-15% kwoty kredytu, niezależnie od okresu kredytowania, znajdowała się w standardowej ofercie kredytów średnioterminowych w dużych bankach (oferty promocyjne były często znacznie tańsze). Zatem wpływ proponowanych zmian na segment pożyczek konsumenckich w bankach mógłby być minimalny, a jeśli zmaterializowałby się scenariusz migracji klientów z firm pożyczkowych do banków, nawet krótkookresowo korzystny.</w:t>
      </w:r>
    </w:p>
    <w:p w14:paraId="400488A8" w14:textId="77777777" w:rsidR="00C23A6A" w:rsidRPr="0087437A" w:rsidRDefault="00C23A6A" w:rsidP="0043695F">
      <w:pPr>
        <w:numPr>
          <w:ilvl w:val="0"/>
          <w:numId w:val="2"/>
        </w:numPr>
        <w:spacing w:after="0" w:line="360" w:lineRule="auto"/>
        <w:ind w:left="0" w:firstLine="0"/>
        <w:contextualSpacing/>
        <w:jc w:val="both"/>
        <w:rPr>
          <w:rFonts w:ascii="Times New Roman" w:eastAsia="Calibri" w:hAnsi="Times New Roman" w:cs="Times New Roman"/>
          <w:b/>
          <w:sz w:val="24"/>
          <w:szCs w:val="24"/>
        </w:rPr>
      </w:pPr>
      <w:r w:rsidRPr="0087437A">
        <w:rPr>
          <w:rFonts w:ascii="Times New Roman" w:eastAsia="Calibri" w:hAnsi="Times New Roman" w:cs="Times New Roman"/>
          <w:sz w:val="24"/>
          <w:szCs w:val="24"/>
        </w:rPr>
        <w:t xml:space="preserve">Należy wszelako mieć na uwadze, że powyższe rozważania, jak wszystkie historyczne rozważania w tym temacie, </w:t>
      </w:r>
      <w:r w:rsidRPr="0087437A">
        <w:rPr>
          <w:rFonts w:ascii="Times New Roman" w:eastAsia="Calibri" w:hAnsi="Times New Roman" w:cs="Times New Roman"/>
          <w:b/>
          <w:sz w:val="24"/>
          <w:szCs w:val="24"/>
        </w:rPr>
        <w:t>oparto na założeniu, że gospodarka funkcjonuje normalnie</w:t>
      </w:r>
      <w:r w:rsidRPr="0087437A">
        <w:rPr>
          <w:rFonts w:ascii="Times New Roman" w:eastAsia="Calibri" w:hAnsi="Times New Roman" w:cs="Times New Roman"/>
          <w:sz w:val="24"/>
          <w:szCs w:val="24"/>
        </w:rPr>
        <w:t xml:space="preserve">, a rozwiązania są trwałe i wyznaczają kierunek ewolucji sektora finansowego. Obecne rozwiązania są tworzone przy założeniu radykalnego zaburzenia życia społeczno-ekonomicznego w czasie epidemii i mają mieć charakter tymczasowy. U ich podstaw leży zarówno troska o szczególną ochronę konsumenta w trudnym dla niego okresie, jak również zasada solidarności społecznej, kiedy to branża finansowa i pożyczkowa przejmie na siebie część kosztów kryzysu. W przypadku obniżenia kosztów kredytów konsumenckich, wpływ na branżę firm pożyczkowych i banków będzie wyraźnie asymetryczny. By zredukować tę asymetrię, a jednocześnie zapewnić lepszy dostęp do kredytu dla konsumentów, należy z jednej strony w kolejnych regulacjach rozważyć </w:t>
      </w:r>
      <w:r w:rsidRPr="0087437A">
        <w:rPr>
          <w:rFonts w:ascii="Times New Roman" w:eastAsia="Calibri" w:hAnsi="Times New Roman" w:cs="Times New Roman"/>
          <w:b/>
          <w:sz w:val="24"/>
          <w:szCs w:val="24"/>
        </w:rPr>
        <w:t xml:space="preserve">wprowadzenie mechanizmów zmniejszających dotkliwości regulacji dla firm pożyczkowych </w:t>
      </w:r>
      <w:r w:rsidRPr="0087437A">
        <w:rPr>
          <w:rFonts w:ascii="Times New Roman" w:eastAsia="Calibri" w:hAnsi="Times New Roman" w:cs="Times New Roman"/>
          <w:sz w:val="24"/>
          <w:szCs w:val="24"/>
        </w:rPr>
        <w:t xml:space="preserve">(zwłaszcza możliwość wliczania złych długów do kosztów uzyskania przychodu), z drugiej strony zapewnić, </w:t>
      </w:r>
      <w:r w:rsidRPr="0087437A">
        <w:rPr>
          <w:rFonts w:ascii="Times New Roman" w:eastAsia="Calibri" w:hAnsi="Times New Roman" w:cs="Times New Roman"/>
          <w:b/>
          <w:sz w:val="24"/>
          <w:szCs w:val="24"/>
        </w:rPr>
        <w:t>by procedura udzielania kredytów i pożyczek przez banki była maksymalnie ułatwiona i pozwalała zagospodarować również klientów wcześniej wykluczonych z segmentu kredytów bankowych.</w:t>
      </w:r>
    </w:p>
    <w:p w14:paraId="08FB7312" w14:textId="77777777" w:rsidR="002D43CA" w:rsidRPr="0087437A" w:rsidRDefault="002D43CA" w:rsidP="0043695F">
      <w:pPr>
        <w:spacing w:after="0" w:line="360" w:lineRule="auto"/>
        <w:jc w:val="both"/>
        <w:rPr>
          <w:rFonts w:ascii="Times New Roman" w:eastAsia="Times New Roman" w:hAnsi="Times New Roman" w:cs="Times New Roman"/>
          <w:bCs/>
          <w:sz w:val="24"/>
          <w:szCs w:val="24"/>
          <w:lang w:eastAsia="pl-PL"/>
        </w:rPr>
      </w:pPr>
    </w:p>
    <w:p w14:paraId="317A2B71" w14:textId="77777777" w:rsidR="00C23A6A" w:rsidRPr="0087437A" w:rsidRDefault="00EE46D8" w:rsidP="0043695F">
      <w:pPr>
        <w:spacing w:after="0" w:line="360" w:lineRule="auto"/>
        <w:jc w:val="both"/>
        <w:rPr>
          <w:rFonts w:ascii="Times New Roman" w:eastAsia="Times New Roman" w:hAnsi="Times New Roman" w:cs="Times New Roman"/>
          <w:bCs/>
          <w:sz w:val="24"/>
          <w:szCs w:val="24"/>
          <w:lang w:eastAsia="pl-PL"/>
        </w:rPr>
      </w:pPr>
      <w:r w:rsidRPr="0087437A">
        <w:rPr>
          <w:rFonts w:ascii="Times New Roman" w:eastAsia="Times New Roman" w:hAnsi="Times New Roman" w:cs="Times New Roman"/>
          <w:bCs/>
          <w:sz w:val="24"/>
          <w:szCs w:val="24"/>
          <w:lang w:eastAsia="pl-PL"/>
        </w:rPr>
        <w:t>Zawarta w art. 1 pkt 25 niniejszej ustawy z</w:t>
      </w:r>
      <w:r w:rsidR="00C23A6A" w:rsidRPr="0087437A">
        <w:rPr>
          <w:rFonts w:ascii="Times New Roman" w:eastAsia="Times New Roman" w:hAnsi="Times New Roman" w:cs="Times New Roman"/>
          <w:bCs/>
          <w:sz w:val="24"/>
          <w:szCs w:val="24"/>
          <w:lang w:eastAsia="pl-PL"/>
        </w:rPr>
        <w:t>miana w art. 31zc</w:t>
      </w:r>
      <w:r w:rsidR="000E048B" w:rsidRPr="0087437A">
        <w:rPr>
          <w:rFonts w:ascii="Times New Roman" w:eastAsia="Times New Roman" w:hAnsi="Times New Roman" w:cs="Times New Roman"/>
          <w:bCs/>
          <w:sz w:val="24"/>
          <w:szCs w:val="24"/>
          <w:lang w:eastAsia="pl-PL"/>
        </w:rPr>
        <w:t xml:space="preserve"> ustawy COVID-19</w:t>
      </w:r>
      <w:r w:rsidR="00C23A6A" w:rsidRPr="0087437A">
        <w:rPr>
          <w:rFonts w:ascii="Times New Roman" w:eastAsia="Times New Roman" w:hAnsi="Times New Roman" w:cs="Times New Roman"/>
          <w:bCs/>
          <w:sz w:val="24"/>
          <w:szCs w:val="24"/>
          <w:lang w:eastAsia="pl-PL"/>
        </w:rPr>
        <w:t xml:space="preserve"> stanowi konsekwencję zmiany art. 36 ustawy COVID-19.</w:t>
      </w:r>
    </w:p>
    <w:p w14:paraId="36E166D7" w14:textId="77777777" w:rsidR="007F3D33" w:rsidRPr="0087437A" w:rsidRDefault="007F3D33" w:rsidP="0043695F">
      <w:pPr>
        <w:spacing w:after="0" w:line="360" w:lineRule="auto"/>
        <w:jc w:val="both"/>
        <w:rPr>
          <w:rFonts w:ascii="Times New Roman" w:eastAsia="Times New Roman" w:hAnsi="Times New Roman" w:cs="Times New Roman"/>
          <w:sz w:val="24"/>
          <w:szCs w:val="24"/>
          <w:lang w:eastAsia="pl-PL"/>
        </w:rPr>
      </w:pPr>
    </w:p>
    <w:p w14:paraId="00332951" w14:textId="77777777" w:rsidR="001F4A04" w:rsidRPr="0087437A" w:rsidRDefault="001F4A04" w:rsidP="0043695F">
      <w:pPr>
        <w:spacing w:after="0" w:line="360" w:lineRule="auto"/>
        <w:jc w:val="both"/>
        <w:rPr>
          <w:rFonts w:ascii="Times New Roman" w:hAnsi="Times New Roman"/>
          <w:b/>
          <w:sz w:val="24"/>
          <w:szCs w:val="24"/>
        </w:rPr>
      </w:pPr>
      <w:r w:rsidRPr="0087437A">
        <w:rPr>
          <w:rFonts w:ascii="Times New Roman" w:hAnsi="Times New Roman"/>
          <w:b/>
          <w:sz w:val="24"/>
          <w:szCs w:val="24"/>
        </w:rPr>
        <w:t>II. Zmiany w innych ustawach</w:t>
      </w:r>
    </w:p>
    <w:p w14:paraId="45C4A86C" w14:textId="77777777" w:rsidR="00950D1A" w:rsidRPr="0087437A" w:rsidRDefault="00950D1A" w:rsidP="0043695F">
      <w:pPr>
        <w:spacing w:after="0" w:line="360" w:lineRule="auto"/>
        <w:jc w:val="both"/>
        <w:rPr>
          <w:rFonts w:ascii="Times New Roman" w:hAnsi="Times New Roman"/>
          <w:sz w:val="24"/>
          <w:szCs w:val="24"/>
        </w:rPr>
      </w:pPr>
      <w:r w:rsidRPr="0087437A">
        <w:rPr>
          <w:rFonts w:ascii="Times New Roman" w:hAnsi="Times New Roman"/>
          <w:sz w:val="24"/>
          <w:szCs w:val="24"/>
        </w:rPr>
        <w:t xml:space="preserve">Celem regulacji zawartej </w:t>
      </w:r>
      <w:r w:rsidR="00873AA7" w:rsidRPr="00873AA7">
        <w:rPr>
          <w:rFonts w:ascii="Times New Roman" w:hAnsi="Times New Roman"/>
          <w:sz w:val="24"/>
          <w:szCs w:val="24"/>
        </w:rPr>
        <w:t xml:space="preserve">w art. 2 projektu ustawy dotyczącej dodania </w:t>
      </w:r>
      <w:r w:rsidR="00873AA7">
        <w:rPr>
          <w:rFonts w:ascii="Times New Roman" w:hAnsi="Times New Roman"/>
          <w:sz w:val="24"/>
          <w:szCs w:val="24"/>
        </w:rPr>
        <w:t>art.</w:t>
      </w:r>
      <w:r w:rsidRPr="0087437A">
        <w:rPr>
          <w:rFonts w:ascii="Times New Roman" w:hAnsi="Times New Roman"/>
          <w:sz w:val="24"/>
          <w:szCs w:val="24"/>
        </w:rPr>
        <w:t xml:space="preserve"> 9a ustawy z dnia 22 sierpnia 1997 r. o publicznej służbie krwi (Dz. U. z 2020 r. poz. 1777) jest częściowa rekompensata dla ozdrowieńców po chorobie COVID-19 kosztów związanych z oddaniem osocza, dodatkowa mobilizacja osób oddających osocze krwi oraz umożliwienie i ułatwienie ozdrowieńcom przemieszczania się do różnych punktów poboru krwi, niezależnie od miejsca ich zamieszkania. Regulacje te służą zabezpieczeniu zapotrzebowania na krew i jej składniki w okresie epidemii w stosunku do wszystkich dawców. Obecnie szpitale realizują zabiegi na poziomie sierpnia/września, a dostęp do dawców krwi jest bardzo ograniczony. W związku z tym, że w przypadku tych dawców krwi są to zazwyczaj trzy donacje, centra krwiodawstwa i krwiolecznictwa będą wydawać zaświadczenie. Na dzień 25 listopada 2020 r. było 6 373 donacje, co daje ok. 5 000 dawców ozdrowieńców.</w:t>
      </w:r>
    </w:p>
    <w:p w14:paraId="247E0038" w14:textId="77777777" w:rsidR="00B1104C" w:rsidRPr="0087437A" w:rsidRDefault="00B1104C" w:rsidP="0043695F">
      <w:pPr>
        <w:spacing w:after="0" w:line="360" w:lineRule="auto"/>
        <w:jc w:val="both"/>
        <w:rPr>
          <w:rFonts w:ascii="Times New Roman" w:hAnsi="Times New Roman"/>
          <w:sz w:val="24"/>
          <w:szCs w:val="24"/>
        </w:rPr>
      </w:pPr>
    </w:p>
    <w:p w14:paraId="10DB2310"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hAnsi="Times New Roman" w:cs="Times New Roman"/>
          <w:bCs/>
          <w:sz w:val="24"/>
          <w:szCs w:val="24"/>
        </w:rPr>
      </w:pPr>
      <w:r w:rsidRPr="0087437A">
        <w:rPr>
          <w:rFonts w:ascii="Times New Roman" w:hAnsi="Times New Roman" w:cs="Times New Roman"/>
          <w:bCs/>
          <w:sz w:val="24"/>
          <w:szCs w:val="24"/>
        </w:rPr>
        <w:t xml:space="preserve">W art. </w:t>
      </w:r>
      <w:r w:rsidR="00D902B8" w:rsidRPr="0087437A">
        <w:rPr>
          <w:rFonts w:ascii="Times New Roman" w:eastAsia="Trebuchet MS" w:hAnsi="Times New Roman" w:cs="Times New Roman"/>
          <w:bCs/>
          <w:sz w:val="24"/>
          <w:szCs w:val="24"/>
        </w:rPr>
        <w:t>3</w:t>
      </w:r>
      <w:r w:rsidRPr="0087437A">
        <w:rPr>
          <w:rFonts w:ascii="Times New Roman" w:eastAsia="Trebuchet MS" w:hAnsi="Times New Roman" w:cs="Times New Roman"/>
          <w:bCs/>
          <w:sz w:val="24"/>
          <w:szCs w:val="24"/>
        </w:rPr>
        <w:t xml:space="preserve"> projektu ustawy zaproponowano zmiany w ustawie </w:t>
      </w:r>
      <w:r w:rsidRPr="0087437A">
        <w:rPr>
          <w:rFonts w:ascii="Times New Roman" w:hAnsi="Times New Roman" w:cs="Times New Roman"/>
          <w:bCs/>
          <w:sz w:val="24"/>
          <w:szCs w:val="24"/>
        </w:rPr>
        <w:t>z dnia 27 sierpnia 1997 r. o rehabilitacji zawodowej i społecznej oraz zatrudnianiu osób niepełnosprawnych (Dz. U. z 2020 r. poz. 426, z późn. zm.).</w:t>
      </w:r>
    </w:p>
    <w:p w14:paraId="41DCD190" w14:textId="77777777" w:rsidR="00B1104C" w:rsidRPr="0087437A" w:rsidRDefault="00B1104C" w:rsidP="00B1104C">
      <w:pPr>
        <w:suppressAutoHyphens/>
        <w:autoSpaceDE w:val="0"/>
        <w:autoSpaceDN w:val="0"/>
        <w:adjustRightInd w:val="0"/>
        <w:spacing w:before="120" w:line="360" w:lineRule="auto"/>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W obecnie obowiązujących przepisach brak jest możliwości korzystania przez Państwowy Fundusz Rehabilitacji Osób Niepełnosprawnych (PFRON) z danych zgromadzonych w Elektronicznym Krajowym Systemie Monitorowania Orzekania o Niepełnosprawności (EKSMOoN). Korzystanie z danych umieszczonych w EKSMOoN jest potrzebne do użytkowania wdrożonego przez PFRON Systemu Obsługi Wsparcia finansowanego ze środków PFRON (SOW). SOW oferuje osobom z niepełnosprawnością możliwość uzyskania dofinansowania bez wychodzenia z domu poprzez e-usługę polegającą na możliwości złożenia wniosku, podpisania umowy oraz rozliczenia środków online. Docelowa funkcjonalność SOW przewiduje możliwość weryfikacji przez pracowników jednostek samorządu terytorialnego, udzielających dofinansowania, poprawności i aktualności informacji podawanych we wnioskach w zewnętrznych systemach informatycznych.</w:t>
      </w:r>
    </w:p>
    <w:p w14:paraId="4F60565B"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W art. 6d ustawy o rehabilitacji zawodowej i społecznej oraz zatrudnianiu osób niepełnosprawnych, określającym zasady, na jakich mogą być udostępniane dane zgromadzone w systemie EKSMOoN oraz podmioty upoważnione do pozyskiwania tych danych,</w:t>
      </w:r>
      <w:r w:rsidR="00425CB2">
        <w:rPr>
          <w:rFonts w:ascii="Times New Roman" w:eastAsia="Trebuchet MS" w:hAnsi="Times New Roman" w:cs="Times New Roman"/>
          <w:bCs/>
          <w:sz w:val="24"/>
          <w:szCs w:val="24"/>
        </w:rPr>
        <w:t xml:space="preserve"> </w:t>
      </w:r>
      <w:r w:rsidRPr="0087437A">
        <w:rPr>
          <w:rFonts w:ascii="Times New Roman" w:eastAsia="Trebuchet MS" w:hAnsi="Times New Roman" w:cs="Times New Roman"/>
          <w:bCs/>
          <w:sz w:val="24"/>
          <w:szCs w:val="24"/>
        </w:rPr>
        <w:t>nie ma przewidzianego PFRON. W takiej sytuacji w oparciu o przepisy ustawy o rehabilitacji zawodowej i społecznej oraz zatrudnianiu osób niepełnosprawnych nie jest możliwe pozyskiwanie przez PFRON, jako administratora SOW, danych z systemu EKSMOoN, w celu weryfikacji wydatkowania środków przekazywanych jednostkom samorządu terytorialnego na podstawie algorytmu. Także jednostki organizacyjne samorządu terytorialnego na gruncie obowiązujących uregulowań nie mogą pozyskiwać danych z systemu EKSMOoN dla celów weryfikacji orzeczeń potwierdzających niepełnosprawność wydawanych przez zespoły do spraw orzekania o niepełnosprawności. Propozycja zmiany art. 6d ust. 4 ustawy o rehabilitacji zawodowej i społecznej oraz zatrudnianiu osób niepełnosprawnych wychodzi naprzeciw potrzebie wyposażenia jednostek samorządu terytorialnego oraz PFRON w instrument umożliwiający pozyskiwanie danych zgromadzonych w systemie EKSMOoN, w zakresie niezbędnym do realizacji zadań, określonym nowym brzmieniem proponowanego przepisu</w:t>
      </w:r>
    </w:p>
    <w:p w14:paraId="3DDDC11E"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Proponowane przepisy mają za zadanie przede wszystkim umożliwić sprawne zarządzanie środkami publicznymi oraz uproszczenie i skrócenie czasu realizacji spraw. Obecnie pracownicy jednostek samorządów terytorialnych nie posiadają aktualnej zweryfikowanej informacji na temat prawdziwości aktualności orzeczeń dokumentujących niepełnosprawność dołączanych jako załącznik do wniosku o dofinansowanie ze środków PFRON.</w:t>
      </w:r>
    </w:p>
    <w:p w14:paraId="7F46707D"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Dostęp do EKSMOoN umożliwi PFRON weryfikację orzeczeń oraz pozwoli na zwolnienie osób niepełnosprawnych, wnioskodawców z obowiązku przedkładania orzeczeń lub ich kopii i zastąpienie ich oświadczeniami weryfikowanymi przez urzędników za pośrednictwem SOW komunikującym się z EKSMOoN.</w:t>
      </w:r>
    </w:p>
    <w:p w14:paraId="4C566E62"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Ponadto przewidziano możliwość dostępu przez PFRON do EKSMOoN w celu weryfikacji danych dotyczących osób ubiegających się o refundację składek na ubezpieczenia społeczne na podstawie art 25a i art. 25c ustawy o rehabilitacji zawodowej i społecznej oraz zatrudnianiu osób niepełnosprawnych oraz w celu weryfikacji danych dotyczących osób, do których wynagrodzeń przysługuje dofinansowanie do wynagrodzeń, na podstawie art 26a-26c ww. ustawy, w szczególności w zakresie daty i rodzaju wydanego orzeczenia, symbolu przyczyny niepełnosprawności, daty powstania niepełnosprawności lub stopnia niepełnosprawności, okresu, na jaki zostało wydane orzeczenie, wskazania, o których mowa w art. 6b ust. 3 ustawy o rehabilitacji zawodowej i społecznej oraz zatrudnianiu osób niepełnosprawnych.</w:t>
      </w:r>
    </w:p>
    <w:p w14:paraId="2AD592EC"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eastAsia="Trebuchet MS" w:hAnsi="Times New Roman" w:cs="Times New Roman"/>
          <w:bCs/>
          <w:sz w:val="24"/>
          <w:szCs w:val="24"/>
        </w:rPr>
      </w:pPr>
      <w:r w:rsidRPr="0087437A">
        <w:rPr>
          <w:rFonts w:ascii="Times New Roman" w:eastAsia="Trebuchet MS" w:hAnsi="Times New Roman" w:cs="Times New Roman"/>
          <w:bCs/>
          <w:sz w:val="24"/>
          <w:szCs w:val="24"/>
        </w:rPr>
        <w:t xml:space="preserve">W związku z użyciem po raz pierwszy skrótu </w:t>
      </w:r>
      <w:r w:rsidRPr="0087437A">
        <w:rPr>
          <w:rFonts w:ascii="Times New Roman" w:hAnsi="Times New Roman" w:cs="Times New Roman"/>
          <w:bCs/>
          <w:sz w:val="24"/>
          <w:szCs w:val="24"/>
        </w:rPr>
        <w:t>„</w:t>
      </w:r>
      <w:r w:rsidRPr="0087437A">
        <w:rPr>
          <w:rFonts w:ascii="Times New Roman" w:eastAsia="Trebuchet MS" w:hAnsi="Times New Roman" w:cs="Times New Roman"/>
          <w:bCs/>
          <w:sz w:val="24"/>
          <w:szCs w:val="24"/>
        </w:rPr>
        <w:t>Fundusz</w:t>
      </w:r>
      <w:r w:rsidRPr="0087437A">
        <w:rPr>
          <w:rFonts w:ascii="Times New Roman" w:hAnsi="Times New Roman" w:cs="Times New Roman"/>
          <w:bCs/>
          <w:sz w:val="24"/>
          <w:szCs w:val="24"/>
        </w:rPr>
        <w:t>”</w:t>
      </w:r>
      <w:r w:rsidRPr="0087437A">
        <w:rPr>
          <w:rFonts w:ascii="Times New Roman" w:eastAsia="Trebuchet MS" w:hAnsi="Times New Roman" w:cs="Times New Roman"/>
          <w:bCs/>
          <w:sz w:val="24"/>
          <w:szCs w:val="24"/>
        </w:rPr>
        <w:t xml:space="preserve"> dla Państwowego Funduszu Rehabilitacji Osób Niepełnosprawnych w dodawanym art. 6d ust. 4a pkt 7 ustawy o rehabilitacji zawodowej i społecznej oraz zatrudnianiu osób niepełnosprawnych – wykreślono skrót z dotychczasowego art. 10b ust. 2 ww. ustawy.</w:t>
      </w:r>
    </w:p>
    <w:p w14:paraId="5E724219" w14:textId="77777777" w:rsidR="00B1104C" w:rsidRPr="0087437A" w:rsidRDefault="00B1104C" w:rsidP="00B1104C">
      <w:pPr>
        <w:autoSpaceDE w:val="0"/>
        <w:autoSpaceDN w:val="0"/>
        <w:adjustRightInd w:val="0"/>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Proponowana w art. </w:t>
      </w:r>
      <w:r w:rsidR="00D902B8" w:rsidRPr="0087437A">
        <w:rPr>
          <w:rFonts w:ascii="Times New Roman" w:hAnsi="Times New Roman" w:cs="Times New Roman"/>
          <w:sz w:val="24"/>
          <w:szCs w:val="24"/>
        </w:rPr>
        <w:t>3</w:t>
      </w:r>
      <w:r w:rsidRPr="0087437A">
        <w:rPr>
          <w:rFonts w:ascii="Times New Roman" w:hAnsi="Times New Roman" w:cs="Times New Roman"/>
          <w:sz w:val="24"/>
          <w:szCs w:val="24"/>
        </w:rPr>
        <w:t xml:space="preserve"> zmiana brzmienia art. 21 ustawy ustawie z dnia 27 sierpnia 1997 r. o rehabilitacji zawodowej i społecznej oraz zatrudnianiu osób niepełnosprawnych polega na uproszczeniu obowiązku informacyjnego dotyczącego obniżonych wpłat na Państwowy Fundusz Rehabilitacji Osób Niepełnosprawnych dla pracodawców posiadających certyfikat dostępności.</w:t>
      </w:r>
    </w:p>
    <w:p w14:paraId="605E952B" w14:textId="77777777" w:rsidR="00B1104C" w:rsidRPr="0087437A" w:rsidRDefault="00B1104C" w:rsidP="00B1104C">
      <w:pPr>
        <w:autoSpaceDE w:val="0"/>
        <w:autoSpaceDN w:val="0"/>
        <w:adjustRightInd w:val="0"/>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Ustawą z dnia 19 lipca 2019 r. o zapewnianiu dostępności osobom ze szczególnymi potrzebami (Dz. U. z 2020 r. poz. 1062)</w:t>
      </w:r>
      <w:r w:rsidRPr="0087437A" w:rsidDel="0078741E">
        <w:rPr>
          <w:rFonts w:ascii="Times New Roman" w:hAnsi="Times New Roman" w:cs="Times New Roman"/>
          <w:sz w:val="24"/>
          <w:szCs w:val="24"/>
        </w:rPr>
        <w:t xml:space="preserve"> </w:t>
      </w:r>
      <w:r w:rsidRPr="0087437A">
        <w:rPr>
          <w:rFonts w:ascii="Times New Roman" w:hAnsi="Times New Roman" w:cs="Times New Roman"/>
          <w:sz w:val="24"/>
          <w:szCs w:val="24"/>
        </w:rPr>
        <w:t>wprowadzono do art. 21 ustawy o rehabilitacji zawodowej i społecznej oraz zatrudnianiu osób niepełnosprawnych nowy tytuł obniżenia wpłat na PFRON z tytułu zapewniania dostępności przez pracodawców. Przepis dotyczący obniżania obliczonej wpłaty o 5% znalazł się jednak przed przepisami, z których wynika sposób obliczenia kwoty, od której nalicza się obniżenie. Dlatego proponuje się przenieść tę ulgę z ust. 1a do ust. 8 w art. 21 ustawy o rehabilitacji zawodowej i społecznej oraz zatrudnianiu osób niepełnosprawnych.</w:t>
      </w:r>
    </w:p>
    <w:p w14:paraId="278D7587" w14:textId="77777777" w:rsidR="00B1104C" w:rsidRPr="0087437A" w:rsidRDefault="00B1104C" w:rsidP="00B1104C">
      <w:pPr>
        <w:autoSpaceDE w:val="0"/>
        <w:autoSpaceDN w:val="0"/>
        <w:adjustRightInd w:val="0"/>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Ponadto art. 21 ust. 1a ustawy o rehabilitacji zawodowej i społecznej oraz zatrudnianiu osób niepełnosprawnych wymaga przeredagowania. W przepisie tym błędnie określono sposób informowania PFRON o posiadanym certyfikacie dostępności oraz miesiąc, od którego pracodawca może korzystać ze zwolnienia. Oba te rozwiązania niezasadnie zwiększają obciążenia administracyjne pracodawców. Propozycja usuwa ten stan na rzecz włączenia informacji o certyfikacie do deklaracji wpłat składanych na podstawie art. 49 ust. 2 ustawy o rehabilitacji zawodowej i społecznej oraz zatrudnianiu osób niepełnosprawnych, jak ma to już miejsce w przypadku obniżenia na podstawie art. 22 tej ustawy.</w:t>
      </w:r>
    </w:p>
    <w:p w14:paraId="78E28CE3" w14:textId="77777777" w:rsidR="00B1104C" w:rsidRPr="0087437A" w:rsidRDefault="00B1104C" w:rsidP="00B1104C">
      <w:pPr>
        <w:autoSpaceDE w:val="0"/>
        <w:autoSpaceDN w:val="0"/>
        <w:adjustRightInd w:val="0"/>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Obecnie pracodawca ma zawiadamiać PFRON o uzyskaniu certyfikatu dostępności w sposób, o którym mowa w art. 21 ust. 2f</w:t>
      </w:r>
      <w:r w:rsidRPr="0087437A">
        <w:rPr>
          <w:rFonts w:ascii="Times New Roman" w:hAnsi="Times New Roman" w:cs="Times New Roman"/>
          <w:sz w:val="24"/>
          <w:szCs w:val="24"/>
          <w:vertAlign w:val="superscript"/>
        </w:rPr>
        <w:t xml:space="preserve">1 </w:t>
      </w:r>
      <w:r w:rsidRPr="0087437A">
        <w:rPr>
          <w:rFonts w:ascii="Times New Roman" w:hAnsi="Times New Roman" w:cs="Times New Roman"/>
          <w:sz w:val="24"/>
          <w:szCs w:val="24"/>
        </w:rPr>
        <w:t>ustawy o rehabilitacji, zawodowej i społecznej oraz zatrudnianiu osób niepełnosprawnych co sugeruje równoległe przekazywanie informacji dla pracodawców zwolnionych z wpłat oraz przekazywanie deklaracji dla pracodawców zobowiązanych do wpłat na PFRON, podczas gdy obecnie te dokumenty są składane zamiennie. Dlatego proponuje się informowanie PFRON o certyfikacie w obecnie składanych deklaracjach. Jest to rozwiązanie stosowane obecnie w odniesieniu do obniżenia wpłat na PFRON, o którym mowa w art. 22 ustawy o rehabilitacji. zawodowej i społecznej oraz zatrudnianiu osób niepełnosprawnych</w:t>
      </w:r>
    </w:p>
    <w:p w14:paraId="2643E04B" w14:textId="77777777" w:rsidR="00B1104C" w:rsidRPr="0087437A" w:rsidRDefault="00B1104C" w:rsidP="00B1104C">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W obecnym stanie prawnym obniżenie ma przysługiwać od pierwszego dnia miesiąca następującego po miesiącu, w którym pracodawca ten zawiadomił PFRON o certyfikacie. Biorąc pod uwagę to, że wpłaty na PFRON mają charakter memoriałowy, a warunkiem obniżenia jest posiadanie certyfikatu dostępności i zawiadomienie o nim PFRON, celowe jest powołanie się na certyfikat w pierwszej deklaracji, w której pracodawca zamierza korzystać </w:t>
      </w:r>
      <w:r w:rsidRPr="0087437A">
        <w:rPr>
          <w:rFonts w:ascii="Times New Roman" w:hAnsi="Times New Roman" w:cs="Times New Roman"/>
          <w:sz w:val="24"/>
          <w:szCs w:val="24"/>
        </w:rPr>
        <w:br/>
        <w:t xml:space="preserve">z obniżenia, będzie także jednoznaczne z poinformowaniem PFRON o certyfikacie. Dzięki temu pracodawca nie będzie musiał czekać np. 2-3 miesięcy na skorzystanie z certyfikatu przy rozliczaniu wpłat za dany miesiąc, a oba warunki – posiadanie certyfikatu dostępności </w:t>
      </w:r>
      <w:r w:rsidRPr="0087437A">
        <w:rPr>
          <w:rFonts w:ascii="Times New Roman" w:hAnsi="Times New Roman" w:cs="Times New Roman"/>
          <w:sz w:val="24"/>
          <w:szCs w:val="24"/>
        </w:rPr>
        <w:br/>
        <w:t>i zawiadomienie o nim PFRON – pozostają zachowane.</w:t>
      </w:r>
    </w:p>
    <w:p w14:paraId="15007298" w14:textId="77777777" w:rsidR="00B1104C" w:rsidRPr="0087437A" w:rsidRDefault="00B1104C" w:rsidP="00B1104C">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Projekt zmiany przepisu art. 68gd ust. 1 ustawy o rehabilitacji zawodowej i społecznej oraz zatrudnieniu osób</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niepełnosprawnych ma na celu doprecyzowanie przepisów w zakresie formy wyrażenia zgody przez Państwowy Fundusz Rehabilitacji Osób Niepełnosprawnych tj. decyzji administracyjnej. Forma decyzji administracyjnej gwarantuje ochronę uprawnień obywateli zapewniając im możliwość odwołania.</w:t>
      </w:r>
    </w:p>
    <w:p w14:paraId="4D38E06C" w14:textId="77777777" w:rsidR="00B1104C" w:rsidRPr="0087437A" w:rsidRDefault="00B1104C" w:rsidP="00B1104C">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Dodany ust. 2a w art. 68gd ma na celu określenie i ujednolicenie procedury odwoławczej. Zaproponowano formułę stosowaną także w innych przypadkach wydawania decyzji przez Prezesa Zarządu Państwowego Funduszu Rehabilitacji Osób Niepełnosprawnych w ustawie o rehabilitacji zawodowej i społecznej oraz zatrudnieniu osób</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niepełnosprawnych tj. wniosek o ponowne rozpatrzenie sprawy.</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Przyspiesza to także rozstrzygnięcie sprawy przez sąd – zgodnie art. 52 § 3 ustawy z dnia 30 sierpnia 2002 r. - Prawo o postępowaniu przed sądami administracyjnymi (Dz.U. z 2019 r. poz. 2325) jeżeli stronie przysługuje prawo do zwrócenia się do organu, który wydał decyzję z wnioskiem o ponowne rozpatrzenie sprawy, strona może wnieść skargę na tę decyzję bez skorzystania z tego prawa strona może wnieść skargę bezpośrednio do sądu.</w:t>
      </w:r>
    </w:p>
    <w:p w14:paraId="1A0679B6" w14:textId="77777777" w:rsidR="00B1104C" w:rsidRPr="0087437A" w:rsidRDefault="00B1104C" w:rsidP="00B1104C">
      <w:pPr>
        <w:suppressAutoHyphens/>
        <w:autoSpaceDE w:val="0"/>
        <w:autoSpaceDN w:val="0"/>
        <w:adjustRightInd w:val="0"/>
        <w:spacing w:before="120"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Zmiana art. 68ge wynika z zapowiedzi modyfikacji Komunikatu Komisji – Tymczasowe ramy środków pomocy państwa w celu wsparcia gospodarki w kontekście trwającej epidemii COVID-19 (2020/C 91 I/01) (Dz. Urz. UE C 91I z 20.03.2020, str. 1), w zakresie wydłużenia terminu obowiązywania zmodyfikowanych warunków udzielania pomocy publicznej przedsiębiorcom oraz zmiany tych warunków. Proponuje się zmianę art. 68ge, polegającą na wprowadzeniu ogólnego odwołania do Komunikatu Komisji, bez uszczegóławiania w ustawie warunków, które będą każdorazowo wynikać z kolejnych komunikatów Komisji.</w:t>
      </w:r>
    </w:p>
    <w:p w14:paraId="0577F2DE" w14:textId="77777777" w:rsidR="00B1104C" w:rsidRPr="0087437A" w:rsidRDefault="00B1104C" w:rsidP="00B1104C">
      <w:pPr>
        <w:spacing w:after="0" w:line="360" w:lineRule="auto"/>
        <w:jc w:val="both"/>
        <w:rPr>
          <w:rFonts w:ascii="Times New Roman" w:hAnsi="Times New Roman"/>
          <w:sz w:val="24"/>
          <w:szCs w:val="24"/>
        </w:rPr>
      </w:pPr>
      <w:r w:rsidRPr="0087437A">
        <w:rPr>
          <w:rFonts w:ascii="Times New Roman" w:hAnsi="Times New Roman" w:cs="Times New Roman"/>
          <w:sz w:val="24"/>
          <w:szCs w:val="24"/>
        </w:rPr>
        <w:t xml:space="preserve">W związku z przeciwdziałaniem COVID-19 oraz trudną sytuacją pracodawców prowadzących zakłady aktywności zawodowej wywołaną przestojami działalności i </w:t>
      </w:r>
      <w:r w:rsidRPr="0087437A">
        <w:rPr>
          <w:rFonts w:ascii="Times New Roman" w:eastAsia="SimSun" w:hAnsi="Times New Roman" w:cs="Times New Roman"/>
          <w:sz w:val="24"/>
          <w:szCs w:val="24"/>
        </w:rPr>
        <w:t xml:space="preserve">spadkiem przychodów, a tym samym ograniczeniem realizacji zadań dotyczących rehabilitacji zawodowej osób niepełnosprawnych, w projekcie proponuje się przepisy, które umożliwią wsparcie zakładów aktywności zawodowej przez samorząd województwa (art. 68gh). </w:t>
      </w:r>
      <w:r w:rsidRPr="0087437A">
        <w:rPr>
          <w:rFonts w:ascii="Times New Roman" w:hAnsi="Times New Roman" w:cs="Times New Roman"/>
          <w:sz w:val="24"/>
          <w:szCs w:val="24"/>
        </w:rPr>
        <w:t>Samorząd województwa może zwiększyć maksymalną kwotę zobowiązań samorządu wojewódzkiego do wypłaty w 2020 r. i w 2021 r. z tytułu dofinansowania kosztów działalności zakładów aktywności zawodowej, w okresie trwania stanu epidemii ogłoszonego z powodu COVID-19, z zaoszczędzonych środków własnych lub z zaoszczędzonych środków otrzymanych na realizację innych działań, przekazanych</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przez Prezesa Zarządu Państwowego Funduszu Rehabilitacji Osób Niepełnosprawnych, według algorytmu, o którym mowa w art. 48 ustawy o rehabilitacji zawodowej i społecznej oraz zatrudnianiu osób niepełnosprawnych.</w:t>
      </w:r>
    </w:p>
    <w:p w14:paraId="65ACE784" w14:textId="77777777" w:rsidR="00950D1A" w:rsidRPr="0087437A" w:rsidRDefault="00950D1A" w:rsidP="0043695F">
      <w:pPr>
        <w:spacing w:after="0" w:line="360" w:lineRule="auto"/>
        <w:jc w:val="both"/>
        <w:rPr>
          <w:rFonts w:ascii="Times New Roman" w:hAnsi="Times New Roman"/>
          <w:sz w:val="24"/>
          <w:szCs w:val="24"/>
        </w:rPr>
      </w:pPr>
    </w:p>
    <w:p w14:paraId="353AADFD" w14:textId="77777777" w:rsidR="00C56744" w:rsidRPr="0087437A" w:rsidRDefault="00C56744"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Proponowane</w:t>
      </w:r>
      <w:r w:rsidR="00D902B8" w:rsidRPr="0087437A">
        <w:rPr>
          <w:rFonts w:ascii="Times New Roman" w:eastAsia="Calibri" w:hAnsi="Times New Roman" w:cs="Times New Roman"/>
          <w:sz w:val="24"/>
          <w:szCs w:val="24"/>
        </w:rPr>
        <w:t xml:space="preserve"> w art. 4 niniejszej ustawy</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xml:space="preserve">zmiany </w:t>
      </w:r>
      <w:r w:rsidR="00941AAA" w:rsidRPr="0087437A">
        <w:rPr>
          <w:rFonts w:ascii="Times New Roman" w:eastAsia="Calibri" w:hAnsi="Times New Roman" w:cs="Times New Roman"/>
          <w:b/>
          <w:sz w:val="24"/>
          <w:szCs w:val="24"/>
        </w:rPr>
        <w:t>ustawy z dnia 11 września 2003 r. o służbie wojskowej żołnierzy zawodowych (Dz. U. z 2020 r. poz. 860,</w:t>
      </w:r>
      <w:r w:rsidR="00425CB2">
        <w:rPr>
          <w:rFonts w:ascii="Times New Roman" w:eastAsia="Calibri" w:hAnsi="Times New Roman" w:cs="Times New Roman"/>
          <w:b/>
          <w:sz w:val="24"/>
          <w:szCs w:val="24"/>
        </w:rPr>
        <w:t xml:space="preserve"> </w:t>
      </w:r>
      <w:r w:rsidR="00941AAA" w:rsidRPr="0087437A">
        <w:rPr>
          <w:rFonts w:ascii="Times New Roman" w:eastAsia="Calibri" w:hAnsi="Times New Roman" w:cs="Times New Roman"/>
          <w:b/>
          <w:sz w:val="24"/>
          <w:szCs w:val="24"/>
        </w:rPr>
        <w:t xml:space="preserve">z późn. zm.) </w:t>
      </w:r>
      <w:r w:rsidRPr="0087437A">
        <w:rPr>
          <w:rFonts w:ascii="Times New Roman" w:eastAsia="Calibri" w:hAnsi="Times New Roman" w:cs="Times New Roman"/>
          <w:sz w:val="24"/>
          <w:szCs w:val="24"/>
        </w:rPr>
        <w:t xml:space="preserve">mają na celu usprawnienie regulacji dotyczących kierowania żołnierzy zawodowych wyznaczanych lub kierowanych do służby poza granicami państwa do wojskowych komisji lekarskich, procesu powoływania do zawodowej służby wojskowej. </w:t>
      </w:r>
    </w:p>
    <w:p w14:paraId="27318021" w14:textId="77777777" w:rsidR="00C56744" w:rsidRPr="0087437A" w:rsidRDefault="00C56744"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 xml:space="preserve">Propozycja zmiany art. </w:t>
      </w:r>
      <w:r w:rsidR="00E746BD">
        <w:rPr>
          <w:rFonts w:ascii="Times New Roman" w:eastAsia="Calibri" w:hAnsi="Times New Roman" w:cs="Times New Roman"/>
          <w:sz w:val="24"/>
          <w:szCs w:val="24"/>
        </w:rPr>
        <w:t>4</w:t>
      </w:r>
      <w:r w:rsidRPr="0087437A">
        <w:rPr>
          <w:rFonts w:ascii="Times New Roman" w:eastAsia="Calibri" w:hAnsi="Times New Roman" w:cs="Times New Roman"/>
          <w:sz w:val="24"/>
          <w:szCs w:val="24"/>
        </w:rPr>
        <w:t xml:space="preserve"> ma na celu zniesienie obligatoryjnego obowiązku</w:t>
      </w:r>
      <w:r w:rsidR="00425CB2">
        <w:rPr>
          <w:rFonts w:ascii="Times New Roman" w:eastAsia="Calibri" w:hAnsi="Times New Roman" w:cs="Times New Roman"/>
          <w:sz w:val="24"/>
          <w:szCs w:val="24"/>
        </w:rPr>
        <w:t xml:space="preserve"> </w:t>
      </w:r>
      <w:r w:rsidRPr="0087437A">
        <w:rPr>
          <w:rFonts w:ascii="Times New Roman" w:eastAsia="Calibri" w:hAnsi="Times New Roman" w:cs="Times New Roman"/>
          <w:sz w:val="24"/>
          <w:szCs w:val="24"/>
        </w:rPr>
        <w:t xml:space="preserve">orzeczniczego w wojskowych komisjach lekarskich wobec żołnierzy zawodowych skierowanych lub wyznaczonych do służby poza granicami państwa w rejony kontynentu europejskiego lub Państw-Stron Traktatu Północnoatlantyckiego spoza kontynentu europejskiego. W zamian za to pozostanie fakultatywna możliwość skierowania ww. żołnierzy na komisje wojskowo lekarską. </w:t>
      </w:r>
    </w:p>
    <w:p w14:paraId="310D34D3" w14:textId="77777777" w:rsidR="00C56744" w:rsidRPr="0087437A" w:rsidRDefault="00C56744"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Biorąc pod uwagę uwarunkowania klimatyczne, kulturowe, środowiskowe oraz dostęp do opieki zdrowotnej w przypadku służby w rejonach kontynentu europejskiego lub Państw-Stron Traktatu Północnoatlantyckiego spoza kontynentu europejskiego proponuje się powyższe rozwiązanie w postaci złagodzenia przepisów orzeczniczych w stosunku do żołnierzy zawodowych skierowanych lub wyznaczonych do służby poza granicami kraju. Pozwoli to na odciążenie komisji lekarskich i jednostek służby zdrowia realizujących diagnostykę na rzecz tych komisji.</w:t>
      </w:r>
    </w:p>
    <w:p w14:paraId="62B05D64" w14:textId="77777777" w:rsidR="00C56744" w:rsidRPr="0087437A" w:rsidRDefault="00C56744"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Propozycja zmiany brzmienia art. 6 ust. 2 pkt 2 ma na celu rozszerzenie funkcjonalności systemu jednolitej ewidencji w zakresie sporządzania wydruków dokumentów personalnych, zaświadczeń, decyzji i innych dokumentów urzędowych. Powyższe rozwiązanie pozwoli jednocześnie na skrócenie drogi doręczania dokumentu, ponieważ dokument wydawany przez organ inny niż dowódca jednostki wojskowej mógłby zostać wydrukowany i doręczony żołnierzowi już na szczeblu macierzystej jednostki wojskowej. Regulacja nie obejmie jednak spraw związanych z powołaniem do zawodowej służby wojskowej lub służby kandydackiej oraz zwolnienia z tych służb. Rozwiązanie powyższe ma charakter porządkowy.</w:t>
      </w:r>
      <w:r w:rsidR="00425CB2">
        <w:rPr>
          <w:rFonts w:ascii="Times New Roman" w:eastAsia="Calibri" w:hAnsi="Times New Roman" w:cs="Times New Roman"/>
          <w:sz w:val="24"/>
          <w:szCs w:val="24"/>
        </w:rPr>
        <w:t xml:space="preserve"> </w:t>
      </w:r>
    </w:p>
    <w:p w14:paraId="22FB9DE5" w14:textId="77777777" w:rsidR="0081240A" w:rsidRPr="0087437A" w:rsidRDefault="00C56744" w:rsidP="0043695F">
      <w:pPr>
        <w:spacing w:line="360" w:lineRule="auto"/>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Mając na uwadze optymalizację procesu powoływania do zawodowej służby wojskowej oraz pozyskanie nowego kręgu odbiorców potencjalnie zainteresowanych pełnieniem tej służby, a także uwzględniając zagrożenia związane m.in. z COVID-19, proponuje się wprowadzenie możliwości fakultatywnego powołania żołnierzy pełniących określone rodzaje czynnej służby wojskowej. Planuje się, że powołanie to następować będzie w ostatnim dniu pełnienia przez danego żołnierza określonego rodzaju czynnej służby woskowej. Czynności wojskowego komendanta uzupełnień w ramach procesu powołania do zawodowej służby wojskowej w stosunku do tych osób wykonywać będzie dowódca jednostki wojskowej, w której pełnią określony rodzaj czynnej służby wojskowej. Stąd propozycja dodania ust. 3 w art. 12 oraz rozszerzenie o ust. 1a art. 5a.</w:t>
      </w:r>
    </w:p>
    <w:p w14:paraId="29E5287E" w14:textId="77777777" w:rsidR="00CD555A" w:rsidRPr="0087437A" w:rsidRDefault="00CD555A" w:rsidP="0043695F">
      <w:pPr>
        <w:spacing w:after="0" w:line="360" w:lineRule="auto"/>
        <w:jc w:val="both"/>
        <w:rPr>
          <w:rFonts w:ascii="Times New Roman" w:hAnsi="Times New Roman"/>
          <w:sz w:val="24"/>
          <w:szCs w:val="24"/>
        </w:rPr>
      </w:pPr>
    </w:p>
    <w:p w14:paraId="574F3C7E" w14:textId="77777777" w:rsidR="00950D1A" w:rsidRPr="0087437A" w:rsidRDefault="000733C2" w:rsidP="00FB25CC">
      <w:pPr>
        <w:spacing w:after="0" w:line="360" w:lineRule="auto"/>
        <w:jc w:val="both"/>
        <w:rPr>
          <w:rFonts w:ascii="Times New Roman" w:hAnsi="Times New Roman"/>
          <w:sz w:val="24"/>
          <w:szCs w:val="24"/>
        </w:rPr>
      </w:pPr>
      <w:r w:rsidRPr="0087437A">
        <w:rPr>
          <w:rFonts w:ascii="Times New Roman" w:hAnsi="Times New Roman"/>
          <w:sz w:val="24"/>
          <w:szCs w:val="24"/>
        </w:rPr>
        <w:t xml:space="preserve">W art. 5 niniejszej ustawy zaproponowano zmiany w ustawie o świadczeniach opieki zdrowotnej finansowanych ze środków publicznych. </w:t>
      </w:r>
      <w:r w:rsidR="00950D1A" w:rsidRPr="0087437A">
        <w:rPr>
          <w:rFonts w:ascii="Times New Roman" w:hAnsi="Times New Roman"/>
          <w:sz w:val="24"/>
          <w:szCs w:val="24"/>
        </w:rPr>
        <w:t xml:space="preserve">Istotą dodawanego w art. 47c w ust. 1 pkt 12 </w:t>
      </w:r>
      <w:bookmarkStart w:id="1" w:name="_Hlk57899359"/>
      <w:r w:rsidR="00950D1A" w:rsidRPr="0087437A">
        <w:rPr>
          <w:rFonts w:ascii="Times New Roman" w:hAnsi="Times New Roman"/>
          <w:sz w:val="24"/>
          <w:szCs w:val="24"/>
        </w:rPr>
        <w:t xml:space="preserve">ustawy z dnia 27 sierpnia 2004 r. o świadczeniach opieki zdrowotnej finansowanych ze środków publicznych </w:t>
      </w:r>
      <w:bookmarkEnd w:id="1"/>
      <w:r w:rsidR="00950D1A" w:rsidRPr="0087437A">
        <w:rPr>
          <w:rFonts w:ascii="Times New Roman" w:hAnsi="Times New Roman"/>
          <w:sz w:val="24"/>
          <w:szCs w:val="24"/>
        </w:rPr>
        <w:t>(Dz. U. z 2020 r. poz. 1398, z późn. zm.) jest przyznanie prawa do korzystania poza kolejnością ze świadczeń opieki zdrowotnej oraz z usług farmaceutycznych udzielanych w aptekach dla dawcy krwi, który oddał co najmniej 3 donacje krwi pełnej lub osocza po chorobie COVID-19</w:t>
      </w:r>
      <w:r w:rsidR="00960E9F">
        <w:rPr>
          <w:rFonts w:ascii="Times New Roman" w:hAnsi="Times New Roman"/>
          <w:sz w:val="24"/>
          <w:szCs w:val="24"/>
        </w:rPr>
        <w:t xml:space="preserve"> </w:t>
      </w:r>
      <w:r w:rsidR="00960E9F" w:rsidRPr="00FB25CC">
        <w:rPr>
          <w:rFonts w:ascii="Times New Roman" w:hAnsi="Times New Roman"/>
          <w:sz w:val="24"/>
          <w:szCs w:val="24"/>
        </w:rPr>
        <w:t>– na podstawie zaświad</w:t>
      </w:r>
      <w:r w:rsidR="00960E9F">
        <w:rPr>
          <w:rFonts w:ascii="Times New Roman" w:hAnsi="Times New Roman"/>
          <w:sz w:val="24"/>
          <w:szCs w:val="24"/>
        </w:rPr>
        <w:t xml:space="preserve">czenia, o którym mowa w art. 9a </w:t>
      </w:r>
      <w:r w:rsidR="00960E9F" w:rsidRPr="00FB25CC">
        <w:rPr>
          <w:rFonts w:ascii="Times New Roman" w:hAnsi="Times New Roman"/>
          <w:sz w:val="24"/>
          <w:szCs w:val="24"/>
        </w:rPr>
        <w:t>ust. 3 ustawy z dnia 22 sierpnia 1997 r. o publicznej służbie krwi</w:t>
      </w:r>
      <w:r w:rsidR="00950D1A" w:rsidRPr="0087437A">
        <w:rPr>
          <w:rFonts w:ascii="Times New Roman" w:hAnsi="Times New Roman"/>
          <w:sz w:val="24"/>
          <w:szCs w:val="24"/>
        </w:rPr>
        <w:t xml:space="preserve"> (uprawienie to jest zasadniczo na czas COVID-19, poza tym zasłużony honorowy dawca krwi ma je cały czas (ale w węższym zakresie) na podstawie art. 47c ust. 1 pkt 3</w:t>
      </w:r>
      <w:r w:rsidR="00950D1A" w:rsidRPr="0087437A">
        <w:rPr>
          <w:sz w:val="24"/>
          <w:szCs w:val="24"/>
        </w:rPr>
        <w:t xml:space="preserve"> </w:t>
      </w:r>
      <w:r w:rsidR="00950D1A" w:rsidRPr="0087437A">
        <w:rPr>
          <w:rFonts w:ascii="Times New Roman" w:hAnsi="Times New Roman"/>
          <w:sz w:val="24"/>
          <w:szCs w:val="24"/>
        </w:rPr>
        <w:t>ustawy z dnia 27 sierpnia 2004 r. o świadczeniach opieki zdrowotnej finansowanych ze środków publicznych).</w:t>
      </w:r>
      <w:r w:rsidR="00FB25CC">
        <w:rPr>
          <w:rFonts w:ascii="Times New Roman" w:hAnsi="Times New Roman"/>
          <w:sz w:val="24"/>
          <w:szCs w:val="24"/>
        </w:rPr>
        <w:t xml:space="preserve"> </w:t>
      </w:r>
    </w:p>
    <w:p w14:paraId="15D09BFF" w14:textId="77777777" w:rsidR="002E264F" w:rsidRPr="0087437A" w:rsidRDefault="002E264F" w:rsidP="0043695F">
      <w:pPr>
        <w:spacing w:after="0" w:line="360" w:lineRule="auto"/>
        <w:jc w:val="both"/>
        <w:rPr>
          <w:rFonts w:ascii="Times New Roman" w:hAnsi="Times New Roman" w:cs="Times New Roman"/>
          <w:sz w:val="24"/>
          <w:szCs w:val="24"/>
        </w:rPr>
      </w:pPr>
    </w:p>
    <w:p w14:paraId="7EFD4087" w14:textId="77777777" w:rsidR="0080089D" w:rsidRPr="0087437A" w:rsidRDefault="0080089D" w:rsidP="0080089D">
      <w:pPr>
        <w:suppressAutoHyphens/>
        <w:autoSpaceDE w:val="0"/>
        <w:autoSpaceDN w:val="0"/>
        <w:adjustRightInd w:val="0"/>
        <w:spacing w:before="120" w:line="360" w:lineRule="auto"/>
        <w:ind w:firstLine="708"/>
        <w:jc w:val="both"/>
        <w:rPr>
          <w:rFonts w:ascii="Times New Roman" w:hAnsi="Times New Roman" w:cs="Times New Roman"/>
          <w:bCs/>
          <w:sz w:val="24"/>
          <w:szCs w:val="24"/>
        </w:rPr>
      </w:pPr>
      <w:r w:rsidRPr="0087437A">
        <w:rPr>
          <w:rFonts w:ascii="Times New Roman" w:hAnsi="Times New Roman" w:cs="Times New Roman"/>
          <w:bCs/>
          <w:sz w:val="24"/>
          <w:szCs w:val="24"/>
        </w:rPr>
        <w:t>W art. 6 projektu ustawy wprowadzono zmiany w ustawie z dnia 9 czerwca 2011 r. o wspieraniu rodziny i systemie pieczy zastępczej (Dz. U. z 2020 r. poz. 821).</w:t>
      </w:r>
    </w:p>
    <w:p w14:paraId="54A17267" w14:textId="77777777" w:rsidR="0080089D" w:rsidRPr="0087437A" w:rsidRDefault="0080089D" w:rsidP="0080089D">
      <w:pPr>
        <w:suppressAutoHyphens/>
        <w:autoSpaceDE w:val="0"/>
        <w:autoSpaceDN w:val="0"/>
        <w:adjustRightInd w:val="0"/>
        <w:spacing w:before="120" w:line="360" w:lineRule="auto"/>
        <w:ind w:firstLine="708"/>
        <w:jc w:val="both"/>
        <w:rPr>
          <w:rFonts w:ascii="Times New Roman" w:hAnsi="Times New Roman" w:cs="Times New Roman"/>
          <w:bCs/>
          <w:sz w:val="24"/>
          <w:szCs w:val="24"/>
        </w:rPr>
      </w:pPr>
      <w:r w:rsidRPr="0087437A">
        <w:rPr>
          <w:rFonts w:ascii="Times New Roman" w:hAnsi="Times New Roman" w:cs="Times New Roman"/>
          <w:bCs/>
          <w:sz w:val="24"/>
          <w:szCs w:val="24"/>
        </w:rPr>
        <w:t xml:space="preserve">Projektowane w art. 6 zmiany brzmienia przepisy art. 38c ustawy o wspieraniu rodziny i systemie pieczy zastępczej polegają na wprowadzeniu rozwiązań zobowiązujących osoby prowadzące podmioty pieczy zastępczej w okresie stanu zagrożenia epidemicznego albo stanu epidemii do dbałości o współpracę z odpowiednimi służbami, do zapewnienia personelowi odpowiedniego poziomu informacji o aktualnym stanie prawnym oraz do monitorowania stanu zaopatrzenia w środki ochrony osobistej i szybkie reagowanie w przypadku prawdopodobieństwa wystąpienia braków w tym zakresie. </w:t>
      </w:r>
    </w:p>
    <w:p w14:paraId="50AEC0E5" w14:textId="77777777" w:rsidR="0080089D" w:rsidRPr="0087437A" w:rsidRDefault="0080089D" w:rsidP="0043695F">
      <w:pPr>
        <w:spacing w:after="0" w:line="360" w:lineRule="auto"/>
        <w:jc w:val="both"/>
        <w:rPr>
          <w:rFonts w:ascii="Times New Roman" w:hAnsi="Times New Roman" w:cs="Times New Roman"/>
          <w:sz w:val="24"/>
          <w:szCs w:val="24"/>
        </w:rPr>
      </w:pPr>
    </w:p>
    <w:p w14:paraId="5B2AE51C" w14:textId="77777777" w:rsidR="002E264F" w:rsidRPr="0087437A" w:rsidRDefault="000733C2" w:rsidP="0043695F">
      <w:pPr>
        <w:pStyle w:val="NIEARTTEKSTtekstnieartykuowanynppodstprawnarozplubpreambua"/>
        <w:ind w:firstLine="0"/>
        <w:rPr>
          <w:lang w:eastAsia="en-US"/>
        </w:rPr>
      </w:pPr>
      <w:r w:rsidRPr="0087437A">
        <w:rPr>
          <w:b/>
          <w:lang w:eastAsia="en-US"/>
        </w:rPr>
        <w:t>W art. 7 niniejszej ustawy zaproponowano z</w:t>
      </w:r>
      <w:r w:rsidR="00765E27" w:rsidRPr="0087437A">
        <w:rPr>
          <w:b/>
          <w:lang w:eastAsia="en-US"/>
        </w:rPr>
        <w:t>miany w ustawie Prawo o szkolnictwie wyższym i nauce.</w:t>
      </w:r>
      <w:r w:rsidR="00765E27" w:rsidRPr="0087437A">
        <w:rPr>
          <w:lang w:eastAsia="en-US"/>
        </w:rPr>
        <w:t xml:space="preserve"> </w:t>
      </w:r>
      <w:r w:rsidR="002E264F" w:rsidRPr="0087437A">
        <w:rPr>
          <w:lang w:eastAsia="en-US"/>
        </w:rPr>
        <w:t>Ze względu na ograniczenia działalności podmiotów sfery gospodarczej w związku z trwającą epidemią wirusa SARS-CoV-2, studenci w znacznym stopniu zostali pozbawieni możliwości odbycia praktyk zawodowych wymaganych na studiach o profilu praktycznym.</w:t>
      </w:r>
      <w:r w:rsidR="00425CB2">
        <w:rPr>
          <w:lang w:eastAsia="en-US"/>
        </w:rPr>
        <w:t xml:space="preserve"> </w:t>
      </w:r>
      <w:r w:rsidR="002E264F" w:rsidRPr="0087437A">
        <w:rPr>
          <w:lang w:eastAsia="en-US"/>
        </w:rPr>
        <w:t xml:space="preserve">Biorąc pod uwagę trudności w zakresie organizacji praktyk zawodowych, w celu umożliwienia studentom ukończenia studiów, zasadnym </w:t>
      </w:r>
      <w:r w:rsidR="002E264F" w:rsidRPr="0087437A">
        <w:t>jest</w:t>
      </w:r>
      <w:r w:rsidR="002E264F" w:rsidRPr="0087437A">
        <w:rPr>
          <w:lang w:eastAsia="en-US"/>
        </w:rPr>
        <w:t xml:space="preserve"> stworzenie mechanizmu pozwalającego uczelniom na określenie niższego wymiaru tych praktyk na studiach, w trakcie których zostało ograniczone lub zawieszone funkcjonowanie uczelni.</w:t>
      </w:r>
    </w:p>
    <w:p w14:paraId="17A44DCC" w14:textId="77777777" w:rsidR="002E264F" w:rsidRPr="0087437A" w:rsidRDefault="002E264F" w:rsidP="0043695F">
      <w:pPr>
        <w:pStyle w:val="NIEARTTEKSTtekstnieartykuowanynppodstprawnarozplubpreambua"/>
        <w:ind w:firstLine="0"/>
        <w:rPr>
          <w:lang w:eastAsia="en-US"/>
        </w:rPr>
      </w:pPr>
      <w:r w:rsidRPr="0087437A">
        <w:t>W związku z powyższym, z</w:t>
      </w:r>
      <w:r w:rsidRPr="0087437A">
        <w:rPr>
          <w:lang w:eastAsia="en-US"/>
        </w:rPr>
        <w:t xml:space="preserve">godnie z projektowanym przepisem art. 51b ust. 6 </w:t>
      </w:r>
      <w:r w:rsidR="00AA23E0" w:rsidRPr="0087437A">
        <w:rPr>
          <w:lang w:eastAsia="en-US"/>
        </w:rPr>
        <w:t>ustawy z dnia 20 lipca 2020 r. – Prawo o szkolnictwie wyższym i nauce (Dz. U. z 2020 r. poz. 85, z późn. zm., dalej jako: „pswn”)</w:t>
      </w:r>
      <w:r w:rsidRPr="0087437A">
        <w:t>,</w:t>
      </w:r>
      <w:r w:rsidRPr="0087437A">
        <w:rPr>
          <w:lang w:eastAsia="en-US"/>
        </w:rPr>
        <w:t xml:space="preserve"> w odniesieniu do studiów o profilu praktycznym nie będzie obowiązywał minimalny wymiar praktyk zawodowych wynoszący 6 miesięcy – w przypadku studiów pierwszego stopnia i jednolitych studiów magisterskich oraz 3 miesiące – w przypadku studiów drugiego stopnia. Uczelnie będą mogły indywidualnie określić wymiar praktyk zawodowych dla poszczególnych studiów o profilu praktycznym, dokonując stosownej zmiany w programie studiów. Senat będzie obowiązany ustalić wymiar praktyk w sposób gwarantujący z jednej strony zapewnienie wysokiej jakości kształcenia, a z drugiej – umożliwienie osiągnięcia efektów uczenia się określonych w programie studiów. Efekty uczenia się oraz punkty ECTS przypisane pierwotnie w programie studiów do praktyk zawodowych będą uzyskiwane w ramach innych zajęć określonych przez senat.</w:t>
      </w:r>
      <w:r w:rsidRPr="0087437A">
        <w:t xml:space="preserve"> </w:t>
      </w:r>
      <w:r w:rsidRPr="0087437A">
        <w:rPr>
          <w:lang w:eastAsia="en-US"/>
        </w:rPr>
        <w:t>Z uwagi na brzmienie art. 67 ust. 6 pswn projektowane rozwiązanie nie będzie miało zastosowania do studiów przygotowujących do wykonywania zawodów, o których mowa w art. 68 ust. 1 tej ustawy.</w:t>
      </w:r>
    </w:p>
    <w:p w14:paraId="154950CC" w14:textId="77777777" w:rsidR="002E264F" w:rsidRPr="0087437A" w:rsidRDefault="002E264F" w:rsidP="0043695F">
      <w:pPr>
        <w:pStyle w:val="NIEARTTEKSTtekstnieartykuowanynppodstprawnarozplubpreambua"/>
        <w:ind w:firstLine="0"/>
      </w:pPr>
      <w:r w:rsidRPr="0087437A">
        <w:rPr>
          <w:lang w:eastAsia="en-US"/>
        </w:rPr>
        <w:t xml:space="preserve">W celu zapewnienia pełnej spójności między przepisami dotyczącymi funkcjonowania uczelni oraz kształcenia doktorantów w sytuacji wystąpienia nadzwyczajnych okoliczności zagrażających życiu lub zdrowiu, proponuje się doprecyzowanie przepisów art. 198a i art. 198b pswn przez wskazanie, że w przypadkach uzasadnionych nadzwyczajnymi okolicznościami zagrażającymi życiu lub zdrowiu doktorantów minister </w:t>
      </w:r>
      <w:r w:rsidRPr="0087437A">
        <w:t xml:space="preserve">właściwy do spraw szkolnictwa wyższego i nauki, zwany dalej „ministrem”, </w:t>
      </w:r>
      <w:r w:rsidRPr="0087437A">
        <w:rPr>
          <w:lang w:eastAsia="en-US"/>
        </w:rPr>
        <w:t>może czasowo ograniczyć lub czasowo zawiesić kształcenie doktorantów w podmiotach prowadzących to kształcenie. Ustawa pswn nie wskazuje konkretnych rozwiązań w zakresie czasowego zawieszania kształcenia doktorantów na podstawie art. 198a i na poziomie przepisów wykonawczych może ono polegać np. na rezygnacji z kształcenia realizowanego w formie stacjonarnych zajęć na rzecz kształcenia tzw. hybrydowego bądź kształcenia zdalnego. Zasadne jest jednak, aby na poziomie ustawy bardziej klarownie odróżnić formułę zawieszenia kształcenia od jego ograniczenia i przez to zapewnić pełną spójność regulacji zawartych w art. 51a oraz w art. 198a pswn, a w konsekwencji także w art. 198b pswn, który przewiduje rozwiązania zachowujące ważność legitymacji doktorantów w przypadku zawieszenia lub ograniczenia kształcenia na podstawie art. 198a pswn.</w:t>
      </w:r>
      <w:r w:rsidRPr="0087437A">
        <w:t xml:space="preserve"> Czasowe utrzymanie w mocy przepisów wykonawczych wydanych na podstawie art. 51a i art. 198a pswn, mimo braku zmiany treści przepisu art. 51a pswn, jest konieczne z uwagi na fakt, że obowiązujące rozporządzenie Ministra Nauki i Szkolnictwa Wyższego z dnia 16 października 2020 r. w sprawie czasowego ograniczenia funkcjonowania niektórych podmiotów systemu szkolnictwa wyższego i nauki w związku z zapobieganiem, przeciwdziałaniem i zwalczaniem COVID-19 (Dz. U. poz. 1835) zostało wydane na podstawie obu powyższych regulacji upoważniających. Proponuje się, aby dotychczasowe przepisy wykonawcze zachowały moc do dnia wejścia w życie przepisów wykonawczych, nie dłużej jednak niż przez miesiąc.</w:t>
      </w:r>
      <w:r w:rsidR="00425CB2">
        <w:t xml:space="preserve"> </w:t>
      </w:r>
    </w:p>
    <w:p w14:paraId="38AD52BD" w14:textId="77777777" w:rsidR="008328E8" w:rsidRPr="0087437A" w:rsidRDefault="008328E8" w:rsidP="0043695F">
      <w:pPr>
        <w:pStyle w:val="ARTartustawynprozporzdzenia"/>
        <w:ind w:firstLine="0"/>
        <w:rPr>
          <w:lang w:eastAsia="en-US"/>
        </w:rPr>
      </w:pPr>
    </w:p>
    <w:p w14:paraId="6C4BF213" w14:textId="77777777" w:rsidR="008328E8" w:rsidRPr="0087437A" w:rsidRDefault="008B35F1" w:rsidP="008328E8">
      <w:pPr>
        <w:widowControl w:val="0"/>
        <w:autoSpaceDE w:val="0"/>
        <w:autoSpaceDN w:val="0"/>
        <w:adjustRightInd w:val="0"/>
        <w:spacing w:after="0" w:line="360" w:lineRule="auto"/>
        <w:jc w:val="both"/>
        <w:rPr>
          <w:rFonts w:ascii="Times New Roman" w:eastAsia="Times New Roman" w:hAnsi="Times New Roman" w:cs="Times New Roman"/>
          <w:sz w:val="24"/>
          <w:szCs w:val="24"/>
          <w:lang w:eastAsia="pl-PL"/>
        </w:rPr>
      </w:pPr>
      <w:r w:rsidRPr="0087437A">
        <w:rPr>
          <w:rFonts w:ascii="Times New Roman" w:eastAsia="Times New Roman" w:hAnsi="Times New Roman" w:cs="Times New Roman"/>
          <w:sz w:val="24"/>
          <w:szCs w:val="24"/>
          <w:lang w:eastAsia="pl-PL"/>
        </w:rPr>
        <w:t>W art. 8 projektowanej ustawy p</w:t>
      </w:r>
      <w:r w:rsidR="008328E8" w:rsidRPr="0087437A">
        <w:rPr>
          <w:rFonts w:ascii="Times New Roman" w:eastAsia="Times New Roman" w:hAnsi="Times New Roman" w:cs="Times New Roman"/>
          <w:sz w:val="24"/>
          <w:szCs w:val="24"/>
          <w:lang w:eastAsia="pl-PL"/>
        </w:rPr>
        <w:t>roponuje się uchylenie pkt 2, 4 i 7 w art. 30 ustawy o zasadach zarządzania mieniem państwowym, które wprowadzają zmiany odpowiednio w art. 7, art. 9b i art. 32 ustawy. Wejście w życie przedmiotowych zmian w ustawie z dnia 16 grudnia 2016 r. o zasadach zarządzania mieniem państwowym (Dz. U. z 2020 r. poz. 735) jest zbędne – prawidłowe brzmienie przedmiotowych przepisów zostało wprowadzone ustawą z dnia 23 stycznia 2020 r. o zmianie ustawy o działach administracji rządowej oraz niektórych innych ustaw (art. 88 tej ustawy).</w:t>
      </w:r>
    </w:p>
    <w:p w14:paraId="3892C5CE" w14:textId="77777777" w:rsidR="008328E8" w:rsidRPr="0087437A" w:rsidRDefault="008328E8" w:rsidP="0043695F">
      <w:pPr>
        <w:pStyle w:val="ARTartustawynprozporzdzenia"/>
        <w:ind w:firstLine="0"/>
        <w:rPr>
          <w:lang w:eastAsia="en-US"/>
        </w:rPr>
      </w:pPr>
    </w:p>
    <w:p w14:paraId="71BB2FE6" w14:textId="77777777" w:rsidR="002E264F" w:rsidRPr="0087437A" w:rsidRDefault="002E264F" w:rsidP="0043695F">
      <w:pPr>
        <w:pStyle w:val="NIEARTTEKSTtekstnieartykuowanynppodstprawnarozplubpreambua"/>
        <w:ind w:firstLine="0"/>
        <w:rPr>
          <w:lang w:eastAsia="en-US"/>
        </w:rPr>
      </w:pPr>
      <w:r w:rsidRPr="0087437A">
        <w:rPr>
          <w:lang w:eastAsia="en-US"/>
        </w:rPr>
        <w:t xml:space="preserve">Proponowane </w:t>
      </w:r>
      <w:r w:rsidR="00505961" w:rsidRPr="0087437A">
        <w:rPr>
          <w:lang w:eastAsia="en-US"/>
        </w:rPr>
        <w:t xml:space="preserve">w art. 9 niniejszej ustawy </w:t>
      </w:r>
      <w:r w:rsidRPr="0087437A">
        <w:rPr>
          <w:lang w:eastAsia="en-US"/>
        </w:rPr>
        <w:t xml:space="preserve">zmiany w ustawie z dnia 16 kwietnia 2020 r. o szczególnych instrumentach wsparcia w związku z rozprzestrzenianiem się wirusa SARS-CoV-2 (Dz. U. poz. 695, z późn. zm.), zwanej dalej „ustawą”, mają na celu wprowadzenie przepisów epizodycznych zawierających szczególne rozwiązania dotyczące funkcjonowania uczelni oraz podmiotów prowadzących kształcenie doktorantów </w:t>
      </w:r>
      <w:r w:rsidRPr="0087437A">
        <w:t xml:space="preserve">w roku 2021 oraz </w:t>
      </w:r>
      <w:r w:rsidRPr="0087437A">
        <w:rPr>
          <w:lang w:eastAsia="en-US"/>
        </w:rPr>
        <w:t>w roku akademickim 2020/2021 w warunkach trwającej epidemii wirusa SARS-CoV-2.</w:t>
      </w:r>
    </w:p>
    <w:p w14:paraId="35297002" w14:textId="77777777" w:rsidR="002E264F" w:rsidRPr="0087437A" w:rsidRDefault="002E264F" w:rsidP="0043695F">
      <w:pPr>
        <w:pStyle w:val="NIEARTTEKSTtekstnieartykuowanynppodstprawnarozplubpreambua"/>
        <w:ind w:firstLine="0"/>
        <w:rPr>
          <w:lang w:eastAsia="en-US"/>
        </w:rPr>
      </w:pPr>
      <w:r w:rsidRPr="0087437A">
        <w:rPr>
          <w:lang w:eastAsia="en-US"/>
        </w:rPr>
        <w:t xml:space="preserve">Dodawany w art. 79 ustawy ust. 5aa umożliwi uczelniom dokonanie zmian w uchwałach rekrutacyjnych na studia rozpoczynające się w drugim semestrze roku akademickiego 2020/2021 oraz w roku akademickim 2021/2022. Natomiast dodawany ust. 5ba ma na celu umożliwienie uczelniom publicznym dokonywania zmian zasad przyjmowania </w:t>
      </w:r>
      <w:r w:rsidRPr="0087437A">
        <w:t xml:space="preserve">laureatów oraz finalistów olimpiad stopnia centralnego, a także laureatów konkursów międzynarodowych oraz ogólnopolskich </w:t>
      </w:r>
      <w:r w:rsidRPr="0087437A">
        <w:rPr>
          <w:lang w:eastAsia="en-US"/>
        </w:rPr>
        <w:t>na studia rozpoczynające się w drugim semestrze roku akademickiego 2020/2021 oraz w roku akademickim 2021/2022. Jednocześnie w ust. 5d przewiduje się umożliwienie absolwentom studiów pierwszego stopnia przedłożenia zaświadczenia o ukończeniu studiów zamiast dyplomu ukończenia studiów</w:t>
      </w:r>
      <w:r w:rsidRPr="0087437A">
        <w:t xml:space="preserve"> w procesie rekrutacji na studia rozpoczynające się w roku akademickim 2021/2022</w:t>
      </w:r>
      <w:r w:rsidRPr="0087437A">
        <w:rPr>
          <w:lang w:eastAsia="en-US"/>
        </w:rPr>
        <w:t>. Propozycje powyższe przyczynią się do ułatwienia przeprowadzenia procesu rekrutacji w warunkach epidemii.</w:t>
      </w:r>
    </w:p>
    <w:p w14:paraId="11BAD479" w14:textId="77777777" w:rsidR="002E264F" w:rsidRPr="0087437A" w:rsidRDefault="002E264F" w:rsidP="0043695F">
      <w:pPr>
        <w:pStyle w:val="NIEARTTEKSTtekstnieartykuowanynppodstprawnarozplubpreambua"/>
        <w:ind w:firstLine="0"/>
        <w:rPr>
          <w:lang w:eastAsia="en-US"/>
        </w:rPr>
      </w:pPr>
      <w:r w:rsidRPr="0087437A">
        <w:rPr>
          <w:lang w:eastAsia="en-US"/>
        </w:rPr>
        <w:t>Dodawany w art. 79 ustawy ust. 6a pozwoli na uproszczenie procedury wprowadzania zmian w regulaminie studiów, określonej w art. 75 ustawy z dnia 20 lipca 2018 r. – Prawo o szkolnictwie wyższym i nauce (Dz. U. z 2020 r. poz. 85, z późn. zm.), zwanej dalej „pswn”.</w:t>
      </w:r>
    </w:p>
    <w:p w14:paraId="4775CDF8" w14:textId="77777777" w:rsidR="002E264F" w:rsidRPr="0087437A" w:rsidRDefault="002E264F" w:rsidP="0043695F">
      <w:pPr>
        <w:pStyle w:val="NIEARTTEKSTtekstnieartykuowanynppodstprawnarozplubpreambua"/>
        <w:ind w:firstLine="0"/>
        <w:rPr>
          <w:lang w:eastAsia="en-US"/>
        </w:rPr>
      </w:pPr>
      <w:r w:rsidRPr="0087437A">
        <w:rPr>
          <w:lang w:eastAsia="en-US"/>
        </w:rPr>
        <w:t>Wyłączone zostanie stosowanie przepisów art. 75 ust. 2 i 4 pswn, określających wymóg uchwalenia zmian w regulaminie studiów co najmniej na 5 miesięcy przed rozpoczęciem roku akademickiego oraz wymóg ich wejścia w życie z początkiem roku akademickiego. Ponadto termin uzgodnienia zmian w regulaminie studiów z samorządem studenckim, określony w art. 75 ust. 3 pswn na 3 miesiące od dnia uchwalenia regulaminu studiów przez senat uczelni, zostanie skrócony do 10 dni roboczych. W przypadku braku uzgodnienia zmian w regulaminie studiów z samorządem studenckim wejście w życie tych zmian będzie możliwe na mocy ponownej uchwały senatu podjętej zwykłą większością głosów jego statutowego składu, zamiast większości wynoszącej 2/3 głosów jego statutowego składu przewidzianej w art. 75 ust. 3 pswn.</w:t>
      </w:r>
    </w:p>
    <w:p w14:paraId="0D6B7CC9" w14:textId="77777777" w:rsidR="002E264F" w:rsidRPr="0087437A" w:rsidRDefault="002E264F" w:rsidP="0043695F">
      <w:pPr>
        <w:pStyle w:val="NIEARTTEKSTtekstnieartykuowanynppodstprawnarozplubpreambua"/>
        <w:ind w:firstLine="0"/>
        <w:rPr>
          <w:lang w:eastAsia="en-US"/>
        </w:rPr>
      </w:pPr>
      <w:r w:rsidRPr="0087437A">
        <w:rPr>
          <w:lang w:eastAsia="en-US"/>
        </w:rPr>
        <w:t>Z uwagi na szczególny tryb wprowadzania zmian w regulaminie studiów będą one mogły dotyczyć wyłącznie roku akademickiego 2020/2021 i będą obowiązywały nie dłużej niż do dnia 30 września 2021 r.</w:t>
      </w:r>
    </w:p>
    <w:p w14:paraId="6F9EEEC1" w14:textId="77777777" w:rsidR="002E264F" w:rsidRPr="0087437A" w:rsidRDefault="002E264F" w:rsidP="0043695F">
      <w:pPr>
        <w:pStyle w:val="NIEARTTEKSTtekstnieartykuowanynppodstprawnarozplubpreambua"/>
        <w:ind w:firstLine="0"/>
        <w:rPr>
          <w:lang w:eastAsia="en-US"/>
        </w:rPr>
      </w:pPr>
      <w:r w:rsidRPr="0087437A">
        <w:rPr>
          <w:lang w:eastAsia="en-US"/>
        </w:rPr>
        <w:t>Dodawany w art. 79 ustawy ust. 7a umożliwi rektorom zmianę organizacji roku akademickiego 2020/2021, określoną w aktach wewnętrznych uczelni.</w:t>
      </w:r>
    </w:p>
    <w:p w14:paraId="3F3A43BF" w14:textId="77777777" w:rsidR="002E264F" w:rsidRPr="0087437A" w:rsidRDefault="002E264F" w:rsidP="0043695F">
      <w:pPr>
        <w:pStyle w:val="NIEARTTEKSTtekstnieartykuowanynppodstprawnarozplubpreambua"/>
        <w:ind w:firstLine="0"/>
        <w:rPr>
          <w:lang w:eastAsia="en-US"/>
        </w:rPr>
      </w:pPr>
      <w:r w:rsidRPr="0087437A">
        <w:rPr>
          <w:lang w:eastAsia="en-US"/>
        </w:rPr>
        <w:t>Zgodnie z art. 66 pswn rok akademicki trwa od dnia 1 października do dnia 30 września i dzieli się na 2 semestry, a statut uczelni może przewidywać szczegółowy podział roku akademickiego w ramach semestrów. W związku z trwającą sytuacją epidemiczną może zajść konieczność innego zorganizowania roku akademickiego w ramach semestrów (np. przedłużenia czasu trwania jednego semestru i skrócenia drugiego, skrócenia lub opóźnienia przerw międzysemestralnych).</w:t>
      </w:r>
    </w:p>
    <w:p w14:paraId="3945C3F0" w14:textId="77777777" w:rsidR="002E264F" w:rsidRPr="0087437A" w:rsidRDefault="002E264F" w:rsidP="0043695F">
      <w:pPr>
        <w:pStyle w:val="NIEARTTEKSTtekstnieartykuowanynppodstprawnarozplubpreambua"/>
        <w:ind w:firstLine="0"/>
        <w:rPr>
          <w:lang w:eastAsia="en-US"/>
        </w:rPr>
      </w:pPr>
      <w:r w:rsidRPr="0087437A">
        <w:rPr>
          <w:lang w:eastAsia="en-US"/>
        </w:rPr>
        <w:t>Należy wskazać, że analogiczne rozwiązania epizodyczne obowiązywały w odniesieniu do roku akademickiego 2019/2020, z tym że termin uzgodnienia zmian w regulaminie studiów z samorządem studenckim</w:t>
      </w:r>
      <w:r w:rsidRPr="0087437A">
        <w:t xml:space="preserve"> </w:t>
      </w:r>
      <w:r w:rsidRPr="0087437A">
        <w:rPr>
          <w:lang w:eastAsia="en-US"/>
        </w:rPr>
        <w:t>wynosił 3 dni robocze.</w:t>
      </w:r>
    </w:p>
    <w:p w14:paraId="447AA7F4" w14:textId="77777777" w:rsidR="002E264F" w:rsidRPr="0087437A" w:rsidRDefault="002E264F" w:rsidP="0043695F">
      <w:pPr>
        <w:pStyle w:val="NIEARTTEKSTtekstnieartykuowanynppodstprawnarozplubpreambua"/>
        <w:ind w:firstLine="0"/>
        <w:rPr>
          <w:lang w:eastAsia="en-US"/>
        </w:rPr>
      </w:pPr>
      <w:r w:rsidRPr="0087437A">
        <w:rPr>
          <w:lang w:eastAsia="en-US"/>
        </w:rPr>
        <w:t>Projekt przewiduje ponadto zmianę art. 79 ust. 8a ustawy polegającą na umożliwieniu dokonania zmiany zasad rekrutacji do szkół doktorskich dla kształcenia rozpoczynającego się również w roku 2021 (obecnie przepis obejmuje tylko rok 2020).</w:t>
      </w:r>
    </w:p>
    <w:p w14:paraId="308A0658" w14:textId="77777777" w:rsidR="002E264F" w:rsidRPr="0087437A" w:rsidRDefault="002E264F" w:rsidP="0043695F">
      <w:pPr>
        <w:pStyle w:val="NIEARTTEKSTtekstnieartykuowanynppodstprawnarozplubpreambua"/>
        <w:ind w:firstLine="0"/>
        <w:rPr>
          <w:lang w:eastAsia="en-US"/>
        </w:rPr>
      </w:pPr>
      <w:r w:rsidRPr="0087437A">
        <w:rPr>
          <w:lang w:eastAsia="en-US"/>
        </w:rPr>
        <w:t>Dodawany w art. 79 ustawy ust. 8b umożliwi podmiotowi prowadzącemu kształcenie doktorantów dokonanie</w:t>
      </w:r>
      <w:r w:rsidRPr="0087437A">
        <w:t>,</w:t>
      </w:r>
      <w:r w:rsidRPr="0087437A">
        <w:rPr>
          <w:lang w:eastAsia="en-US"/>
        </w:rPr>
        <w:t xml:space="preserve"> </w:t>
      </w:r>
      <w:r w:rsidRPr="0087437A">
        <w:t xml:space="preserve">w terminie do dnia 30 września 2021 r., </w:t>
      </w:r>
      <w:r w:rsidRPr="0087437A">
        <w:rPr>
          <w:lang w:eastAsia="en-US"/>
        </w:rPr>
        <w:t>zmiany organizacji kształcenia doktorantów określonej w aktach wewnętrznych tego podmiotu. Również to rozwiązanie jest analogiczne do regulacji dotyczących organizacji kształcenia doktorantów, obowiązującej na mocy art. 79 ust. 8 ustawy, które dawały możliwość zmiany organizacji kształcenia doktorantów do dnia 30 września 2020 r.</w:t>
      </w:r>
    </w:p>
    <w:p w14:paraId="3A223B7B" w14:textId="77777777" w:rsidR="00320C84" w:rsidRPr="0087437A" w:rsidRDefault="00320C84" w:rsidP="0043695F">
      <w:pPr>
        <w:spacing w:after="0" w:line="360" w:lineRule="auto"/>
        <w:jc w:val="both"/>
        <w:rPr>
          <w:rFonts w:ascii="Times New Roman" w:hAnsi="Times New Roman" w:cs="Times New Roman"/>
          <w:sz w:val="24"/>
          <w:szCs w:val="24"/>
        </w:rPr>
      </w:pPr>
    </w:p>
    <w:p w14:paraId="4E50AB89" w14:textId="77777777" w:rsidR="00746149" w:rsidRPr="0087437A" w:rsidRDefault="00746149" w:rsidP="00746149">
      <w:pPr>
        <w:suppressAutoHyphens/>
        <w:autoSpaceDE w:val="0"/>
        <w:autoSpaceDN w:val="0"/>
        <w:adjustRightInd w:val="0"/>
        <w:spacing w:before="120" w:line="360" w:lineRule="auto"/>
        <w:ind w:firstLine="708"/>
        <w:jc w:val="both"/>
        <w:rPr>
          <w:rFonts w:ascii="Times New Roman" w:hAnsi="Times New Roman" w:cs="Times New Roman"/>
          <w:sz w:val="24"/>
          <w:szCs w:val="24"/>
        </w:rPr>
      </w:pPr>
      <w:r w:rsidRPr="0087437A">
        <w:rPr>
          <w:rFonts w:ascii="Times New Roman" w:hAnsi="Times New Roman" w:cs="Times New Roman"/>
          <w:bCs/>
          <w:sz w:val="24"/>
          <w:szCs w:val="24"/>
        </w:rPr>
        <w:t>W art. 10 niniejszej ustawy proponuje się w</w:t>
      </w:r>
      <w:r w:rsidRPr="0087437A">
        <w:rPr>
          <w:rFonts w:ascii="Times New Roman" w:hAnsi="Times New Roman" w:cs="Times New Roman"/>
          <w:sz w:val="24"/>
          <w:szCs w:val="24"/>
        </w:rPr>
        <w:t>ydłużenie terminu obowiązywania dotychczasowych przepisów wykonawczych wydanych</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 xml:space="preserve">na podstawie </w:t>
      </w:r>
      <w:hyperlink r:id="rId8" w:history="1">
        <w:r w:rsidRPr="0087437A">
          <w:rPr>
            <w:rStyle w:val="Hipercze"/>
            <w:rFonts w:ascii="Times New Roman" w:hAnsi="Times New Roman" w:cs="Times New Roman"/>
            <w:color w:val="auto"/>
            <w:sz w:val="24"/>
            <w:szCs w:val="24"/>
          </w:rPr>
          <w:t>art. 26c ust. 6</w:t>
        </w:r>
      </w:hyperlink>
      <w:r w:rsidRPr="0087437A">
        <w:rPr>
          <w:rFonts w:ascii="Times New Roman" w:hAnsi="Times New Roman" w:cs="Times New Roman"/>
          <w:sz w:val="24"/>
          <w:szCs w:val="24"/>
        </w:rPr>
        <w:t xml:space="preserve"> i </w:t>
      </w:r>
      <w:hyperlink r:id="rId9" w:history="1">
        <w:r w:rsidRPr="0087437A">
          <w:rPr>
            <w:rStyle w:val="Hipercze"/>
            <w:rFonts w:ascii="Times New Roman" w:hAnsi="Times New Roman" w:cs="Times New Roman"/>
            <w:color w:val="auto"/>
            <w:sz w:val="24"/>
            <w:szCs w:val="24"/>
          </w:rPr>
          <w:t>art. 49 ust. 2</w:t>
        </w:r>
      </w:hyperlink>
      <w:r w:rsidRPr="0087437A">
        <w:rPr>
          <w:rFonts w:ascii="Times New Roman" w:hAnsi="Times New Roman" w:cs="Times New Roman"/>
          <w:sz w:val="24"/>
          <w:szCs w:val="24"/>
        </w:rPr>
        <w:t xml:space="preserve"> ustawy o rehabilitacji zawodowej i społecznej oraz zatrudnianiu osób niepełnosprawnych wynika z potrzeby komplementarnego dostosowania formularzy (będących załącznikami w aktach wykonawczych) dla osób niepełnosprawnych, tak aby spełniały najwyższe standardy dostępności.</w:t>
      </w:r>
    </w:p>
    <w:p w14:paraId="07D1760C" w14:textId="77777777" w:rsidR="00746149" w:rsidRPr="0087437A" w:rsidRDefault="00746149" w:rsidP="0043695F">
      <w:pPr>
        <w:spacing w:after="0" w:line="360" w:lineRule="auto"/>
        <w:jc w:val="both"/>
        <w:rPr>
          <w:rFonts w:ascii="Times New Roman" w:hAnsi="Times New Roman" w:cs="Times New Roman"/>
          <w:sz w:val="24"/>
          <w:szCs w:val="24"/>
        </w:rPr>
      </w:pPr>
    </w:p>
    <w:p w14:paraId="09AA6495" w14:textId="77777777" w:rsidR="00722092" w:rsidRPr="0087437A" w:rsidRDefault="00722092" w:rsidP="00722092">
      <w:pPr>
        <w:spacing w:after="0" w:line="360" w:lineRule="auto"/>
        <w:jc w:val="both"/>
        <w:rPr>
          <w:rFonts w:ascii="Times New Roman" w:hAnsi="Times New Roman" w:cs="Times New Roman"/>
          <w:b/>
          <w:sz w:val="24"/>
          <w:szCs w:val="24"/>
        </w:rPr>
      </w:pPr>
      <w:r w:rsidRPr="0087437A">
        <w:rPr>
          <w:rFonts w:ascii="Times New Roman" w:hAnsi="Times New Roman" w:cs="Times New Roman"/>
          <w:sz w:val="24"/>
          <w:szCs w:val="24"/>
        </w:rPr>
        <w:t xml:space="preserve">Proponowana </w:t>
      </w:r>
      <w:r w:rsidR="002A3A40" w:rsidRPr="0087437A">
        <w:rPr>
          <w:rFonts w:ascii="Times New Roman" w:hAnsi="Times New Roman" w:cs="Times New Roman"/>
          <w:sz w:val="24"/>
          <w:szCs w:val="24"/>
        </w:rPr>
        <w:t xml:space="preserve">w art. 11 niniejszej ustawy </w:t>
      </w:r>
      <w:r w:rsidRPr="0087437A">
        <w:rPr>
          <w:rFonts w:ascii="Times New Roman" w:hAnsi="Times New Roman" w:cs="Times New Roman"/>
          <w:sz w:val="24"/>
          <w:szCs w:val="24"/>
        </w:rPr>
        <w:t>zmiana w ustawie z dnia 15 lipca 2020 r. o Polskim Bonie Turystycznym zakłada, możliwość płatności bonem za imprezy turystyczne jednodniowe, które nie obejmują noclegu. Zmiana ta pozwoli na zwiększenie możliwości wykorzystania polskiego bonu turystycznego. Należy jednak wskazać, iż w przypadku niewypłacalności organizatora turystyki zabezpieczenie nie obejmuje imprez turystycznych, o których mowa w art. 3 pkt 3 ustawy z dnia 24 listopada 2017 r. o imprezach turystycznych i powiązanych usługach turystycznych, jeśli nie obejmują noclegu i ta zasada nie ulega zmianie. Jednocześnie celem eliminacji szarej strefy płatność za pomocą bonu za imprezy turystyczne jednodniowe będą mogły przyjmować jedynie organizacje pożytku publicznego i organizatorzy turystyki.</w:t>
      </w:r>
    </w:p>
    <w:p w14:paraId="68E160C6" w14:textId="77777777" w:rsidR="00722092" w:rsidRPr="0087437A" w:rsidRDefault="00722092" w:rsidP="00722092">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W związku ze zmianą zakładającą możliwość płatności bonem za imprezy turystyczne jednodniowe, które nie obejmują noclegu, a za które płatność mogliby przyjmować organizatorzy turystyki wskazanym jest zdefiniowanie pojęcia organizatora turystyki. Propozycja ta będzie dawała możliwość realizacji tych usług wyłącznie w legalnie działającej sferze. Zamiana jest postulatem branży turystycznej.</w:t>
      </w:r>
    </w:p>
    <w:p w14:paraId="294A720F" w14:textId="77777777" w:rsidR="00722092" w:rsidRPr="0087437A" w:rsidRDefault="00722092" w:rsidP="00722092">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Zmiana art. 8 ust. 2 ustawy o Polskim Bonie Turystycznym ma na celu wprowadzenie narzędzia umożliwiającego osobom korzystającym z bazy danych podmiotów uprawnionych do przyjmowania płatności bonem, odszukanie lokalizacji obiektów, w których jest świadczona usługa hotelarska. W dotychczasowym zakresie danych w bazie ujawniane były dane miejsca prowadzenia działalności podmiotu, a te w praktyce mogą się różnić od miejsca świadczenia usług hotelarskich. Obecnie system teleinformatyczny do obsługi bazy danych umożliwia już gromadzenie tych danych.</w:t>
      </w:r>
    </w:p>
    <w:p w14:paraId="28067308" w14:textId="77777777" w:rsidR="00722092" w:rsidRPr="0087437A" w:rsidRDefault="00722092" w:rsidP="00722092">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Nowelizacja art. 11 ust. 3 ustawy o Polskim Bonie Turystycznym ma na celu umożliwienie Polskiej Organizacji Turystycznej wyjaśnienia z udziałem podmiotu wpisanego na listę uprawnionych do przyjmowania płatności bonem, wątpliwości związanych ze spełnieniem przesłanki z art. 8 ust. 4 pkt 2 lit. b ustawy o Polskim Bonie Turystycznym. </w:t>
      </w:r>
    </w:p>
    <w:p w14:paraId="1A77BB9F" w14:textId="77777777" w:rsidR="00722092" w:rsidRPr="0087437A" w:rsidRDefault="00722092" w:rsidP="00722092">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Dodanie w art. 23 ust. 5 ma na celu wprowadzenie narzędzia do dokonywania współpracy Polskiej Organizacji Turystycznej z organami administracji publicznej.</w:t>
      </w:r>
    </w:p>
    <w:p w14:paraId="7E6581B3" w14:textId="77777777" w:rsidR="005F7591" w:rsidRPr="0087437A" w:rsidRDefault="005F7591" w:rsidP="00722092">
      <w:pPr>
        <w:spacing w:after="0" w:line="360" w:lineRule="auto"/>
        <w:jc w:val="both"/>
        <w:rPr>
          <w:rFonts w:ascii="Times New Roman" w:hAnsi="Times New Roman" w:cs="Times New Roman"/>
          <w:sz w:val="24"/>
          <w:szCs w:val="24"/>
        </w:rPr>
      </w:pPr>
    </w:p>
    <w:p w14:paraId="172DA00C" w14:textId="77777777" w:rsidR="005F7591" w:rsidRPr="0087437A" w:rsidRDefault="005F7591" w:rsidP="00722092">
      <w:pPr>
        <w:spacing w:after="0" w:line="360" w:lineRule="auto"/>
        <w:jc w:val="both"/>
        <w:rPr>
          <w:rFonts w:ascii="Times New Roman" w:hAnsi="Times New Roman" w:cs="Times New Roman"/>
          <w:b/>
          <w:sz w:val="24"/>
          <w:szCs w:val="24"/>
        </w:rPr>
      </w:pPr>
      <w:r w:rsidRPr="0087437A">
        <w:rPr>
          <w:rFonts w:ascii="Times New Roman" w:hAnsi="Times New Roman" w:cs="Times New Roman"/>
          <w:b/>
          <w:sz w:val="24"/>
          <w:szCs w:val="24"/>
        </w:rPr>
        <w:t>III. Uzasad</w:t>
      </w:r>
      <w:r w:rsidR="00797A67">
        <w:rPr>
          <w:rFonts w:ascii="Times New Roman" w:hAnsi="Times New Roman" w:cs="Times New Roman"/>
          <w:b/>
          <w:sz w:val="24"/>
          <w:szCs w:val="24"/>
        </w:rPr>
        <w:t xml:space="preserve">nienie przepisów przejściowych </w:t>
      </w:r>
      <w:r w:rsidRPr="0087437A">
        <w:rPr>
          <w:rFonts w:ascii="Times New Roman" w:hAnsi="Times New Roman" w:cs="Times New Roman"/>
          <w:b/>
          <w:sz w:val="24"/>
          <w:szCs w:val="24"/>
        </w:rPr>
        <w:t>i przepisu o wejściu w życie</w:t>
      </w:r>
    </w:p>
    <w:p w14:paraId="4C61B51D" w14:textId="77777777" w:rsidR="00C67280" w:rsidRPr="0087437A" w:rsidRDefault="00C67280" w:rsidP="00C67280">
      <w:pPr>
        <w:suppressAutoHyphens/>
        <w:autoSpaceDE w:val="0"/>
        <w:autoSpaceDN w:val="0"/>
        <w:adjustRightInd w:val="0"/>
        <w:spacing w:before="120" w:line="360" w:lineRule="auto"/>
        <w:jc w:val="both"/>
        <w:rPr>
          <w:rFonts w:ascii="Times New Roman" w:hAnsi="Times New Roman" w:cs="Times New Roman"/>
          <w:bCs/>
          <w:sz w:val="24"/>
          <w:szCs w:val="24"/>
        </w:rPr>
      </w:pPr>
    </w:p>
    <w:p w14:paraId="5B6E01AF" w14:textId="77777777" w:rsidR="005F7591" w:rsidRPr="0087437A" w:rsidRDefault="00C67280" w:rsidP="00C67280">
      <w:pPr>
        <w:suppressAutoHyphens/>
        <w:autoSpaceDE w:val="0"/>
        <w:autoSpaceDN w:val="0"/>
        <w:adjustRightInd w:val="0"/>
        <w:spacing w:before="120" w:line="360" w:lineRule="auto"/>
        <w:jc w:val="both"/>
        <w:rPr>
          <w:rFonts w:ascii="Times New Roman" w:hAnsi="Times New Roman" w:cs="Times New Roman"/>
          <w:bCs/>
          <w:sz w:val="24"/>
          <w:szCs w:val="24"/>
        </w:rPr>
      </w:pPr>
      <w:r w:rsidRPr="0087437A">
        <w:rPr>
          <w:rFonts w:ascii="Times New Roman" w:hAnsi="Times New Roman" w:cs="Times New Roman"/>
          <w:bCs/>
          <w:sz w:val="24"/>
          <w:szCs w:val="24"/>
        </w:rPr>
        <w:t>W art. 12 p</w:t>
      </w:r>
      <w:r w:rsidR="005F7591" w:rsidRPr="0087437A">
        <w:rPr>
          <w:rFonts w:ascii="Times New Roman" w:hAnsi="Times New Roman" w:cs="Times New Roman"/>
          <w:bCs/>
          <w:sz w:val="24"/>
          <w:szCs w:val="24"/>
        </w:rPr>
        <w:t>roponuje się wprowadzenie przepisu przejściowego wskazującego, że sprawy, które zostały wszczęte na podstawie art. 15a ustawy</w:t>
      </w:r>
      <w:r w:rsidR="005F7591" w:rsidRPr="0087437A">
        <w:rPr>
          <w:rFonts w:ascii="Times New Roman" w:hAnsi="Times New Roman" w:cs="Times New Roman"/>
          <w:sz w:val="24"/>
          <w:szCs w:val="24"/>
        </w:rPr>
        <w:t xml:space="preserve"> COVID</w:t>
      </w:r>
      <w:r w:rsidRPr="0087437A">
        <w:rPr>
          <w:rFonts w:ascii="Times New Roman" w:hAnsi="Times New Roman" w:cs="Times New Roman"/>
          <w:sz w:val="24"/>
          <w:szCs w:val="24"/>
        </w:rPr>
        <w:t>-</w:t>
      </w:r>
      <w:r w:rsidR="005F7591" w:rsidRPr="0087437A">
        <w:rPr>
          <w:rFonts w:ascii="Times New Roman" w:hAnsi="Times New Roman" w:cs="Times New Roman"/>
          <w:sz w:val="24"/>
          <w:szCs w:val="24"/>
        </w:rPr>
        <w:t xml:space="preserve">19, </w:t>
      </w:r>
      <w:r w:rsidR="005F7591" w:rsidRPr="0087437A">
        <w:rPr>
          <w:rFonts w:ascii="Times New Roman" w:hAnsi="Times New Roman" w:cs="Times New Roman"/>
          <w:bCs/>
          <w:sz w:val="24"/>
          <w:szCs w:val="24"/>
        </w:rPr>
        <w:t>w brzmieniu dotychczasowym, a niezakończone przed dniem wejścia w życie niniejszej ustawy, podlegają rozpatrzeniu na podstawie przepisów dotychczasowych.</w:t>
      </w:r>
    </w:p>
    <w:p w14:paraId="264382D9" w14:textId="77777777" w:rsidR="00B55D32" w:rsidRPr="0087437A" w:rsidRDefault="00B55D32" w:rsidP="00C67280">
      <w:pPr>
        <w:suppressAutoHyphens/>
        <w:autoSpaceDE w:val="0"/>
        <w:autoSpaceDN w:val="0"/>
        <w:adjustRightInd w:val="0"/>
        <w:spacing w:before="120" w:line="360" w:lineRule="auto"/>
        <w:jc w:val="both"/>
        <w:rPr>
          <w:rFonts w:ascii="Times New Roman" w:hAnsi="Times New Roman" w:cs="Times New Roman"/>
          <w:sz w:val="24"/>
          <w:szCs w:val="24"/>
        </w:rPr>
      </w:pPr>
    </w:p>
    <w:p w14:paraId="06FF845F"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Art. </w:t>
      </w:r>
      <w:r w:rsidR="002A3A40" w:rsidRPr="0087437A">
        <w:rPr>
          <w:rFonts w:ascii="Times New Roman" w:hAnsi="Times New Roman" w:cs="Times New Roman"/>
          <w:sz w:val="24"/>
          <w:szCs w:val="24"/>
        </w:rPr>
        <w:t>14</w:t>
      </w:r>
      <w:r w:rsidRPr="0087437A">
        <w:rPr>
          <w:rFonts w:ascii="Times New Roman" w:hAnsi="Times New Roman" w:cs="Times New Roman"/>
          <w:sz w:val="24"/>
          <w:szCs w:val="24"/>
        </w:rPr>
        <w:t xml:space="preserve"> projektowanej ustawy jest przepisem przejściowym regulującym zasady przekazywania wartości przychodów oraz kosztów za rok 2020. Jego wprowadzenie jest niezbędne ze względu na uchylenie dotychczasowego art. 15zzzzzl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5 ustawy.</w:t>
      </w:r>
    </w:p>
    <w:p w14:paraId="1385D335" w14:textId="77777777" w:rsidR="00A94A60" w:rsidRPr="0087437A" w:rsidRDefault="00A94A60" w:rsidP="0043695F">
      <w:pPr>
        <w:spacing w:after="0" w:line="360" w:lineRule="auto"/>
        <w:jc w:val="both"/>
        <w:rPr>
          <w:rFonts w:ascii="Times New Roman" w:hAnsi="Times New Roman" w:cs="Times New Roman"/>
          <w:sz w:val="24"/>
          <w:szCs w:val="24"/>
        </w:rPr>
      </w:pPr>
    </w:p>
    <w:p w14:paraId="10044F8E"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Zmiana wprowadzana w art. </w:t>
      </w:r>
      <w:r w:rsidR="00A90B1C" w:rsidRPr="0087437A">
        <w:rPr>
          <w:rFonts w:ascii="Times New Roman" w:hAnsi="Times New Roman" w:cs="Times New Roman"/>
          <w:sz w:val="24"/>
          <w:szCs w:val="24"/>
        </w:rPr>
        <w:t>1</w:t>
      </w:r>
      <w:r w:rsidR="00DC37CC" w:rsidRPr="0087437A">
        <w:rPr>
          <w:rFonts w:ascii="Times New Roman" w:hAnsi="Times New Roman" w:cs="Times New Roman"/>
          <w:sz w:val="24"/>
          <w:szCs w:val="24"/>
        </w:rPr>
        <w:t>5</w:t>
      </w:r>
      <w:r w:rsidRPr="0087437A">
        <w:rPr>
          <w:rFonts w:ascii="Times New Roman" w:hAnsi="Times New Roman" w:cs="Times New Roman"/>
          <w:sz w:val="24"/>
          <w:szCs w:val="24"/>
        </w:rPr>
        <w:t xml:space="preserve"> pro</w:t>
      </w:r>
      <w:r w:rsidR="00DC37CC" w:rsidRPr="0087437A">
        <w:rPr>
          <w:rFonts w:ascii="Times New Roman" w:hAnsi="Times New Roman" w:cs="Times New Roman"/>
          <w:sz w:val="24"/>
          <w:szCs w:val="24"/>
        </w:rPr>
        <w:t xml:space="preserve">jektowanej </w:t>
      </w:r>
      <w:r w:rsidRPr="0087437A">
        <w:rPr>
          <w:rFonts w:ascii="Times New Roman" w:hAnsi="Times New Roman" w:cs="Times New Roman"/>
          <w:sz w:val="24"/>
          <w:szCs w:val="24"/>
        </w:rPr>
        <w:t>ustawy polega na zobowiązaniu operatora publicznego transportu zbiorowego do przekazania organizatorowi publicznego transportu zbiorowego potwierdzonej za zgodność z oryginałem kopii raportu z przeprowadzonego badania sprawozdania finansowego za 2020 r., zawierającej opinię biegłego rewidenta w zakresie rozliczenia udzielonego wsparcia, o którym mowa w art. 15zzzzl</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ustawy. Opinia biegłego, którą operator powinien przedstawić organizatorowi, odnosi się w szczególności do poprawności kalkulacji nieosiągniętych przez operatora, w danym miesiącu, z uwagi na przeciwdziałanie COVID-19, przychodów ze sprzedaży oraz nieponiesionych przez operatora w tym samym miesiącu kosztów operacyjnych, z tytułu ograniczonej, z uwagi na przeciwdziałanie COVID-19, pracy eksploatacyjnej. Opinia powinna zostać przekazana w terminie 15 dni od dnia zatwierdzenia rocznego sprawozdania finansowego za 2020 r. Potrzeba zobowiązania operatorów do przekazywania opinii wynika z dotychczasowych wątpliwości co do stosowania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3 ustawy.</w:t>
      </w:r>
      <w:r w:rsidR="00425CB2">
        <w:rPr>
          <w:rFonts w:ascii="Times New Roman" w:hAnsi="Times New Roman" w:cs="Times New Roman"/>
          <w:sz w:val="24"/>
          <w:szCs w:val="24"/>
        </w:rPr>
        <w:t xml:space="preserve"> </w:t>
      </w:r>
    </w:p>
    <w:p w14:paraId="106CB003" w14:textId="77777777" w:rsidR="00A94A60" w:rsidRPr="0087437A" w:rsidRDefault="00A94A60" w:rsidP="0043695F">
      <w:pPr>
        <w:spacing w:after="0" w:line="360" w:lineRule="auto"/>
        <w:jc w:val="both"/>
        <w:rPr>
          <w:rFonts w:ascii="Times New Roman" w:hAnsi="Times New Roman" w:cs="Times New Roman"/>
          <w:sz w:val="24"/>
          <w:szCs w:val="24"/>
        </w:rPr>
      </w:pPr>
    </w:p>
    <w:p w14:paraId="34A92A1F"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Art. </w:t>
      </w:r>
      <w:r w:rsidR="00A2134A" w:rsidRPr="0087437A">
        <w:rPr>
          <w:rFonts w:ascii="Times New Roman" w:hAnsi="Times New Roman" w:cs="Times New Roman"/>
          <w:sz w:val="24"/>
          <w:szCs w:val="24"/>
        </w:rPr>
        <w:t>1</w:t>
      </w:r>
      <w:r w:rsidR="009743B0" w:rsidRPr="0087437A">
        <w:rPr>
          <w:rFonts w:ascii="Times New Roman" w:hAnsi="Times New Roman" w:cs="Times New Roman"/>
          <w:sz w:val="24"/>
          <w:szCs w:val="24"/>
        </w:rPr>
        <w:t>6</w:t>
      </w:r>
      <w:r w:rsidRPr="0087437A">
        <w:rPr>
          <w:rFonts w:ascii="Times New Roman" w:hAnsi="Times New Roman" w:cs="Times New Roman"/>
          <w:sz w:val="24"/>
          <w:szCs w:val="24"/>
        </w:rPr>
        <w:t xml:space="preserve"> projektowanej ustawy zakłada, że środki finansowe przekazywane operatorowi za miesiące ostatniego kwartału 2020 r.</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wypłacane będą w pierwszym kwartale 2021 r. Zmiana podyktowana jest faktem, że mechanizm kalkulowania wsparcia (jak zdefiniowany w aktualnie obowiązującym art.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 3 ustawy) wymaga zamknięcia ksiąg za miesiąc, którego dotyczy wsparcie – dlatego w danym roku nie byłoby możliwe przekazanie wsparcia za listopad i grudzień. Przepis dotyczy również wsparcia wypłacanego za październik 2020 r., ponieważ z uwagi na późne przekazywanie wniosków przez organizatorów przewozów wojewódzkich nie byłaby fizycznie możliwa realizacja tych wniosków w 2020 r. Wejście w życie przepisu spowoduje konieczność odpowiedniej modyfikacji planu finansowego Funduszu Przeciwdziałania COVID-19 na 2020 oraz sformułowania zapisów tego planu na rok 2021.</w:t>
      </w:r>
    </w:p>
    <w:p w14:paraId="58C1C898" w14:textId="77777777" w:rsidR="00A94A60" w:rsidRPr="0087437A" w:rsidRDefault="00A94A60" w:rsidP="0043695F">
      <w:pPr>
        <w:spacing w:after="0" w:line="360" w:lineRule="auto"/>
        <w:jc w:val="both"/>
        <w:rPr>
          <w:rFonts w:ascii="Times New Roman" w:hAnsi="Times New Roman" w:cs="Times New Roman"/>
          <w:sz w:val="24"/>
          <w:szCs w:val="24"/>
        </w:rPr>
      </w:pPr>
    </w:p>
    <w:p w14:paraId="1D394730"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W związku z tym, że obowiązujący stan wstrzymania wykonania tytułu wykonawczego nakazującego opróżnienie lokalu mieszkalnego, w sytuacji gdy nastąpiło wywłaszczenie lub przejęcie z mocy prawa nieruchomości celem realizacji inwestycji celu publicznego jest bardzo niekorzystne dla inwestora publicznego w art. </w:t>
      </w:r>
      <w:r w:rsidR="00D63843" w:rsidRPr="0087437A">
        <w:rPr>
          <w:rFonts w:ascii="Times New Roman" w:hAnsi="Times New Roman" w:cs="Times New Roman"/>
          <w:sz w:val="24"/>
          <w:szCs w:val="24"/>
        </w:rPr>
        <w:t>1</w:t>
      </w:r>
      <w:r w:rsidR="00DC37CC" w:rsidRPr="0087437A">
        <w:rPr>
          <w:rFonts w:ascii="Times New Roman" w:hAnsi="Times New Roman" w:cs="Times New Roman"/>
          <w:sz w:val="24"/>
          <w:szCs w:val="24"/>
        </w:rPr>
        <w:t>7</w:t>
      </w:r>
      <w:r w:rsidRPr="0087437A">
        <w:rPr>
          <w:rFonts w:ascii="Times New Roman" w:hAnsi="Times New Roman" w:cs="Times New Roman"/>
          <w:sz w:val="24"/>
          <w:szCs w:val="24"/>
        </w:rPr>
        <w:t xml:space="preserve"> projektowanej ustawy przewidziano, że przepis art. 15zzu ust. 2 pkt 2 ustawy zmienianej w art. 1 w brzmieniu nadanym niniejszą ustawą, będzie miał zastosowanie</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również do tytułów wykonawczych wydanych przez dniem wejścia w życie niniejszej ustawy.</w:t>
      </w:r>
    </w:p>
    <w:p w14:paraId="396CB95B" w14:textId="77777777" w:rsidR="00A94A60" w:rsidRPr="0087437A" w:rsidRDefault="00A94A60" w:rsidP="0043695F">
      <w:pPr>
        <w:spacing w:after="0" w:line="360" w:lineRule="auto"/>
        <w:jc w:val="both"/>
        <w:rPr>
          <w:rFonts w:ascii="Times New Roman" w:hAnsi="Times New Roman" w:cs="Times New Roman"/>
          <w:sz w:val="24"/>
          <w:szCs w:val="24"/>
        </w:rPr>
      </w:pPr>
    </w:p>
    <w:p w14:paraId="1B0FA563"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Art. </w:t>
      </w:r>
      <w:r w:rsidR="00405533" w:rsidRPr="0087437A">
        <w:rPr>
          <w:rFonts w:ascii="Times New Roman" w:hAnsi="Times New Roman" w:cs="Times New Roman"/>
          <w:sz w:val="24"/>
          <w:szCs w:val="24"/>
        </w:rPr>
        <w:t>1</w:t>
      </w:r>
      <w:r w:rsidR="001355CC" w:rsidRPr="0087437A">
        <w:rPr>
          <w:rFonts w:ascii="Times New Roman" w:hAnsi="Times New Roman" w:cs="Times New Roman"/>
          <w:sz w:val="24"/>
          <w:szCs w:val="24"/>
        </w:rPr>
        <w:t>8</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reguluje, które przepisy należy stosować do wniosków o wypłatę środków, o których mowa w art. 15zzzzl</w:t>
      </w:r>
      <w:r w:rsidRPr="0087437A">
        <w:rPr>
          <w:rFonts w:ascii="Times New Roman" w:hAnsi="Times New Roman" w:cs="Times New Roman"/>
          <w:sz w:val="24"/>
          <w:szCs w:val="24"/>
          <w:vertAlign w:val="superscript"/>
        </w:rPr>
        <w:t>1</w:t>
      </w:r>
      <w:r w:rsidRPr="0087437A">
        <w:rPr>
          <w:rFonts w:ascii="Times New Roman" w:hAnsi="Times New Roman" w:cs="Times New Roman"/>
          <w:sz w:val="24"/>
          <w:szCs w:val="24"/>
        </w:rPr>
        <w:t xml:space="preserve"> i 15zzzzl</w:t>
      </w:r>
      <w:r w:rsidRPr="0087437A">
        <w:rPr>
          <w:rFonts w:ascii="Times New Roman" w:hAnsi="Times New Roman" w:cs="Times New Roman"/>
          <w:sz w:val="24"/>
          <w:szCs w:val="24"/>
          <w:vertAlign w:val="superscript"/>
        </w:rPr>
        <w:t>2</w:t>
      </w:r>
      <w:r w:rsidRPr="0087437A">
        <w:rPr>
          <w:rFonts w:ascii="Times New Roman" w:hAnsi="Times New Roman" w:cs="Times New Roman"/>
          <w:sz w:val="24"/>
          <w:szCs w:val="24"/>
        </w:rPr>
        <w:t xml:space="preserve"> ustawy zmienianej w art. 1, złożonych i nierozpatrzonych przed dniem </w:t>
      </w:r>
      <w:r w:rsidR="00940CE3" w:rsidRPr="0087437A">
        <w:rPr>
          <w:rFonts w:ascii="Times New Roman" w:hAnsi="Times New Roman" w:cs="Times New Roman"/>
          <w:sz w:val="24"/>
          <w:szCs w:val="24"/>
        </w:rPr>
        <w:t>1 stycznia 2021 r</w:t>
      </w:r>
      <w:r w:rsidRPr="0087437A">
        <w:rPr>
          <w:rFonts w:ascii="Times New Roman" w:hAnsi="Times New Roman" w:cs="Times New Roman"/>
          <w:sz w:val="24"/>
          <w:szCs w:val="24"/>
        </w:rPr>
        <w:t>. W celu uniknięcia wątpliwości w zakresie przepisów, które należałoby stosować, zastosowano odesłanie statyczne do art. 46 pkt 31 ustawy z dnia 14 maja 2020 r. o zmianie niektórych ustaw w zakresie działań osłonowych w związku z rozprzestrzenianiem się wirusa SARS-CoV-2 (Dz. U. poz. 875</w:t>
      </w:r>
      <w:r w:rsidR="00405533" w:rsidRPr="0087437A">
        <w:rPr>
          <w:rFonts w:ascii="Times New Roman" w:hAnsi="Times New Roman" w:cs="Times New Roman"/>
          <w:sz w:val="24"/>
          <w:szCs w:val="24"/>
        </w:rPr>
        <w:t>, z późn. zm.</w:t>
      </w:r>
      <w:r w:rsidRPr="0087437A">
        <w:rPr>
          <w:rFonts w:ascii="Times New Roman" w:hAnsi="Times New Roman" w:cs="Times New Roman"/>
          <w:sz w:val="24"/>
          <w:szCs w:val="24"/>
        </w:rPr>
        <w:t>).</w:t>
      </w:r>
    </w:p>
    <w:p w14:paraId="42488BD3" w14:textId="77777777" w:rsidR="001A2C90" w:rsidRPr="0087437A" w:rsidRDefault="001A2C90" w:rsidP="001A2C90">
      <w:pPr>
        <w:pStyle w:val="USTustnpkodeksu"/>
        <w:ind w:firstLine="0"/>
      </w:pPr>
    </w:p>
    <w:p w14:paraId="7428F4B7" w14:textId="77777777" w:rsidR="00157F74" w:rsidRPr="0087437A" w:rsidRDefault="00157F74" w:rsidP="00157F74">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Przepis art. </w:t>
      </w:r>
      <w:r w:rsidR="006B796B" w:rsidRPr="0087437A">
        <w:rPr>
          <w:rFonts w:ascii="Times New Roman" w:hAnsi="Times New Roman" w:cs="Times New Roman"/>
          <w:sz w:val="24"/>
          <w:szCs w:val="24"/>
        </w:rPr>
        <w:t>23</w:t>
      </w:r>
      <w:r w:rsidRPr="0087437A">
        <w:rPr>
          <w:rFonts w:ascii="Times New Roman" w:hAnsi="Times New Roman" w:cs="Times New Roman"/>
          <w:sz w:val="24"/>
          <w:szCs w:val="24"/>
        </w:rPr>
        <w:t xml:space="preserve"> ma na celu uzupełnienie danych przez</w:t>
      </w:r>
      <w:r w:rsidR="00425CB2">
        <w:rPr>
          <w:rFonts w:ascii="Times New Roman" w:hAnsi="Times New Roman" w:cs="Times New Roman"/>
          <w:sz w:val="24"/>
          <w:szCs w:val="24"/>
        </w:rPr>
        <w:t xml:space="preserve"> </w:t>
      </w:r>
      <w:r w:rsidRPr="0087437A">
        <w:rPr>
          <w:rFonts w:ascii="Times New Roman" w:hAnsi="Times New Roman" w:cs="Times New Roman"/>
          <w:sz w:val="24"/>
          <w:szCs w:val="24"/>
        </w:rPr>
        <w:t>przedsiębiorców turystycznych lub organizacje pożytku publicznego, którzy przed dniem wejścia w życie niniejszej ustawy dokonali rejestracji na profilu informacyjnym w systemie teleinformatycznym, o dane wprowadzone nowelizacją art. 8 ust. 2 ustawy o Polskim Bonie Turystycznym.</w:t>
      </w:r>
    </w:p>
    <w:p w14:paraId="6241133B" w14:textId="77777777" w:rsidR="00157F74" w:rsidRPr="0087437A" w:rsidRDefault="00157F74" w:rsidP="001A2C90">
      <w:pPr>
        <w:pStyle w:val="USTustnpkodeksu"/>
        <w:ind w:firstLine="0"/>
      </w:pPr>
    </w:p>
    <w:p w14:paraId="758B96EC" w14:textId="77777777" w:rsidR="008A41A3" w:rsidRPr="0087437A" w:rsidRDefault="008A41A3" w:rsidP="008A41A3">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W odniesieniu do projektowanego art. 15zzzzl</w:t>
      </w:r>
      <w:r w:rsidRPr="0087437A">
        <w:rPr>
          <w:rFonts w:ascii="Times New Roman" w:hAnsi="Times New Roman" w:cs="Times New Roman"/>
          <w:sz w:val="24"/>
          <w:szCs w:val="24"/>
          <w:vertAlign w:val="superscript"/>
        </w:rPr>
        <w:t>6</w:t>
      </w:r>
      <w:r w:rsidR="009378A4" w:rsidRPr="0087437A">
        <w:rPr>
          <w:rFonts w:ascii="Times New Roman" w:hAnsi="Times New Roman" w:cs="Times New Roman"/>
          <w:sz w:val="24"/>
          <w:szCs w:val="24"/>
          <w:vertAlign w:val="superscript"/>
        </w:rPr>
        <w:t xml:space="preserve"> </w:t>
      </w:r>
      <w:r w:rsidR="009378A4" w:rsidRPr="0087437A">
        <w:rPr>
          <w:rFonts w:ascii="Times New Roman" w:hAnsi="Times New Roman" w:cs="Times New Roman"/>
          <w:sz w:val="24"/>
          <w:szCs w:val="24"/>
        </w:rPr>
        <w:t>ustawy zmienianej w art. 1,</w:t>
      </w:r>
      <w:r w:rsidRPr="0087437A">
        <w:rPr>
          <w:rFonts w:ascii="Times New Roman" w:hAnsi="Times New Roman" w:cs="Times New Roman"/>
          <w:sz w:val="24"/>
          <w:szCs w:val="24"/>
        </w:rPr>
        <w:t xml:space="preserve"> zgodnie z rozporządzeniem Parlamentu Europejskiego i Rady (UE) 2020/1429 z dnia 7 października 2020 r., ustanawiającego środki na rzecz zrównoważonego rynku kolejowego, w związku z epidemią COVID-19, z uwagi na zastrzeżenie „zgodności z zasadami pomocy państwa”, zasadnym jest przekazanie projektowanych przepisów celem uzyskania notyfikacji KE.</w:t>
      </w:r>
    </w:p>
    <w:p w14:paraId="0729C96F" w14:textId="77777777" w:rsidR="008A41A3" w:rsidRPr="0087437A" w:rsidRDefault="008A41A3" w:rsidP="008A41A3">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Notyfikacji będzie podlegało również wsparcie przewidziane w art. 15zzzzl</w:t>
      </w:r>
      <w:r w:rsidRPr="0087437A">
        <w:rPr>
          <w:rFonts w:ascii="Times New Roman" w:hAnsi="Times New Roman" w:cs="Times New Roman"/>
          <w:sz w:val="24"/>
          <w:szCs w:val="24"/>
          <w:vertAlign w:val="superscript"/>
        </w:rPr>
        <w:t xml:space="preserve">5 </w:t>
      </w:r>
      <w:r w:rsidR="009378A4" w:rsidRPr="0087437A">
        <w:rPr>
          <w:rFonts w:ascii="Times New Roman" w:hAnsi="Times New Roman" w:cs="Times New Roman"/>
          <w:sz w:val="24"/>
          <w:szCs w:val="24"/>
        </w:rPr>
        <w:t>ustawy zmienianej w art. 1</w:t>
      </w:r>
      <w:r w:rsidRPr="0087437A">
        <w:rPr>
          <w:rFonts w:ascii="Times New Roman" w:hAnsi="Times New Roman" w:cs="Times New Roman"/>
          <w:sz w:val="24"/>
          <w:szCs w:val="24"/>
        </w:rPr>
        <w:t xml:space="preserve">, ponieważ środki te stanowią pomoc publiczną. </w:t>
      </w:r>
    </w:p>
    <w:p w14:paraId="692157CD" w14:textId="77777777" w:rsidR="00807971" w:rsidRPr="0087437A" w:rsidRDefault="00807971" w:rsidP="0043695F">
      <w:pPr>
        <w:spacing w:after="0" w:line="360" w:lineRule="auto"/>
        <w:jc w:val="both"/>
        <w:rPr>
          <w:rFonts w:ascii="Times New Roman" w:hAnsi="Times New Roman" w:cs="Times New Roman"/>
          <w:sz w:val="24"/>
          <w:szCs w:val="24"/>
        </w:rPr>
      </w:pPr>
    </w:p>
    <w:p w14:paraId="3F324151"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W pozostałym zakresie projektowane przepisy nie wymagają przedstawienia właściwym organom i instytucjom Unii Europejskiej, w tym Europejskiemu Bankowi Centralnemu, w celu uzyskania opinii, dokonania powiadomienia, konsultacji albo uzgodnienia. </w:t>
      </w:r>
    </w:p>
    <w:p w14:paraId="0600A535" w14:textId="77777777" w:rsidR="00A94A60" w:rsidRPr="0087437A" w:rsidRDefault="00A94A60" w:rsidP="0043695F">
      <w:pPr>
        <w:spacing w:after="0" w:line="360" w:lineRule="auto"/>
        <w:jc w:val="both"/>
        <w:rPr>
          <w:rFonts w:ascii="Times New Roman" w:hAnsi="Times New Roman" w:cs="Times New Roman"/>
          <w:sz w:val="24"/>
          <w:szCs w:val="24"/>
        </w:rPr>
      </w:pPr>
    </w:p>
    <w:p w14:paraId="61CEA17E"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Regulacje zawarte w projektowanej ustawie nie stanowią przepisów technicznych w rozumieniu rozporządzenia Rady Ministrów z dnia 23 grudnia 2002 r. w sprawie sposobu funkcjonowania krajowego systemu notyfikacji norm i aktów prawnych (Dz. U. poz. 2039, z późn. zm.), zatem nie podlega ona notyfikacji.</w:t>
      </w:r>
    </w:p>
    <w:p w14:paraId="4F16444D" w14:textId="77777777" w:rsidR="00A94A60" w:rsidRPr="0087437A" w:rsidRDefault="00A94A60" w:rsidP="0043695F">
      <w:pPr>
        <w:spacing w:after="0" w:line="360" w:lineRule="auto"/>
        <w:jc w:val="both"/>
        <w:rPr>
          <w:rFonts w:ascii="Times New Roman" w:hAnsi="Times New Roman" w:cs="Times New Roman"/>
          <w:sz w:val="24"/>
          <w:szCs w:val="24"/>
        </w:rPr>
      </w:pPr>
    </w:p>
    <w:p w14:paraId="24471C89"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Zgodnie z art. 5 ustawy z dnia 7 lipca 2005 r. o działalności lobbingowej w procesie stanowienia prawa (Dz. U. z 2017 r. poz. 248) oraz § 52 uchwały nr 190 Rady Ministrów z dnia 29 października 2013 r. – Regulamin prac Rady Ministrów (M.P. z 2016 r. poz. 1006, z póź</w:t>
      </w:r>
      <w:r w:rsidR="00D26020" w:rsidRPr="0087437A">
        <w:rPr>
          <w:rFonts w:ascii="Times New Roman" w:hAnsi="Times New Roman" w:cs="Times New Roman"/>
          <w:sz w:val="24"/>
          <w:szCs w:val="24"/>
        </w:rPr>
        <w:t>n. zm.), projekt ustawy został</w:t>
      </w:r>
      <w:r w:rsidRPr="0087437A">
        <w:rPr>
          <w:rFonts w:ascii="Times New Roman" w:hAnsi="Times New Roman" w:cs="Times New Roman"/>
          <w:sz w:val="24"/>
          <w:szCs w:val="24"/>
        </w:rPr>
        <w:t xml:space="preserve"> udostępniony w Biuletynie Informacji Publicznej na stronie podmiotowej Rządowego Centrum Legislacji w serwisie Rządowy Proces Legislacyjny.</w:t>
      </w:r>
    </w:p>
    <w:p w14:paraId="571E7016" w14:textId="77777777" w:rsidR="00A94A60" w:rsidRPr="0087437A" w:rsidRDefault="00A94A60" w:rsidP="0043695F">
      <w:pPr>
        <w:spacing w:after="0" w:line="360" w:lineRule="auto"/>
        <w:jc w:val="both"/>
        <w:rPr>
          <w:rFonts w:ascii="Times New Roman" w:hAnsi="Times New Roman" w:cs="Times New Roman"/>
          <w:sz w:val="24"/>
          <w:szCs w:val="24"/>
        </w:rPr>
      </w:pPr>
    </w:p>
    <w:p w14:paraId="45BEDE4C" w14:textId="77777777" w:rsidR="00A94A60" w:rsidRPr="0087437A" w:rsidRDefault="00A94A60" w:rsidP="0043695F">
      <w:pPr>
        <w:spacing w:after="0" w:line="360" w:lineRule="auto"/>
        <w:jc w:val="both"/>
        <w:rPr>
          <w:rFonts w:ascii="Times New Roman" w:hAnsi="Times New Roman" w:cs="Times New Roman"/>
          <w:sz w:val="24"/>
          <w:szCs w:val="24"/>
        </w:rPr>
      </w:pPr>
      <w:r w:rsidRPr="0087437A">
        <w:rPr>
          <w:rFonts w:ascii="Times New Roman" w:hAnsi="Times New Roman" w:cs="Times New Roman"/>
          <w:sz w:val="24"/>
          <w:szCs w:val="24"/>
        </w:rPr>
        <w:t xml:space="preserve">Projekt ustawy jest zgodny z prawem Unii Europejskiej. </w:t>
      </w:r>
    </w:p>
    <w:p w14:paraId="4662EF70" w14:textId="77777777" w:rsidR="00D26020" w:rsidRPr="0087437A" w:rsidRDefault="00D26020" w:rsidP="00D26020">
      <w:pPr>
        <w:spacing w:line="360" w:lineRule="auto"/>
        <w:ind w:firstLine="708"/>
        <w:jc w:val="both"/>
        <w:rPr>
          <w:rFonts w:ascii="Times New Roman" w:hAnsi="Times New Roman" w:cs="Times New Roman"/>
          <w:sz w:val="24"/>
          <w:szCs w:val="24"/>
        </w:rPr>
      </w:pPr>
    </w:p>
    <w:p w14:paraId="5C886FC1" w14:textId="77777777" w:rsidR="00D26020" w:rsidRPr="0087437A" w:rsidRDefault="00D26020" w:rsidP="00D26020">
      <w:pPr>
        <w:spacing w:line="360" w:lineRule="auto"/>
        <w:ind w:firstLine="708"/>
        <w:jc w:val="both"/>
        <w:rPr>
          <w:rFonts w:ascii="Times New Roman" w:hAnsi="Times New Roman" w:cs="Times New Roman"/>
          <w:sz w:val="24"/>
          <w:szCs w:val="24"/>
        </w:rPr>
      </w:pPr>
      <w:r w:rsidRPr="0087437A">
        <w:rPr>
          <w:rFonts w:ascii="Times New Roman" w:hAnsi="Times New Roman" w:cs="Times New Roman"/>
          <w:sz w:val="24"/>
          <w:szCs w:val="24"/>
        </w:rPr>
        <w:t xml:space="preserve">Brak jest możliwości podjęcia alternatywnych środków osiągnięcia celu projektowanej regulacji w stosunku do działań legislacyjnych. </w:t>
      </w:r>
    </w:p>
    <w:p w14:paraId="793437AB" w14:textId="77777777" w:rsidR="00D26020" w:rsidRPr="0087437A" w:rsidRDefault="00D26020" w:rsidP="00D26020">
      <w:pPr>
        <w:spacing w:line="360" w:lineRule="auto"/>
        <w:ind w:firstLine="708"/>
        <w:jc w:val="both"/>
        <w:rPr>
          <w:rFonts w:ascii="Times New Roman" w:eastAsia="Calibri" w:hAnsi="Times New Roman" w:cs="Times New Roman"/>
          <w:sz w:val="24"/>
          <w:szCs w:val="24"/>
        </w:rPr>
      </w:pPr>
      <w:r w:rsidRPr="0087437A">
        <w:rPr>
          <w:rFonts w:ascii="Times New Roman" w:eastAsia="Calibri" w:hAnsi="Times New Roman" w:cs="Times New Roman"/>
          <w:sz w:val="24"/>
          <w:szCs w:val="24"/>
        </w:rPr>
        <w:t>Zawarte w projekcie ustawy regulacje będą miały</w:t>
      </w:r>
      <w:r w:rsidR="00557AB6">
        <w:rPr>
          <w:rFonts w:ascii="Times New Roman" w:eastAsia="Calibri" w:hAnsi="Times New Roman" w:cs="Times New Roman"/>
          <w:sz w:val="24"/>
          <w:szCs w:val="24"/>
        </w:rPr>
        <w:t xml:space="preserve"> pozytywny wpływ</w:t>
      </w:r>
      <w:r w:rsidRPr="0087437A">
        <w:rPr>
          <w:rFonts w:ascii="Times New Roman" w:eastAsia="Calibri" w:hAnsi="Times New Roman" w:cs="Times New Roman"/>
          <w:sz w:val="24"/>
          <w:szCs w:val="24"/>
        </w:rPr>
        <w:t xml:space="preserve"> na działalność mikroprzedsiębiorców, małych i średnich przedsiębiorców. </w:t>
      </w:r>
    </w:p>
    <w:p w14:paraId="6348A549" w14:textId="77777777" w:rsidR="00645973" w:rsidRPr="0087437A" w:rsidRDefault="00D45132" w:rsidP="00645973">
      <w:pPr>
        <w:pStyle w:val="NIEARTTEKSTtekstnieartykuowanynppodstprawnarozplubpreambua"/>
        <w:ind w:firstLine="0"/>
        <w:rPr>
          <w:lang w:eastAsia="en-US"/>
        </w:rPr>
      </w:pPr>
      <w:r w:rsidRPr="0087437A">
        <w:rPr>
          <w:rFonts w:ascii="Times New Roman" w:hAnsi="Times New Roman" w:cs="Times New Roman"/>
          <w:szCs w:val="24"/>
        </w:rPr>
        <w:t xml:space="preserve">Projektowane zmiany powinny wejść w życie niezwłocznie, dlatego w art. </w:t>
      </w:r>
      <w:r w:rsidR="00D26020" w:rsidRPr="0087437A">
        <w:rPr>
          <w:rFonts w:ascii="Times New Roman" w:hAnsi="Times New Roman" w:cs="Times New Roman"/>
          <w:szCs w:val="24"/>
        </w:rPr>
        <w:t>24</w:t>
      </w:r>
      <w:r w:rsidRPr="0087437A">
        <w:rPr>
          <w:rFonts w:ascii="Times New Roman" w:hAnsi="Times New Roman" w:cs="Times New Roman"/>
          <w:szCs w:val="24"/>
        </w:rPr>
        <w:t xml:space="preserve"> ustawy zaproponowano, że ustawa wejdzie w życie z dniem następującym po dniu jej ogłoszenia</w:t>
      </w:r>
      <w:r w:rsidR="00587104" w:rsidRPr="0087437A">
        <w:rPr>
          <w:rFonts w:ascii="Times New Roman" w:hAnsi="Times New Roman" w:cs="Times New Roman"/>
          <w:szCs w:val="24"/>
        </w:rPr>
        <w:t>.</w:t>
      </w:r>
      <w:r w:rsidRPr="0087437A">
        <w:rPr>
          <w:rFonts w:ascii="Times New Roman" w:hAnsi="Times New Roman" w:cs="Times New Roman"/>
          <w:szCs w:val="24"/>
        </w:rPr>
        <w:t xml:space="preserve"> </w:t>
      </w:r>
      <w:r w:rsidR="00645973" w:rsidRPr="0087437A">
        <w:rPr>
          <w:lang w:eastAsia="en-US"/>
        </w:rPr>
        <w:t>Zgodnie z art. 4 ust. 2 ustawy z dnia 20 lipca 2000 r. o ogłaszaniu aktów normatywnych i niektórych innych aktów prawnych (Dz. U. z 2019 r. poz. 1461) w uzasadnionych przypadkach akty normatywne mogą wchodzić w życie</w:t>
      </w:r>
      <w:r w:rsidR="00F17BF0" w:rsidRPr="0087437A">
        <w:rPr>
          <w:lang w:eastAsia="en-US"/>
        </w:rPr>
        <w:t xml:space="preserve"> w terminie krótszym niż 14 dni</w:t>
      </w:r>
      <w:r w:rsidR="00645973" w:rsidRPr="0087437A">
        <w:rPr>
          <w:lang w:eastAsia="en-US"/>
        </w:rPr>
        <w:t>. Wejście w życie ustawy w ww. terminie jest uzasadnione potrzebą pilnego wprowadzenia przewidzianych w niej rozwiązań, w związku z trwającym na obszarze Rzeczypospolitej Polskiej stanem epidemii. Istotne jest, aby adresaci norm prawnych mogli jak najszybciej zapoznać się z określanymi ustawą rozwiązaniami. Dlatego proponowane rozwiązanie dotyczące terminu wejścia w życie ustawy jest dopuszczalne z punktu widzenia zasad demokratycznego państwa prawnego i uzasadnione interesem adresatów zawartych w nim norm prawnych.</w:t>
      </w:r>
    </w:p>
    <w:p w14:paraId="74F9DF9F" w14:textId="77777777" w:rsidR="00285F7D" w:rsidRPr="0087437A" w:rsidRDefault="00587104" w:rsidP="00425CB2">
      <w:pPr>
        <w:spacing w:after="0" w:line="360" w:lineRule="auto"/>
        <w:jc w:val="both"/>
      </w:pPr>
      <w:r w:rsidRPr="0087437A">
        <w:rPr>
          <w:rFonts w:ascii="Times New Roman" w:hAnsi="Times New Roman" w:cs="Times New Roman"/>
          <w:sz w:val="24"/>
          <w:szCs w:val="24"/>
        </w:rPr>
        <w:t>J</w:t>
      </w:r>
      <w:r w:rsidR="00D45132" w:rsidRPr="0087437A">
        <w:rPr>
          <w:rFonts w:ascii="Times New Roman" w:hAnsi="Times New Roman" w:cs="Times New Roman"/>
          <w:sz w:val="24"/>
          <w:szCs w:val="24"/>
        </w:rPr>
        <w:t>ednocześnie mając uwadze konieczność zastosowania wprowadzanych instrumentów zapewniających możliwość rekompensowania strat związanych z już poniesionymi i nadal ponoszonymi wydatkami na przeciwdziałanie skutkom COVID-19 dla podmiotów rynku kolejowego, zasadne jest umożliwienie przejęci</w:t>
      </w:r>
      <w:r w:rsidR="00A64828" w:rsidRPr="0087437A">
        <w:rPr>
          <w:rFonts w:ascii="Times New Roman" w:hAnsi="Times New Roman" w:cs="Times New Roman"/>
          <w:sz w:val="24"/>
          <w:szCs w:val="24"/>
        </w:rPr>
        <w:t>a</w:t>
      </w:r>
      <w:r w:rsidR="00D45132" w:rsidRPr="0087437A">
        <w:rPr>
          <w:rFonts w:ascii="Times New Roman" w:hAnsi="Times New Roman" w:cs="Times New Roman"/>
          <w:sz w:val="24"/>
          <w:szCs w:val="24"/>
        </w:rPr>
        <w:t xml:space="preserve"> retroaktywności części rozwiązań ujętych w projekcie ustawy. W związku z powyższym zakłada się, że art. </w:t>
      </w:r>
      <w:r w:rsidR="004B4E7E" w:rsidRPr="0087437A">
        <w:rPr>
          <w:rFonts w:ascii="Times New Roman" w:hAnsi="Times New Roman" w:cs="Times New Roman"/>
          <w:sz w:val="24"/>
          <w:szCs w:val="24"/>
        </w:rPr>
        <w:t>1</w:t>
      </w:r>
      <w:r w:rsidR="0000046D" w:rsidRPr="0087437A">
        <w:rPr>
          <w:rFonts w:ascii="Times New Roman" w:hAnsi="Times New Roman" w:cs="Times New Roman"/>
          <w:sz w:val="24"/>
          <w:szCs w:val="24"/>
        </w:rPr>
        <w:t>6</w:t>
      </w:r>
      <w:r w:rsidR="00D45132" w:rsidRPr="0087437A">
        <w:rPr>
          <w:rFonts w:ascii="Times New Roman" w:hAnsi="Times New Roman" w:cs="Times New Roman"/>
          <w:sz w:val="24"/>
          <w:szCs w:val="24"/>
        </w:rPr>
        <w:t xml:space="preserve"> wejdzie </w:t>
      </w:r>
      <w:r w:rsidR="004B4E7E" w:rsidRPr="0087437A">
        <w:rPr>
          <w:rFonts w:ascii="Times New Roman" w:hAnsi="Times New Roman" w:cs="Times New Roman"/>
          <w:sz w:val="24"/>
          <w:szCs w:val="24"/>
        </w:rPr>
        <w:t xml:space="preserve">z dniem następującym po dniu ogłoszenia, </w:t>
      </w:r>
      <w:r w:rsidR="00D45132" w:rsidRPr="0087437A">
        <w:rPr>
          <w:rFonts w:ascii="Times New Roman" w:hAnsi="Times New Roman" w:cs="Times New Roman"/>
          <w:sz w:val="24"/>
          <w:szCs w:val="24"/>
        </w:rPr>
        <w:t xml:space="preserve">z mocą od dnia 1 października 2020 r., ponieważ dotyczy środków wypłacanych w ostatnim kwartale br. </w:t>
      </w:r>
      <w:r w:rsidR="00DD5A4F" w:rsidRPr="0087437A">
        <w:rPr>
          <w:rFonts w:ascii="Times New Roman" w:hAnsi="Times New Roman" w:cs="Times New Roman"/>
          <w:sz w:val="24"/>
          <w:szCs w:val="24"/>
        </w:rPr>
        <w:t>Ponadto z</w:t>
      </w:r>
      <w:r w:rsidR="00D45132" w:rsidRPr="0087437A">
        <w:rPr>
          <w:rFonts w:ascii="Times New Roman" w:hAnsi="Times New Roman" w:cs="Times New Roman"/>
          <w:sz w:val="24"/>
          <w:szCs w:val="24"/>
        </w:rPr>
        <w:t>miany w zakr</w:t>
      </w:r>
      <w:r w:rsidR="00DD5A4F" w:rsidRPr="0087437A">
        <w:rPr>
          <w:rFonts w:ascii="Times New Roman" w:hAnsi="Times New Roman" w:cs="Times New Roman"/>
          <w:sz w:val="24"/>
          <w:szCs w:val="24"/>
        </w:rPr>
        <w:t xml:space="preserve">esie </w:t>
      </w:r>
      <w:r w:rsidR="00D45132" w:rsidRPr="0087437A">
        <w:rPr>
          <w:rFonts w:ascii="Times New Roman" w:hAnsi="Times New Roman" w:cs="Times New Roman"/>
          <w:sz w:val="24"/>
          <w:szCs w:val="24"/>
        </w:rPr>
        <w:t>art. 15zzzzl</w:t>
      </w:r>
      <w:r w:rsidR="00D45132" w:rsidRPr="0087437A">
        <w:rPr>
          <w:rFonts w:ascii="Times New Roman" w:hAnsi="Times New Roman" w:cs="Times New Roman"/>
          <w:sz w:val="24"/>
          <w:szCs w:val="24"/>
          <w:vertAlign w:val="superscript"/>
        </w:rPr>
        <w:t>1</w:t>
      </w:r>
      <w:r w:rsidR="00D45132" w:rsidRPr="0087437A">
        <w:rPr>
          <w:rFonts w:ascii="Times New Roman" w:hAnsi="Times New Roman" w:cs="Times New Roman"/>
          <w:sz w:val="24"/>
          <w:szCs w:val="24"/>
        </w:rPr>
        <w:t>,</w:t>
      </w:r>
      <w:r w:rsidR="009C510C" w:rsidRPr="0087437A">
        <w:rPr>
          <w:rFonts w:ascii="Times New Roman" w:hAnsi="Times New Roman" w:cs="Times New Roman"/>
          <w:sz w:val="24"/>
          <w:szCs w:val="24"/>
        </w:rPr>
        <w:t xml:space="preserve"> art.</w:t>
      </w:r>
      <w:r w:rsidR="00D45132" w:rsidRPr="0087437A">
        <w:rPr>
          <w:rFonts w:ascii="Times New Roman" w:hAnsi="Times New Roman" w:cs="Times New Roman"/>
          <w:sz w:val="24"/>
          <w:szCs w:val="24"/>
        </w:rPr>
        <w:t xml:space="preserve"> 15zzzzl</w:t>
      </w:r>
      <w:r w:rsidR="00D45132" w:rsidRPr="0087437A">
        <w:rPr>
          <w:rFonts w:ascii="Times New Roman" w:hAnsi="Times New Roman" w:cs="Times New Roman"/>
          <w:sz w:val="24"/>
          <w:szCs w:val="24"/>
          <w:vertAlign w:val="superscript"/>
        </w:rPr>
        <w:t>2</w:t>
      </w:r>
      <w:r w:rsidR="00D45132" w:rsidRPr="0087437A">
        <w:rPr>
          <w:rFonts w:ascii="Times New Roman" w:hAnsi="Times New Roman" w:cs="Times New Roman"/>
          <w:sz w:val="24"/>
          <w:szCs w:val="24"/>
        </w:rPr>
        <w:t>,</w:t>
      </w:r>
      <w:r w:rsidR="00425CB2">
        <w:rPr>
          <w:rFonts w:ascii="Times New Roman" w:hAnsi="Times New Roman" w:cs="Times New Roman"/>
          <w:sz w:val="24"/>
          <w:szCs w:val="24"/>
        </w:rPr>
        <w:t xml:space="preserve"> </w:t>
      </w:r>
      <w:r w:rsidR="00D45132" w:rsidRPr="0087437A">
        <w:rPr>
          <w:rFonts w:ascii="Times New Roman" w:hAnsi="Times New Roman" w:cs="Times New Roman"/>
          <w:sz w:val="24"/>
          <w:szCs w:val="24"/>
        </w:rPr>
        <w:t>art. 15zzzzl</w:t>
      </w:r>
      <w:r w:rsidR="00D45132" w:rsidRPr="0087437A">
        <w:rPr>
          <w:rFonts w:ascii="Times New Roman" w:hAnsi="Times New Roman" w:cs="Times New Roman"/>
          <w:sz w:val="24"/>
          <w:szCs w:val="24"/>
          <w:vertAlign w:val="superscript"/>
        </w:rPr>
        <w:t xml:space="preserve">3 </w:t>
      </w:r>
      <w:r w:rsidR="00D45132" w:rsidRPr="0087437A">
        <w:rPr>
          <w:rFonts w:ascii="Times New Roman" w:hAnsi="Times New Roman" w:cs="Times New Roman"/>
          <w:sz w:val="24"/>
          <w:szCs w:val="24"/>
        </w:rPr>
        <w:t>oraz art. 15zzzzl</w:t>
      </w:r>
      <w:r w:rsidR="00D45132" w:rsidRPr="0087437A">
        <w:rPr>
          <w:rFonts w:ascii="Times New Roman" w:hAnsi="Times New Roman" w:cs="Times New Roman"/>
          <w:sz w:val="24"/>
          <w:szCs w:val="24"/>
          <w:vertAlign w:val="superscript"/>
        </w:rPr>
        <w:t xml:space="preserve">5 </w:t>
      </w:r>
      <w:r w:rsidR="00D45132" w:rsidRPr="0087437A">
        <w:rPr>
          <w:rFonts w:ascii="Times New Roman" w:hAnsi="Times New Roman" w:cs="Times New Roman"/>
          <w:sz w:val="24"/>
          <w:szCs w:val="24"/>
        </w:rPr>
        <w:t>ustawy zmienianej w art. 1 projektowanej ustawy</w:t>
      </w:r>
      <w:r w:rsidR="00F26D91" w:rsidRPr="0087437A">
        <w:rPr>
          <w:rFonts w:ascii="Times New Roman" w:hAnsi="Times New Roman" w:cs="Times New Roman"/>
          <w:sz w:val="24"/>
          <w:szCs w:val="24"/>
        </w:rPr>
        <w:t xml:space="preserve"> oraz art. </w:t>
      </w:r>
      <w:r w:rsidR="0000046D" w:rsidRPr="0087437A">
        <w:rPr>
          <w:rFonts w:ascii="Times New Roman" w:hAnsi="Times New Roman" w:cs="Times New Roman"/>
          <w:sz w:val="24"/>
          <w:szCs w:val="24"/>
        </w:rPr>
        <w:t>14</w:t>
      </w:r>
      <w:r w:rsidR="00F937C1" w:rsidRPr="0087437A">
        <w:rPr>
          <w:rFonts w:ascii="Times New Roman" w:hAnsi="Times New Roman" w:cs="Times New Roman"/>
          <w:sz w:val="24"/>
          <w:szCs w:val="24"/>
        </w:rPr>
        <w:t xml:space="preserve"> i </w:t>
      </w:r>
      <w:r w:rsidR="00541D6B">
        <w:rPr>
          <w:rFonts w:ascii="Times New Roman" w:hAnsi="Times New Roman" w:cs="Times New Roman"/>
          <w:sz w:val="24"/>
          <w:szCs w:val="24"/>
        </w:rPr>
        <w:t xml:space="preserve">art. </w:t>
      </w:r>
      <w:r w:rsidR="00F937C1" w:rsidRPr="0087437A">
        <w:rPr>
          <w:rFonts w:ascii="Times New Roman" w:hAnsi="Times New Roman" w:cs="Times New Roman"/>
          <w:sz w:val="24"/>
          <w:szCs w:val="24"/>
        </w:rPr>
        <w:t>1</w:t>
      </w:r>
      <w:r w:rsidR="0000046D" w:rsidRPr="0087437A">
        <w:rPr>
          <w:rFonts w:ascii="Times New Roman" w:hAnsi="Times New Roman" w:cs="Times New Roman"/>
          <w:sz w:val="24"/>
          <w:szCs w:val="24"/>
        </w:rPr>
        <w:t>8</w:t>
      </w:r>
      <w:r w:rsidR="00D45132" w:rsidRPr="0087437A">
        <w:rPr>
          <w:rFonts w:ascii="Times New Roman" w:hAnsi="Times New Roman" w:cs="Times New Roman"/>
          <w:sz w:val="24"/>
          <w:szCs w:val="24"/>
        </w:rPr>
        <w:t xml:space="preserve"> </w:t>
      </w:r>
      <w:r w:rsidR="00FF5F4B" w:rsidRPr="0087437A">
        <w:rPr>
          <w:rFonts w:ascii="Times New Roman" w:hAnsi="Times New Roman" w:cs="Times New Roman"/>
          <w:sz w:val="24"/>
          <w:szCs w:val="24"/>
        </w:rPr>
        <w:t xml:space="preserve">projektowanej ustawy </w:t>
      </w:r>
      <w:r w:rsidR="00D45132" w:rsidRPr="0087437A">
        <w:rPr>
          <w:rFonts w:ascii="Times New Roman" w:hAnsi="Times New Roman" w:cs="Times New Roman"/>
          <w:sz w:val="24"/>
          <w:szCs w:val="24"/>
        </w:rPr>
        <w:t xml:space="preserve">wejdą w życie z dniem </w:t>
      </w:r>
      <w:r w:rsidR="00541D6B">
        <w:rPr>
          <w:rFonts w:ascii="Times New Roman" w:hAnsi="Times New Roman" w:cs="Times New Roman"/>
          <w:sz w:val="24"/>
          <w:szCs w:val="24"/>
        </w:rPr>
        <w:t xml:space="preserve">następującym po dniu ogłoszenia z mocą od dnia </w:t>
      </w:r>
      <w:r w:rsidR="00D45132" w:rsidRPr="0087437A">
        <w:rPr>
          <w:rFonts w:ascii="Times New Roman" w:hAnsi="Times New Roman" w:cs="Times New Roman"/>
          <w:sz w:val="24"/>
          <w:szCs w:val="24"/>
        </w:rPr>
        <w:t>1 stycznia 2021</w:t>
      </w:r>
      <w:r w:rsidR="00F26D91" w:rsidRPr="0087437A">
        <w:rPr>
          <w:rFonts w:ascii="Times New Roman" w:hAnsi="Times New Roman" w:cs="Times New Roman"/>
          <w:sz w:val="24"/>
          <w:szCs w:val="24"/>
        </w:rPr>
        <w:t xml:space="preserve"> </w:t>
      </w:r>
      <w:r w:rsidR="00D45132" w:rsidRPr="0087437A">
        <w:rPr>
          <w:rFonts w:ascii="Times New Roman" w:hAnsi="Times New Roman" w:cs="Times New Roman"/>
          <w:sz w:val="24"/>
          <w:szCs w:val="24"/>
        </w:rPr>
        <w:t>r.</w:t>
      </w:r>
      <w:r w:rsidR="002D1C75" w:rsidRPr="0087437A">
        <w:rPr>
          <w:rFonts w:ascii="Times New Roman" w:hAnsi="Times New Roman" w:cs="Times New Roman"/>
          <w:sz w:val="24"/>
          <w:szCs w:val="24"/>
        </w:rPr>
        <w:t xml:space="preserve">, </w:t>
      </w:r>
      <w:r w:rsidR="00934686" w:rsidRPr="0087437A">
        <w:rPr>
          <w:rFonts w:ascii="Times New Roman" w:hAnsi="Times New Roman" w:cs="Times New Roman"/>
          <w:sz w:val="24"/>
          <w:szCs w:val="24"/>
        </w:rPr>
        <w:t xml:space="preserve">a </w:t>
      </w:r>
      <w:r w:rsidR="002D1C75" w:rsidRPr="0087437A">
        <w:rPr>
          <w:rFonts w:ascii="Times New Roman" w:hAnsi="Times New Roman" w:cs="Times New Roman"/>
          <w:sz w:val="24"/>
          <w:szCs w:val="24"/>
        </w:rPr>
        <w:t xml:space="preserve">zmiany wprowadzone na mocy art. </w:t>
      </w:r>
      <w:r w:rsidR="0000046D" w:rsidRPr="0087437A">
        <w:rPr>
          <w:rFonts w:ascii="Times New Roman" w:hAnsi="Times New Roman" w:cs="Times New Roman"/>
          <w:sz w:val="24"/>
          <w:szCs w:val="24"/>
        </w:rPr>
        <w:t>8</w:t>
      </w:r>
      <w:r w:rsidR="002D1C75" w:rsidRPr="0087437A">
        <w:rPr>
          <w:rFonts w:ascii="Times New Roman" w:hAnsi="Times New Roman" w:cs="Times New Roman"/>
          <w:sz w:val="24"/>
          <w:szCs w:val="24"/>
        </w:rPr>
        <w:t>, wejdą w życie z dniem 1 marca 2021 r.</w:t>
      </w:r>
    </w:p>
    <w:sectPr w:rsidR="00285F7D" w:rsidRPr="0087437A" w:rsidSect="00425CB2">
      <w:headerReference w:type="default" r:id="rId10"/>
      <w:footerReference w:type="defaul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95CCC3" w14:textId="77777777" w:rsidR="001E2D2D" w:rsidRDefault="001E2D2D" w:rsidP="00C23A6A">
      <w:pPr>
        <w:spacing w:after="0" w:line="240" w:lineRule="auto"/>
      </w:pPr>
      <w:r>
        <w:separator/>
      </w:r>
    </w:p>
  </w:endnote>
  <w:endnote w:type="continuationSeparator" w:id="0">
    <w:p w14:paraId="0624141B" w14:textId="77777777" w:rsidR="001E2D2D" w:rsidRDefault="001E2D2D" w:rsidP="00C23A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69542717"/>
      <w:docPartObj>
        <w:docPartGallery w:val="Page Numbers (Bottom of Page)"/>
        <w:docPartUnique/>
      </w:docPartObj>
    </w:sdtPr>
    <w:sdtEndPr/>
    <w:sdtContent>
      <w:p w14:paraId="291F3D91" w14:textId="7BAA72B9" w:rsidR="00E55D43" w:rsidRPr="00425CB2" w:rsidRDefault="00E55D43" w:rsidP="00425CB2">
        <w:pPr>
          <w:pStyle w:val="Stopka"/>
          <w:jc w:val="center"/>
          <w:rPr>
            <w:rFonts w:ascii="Times New Roman" w:hAnsi="Times New Roman" w:cs="Times New Roman"/>
            <w:sz w:val="24"/>
            <w:szCs w:val="24"/>
          </w:rPr>
        </w:pPr>
        <w:r w:rsidRPr="00425CB2">
          <w:rPr>
            <w:rFonts w:ascii="Times New Roman" w:hAnsi="Times New Roman" w:cs="Times New Roman"/>
            <w:sz w:val="24"/>
            <w:szCs w:val="24"/>
          </w:rPr>
          <w:fldChar w:fldCharType="begin"/>
        </w:r>
        <w:r w:rsidRPr="00425CB2">
          <w:rPr>
            <w:rFonts w:ascii="Times New Roman" w:hAnsi="Times New Roman" w:cs="Times New Roman"/>
            <w:sz w:val="24"/>
            <w:szCs w:val="24"/>
          </w:rPr>
          <w:instrText>PAGE   \* MERGEFORMAT</w:instrText>
        </w:r>
        <w:r w:rsidRPr="00425CB2">
          <w:rPr>
            <w:rFonts w:ascii="Times New Roman" w:hAnsi="Times New Roman" w:cs="Times New Roman"/>
            <w:sz w:val="24"/>
            <w:szCs w:val="24"/>
          </w:rPr>
          <w:fldChar w:fldCharType="separate"/>
        </w:r>
        <w:r w:rsidR="006623FB">
          <w:rPr>
            <w:rFonts w:ascii="Times New Roman" w:hAnsi="Times New Roman" w:cs="Times New Roman"/>
            <w:noProof/>
            <w:sz w:val="24"/>
            <w:szCs w:val="24"/>
          </w:rPr>
          <w:t>16</w:t>
        </w:r>
        <w:r w:rsidRPr="00425CB2">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97207A" w14:textId="77777777" w:rsidR="001E2D2D" w:rsidRDefault="001E2D2D" w:rsidP="00C23A6A">
      <w:pPr>
        <w:spacing w:after="0" w:line="240" w:lineRule="auto"/>
      </w:pPr>
      <w:r>
        <w:separator/>
      </w:r>
    </w:p>
  </w:footnote>
  <w:footnote w:type="continuationSeparator" w:id="0">
    <w:p w14:paraId="5DBC5BD1" w14:textId="77777777" w:rsidR="001E2D2D" w:rsidRDefault="001E2D2D" w:rsidP="00C23A6A">
      <w:pPr>
        <w:spacing w:after="0" w:line="240" w:lineRule="auto"/>
      </w:pPr>
      <w:r>
        <w:continuationSeparator/>
      </w:r>
    </w:p>
  </w:footnote>
  <w:footnote w:id="1">
    <w:p w14:paraId="364955BD" w14:textId="77777777" w:rsidR="00E55D43" w:rsidRPr="00425CB2" w:rsidRDefault="00E55D43" w:rsidP="00C23A6A">
      <w:pPr>
        <w:pStyle w:val="Tekstprzypisudolnego"/>
        <w:rPr>
          <w:rFonts w:ascii="Times New Roman" w:hAnsi="Times New Roman" w:cs="Times New Roman"/>
        </w:rPr>
      </w:pPr>
      <w:r w:rsidRPr="00425CB2">
        <w:rPr>
          <w:rStyle w:val="Odwoanieprzypisudolnego"/>
          <w:rFonts w:ascii="Times New Roman" w:hAnsi="Times New Roman" w:cs="Times New Roman"/>
        </w:rPr>
        <w:footnoteRef/>
      </w:r>
      <w:r w:rsidRPr="00425CB2">
        <w:rPr>
          <w:rFonts w:ascii="Times New Roman" w:hAnsi="Times New Roman" w:cs="Times New Roman"/>
        </w:rPr>
        <w:t xml:space="preserve"> Z danych europejskiej instytucji Eurostat za pierwszy kwartał 2020 roku.</w:t>
      </w:r>
    </w:p>
  </w:footnote>
  <w:footnote w:id="2">
    <w:p w14:paraId="366AFFB7" w14:textId="77777777" w:rsidR="00E55D43" w:rsidRPr="00425CB2" w:rsidRDefault="00E55D43" w:rsidP="00C23A6A">
      <w:pPr>
        <w:pStyle w:val="Tekstprzypisudolnego"/>
        <w:rPr>
          <w:rFonts w:ascii="Times New Roman" w:hAnsi="Times New Roman" w:cs="Times New Roman"/>
        </w:rPr>
      </w:pPr>
      <w:r w:rsidRPr="00425CB2">
        <w:rPr>
          <w:rStyle w:val="Odwoanieprzypisudolnego"/>
          <w:rFonts w:ascii="Times New Roman" w:hAnsi="Times New Roman" w:cs="Times New Roman"/>
        </w:rPr>
        <w:footnoteRef/>
      </w:r>
      <w:r w:rsidRPr="00425CB2">
        <w:rPr>
          <w:rFonts w:ascii="Times New Roman" w:hAnsi="Times New Roman" w:cs="Times New Roman"/>
        </w:rPr>
        <w:t xml:space="preserve"> Z danych Eurostaru.</w:t>
      </w:r>
    </w:p>
  </w:footnote>
  <w:footnote w:id="3">
    <w:p w14:paraId="41E0D0F8" w14:textId="77777777" w:rsidR="00E55D43" w:rsidRPr="00425CB2" w:rsidRDefault="00E55D43" w:rsidP="00C23A6A">
      <w:pPr>
        <w:pStyle w:val="Tekstprzypisudolnego"/>
        <w:rPr>
          <w:rFonts w:ascii="Times New Roman" w:hAnsi="Times New Roman" w:cs="Times New Roman"/>
        </w:rPr>
      </w:pPr>
      <w:r w:rsidRPr="00425CB2">
        <w:rPr>
          <w:rStyle w:val="Odwoanieprzypisudolnego"/>
          <w:rFonts w:ascii="Times New Roman" w:hAnsi="Times New Roman" w:cs="Times New Roman"/>
        </w:rPr>
        <w:footnoteRef/>
      </w:r>
      <w:r w:rsidRPr="00425CB2">
        <w:rPr>
          <w:rFonts w:ascii="Times New Roman" w:hAnsi="Times New Roman" w:cs="Times New Roman"/>
        </w:rPr>
        <w:t xml:space="preserve"> Wg comiesięcznego zestawienia informacji o oszczędnościach PFR – dane październik 2020 r.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F68552" w14:textId="77777777" w:rsidR="00E55D43" w:rsidRPr="00323493" w:rsidRDefault="00E55D43">
    <w:pPr>
      <w:pStyle w:val="Nagwek"/>
      <w:jc w:val="center"/>
      <w:rPr>
        <w:rFonts w:ascii="Times New Roman" w:hAnsi="Times New Roman" w:cs="Times New Roman"/>
        <w:sz w:val="24"/>
        <w:szCs w:val="24"/>
      </w:rPr>
    </w:pPr>
  </w:p>
  <w:p w14:paraId="6E657ED1" w14:textId="77777777" w:rsidR="00E55D43" w:rsidRDefault="00E55D4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7AA6"/>
    <w:multiLevelType w:val="hybridMultilevel"/>
    <w:tmpl w:val="2D80CE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DCA37F9"/>
    <w:multiLevelType w:val="hybridMultilevel"/>
    <w:tmpl w:val="DF7E67A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DCF71E1"/>
    <w:multiLevelType w:val="hybridMultilevel"/>
    <w:tmpl w:val="0AD0445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7886939"/>
    <w:multiLevelType w:val="hybridMultilevel"/>
    <w:tmpl w:val="F7A6335A"/>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4" w15:restartNumberingAfterBreak="0">
    <w:nsid w:val="586019E6"/>
    <w:multiLevelType w:val="hybridMultilevel"/>
    <w:tmpl w:val="93A21E16"/>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5" w15:restartNumberingAfterBreak="0">
    <w:nsid w:val="6B3E6A88"/>
    <w:multiLevelType w:val="hybridMultilevel"/>
    <w:tmpl w:val="5FD6E8DC"/>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6" w15:restartNumberingAfterBreak="0">
    <w:nsid w:val="795869C6"/>
    <w:multiLevelType w:val="hybridMultilevel"/>
    <w:tmpl w:val="40EE6A68"/>
    <w:lvl w:ilvl="0" w:tplc="04150001">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7" w15:restartNumberingAfterBreak="0">
    <w:nsid w:val="7A4C0E87"/>
    <w:multiLevelType w:val="hybridMultilevel"/>
    <w:tmpl w:val="4858B94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5"/>
  </w:num>
  <w:num w:numId="4">
    <w:abstractNumId w:val="6"/>
  </w:num>
  <w:num w:numId="5">
    <w:abstractNumId w:val="2"/>
  </w:num>
  <w:num w:numId="6">
    <w:abstractNumId w:val="1"/>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2EFE"/>
    <w:rsid w:val="0000046D"/>
    <w:rsid w:val="00001F9D"/>
    <w:rsid w:val="0000242F"/>
    <w:rsid w:val="0000248F"/>
    <w:rsid w:val="00040031"/>
    <w:rsid w:val="000508E3"/>
    <w:rsid w:val="0005637F"/>
    <w:rsid w:val="00064ED6"/>
    <w:rsid w:val="00066714"/>
    <w:rsid w:val="00070543"/>
    <w:rsid w:val="000713F7"/>
    <w:rsid w:val="00072DB7"/>
    <w:rsid w:val="000733C2"/>
    <w:rsid w:val="00087B27"/>
    <w:rsid w:val="000B5060"/>
    <w:rsid w:val="000B715D"/>
    <w:rsid w:val="000C54F9"/>
    <w:rsid w:val="000E048B"/>
    <w:rsid w:val="000F5FBE"/>
    <w:rsid w:val="000F722E"/>
    <w:rsid w:val="001355CC"/>
    <w:rsid w:val="001571E5"/>
    <w:rsid w:val="00157F74"/>
    <w:rsid w:val="001934E7"/>
    <w:rsid w:val="00195C6B"/>
    <w:rsid w:val="00195EE6"/>
    <w:rsid w:val="001A2C90"/>
    <w:rsid w:val="001B69D7"/>
    <w:rsid w:val="001E2D2D"/>
    <w:rsid w:val="001E4174"/>
    <w:rsid w:val="001F4A04"/>
    <w:rsid w:val="0021012A"/>
    <w:rsid w:val="00213A7F"/>
    <w:rsid w:val="002254FB"/>
    <w:rsid w:val="00227288"/>
    <w:rsid w:val="00227459"/>
    <w:rsid w:val="00231E06"/>
    <w:rsid w:val="00247EE6"/>
    <w:rsid w:val="002502F0"/>
    <w:rsid w:val="002740BF"/>
    <w:rsid w:val="00285F7D"/>
    <w:rsid w:val="0029263A"/>
    <w:rsid w:val="002A3A40"/>
    <w:rsid w:val="002B5386"/>
    <w:rsid w:val="002C715C"/>
    <w:rsid w:val="002D1C75"/>
    <w:rsid w:val="002D43CA"/>
    <w:rsid w:val="002D64B1"/>
    <w:rsid w:val="002E0661"/>
    <w:rsid w:val="002E264F"/>
    <w:rsid w:val="002F2570"/>
    <w:rsid w:val="00313479"/>
    <w:rsid w:val="00320C84"/>
    <w:rsid w:val="0032551F"/>
    <w:rsid w:val="003508B3"/>
    <w:rsid w:val="00365086"/>
    <w:rsid w:val="00394275"/>
    <w:rsid w:val="00395D8C"/>
    <w:rsid w:val="00395D9B"/>
    <w:rsid w:val="003A2AF8"/>
    <w:rsid w:val="003C66CB"/>
    <w:rsid w:val="003E1F46"/>
    <w:rsid w:val="003E7286"/>
    <w:rsid w:val="003F1BF1"/>
    <w:rsid w:val="003F222C"/>
    <w:rsid w:val="00405533"/>
    <w:rsid w:val="00425771"/>
    <w:rsid w:val="00425CB2"/>
    <w:rsid w:val="004273FD"/>
    <w:rsid w:val="004358E8"/>
    <w:rsid w:val="0043695F"/>
    <w:rsid w:val="00437043"/>
    <w:rsid w:val="00453E41"/>
    <w:rsid w:val="00461FD8"/>
    <w:rsid w:val="004633D5"/>
    <w:rsid w:val="00493FE4"/>
    <w:rsid w:val="004A5A31"/>
    <w:rsid w:val="004B4E7E"/>
    <w:rsid w:val="004C6AB3"/>
    <w:rsid w:val="004D353D"/>
    <w:rsid w:val="004D5383"/>
    <w:rsid w:val="004E10A4"/>
    <w:rsid w:val="00505961"/>
    <w:rsid w:val="00506100"/>
    <w:rsid w:val="0051379D"/>
    <w:rsid w:val="00541D6B"/>
    <w:rsid w:val="00554C0D"/>
    <w:rsid w:val="00557AB6"/>
    <w:rsid w:val="00587104"/>
    <w:rsid w:val="005D6862"/>
    <w:rsid w:val="005F7591"/>
    <w:rsid w:val="00606722"/>
    <w:rsid w:val="00620365"/>
    <w:rsid w:val="00623EFA"/>
    <w:rsid w:val="006429EA"/>
    <w:rsid w:val="00645973"/>
    <w:rsid w:val="00653721"/>
    <w:rsid w:val="006569D8"/>
    <w:rsid w:val="00661FC3"/>
    <w:rsid w:val="006623FB"/>
    <w:rsid w:val="00664A55"/>
    <w:rsid w:val="00664CFA"/>
    <w:rsid w:val="0066516F"/>
    <w:rsid w:val="00665796"/>
    <w:rsid w:val="00685F69"/>
    <w:rsid w:val="00691EE5"/>
    <w:rsid w:val="006B796B"/>
    <w:rsid w:val="006C2013"/>
    <w:rsid w:val="006F1340"/>
    <w:rsid w:val="0070736C"/>
    <w:rsid w:val="00711BA1"/>
    <w:rsid w:val="00722092"/>
    <w:rsid w:val="00726B7C"/>
    <w:rsid w:val="00733FF2"/>
    <w:rsid w:val="00746149"/>
    <w:rsid w:val="00754F16"/>
    <w:rsid w:val="00765E27"/>
    <w:rsid w:val="00766E16"/>
    <w:rsid w:val="00781E8D"/>
    <w:rsid w:val="00796584"/>
    <w:rsid w:val="00797A67"/>
    <w:rsid w:val="007A0526"/>
    <w:rsid w:val="007B5895"/>
    <w:rsid w:val="007D285B"/>
    <w:rsid w:val="007F3D33"/>
    <w:rsid w:val="007F7474"/>
    <w:rsid w:val="0080089D"/>
    <w:rsid w:val="008008FD"/>
    <w:rsid w:val="00807971"/>
    <w:rsid w:val="0081240A"/>
    <w:rsid w:val="008328B7"/>
    <w:rsid w:val="008328E8"/>
    <w:rsid w:val="00851B42"/>
    <w:rsid w:val="00871135"/>
    <w:rsid w:val="00873AA7"/>
    <w:rsid w:val="00873BC0"/>
    <w:rsid w:val="0087437A"/>
    <w:rsid w:val="008A41A3"/>
    <w:rsid w:val="008A7C48"/>
    <w:rsid w:val="008B35F1"/>
    <w:rsid w:val="008B4F62"/>
    <w:rsid w:val="008D64EF"/>
    <w:rsid w:val="008E16F4"/>
    <w:rsid w:val="008E2BAD"/>
    <w:rsid w:val="00901EF4"/>
    <w:rsid w:val="00902C4D"/>
    <w:rsid w:val="009074D8"/>
    <w:rsid w:val="00911FD5"/>
    <w:rsid w:val="0092613A"/>
    <w:rsid w:val="00934686"/>
    <w:rsid w:val="009378A4"/>
    <w:rsid w:val="00940CE3"/>
    <w:rsid w:val="00941AAA"/>
    <w:rsid w:val="00950D1A"/>
    <w:rsid w:val="00950ECA"/>
    <w:rsid w:val="00957B02"/>
    <w:rsid w:val="00960E9F"/>
    <w:rsid w:val="009743B0"/>
    <w:rsid w:val="009A30DF"/>
    <w:rsid w:val="009A53FC"/>
    <w:rsid w:val="009A7271"/>
    <w:rsid w:val="009C2EE8"/>
    <w:rsid w:val="009C510C"/>
    <w:rsid w:val="009C7BEE"/>
    <w:rsid w:val="009D07FD"/>
    <w:rsid w:val="009E7DEC"/>
    <w:rsid w:val="00A03C93"/>
    <w:rsid w:val="00A2134A"/>
    <w:rsid w:val="00A21631"/>
    <w:rsid w:val="00A34787"/>
    <w:rsid w:val="00A64828"/>
    <w:rsid w:val="00A90B1C"/>
    <w:rsid w:val="00A94A60"/>
    <w:rsid w:val="00AA23E0"/>
    <w:rsid w:val="00AA2EFE"/>
    <w:rsid w:val="00AC61CD"/>
    <w:rsid w:val="00AD4CAE"/>
    <w:rsid w:val="00B1104C"/>
    <w:rsid w:val="00B5360D"/>
    <w:rsid w:val="00B55D32"/>
    <w:rsid w:val="00B91A3C"/>
    <w:rsid w:val="00BA4753"/>
    <w:rsid w:val="00BB1DF0"/>
    <w:rsid w:val="00BD491A"/>
    <w:rsid w:val="00BF2AEF"/>
    <w:rsid w:val="00BF5FC9"/>
    <w:rsid w:val="00C05CAB"/>
    <w:rsid w:val="00C221CE"/>
    <w:rsid w:val="00C23A6A"/>
    <w:rsid w:val="00C27AB7"/>
    <w:rsid w:val="00C50C92"/>
    <w:rsid w:val="00C524AE"/>
    <w:rsid w:val="00C56744"/>
    <w:rsid w:val="00C63005"/>
    <w:rsid w:val="00C67280"/>
    <w:rsid w:val="00C74A90"/>
    <w:rsid w:val="00CA1361"/>
    <w:rsid w:val="00CA6302"/>
    <w:rsid w:val="00CB40B1"/>
    <w:rsid w:val="00CC6DD0"/>
    <w:rsid w:val="00CD555A"/>
    <w:rsid w:val="00CE0429"/>
    <w:rsid w:val="00CE1761"/>
    <w:rsid w:val="00CF7E3E"/>
    <w:rsid w:val="00D043DD"/>
    <w:rsid w:val="00D20691"/>
    <w:rsid w:val="00D26020"/>
    <w:rsid w:val="00D27A9D"/>
    <w:rsid w:val="00D45132"/>
    <w:rsid w:val="00D63843"/>
    <w:rsid w:val="00D66E3C"/>
    <w:rsid w:val="00D711FF"/>
    <w:rsid w:val="00D857D4"/>
    <w:rsid w:val="00D86929"/>
    <w:rsid w:val="00D902B8"/>
    <w:rsid w:val="00D93A7B"/>
    <w:rsid w:val="00DC2FE4"/>
    <w:rsid w:val="00DC37CC"/>
    <w:rsid w:val="00DD5A4F"/>
    <w:rsid w:val="00DD7D80"/>
    <w:rsid w:val="00DE03A8"/>
    <w:rsid w:val="00DE1A98"/>
    <w:rsid w:val="00DF0604"/>
    <w:rsid w:val="00DF4B64"/>
    <w:rsid w:val="00E0498E"/>
    <w:rsid w:val="00E152EC"/>
    <w:rsid w:val="00E55D43"/>
    <w:rsid w:val="00E63507"/>
    <w:rsid w:val="00E746BD"/>
    <w:rsid w:val="00E845F6"/>
    <w:rsid w:val="00EB474A"/>
    <w:rsid w:val="00EC2818"/>
    <w:rsid w:val="00EC3138"/>
    <w:rsid w:val="00ED4F26"/>
    <w:rsid w:val="00ED5430"/>
    <w:rsid w:val="00EE46D8"/>
    <w:rsid w:val="00EF4B17"/>
    <w:rsid w:val="00EF6F8A"/>
    <w:rsid w:val="00F05D06"/>
    <w:rsid w:val="00F1137C"/>
    <w:rsid w:val="00F17BF0"/>
    <w:rsid w:val="00F26D91"/>
    <w:rsid w:val="00F45B58"/>
    <w:rsid w:val="00F52494"/>
    <w:rsid w:val="00F64673"/>
    <w:rsid w:val="00F72790"/>
    <w:rsid w:val="00F74502"/>
    <w:rsid w:val="00F747F3"/>
    <w:rsid w:val="00F77CD0"/>
    <w:rsid w:val="00F937C1"/>
    <w:rsid w:val="00FA32D2"/>
    <w:rsid w:val="00FA70AA"/>
    <w:rsid w:val="00FA7750"/>
    <w:rsid w:val="00FB25CC"/>
    <w:rsid w:val="00FC7FC8"/>
    <w:rsid w:val="00FD7C67"/>
    <w:rsid w:val="00FE15CA"/>
    <w:rsid w:val="00FE307A"/>
    <w:rsid w:val="00FE3F09"/>
    <w:rsid w:val="00FF4CF6"/>
    <w:rsid w:val="00FF5F4B"/>
    <w:rsid w:val="00FF5FB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E450D"/>
  <w15:docId w15:val="{3251A37F-E942-422E-9E7C-3131640FF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94A60"/>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BGK">
    <w:name w:val="BGK"/>
    <w:basedOn w:val="Normalny"/>
    <w:qFormat/>
    <w:rsid w:val="00A94A60"/>
    <w:pPr>
      <w:autoSpaceDE w:val="0"/>
      <w:autoSpaceDN w:val="0"/>
      <w:adjustRightInd w:val="0"/>
      <w:spacing w:after="0" w:line="288" w:lineRule="auto"/>
      <w:ind w:right="34"/>
      <w:textAlignment w:val="center"/>
    </w:pPr>
    <w:rPr>
      <w:rFonts w:ascii="Calibri" w:eastAsia="MS Mincho" w:hAnsi="Calibri" w:cs="Arial"/>
      <w:sz w:val="24"/>
      <w:szCs w:val="24"/>
      <w:lang w:eastAsia="pl-PL"/>
    </w:rPr>
  </w:style>
  <w:style w:type="character" w:styleId="Hipercze">
    <w:name w:val="Hyperlink"/>
    <w:basedOn w:val="Domylnaczcionkaakapitu"/>
    <w:uiPriority w:val="99"/>
    <w:unhideWhenUsed/>
    <w:rsid w:val="00A94A60"/>
    <w:rPr>
      <w:color w:val="0000FF" w:themeColor="hyperlink"/>
      <w:u w:val="single"/>
    </w:rPr>
  </w:style>
  <w:style w:type="paragraph" w:styleId="Nagwek">
    <w:name w:val="header"/>
    <w:basedOn w:val="Normalny"/>
    <w:link w:val="NagwekZnak"/>
    <w:uiPriority w:val="99"/>
    <w:unhideWhenUsed/>
    <w:rsid w:val="00A94A6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4A60"/>
  </w:style>
  <w:style w:type="paragraph" w:styleId="Stopka">
    <w:name w:val="footer"/>
    <w:basedOn w:val="Normalny"/>
    <w:link w:val="StopkaZnak"/>
    <w:uiPriority w:val="99"/>
    <w:unhideWhenUsed/>
    <w:rsid w:val="00A94A6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4A60"/>
  </w:style>
  <w:style w:type="character" w:styleId="Odwoaniedokomentarza">
    <w:name w:val="annotation reference"/>
    <w:basedOn w:val="Domylnaczcionkaakapitu"/>
    <w:uiPriority w:val="99"/>
    <w:semiHidden/>
    <w:unhideWhenUsed/>
    <w:rsid w:val="00FF4CF6"/>
    <w:rPr>
      <w:sz w:val="16"/>
      <w:szCs w:val="16"/>
    </w:rPr>
  </w:style>
  <w:style w:type="paragraph" w:styleId="Tekstkomentarza">
    <w:name w:val="annotation text"/>
    <w:basedOn w:val="Normalny"/>
    <w:link w:val="TekstkomentarzaZnak"/>
    <w:uiPriority w:val="99"/>
    <w:semiHidden/>
    <w:unhideWhenUsed/>
    <w:rsid w:val="00FF4CF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F4CF6"/>
    <w:rPr>
      <w:sz w:val="20"/>
      <w:szCs w:val="20"/>
    </w:rPr>
  </w:style>
  <w:style w:type="paragraph" w:styleId="Tematkomentarza">
    <w:name w:val="annotation subject"/>
    <w:basedOn w:val="Tekstkomentarza"/>
    <w:next w:val="Tekstkomentarza"/>
    <w:link w:val="TematkomentarzaZnak"/>
    <w:uiPriority w:val="99"/>
    <w:semiHidden/>
    <w:unhideWhenUsed/>
    <w:rsid w:val="00FF4CF6"/>
    <w:rPr>
      <w:b/>
      <w:bCs/>
    </w:rPr>
  </w:style>
  <w:style w:type="character" w:customStyle="1" w:styleId="TematkomentarzaZnak">
    <w:name w:val="Temat komentarza Znak"/>
    <w:basedOn w:val="TekstkomentarzaZnak"/>
    <w:link w:val="Tematkomentarza"/>
    <w:uiPriority w:val="99"/>
    <w:semiHidden/>
    <w:rsid w:val="00FF4CF6"/>
    <w:rPr>
      <w:b/>
      <w:bCs/>
      <w:sz w:val="20"/>
      <w:szCs w:val="20"/>
    </w:rPr>
  </w:style>
  <w:style w:type="paragraph" w:styleId="Tekstdymka">
    <w:name w:val="Balloon Text"/>
    <w:basedOn w:val="Normalny"/>
    <w:link w:val="TekstdymkaZnak"/>
    <w:uiPriority w:val="99"/>
    <w:semiHidden/>
    <w:unhideWhenUsed/>
    <w:rsid w:val="00FF4CF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F4CF6"/>
    <w:rPr>
      <w:rFonts w:ascii="Tahoma" w:hAnsi="Tahoma" w:cs="Tahoma"/>
      <w:sz w:val="16"/>
      <w:szCs w:val="16"/>
    </w:rPr>
  </w:style>
  <w:style w:type="paragraph" w:customStyle="1" w:styleId="USTustnpkodeksu">
    <w:name w:val="UST(§) – ust. (§ np. kodeksu)"/>
    <w:basedOn w:val="Normalny"/>
    <w:uiPriority w:val="12"/>
    <w:qFormat/>
    <w:rsid w:val="007F3D33"/>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NIEARTTEKSTtekstnieartykuowanynppodstprawnarozplubpreambua">
    <w:name w:val="NIEART_TEKST – tekst nieartykułowany (np. podst. prawna rozp. lub preambuła)"/>
    <w:basedOn w:val="Normalny"/>
    <w:next w:val="Normalny"/>
    <w:uiPriority w:val="7"/>
    <w:qFormat/>
    <w:rsid w:val="00B91A3C"/>
    <w:pPr>
      <w:suppressAutoHyphens/>
      <w:autoSpaceDE w:val="0"/>
      <w:autoSpaceDN w:val="0"/>
      <w:adjustRightInd w:val="0"/>
      <w:spacing w:before="120"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6"/>
    <w:qFormat/>
    <w:rsid w:val="00B91A3C"/>
    <w:pPr>
      <w:spacing w:after="0" w:line="360" w:lineRule="auto"/>
      <w:ind w:left="510" w:hanging="510"/>
      <w:jc w:val="both"/>
    </w:pPr>
    <w:rPr>
      <w:rFonts w:ascii="Times" w:eastAsiaTheme="minorEastAsia" w:hAnsi="Times" w:cs="Arial"/>
      <w:bCs/>
      <w:sz w:val="24"/>
      <w:szCs w:val="20"/>
      <w:lang w:eastAsia="pl-PL"/>
    </w:rPr>
  </w:style>
  <w:style w:type="paragraph" w:customStyle="1" w:styleId="TEKSTwTABELItekstzwcitympierwwierszem">
    <w:name w:val="TEKST_w_TABELI – tekst z wciętym pierw. wierszem"/>
    <w:basedOn w:val="Normalny"/>
    <w:uiPriority w:val="23"/>
    <w:qFormat/>
    <w:rsid w:val="00B91A3C"/>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styleId="Tekstprzypisudolnego">
    <w:name w:val="footnote text"/>
    <w:basedOn w:val="Normalny"/>
    <w:link w:val="TekstprzypisudolnegoZnak"/>
    <w:uiPriority w:val="99"/>
    <w:semiHidden/>
    <w:unhideWhenUsed/>
    <w:rsid w:val="00C23A6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23A6A"/>
    <w:rPr>
      <w:sz w:val="20"/>
      <w:szCs w:val="20"/>
    </w:rPr>
  </w:style>
  <w:style w:type="character" w:styleId="Odwoanieprzypisudolnego">
    <w:name w:val="footnote reference"/>
    <w:basedOn w:val="Domylnaczcionkaakapitu"/>
    <w:uiPriority w:val="99"/>
    <w:semiHidden/>
    <w:unhideWhenUsed/>
    <w:rsid w:val="00C23A6A"/>
    <w:rPr>
      <w:vertAlign w:val="superscript"/>
    </w:rPr>
  </w:style>
  <w:style w:type="table" w:styleId="Tabela-Siatka">
    <w:name w:val="Table Grid"/>
    <w:basedOn w:val="Standardowy"/>
    <w:uiPriority w:val="39"/>
    <w:rsid w:val="00C23A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Tartustawynprozporzdzenia">
    <w:name w:val="ART(§) – art. ustawy (§ np. rozporządzenia)"/>
    <w:uiPriority w:val="14"/>
    <w:qFormat/>
    <w:rsid w:val="002E264F"/>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character" w:customStyle="1" w:styleId="IGindeksgrny">
    <w:name w:val="_IG_ – indeks górny"/>
    <w:basedOn w:val="Domylnaczcionkaakapitu"/>
    <w:uiPriority w:val="3"/>
    <w:qFormat/>
    <w:rsid w:val="009A7271"/>
    <w:rPr>
      <w:b w:val="0"/>
      <w:bCs w:val="0"/>
      <w:i w:val="0"/>
      <w:iCs w:val="0"/>
      <w:spacing w:val="0"/>
      <w:vertAlign w:val="superscript"/>
    </w:rPr>
  </w:style>
  <w:style w:type="character" w:customStyle="1" w:styleId="TEKSTOZNACZONYWDOKUMENCIERDOWYMJAKOUKRYTY">
    <w:name w:val="_TEKST_OZNACZONY_W_DOKUMENCIE_ŹRÓDŁOWYM_JAKO_UKRYTY_"/>
    <w:basedOn w:val="Domylnaczcionkaakapitu"/>
    <w:uiPriority w:val="1"/>
    <w:qFormat/>
    <w:rsid w:val="009A7271"/>
    <w:rPr>
      <w:color w:val="FF0000"/>
      <w:u w:val="single"/>
    </w:rPr>
  </w:style>
  <w:style w:type="paragraph" w:customStyle="1" w:styleId="ZCZWSPTIRwLITzmczciwsptirwlitartykuempunktem">
    <w:name w:val="Z/CZ_WSP_TIR_w_LIT – zm. części wsp. tir. w lit. artykułem (punktem)"/>
    <w:basedOn w:val="Normalny"/>
    <w:next w:val="Normalny"/>
    <w:uiPriority w:val="36"/>
    <w:qFormat/>
    <w:rsid w:val="00A21631"/>
    <w:pPr>
      <w:spacing w:after="0" w:line="360" w:lineRule="auto"/>
      <w:ind w:left="987"/>
      <w:jc w:val="both"/>
    </w:pPr>
    <w:rPr>
      <w:rFonts w:ascii="Times" w:eastAsiaTheme="minorEastAsia" w:hAnsi="Times" w:cs="Arial"/>
      <w:bCs/>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9423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galis.pl/document-view.seam?documentId=mfrxilrtg4ytiobwgu3tkltqmfyc4njtguztimbsg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zpf.pl/proponowana-zmiana-limitu-pozaodsetkowych-kosztow-kredytu-wymaga-rzetelnej-analizy-ekonomicznej/"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sip.legalis.pl/document-view.seam?documentId=mfrxilrtg4ytiobwgu3tkltqmfyc4njtguztinjsgi"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51</Pages>
  <Words>18196</Words>
  <Characters>109176</Characters>
  <Application>Microsoft Office Word</Application>
  <DocSecurity>4</DocSecurity>
  <Lines>909</Lines>
  <Paragraphs>254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Ołdak Piotr</dc:creator>
  <cp:lastModifiedBy>Binkowska Joanna</cp:lastModifiedBy>
  <cp:revision>2</cp:revision>
  <dcterms:created xsi:type="dcterms:W3CDTF">2020-12-09T06:28:00Z</dcterms:created>
  <dcterms:modified xsi:type="dcterms:W3CDTF">2020-12-09T06:28:00Z</dcterms:modified>
</cp:coreProperties>
</file>