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CDF" w:rsidRPr="0001566C" w:rsidRDefault="008A6CDF" w:rsidP="0001566C">
      <w:pPr>
        <w:pStyle w:val="OZNRODZAKTUtznustawalubrozporzdzenieiorganwydajcy"/>
        <w:spacing w:before="120" w:after="0"/>
        <w:rPr>
          <w:rFonts w:ascii="Times New Roman" w:hAnsi="Times New Roman"/>
          <w:b w:val="0"/>
          <w:spacing w:val="0"/>
        </w:rPr>
      </w:pPr>
      <w:r w:rsidRPr="0001566C">
        <w:rPr>
          <w:rFonts w:ascii="Times New Roman" w:hAnsi="Times New Roman"/>
          <w:b w:val="0"/>
          <w:spacing w:val="0"/>
        </w:rPr>
        <w:t>UZASADNIENIE</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 xml:space="preserve">Biuro Przedstawicielskie Tajpej w Polsce zwróciło się do Ministerstwa Sprawiedliwości Rzeczypospolitej Polskiej z propozycją zawarcia porozumienia o współpracy </w:t>
      </w:r>
      <w:r w:rsidR="00D10D67" w:rsidRPr="0001566C">
        <w:rPr>
          <w:rFonts w:ascii="Times New Roman" w:hAnsi="Times New Roman" w:cs="Times New Roman"/>
        </w:rPr>
        <w:t>w</w:t>
      </w:r>
      <w:r w:rsidR="00D10D67">
        <w:rPr>
          <w:rFonts w:ascii="Times New Roman" w:hAnsi="Times New Roman" w:cs="Times New Roman"/>
        </w:rPr>
        <w:t> </w:t>
      </w:r>
      <w:r w:rsidRPr="0001566C">
        <w:rPr>
          <w:rFonts w:ascii="Times New Roman" w:hAnsi="Times New Roman" w:cs="Times New Roman"/>
        </w:rPr>
        <w:t>sprawach karnych. Poinformowało, że Tajwan zawarł porozumienia dotyczące wzajemnej pomocy prawnej w sprawach karnych</w:t>
      </w:r>
      <w:r w:rsidR="0001566C">
        <w:rPr>
          <w:rFonts w:ascii="Times New Roman" w:hAnsi="Times New Roman" w:cs="Times New Roman"/>
        </w:rPr>
        <w:t>,</w:t>
      </w:r>
      <w:r w:rsidRPr="0001566C">
        <w:rPr>
          <w:rFonts w:ascii="Times New Roman" w:hAnsi="Times New Roman" w:cs="Times New Roman"/>
        </w:rPr>
        <w:t xml:space="preserve"> w szczególności z</w:t>
      </w:r>
      <w:r w:rsidR="0001566C">
        <w:rPr>
          <w:rFonts w:ascii="Times New Roman" w:hAnsi="Times New Roman" w:cs="Times New Roman"/>
        </w:rPr>
        <w:t>:</w:t>
      </w:r>
      <w:r w:rsidRPr="0001566C">
        <w:rPr>
          <w:rFonts w:ascii="Times New Roman" w:hAnsi="Times New Roman" w:cs="Times New Roman"/>
        </w:rPr>
        <w:t xml:space="preserve"> Francją, Niemcami, Stanami Zjednoczonymi, Republiką Południowej Afryki, Wietnamem, Tajlandią, Chińską Republiką Ludową. Strona tajwańska wskazała, że Polska wykorzystywana jest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 xml:space="preserve">szczególności jako miejsce popełniania oszustw internetowych a opóźnienia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 xml:space="preserve">wykonywaniu wniosków o pomoc prawną załatwianych obecnie na zasadzie wzajemności utrudniają postępowanie, zwłaszcza w zakresie zwalczania cyberprzestępczości. Porozumienie miałoby na celu przyspieszenie i uproszczenie postępowań karnych w tego rodzaju sprawach i umożliwiłoby przekazanie do Polski obywatela polskiego odbywającego na Tajwanie długoterminową karę pozbawienia wolności. W ocenie Ministerstwa Sprawiedliwości argumentacja tajwańska jest przekonywająca a Polska powinna być postrzegana jako kraj aktywnie angażujący się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zwalczanie przestępczości transgranicznej, w tym cyberprzestępczości. Zawarcie Porozumienia umożliwiłoby też przyspieszenie i uproszczenie postępowań prowadzonych w Polsce z udziałem Tajwańczyków (w tym tymczasowo aresztowanych) i ułatwiłoby przekazanie ich na Tajwan w celu odbycia tam kar pozbawienia wolności. Tym samym podjęcie inicjatywy tajwańskiej było faktycznie zasadne.</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W zgodnej opinii Ministerstwa Sprawiedliwości i Ministerstwa Spraw Zagranicznych Porozumienie powinno być zawarte w formule przyjętej dla Porozumienia o unikaniu podwójnego opodatkowania, podpisanego w Tajpej dnia 21</w:t>
      </w:r>
      <w:r>
        <w:rPr>
          <w:rFonts w:ascii="Times New Roman" w:hAnsi="Times New Roman" w:cs="Times New Roman"/>
        </w:rPr>
        <w:t xml:space="preserve"> </w:t>
      </w:r>
      <w:r w:rsidRPr="0001566C">
        <w:rPr>
          <w:rFonts w:ascii="Times New Roman" w:hAnsi="Times New Roman" w:cs="Times New Roman"/>
        </w:rPr>
        <w:t xml:space="preserve">października 2016 r., tj.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 xml:space="preserve">trybie, na zasadach i z następstwami określonymi w opinii Rady Legislacyjnej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sprawie prawnego uregulowania unikania podwójnego opodatkowania w</w:t>
      </w:r>
      <w:r>
        <w:rPr>
          <w:rFonts w:ascii="Times New Roman" w:hAnsi="Times New Roman" w:cs="Times New Roman"/>
        </w:rPr>
        <w:t xml:space="preserve"> </w:t>
      </w:r>
      <w:r w:rsidRPr="0001566C">
        <w:rPr>
          <w:rFonts w:ascii="Times New Roman" w:hAnsi="Times New Roman" w:cs="Times New Roman"/>
        </w:rPr>
        <w:t>stosunkach polsko</w:t>
      </w:r>
      <w:r w:rsidR="0001566C">
        <w:rPr>
          <w:rFonts w:ascii="Times New Roman" w:hAnsi="Times New Roman" w:cs="Times New Roman"/>
        </w:rPr>
        <w:noBreakHyphen/>
      </w:r>
      <w:r w:rsidRPr="0001566C">
        <w:rPr>
          <w:rFonts w:ascii="Times New Roman" w:hAnsi="Times New Roman" w:cs="Times New Roman"/>
        </w:rPr>
        <w:t xml:space="preserve">tajwańskich. Z opinii tej wynika, że w stosunkach z Tajwanem uwzględnić należy szczególne potrzeby stosunków międzynarodowych. Z tego względu możliwe jest zawarcie porozumienia między biurami przedstawicielskimi, a następnie przyjęcie ustawy transponującej je do prawa polskiego i zapewniającej jego wykonanie (polski </w:t>
      </w:r>
      <w:r w:rsidRPr="0001566C">
        <w:rPr>
          <w:rFonts w:ascii="Times New Roman" w:hAnsi="Times New Roman" w:cs="Times New Roman"/>
        </w:rPr>
        <w:lastRenderedPageBreak/>
        <w:t>alternat porozumienia stanowi załącznik do ustawy)</w:t>
      </w:r>
      <w:r>
        <w:rPr>
          <w:rStyle w:val="Odwoanieprzypisudolnego"/>
          <w:rFonts w:ascii="Times New Roman" w:hAnsi="Times New Roman"/>
        </w:rPr>
        <w:footnoteReference w:id="1"/>
      </w:r>
      <w:r w:rsidRPr="0001566C">
        <w:rPr>
          <w:rFonts w:ascii="Times New Roman" w:hAnsi="Times New Roman" w:cs="Times New Roman"/>
          <w:vertAlign w:val="superscript"/>
        </w:rPr>
        <w:t>)</w:t>
      </w:r>
      <w:r>
        <w:rPr>
          <w:rFonts w:ascii="Times New Roman" w:hAnsi="Times New Roman" w:cs="Times New Roman"/>
        </w:rPr>
        <w:t>)</w:t>
      </w:r>
      <w:r w:rsidRPr="0001566C">
        <w:rPr>
          <w:rFonts w:ascii="Times New Roman" w:hAnsi="Times New Roman" w:cs="Times New Roman"/>
        </w:rPr>
        <w:t>. Ten sposób postępowania sprawdził się w</w:t>
      </w:r>
      <w:r>
        <w:rPr>
          <w:rFonts w:ascii="Times New Roman" w:hAnsi="Times New Roman" w:cs="Times New Roman"/>
        </w:rPr>
        <w:t xml:space="preserve"> </w:t>
      </w:r>
      <w:r w:rsidRPr="0001566C">
        <w:rPr>
          <w:rFonts w:ascii="Times New Roman" w:hAnsi="Times New Roman" w:cs="Times New Roman"/>
        </w:rPr>
        <w:t>praktyce i dotychczas nie zaproponowano wobec niego praktycznej alternatywy. Artykuły 16 i 17 Porozumienia potwierdzają, że jego ewentualna zmiana, inna niż sprostowanie omyłki, o jakim mowa w dalszej części uzasadnienia, będzie wymagać przeprowadzenia stosownej procedury krajowej, tj. po stronie polskiej nowelizacji ustawy (załącznika do niej). Tekst Porozumienia został zaakceptowany przez Ministerstwo Spraw Zagranicznych.</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 xml:space="preserve">Porozumienie nie zostanie zawarte między podmiotami prywatnymi. W szczególności Biuro Polskie w Tajpej jest podmiotem publiczno-prawnym. W obwieszczeniu Ministra Spraw Zagranicznych z 3 lipca 2018 r. wskazano, że jest to „jednostka organizacyjna podległa ministrowi ds. zagranicznych, mająca siedzibę poza granicami RP. Nazwa „Porozumienie” („Agreement”) również nie przesądza o prywatnoprawnym charakterze tego instrumentu. Polska jest stroną 1602 umów międzynarodowych o nazwie „Porozumienie”. Tak też jest nazwany polsko-tajwański instrument o współpracy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zakresie unikania podwójnego opodatkowania. Brak podstaw do odstąpienia od przyjętej praktyki nazewniczej.</w:t>
      </w:r>
    </w:p>
    <w:p w:rsidR="008A6CDF" w:rsidRPr="0001566C" w:rsidRDefault="008A6CDF" w:rsidP="0001566C">
      <w:pPr>
        <w:pStyle w:val="ARTartustawynprozporzdzenia"/>
        <w:ind w:firstLine="0"/>
        <w:rPr>
          <w:rFonts w:ascii="Times New Roman" w:hAnsi="Times New Roman" w:cs="Times New Roman"/>
        </w:rPr>
      </w:pPr>
      <w:r w:rsidRPr="0001566C">
        <w:rPr>
          <w:rFonts w:ascii="Times New Roman" w:hAnsi="Times New Roman" w:cs="Times New Roman"/>
        </w:rPr>
        <w:t xml:space="preserve">W dniu 17 czerwca 2019 r. w Tajpej zostało podpisane Porozumienie między Biurem Polskim w Tajpej a Biurem Przedstawicielskim Tajpej w Polsce o współpracy prawnej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sprawach karnych.</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Projekt ustawy transponującej jest wzorowany na sprawdzonym w praktyce modelu przyjętym na potrzeby transpozycji instrumentu o unikaniu podwójnego opodatkowania. W</w:t>
      </w:r>
      <w:r>
        <w:rPr>
          <w:rFonts w:ascii="Times New Roman" w:hAnsi="Times New Roman" w:cs="Times New Roman"/>
        </w:rPr>
        <w:t xml:space="preserve"> </w:t>
      </w:r>
      <w:r w:rsidRPr="0001566C">
        <w:rPr>
          <w:rFonts w:ascii="Times New Roman" w:hAnsi="Times New Roman" w:cs="Times New Roman"/>
        </w:rPr>
        <w:t>szczególności pojęcie „przepisy odrębne” użyte w art. 2 ustawy transponującej zostało przeniesione z ustawy o</w:t>
      </w:r>
      <w:r>
        <w:rPr>
          <w:rFonts w:ascii="Times New Roman" w:hAnsi="Times New Roman" w:cs="Times New Roman"/>
        </w:rPr>
        <w:t xml:space="preserve"> </w:t>
      </w:r>
      <w:r w:rsidRPr="0001566C">
        <w:rPr>
          <w:rFonts w:ascii="Times New Roman" w:hAnsi="Times New Roman" w:cs="Times New Roman"/>
        </w:rPr>
        <w:t xml:space="preserve">transpozycji instrumentu o unikaniu podwójnego opodatkowania (Dz. U. z 2016 r. poz. 2244 ). Odsyłające „przepisy odrębne” wskazane w tym przepisie zawarte są w szczególności w ustawie z dnia </w:t>
      </w:r>
      <w:r w:rsidR="00D10D67" w:rsidRPr="0001566C">
        <w:rPr>
          <w:rFonts w:ascii="Times New Roman" w:hAnsi="Times New Roman" w:cs="Times New Roman"/>
        </w:rPr>
        <w:t>6</w:t>
      </w:r>
      <w:r w:rsidR="00D10D67">
        <w:rPr>
          <w:rFonts w:ascii="Times New Roman" w:hAnsi="Times New Roman" w:cs="Times New Roman"/>
        </w:rPr>
        <w:t> </w:t>
      </w:r>
      <w:r w:rsidRPr="0001566C">
        <w:rPr>
          <w:rFonts w:ascii="Times New Roman" w:hAnsi="Times New Roman" w:cs="Times New Roman"/>
        </w:rPr>
        <w:t xml:space="preserve">czerwca 1997 r. </w:t>
      </w:r>
      <w:r>
        <w:rPr>
          <w:rFonts w:ascii="Times New Roman" w:hAnsi="Times New Roman" w:cs="Times New Roman"/>
        </w:rPr>
        <w:t>–</w:t>
      </w:r>
      <w:r w:rsidRPr="0001566C">
        <w:rPr>
          <w:rFonts w:ascii="Times New Roman" w:hAnsi="Times New Roman" w:cs="Times New Roman"/>
        </w:rPr>
        <w:t xml:space="preserve"> Kodeks postępowania karnego (Dz. U. z 2020 r. poz. 30, z późn. zm.), dalej jako „KPK”, oraz rozporządzeniu Ministra Sprawiedliwości z dnia 28 stycznia 2002 r. w sprawie szczegółowych czynności sądów w sprawach z zakresu międzynarodowego postępowania cywilnego oraz karnego w</w:t>
      </w:r>
      <w:r>
        <w:rPr>
          <w:rFonts w:ascii="Times New Roman" w:hAnsi="Times New Roman" w:cs="Times New Roman"/>
        </w:rPr>
        <w:t xml:space="preserve"> </w:t>
      </w:r>
      <w:r w:rsidRPr="0001566C">
        <w:rPr>
          <w:rFonts w:ascii="Times New Roman" w:hAnsi="Times New Roman" w:cs="Times New Roman"/>
        </w:rPr>
        <w:t>stosunkach międzynarodowych (Dz. U. z 2014 r. poz. 1657, z późn. zm.).</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lastRenderedPageBreak/>
        <w:t>Podobnie tam, gdzie w ustawie o transpozycji instrumentu o unikaniu podwójnego opodatkowania jest mowa o „przepisach prawa podatkowego z zakresu podatków od</w:t>
      </w:r>
      <w:r>
        <w:rPr>
          <w:rFonts w:ascii="Times New Roman" w:hAnsi="Times New Roman" w:cs="Times New Roman"/>
        </w:rPr>
        <w:t xml:space="preserve"> </w:t>
      </w:r>
      <w:r w:rsidRPr="0001566C">
        <w:rPr>
          <w:rFonts w:ascii="Times New Roman" w:hAnsi="Times New Roman" w:cs="Times New Roman"/>
        </w:rPr>
        <w:t>dochodów”, tak w ustawie transponującej instrument o współpracy w sprawach karnych jest mowa o „przepisach prawa o postępowaniu w sprawach karnych ze stosunków międzynarodowych i</w:t>
      </w:r>
      <w:r>
        <w:rPr>
          <w:rFonts w:ascii="Times New Roman" w:hAnsi="Times New Roman" w:cs="Times New Roman"/>
        </w:rPr>
        <w:t xml:space="preserve"> </w:t>
      </w:r>
      <w:r w:rsidRPr="0001566C">
        <w:rPr>
          <w:rFonts w:ascii="Times New Roman" w:hAnsi="Times New Roman" w:cs="Times New Roman"/>
        </w:rPr>
        <w:t>odpowiedzialności za przestępstwa popełnione za granicą”. Przyjęte rozwiązanie podyktowane jest koniecznością zapewnienia wewnętrznej spójności systemu prawa oraz umożliwienia stosowania do przestępstw popełnionych na Tajwanie przepisów rozdziału XIII ustawy z dnia 6 czerwca 1997 r. – Kodeks karny (Dz</w:t>
      </w:r>
      <w:r w:rsidR="007D473C">
        <w:rPr>
          <w:rFonts w:ascii="Times New Roman" w:hAnsi="Times New Roman" w:cs="Times New Roman"/>
        </w:rPr>
        <w:t>. </w:t>
      </w:r>
      <w:r w:rsidRPr="0001566C">
        <w:rPr>
          <w:rFonts w:ascii="Times New Roman" w:hAnsi="Times New Roman" w:cs="Times New Roman"/>
        </w:rPr>
        <w:t>U. z 2020 r. poz. 1444, z późn. zm.) w pełnym zakresie (</w:t>
      </w:r>
      <w:r w:rsidRPr="00A6113F">
        <w:rPr>
          <w:rFonts w:ascii="Times New Roman" w:hAnsi="Times New Roman" w:cs="Times New Roman"/>
          <w:i/>
        </w:rPr>
        <w:t>de lege lata</w:t>
      </w:r>
      <w:r w:rsidRPr="0001566C">
        <w:rPr>
          <w:rFonts w:ascii="Times New Roman" w:hAnsi="Times New Roman" w:cs="Times New Roman"/>
        </w:rPr>
        <w:t xml:space="preserve"> jest to możliwe jedynie w drodze analogii na korzyść sprawcy).</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Stosowanie zasad współpracy określonych w Porozumieniu będzie uzależnione od</w:t>
      </w:r>
      <w:r>
        <w:rPr>
          <w:rFonts w:ascii="Times New Roman" w:hAnsi="Times New Roman" w:cs="Times New Roman"/>
        </w:rPr>
        <w:t xml:space="preserve"> </w:t>
      </w:r>
      <w:r w:rsidRPr="0001566C">
        <w:rPr>
          <w:rFonts w:ascii="Times New Roman" w:hAnsi="Times New Roman" w:cs="Times New Roman"/>
        </w:rPr>
        <w:t>wzajemności po stronie tajwańskiej. Informacja w przedmiocie stosowania Porozumienia na Tajwanie (o wzajemności lub jej braku w szczególności z uwagi na wygaśnięcie Porozumienia) zostanie – stosownie do art. 4 ust. 2 ustawy transponującej – podana do</w:t>
      </w:r>
      <w:r>
        <w:rPr>
          <w:rFonts w:ascii="Times New Roman" w:hAnsi="Times New Roman" w:cs="Times New Roman"/>
        </w:rPr>
        <w:t xml:space="preserve"> </w:t>
      </w:r>
      <w:r w:rsidRPr="0001566C">
        <w:rPr>
          <w:rFonts w:ascii="Times New Roman" w:hAnsi="Times New Roman" w:cs="Times New Roman"/>
        </w:rPr>
        <w:t xml:space="preserve">publicznej wiadomości na podstawie art. 10 ust. 4 ustawy z dnia 20 lipca 2000 r. </w:t>
      </w:r>
      <w:r w:rsidR="00976CF5" w:rsidRPr="0001566C">
        <w:rPr>
          <w:rFonts w:ascii="Times New Roman" w:hAnsi="Times New Roman" w:cs="Times New Roman"/>
        </w:rPr>
        <w:t>o</w:t>
      </w:r>
      <w:r w:rsidR="00976CF5">
        <w:rPr>
          <w:rFonts w:ascii="Times New Roman" w:hAnsi="Times New Roman" w:cs="Times New Roman"/>
        </w:rPr>
        <w:t> </w:t>
      </w:r>
      <w:r w:rsidRPr="0001566C">
        <w:rPr>
          <w:rFonts w:ascii="Times New Roman" w:hAnsi="Times New Roman" w:cs="Times New Roman"/>
        </w:rPr>
        <w:t xml:space="preserve">ogłaszaniu aktów normatywnych i niektórych innych aktów prawnych (Dz. U. z </w:t>
      </w:r>
      <w:r w:rsidR="00976CF5" w:rsidRPr="0001566C">
        <w:rPr>
          <w:rFonts w:ascii="Times New Roman" w:hAnsi="Times New Roman" w:cs="Times New Roman"/>
        </w:rPr>
        <w:t>2019</w:t>
      </w:r>
      <w:r w:rsidR="00976CF5">
        <w:rPr>
          <w:rFonts w:ascii="Times New Roman" w:hAnsi="Times New Roman" w:cs="Times New Roman"/>
        </w:rPr>
        <w:t> </w:t>
      </w:r>
      <w:r w:rsidRPr="0001566C">
        <w:rPr>
          <w:rFonts w:ascii="Times New Roman" w:hAnsi="Times New Roman" w:cs="Times New Roman"/>
        </w:rPr>
        <w:t xml:space="preserve">r. poz. 1461). Ustawa transponująca wejdzie w życie po upływie 14 dni od ogłoszenia, ale współpraca z Tajwanem w trybie i na zasadach określonych </w:t>
      </w:r>
      <w:r w:rsidR="00D10D67" w:rsidRPr="0001566C">
        <w:rPr>
          <w:rFonts w:ascii="Times New Roman" w:hAnsi="Times New Roman" w:cs="Times New Roman"/>
        </w:rPr>
        <w:t>w</w:t>
      </w:r>
      <w:r w:rsidR="00D10D67">
        <w:rPr>
          <w:rFonts w:ascii="Times New Roman" w:hAnsi="Times New Roman" w:cs="Times New Roman"/>
        </w:rPr>
        <w:t> </w:t>
      </w:r>
      <w:r w:rsidRPr="0001566C">
        <w:rPr>
          <w:rFonts w:ascii="Times New Roman" w:hAnsi="Times New Roman" w:cs="Times New Roman"/>
        </w:rPr>
        <w:t xml:space="preserve">Porozumieniu (załączniku do ustawy) będzie możliwa nie od dnia wejścia ustawy </w:t>
      </w:r>
      <w:r w:rsidR="00D10D67" w:rsidRPr="0001566C">
        <w:rPr>
          <w:rFonts w:ascii="Times New Roman" w:hAnsi="Times New Roman" w:cs="Times New Roman"/>
        </w:rPr>
        <w:t>w</w:t>
      </w:r>
      <w:r w:rsidR="00D10D67">
        <w:rPr>
          <w:rFonts w:ascii="Times New Roman" w:hAnsi="Times New Roman" w:cs="Times New Roman"/>
        </w:rPr>
        <w:t> </w:t>
      </w:r>
      <w:r w:rsidRPr="0001566C">
        <w:rPr>
          <w:rFonts w:ascii="Times New Roman" w:hAnsi="Times New Roman" w:cs="Times New Roman"/>
        </w:rPr>
        <w:t xml:space="preserve">życie, ale od daty wejścia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 xml:space="preserve">życie Porozumienia zgodnie z jego Artykułem 16 zd. 2. Art. 1 ustawy transponującej wskazuje bowiem, że współpraca z Tajwanem prowadzona jest na podstawie Porozumienia, a więc w trybie i na zasadach w nim określonych, w tym określających chwilę jego wejścia w życie. Dla większej jasności </w:t>
      </w:r>
      <w:r w:rsidR="00D10D67" w:rsidRPr="0001566C">
        <w:rPr>
          <w:rFonts w:ascii="Times New Roman" w:hAnsi="Times New Roman" w:cs="Times New Roman"/>
        </w:rPr>
        <w:t>i</w:t>
      </w:r>
      <w:r w:rsidR="00D10D67">
        <w:rPr>
          <w:rFonts w:ascii="Times New Roman" w:hAnsi="Times New Roman" w:cs="Times New Roman"/>
        </w:rPr>
        <w:t> </w:t>
      </w:r>
      <w:r w:rsidRPr="0001566C">
        <w:rPr>
          <w:rFonts w:ascii="Times New Roman" w:hAnsi="Times New Roman" w:cs="Times New Roman"/>
        </w:rPr>
        <w:t xml:space="preserve">zagwarantowania pewności prawnej data ta zostanie – stosownie do art. 3 ustawy transponującej – podana do publicznej wiadomości przez Ministra Sprawiedliwości na podstawie art. 10 ust. 4 ustawy </w:t>
      </w:r>
      <w:r w:rsidR="00976CF5" w:rsidRPr="0001566C">
        <w:rPr>
          <w:rFonts w:ascii="Times New Roman" w:hAnsi="Times New Roman" w:cs="Times New Roman"/>
        </w:rPr>
        <w:t>o</w:t>
      </w:r>
      <w:r w:rsidR="00976CF5">
        <w:rPr>
          <w:rFonts w:ascii="Times New Roman" w:hAnsi="Times New Roman" w:cs="Times New Roman"/>
        </w:rPr>
        <w:t> </w:t>
      </w:r>
      <w:r w:rsidRPr="0001566C">
        <w:rPr>
          <w:rFonts w:ascii="Times New Roman" w:hAnsi="Times New Roman" w:cs="Times New Roman"/>
        </w:rPr>
        <w:t>ogłaszaniu aktów normatywnych i niektórych innych aktów prawnych. Powołany przepis (art. 1 ustawy transponującej) nawiązuje do sprawdzonego w</w:t>
      </w:r>
      <w:r>
        <w:rPr>
          <w:rFonts w:ascii="Times New Roman" w:hAnsi="Times New Roman" w:cs="Times New Roman"/>
        </w:rPr>
        <w:t xml:space="preserve"> </w:t>
      </w:r>
      <w:r w:rsidRPr="0001566C">
        <w:rPr>
          <w:rFonts w:ascii="Times New Roman" w:hAnsi="Times New Roman" w:cs="Times New Roman"/>
        </w:rPr>
        <w:t>praktyce rozwiązania przyjętego w ustawie o transpozycji instrumentu o unikaniu podwójnego opodatkowania</w:t>
      </w:r>
      <w:r w:rsidR="00A42E3C">
        <w:rPr>
          <w:rFonts w:ascii="Times New Roman" w:hAnsi="Times New Roman" w:cs="Times New Roman"/>
        </w:rPr>
        <w:t>,</w:t>
      </w:r>
      <w:r w:rsidRPr="0001566C">
        <w:rPr>
          <w:rFonts w:ascii="Times New Roman" w:hAnsi="Times New Roman" w:cs="Times New Roman"/>
        </w:rPr>
        <w:t xml:space="preserve"> doprecyzowując, że od wzajemności uzależnione jest nie stosowanie ustawy jako takiej, a zasad współpracy określonych </w:t>
      </w:r>
      <w:r w:rsidR="00D10D67" w:rsidRPr="0001566C">
        <w:rPr>
          <w:rFonts w:ascii="Times New Roman" w:hAnsi="Times New Roman" w:cs="Times New Roman"/>
        </w:rPr>
        <w:t>w</w:t>
      </w:r>
      <w:r w:rsidR="00D10D67">
        <w:rPr>
          <w:rFonts w:ascii="Times New Roman" w:hAnsi="Times New Roman" w:cs="Times New Roman"/>
        </w:rPr>
        <w:t> </w:t>
      </w:r>
      <w:r w:rsidRPr="0001566C">
        <w:rPr>
          <w:rFonts w:ascii="Times New Roman" w:hAnsi="Times New Roman" w:cs="Times New Roman"/>
        </w:rPr>
        <w:t>jej art. 1.</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 xml:space="preserve">Informację w przedmiocie wzajemności stosowania Porozumienia poda do wiadomości publicznej Minister Sprawiedliwości. Jest to uzasadnione tym, że Minister Spraw </w:t>
      </w:r>
      <w:r w:rsidRPr="0001566C">
        <w:rPr>
          <w:rFonts w:ascii="Times New Roman" w:hAnsi="Times New Roman" w:cs="Times New Roman"/>
        </w:rPr>
        <w:lastRenderedPageBreak/>
        <w:t xml:space="preserve">Zagranicznych nie będzie dysponował informacjami w przedmiocie tego czy Porozumienie jest przez Tajwan efektywnie wykonywane (zgodnie z Porozumieniem obrót z Tajwanem będzie odbywał się z pominięciem Ministerstwa Spraw Zagranicznych). Nadto takie rozwiązanie jest spójne z treścią art. 51a § 2 ustawy z dnia 27 lipca 2001 r. </w:t>
      </w:r>
      <w:r>
        <w:rPr>
          <w:rFonts w:ascii="Times New Roman" w:hAnsi="Times New Roman" w:cs="Times New Roman"/>
        </w:rPr>
        <w:t>–</w:t>
      </w:r>
      <w:r w:rsidRPr="0001566C">
        <w:rPr>
          <w:rFonts w:ascii="Times New Roman" w:hAnsi="Times New Roman" w:cs="Times New Roman"/>
        </w:rPr>
        <w:t xml:space="preserve"> Prawo o ustroju sądów powszechnych (Dz. U. z 2020 r. poz. 365, </w:t>
      </w:r>
      <w:r w:rsidR="00976CF5" w:rsidRPr="0001566C">
        <w:rPr>
          <w:rFonts w:ascii="Times New Roman" w:hAnsi="Times New Roman" w:cs="Times New Roman"/>
        </w:rPr>
        <w:t>z</w:t>
      </w:r>
      <w:r w:rsidR="00976CF5">
        <w:rPr>
          <w:rFonts w:ascii="Times New Roman" w:hAnsi="Times New Roman" w:cs="Times New Roman"/>
        </w:rPr>
        <w:t> </w:t>
      </w:r>
      <w:r w:rsidRPr="0001566C">
        <w:rPr>
          <w:rFonts w:ascii="Times New Roman" w:hAnsi="Times New Roman" w:cs="Times New Roman"/>
        </w:rPr>
        <w:t>późn. zm.)</w:t>
      </w:r>
      <w:r w:rsidR="00ED53D3">
        <w:rPr>
          <w:rFonts w:ascii="Times New Roman" w:hAnsi="Times New Roman" w:cs="Times New Roman"/>
        </w:rPr>
        <w:t>:</w:t>
      </w:r>
      <w:r w:rsidRPr="0001566C">
        <w:rPr>
          <w:rFonts w:ascii="Times New Roman" w:hAnsi="Times New Roman" w:cs="Times New Roman"/>
        </w:rPr>
        <w:t xml:space="preserve"> „Sąd może zwrócić się do Ministra Sprawiedliwości również o udzielenie informacji co do istnienia wzajemności w stosunkach z państwem obcym.”</w:t>
      </w:r>
      <w:r w:rsidR="00ED53D3">
        <w:rPr>
          <w:rFonts w:ascii="Times New Roman" w:hAnsi="Times New Roman" w:cs="Times New Roman"/>
        </w:rPr>
        <w:t>.</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 xml:space="preserve">Obrót prawny z Tajwanem prowadzony jest przede wszystkim przez organy ścigania. Prokuratura Krajowa w 2016 r. zarejestrowała 8 wniosków polskich i 1 tajwański, </w:t>
      </w:r>
      <w:r w:rsidR="00976CF5" w:rsidRPr="0001566C">
        <w:rPr>
          <w:rFonts w:ascii="Times New Roman" w:hAnsi="Times New Roman" w:cs="Times New Roman"/>
        </w:rPr>
        <w:t>w</w:t>
      </w:r>
      <w:r w:rsidR="00976CF5">
        <w:rPr>
          <w:rFonts w:ascii="Times New Roman" w:hAnsi="Times New Roman" w:cs="Times New Roman"/>
        </w:rPr>
        <w:t> </w:t>
      </w:r>
      <w:r w:rsidR="00976CF5" w:rsidRPr="0001566C">
        <w:rPr>
          <w:rFonts w:ascii="Times New Roman" w:hAnsi="Times New Roman" w:cs="Times New Roman"/>
        </w:rPr>
        <w:t>2017</w:t>
      </w:r>
      <w:r w:rsidR="00976CF5">
        <w:rPr>
          <w:rFonts w:ascii="Times New Roman" w:hAnsi="Times New Roman" w:cs="Times New Roman"/>
        </w:rPr>
        <w:t> </w:t>
      </w:r>
      <w:r w:rsidRPr="0001566C">
        <w:rPr>
          <w:rFonts w:ascii="Times New Roman" w:hAnsi="Times New Roman" w:cs="Times New Roman"/>
        </w:rPr>
        <w:t>r. – 4</w:t>
      </w:r>
      <w:r>
        <w:rPr>
          <w:rFonts w:ascii="Times New Roman" w:hAnsi="Times New Roman" w:cs="Times New Roman"/>
        </w:rPr>
        <w:t xml:space="preserve"> </w:t>
      </w:r>
      <w:r w:rsidRPr="0001566C">
        <w:rPr>
          <w:rFonts w:ascii="Times New Roman" w:hAnsi="Times New Roman" w:cs="Times New Roman"/>
        </w:rPr>
        <w:t>polskie i 5 tajwańskich, w 2018 r. – 8 polskich i 2 tajwańskie, w 2019 r. – 1 polski i 2 tajwańskie. Tajwan realizuje wnioski polskie w terminie ok. jednego roku.</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Na koniec 2019 r. w jednostkach penitencjarnych w Polsce przebywał 1 tymczasowo aresztowany Tajwańczyk. Liczba pozbawionych wolności Tajwańczyków w latach ubiegłych, wynosiła odpowiednio według stanu na 31 grudnia: 2015</w:t>
      </w:r>
      <w:r w:rsidR="00ED53D3">
        <w:rPr>
          <w:rFonts w:ascii="Times New Roman" w:hAnsi="Times New Roman" w:cs="Times New Roman"/>
        </w:rPr>
        <w:t xml:space="preserve"> r.</w:t>
      </w:r>
      <w:r w:rsidRPr="0001566C">
        <w:rPr>
          <w:rFonts w:ascii="Times New Roman" w:hAnsi="Times New Roman" w:cs="Times New Roman"/>
        </w:rPr>
        <w:t xml:space="preserve"> i 2016 r. – 0, </w:t>
      </w:r>
      <w:r w:rsidR="00976CF5" w:rsidRPr="0001566C">
        <w:rPr>
          <w:rFonts w:ascii="Times New Roman" w:hAnsi="Times New Roman" w:cs="Times New Roman"/>
        </w:rPr>
        <w:t>2017</w:t>
      </w:r>
      <w:r w:rsidR="00976CF5">
        <w:rPr>
          <w:rFonts w:ascii="Times New Roman" w:hAnsi="Times New Roman" w:cs="Times New Roman"/>
        </w:rPr>
        <w:t> </w:t>
      </w:r>
      <w:r w:rsidRPr="0001566C">
        <w:rPr>
          <w:rFonts w:ascii="Times New Roman" w:hAnsi="Times New Roman" w:cs="Times New Roman"/>
        </w:rPr>
        <w:t xml:space="preserve">r. – 1 tymczasowo aresztowany, 2018 r. – 1 tymczasowo aresztowany. Na Tajwanie osadzony jest natomiast jeden obywatel polski. Sprawa o przejęcie do wykonania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 xml:space="preserve">Polsce wymierzonej mu kary pozbawienia wolności jest w toku od 2018 r. Obecny stan prawny </w:t>
      </w:r>
      <w:r>
        <w:rPr>
          <w:rFonts w:ascii="Times New Roman" w:hAnsi="Times New Roman" w:cs="Times New Roman"/>
        </w:rPr>
        <w:t>–</w:t>
      </w:r>
      <w:r w:rsidRPr="0001566C">
        <w:rPr>
          <w:rFonts w:ascii="Times New Roman" w:hAnsi="Times New Roman" w:cs="Times New Roman"/>
        </w:rPr>
        <w:t xml:space="preserve"> brak podstaw do stosowania porozumienia o współpracy </w:t>
      </w:r>
      <w:r>
        <w:rPr>
          <w:rFonts w:ascii="Times New Roman" w:hAnsi="Times New Roman" w:cs="Times New Roman"/>
        </w:rPr>
        <w:t>–</w:t>
      </w:r>
      <w:r w:rsidRPr="0001566C">
        <w:rPr>
          <w:rFonts w:ascii="Times New Roman" w:hAnsi="Times New Roman" w:cs="Times New Roman"/>
        </w:rPr>
        <w:t xml:space="preserve"> nie sprzyja efektywności realizacji wniosków. Dość częste są przypadki długotrwałego braku reakcji strony tajwańskiej na wnioski o pomoc prawną mimo przesyłanych przez polską prokuraturę monitów. Także sprawa o przekazanie obywatela polskiego </w:t>
      </w:r>
      <w:r w:rsidR="00D10D67" w:rsidRPr="0001566C">
        <w:rPr>
          <w:rFonts w:ascii="Times New Roman" w:hAnsi="Times New Roman" w:cs="Times New Roman"/>
        </w:rPr>
        <w:t>z</w:t>
      </w:r>
      <w:r w:rsidR="00D10D67">
        <w:rPr>
          <w:rFonts w:ascii="Times New Roman" w:hAnsi="Times New Roman" w:cs="Times New Roman"/>
        </w:rPr>
        <w:t> </w:t>
      </w:r>
      <w:r w:rsidRPr="0001566C">
        <w:rPr>
          <w:rFonts w:ascii="Times New Roman" w:hAnsi="Times New Roman" w:cs="Times New Roman"/>
        </w:rPr>
        <w:t>Tajwanu celem wykonania w Polsce wymierzonej mu kary pozbawienia wolności jest długotrwała.</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Je</w:t>
      </w:r>
      <w:r w:rsidR="00ED53D3">
        <w:rPr>
          <w:rFonts w:ascii="Times New Roman" w:hAnsi="Times New Roman" w:cs="Times New Roman"/>
        </w:rPr>
        <w:t>że</w:t>
      </w:r>
      <w:r w:rsidRPr="0001566C">
        <w:rPr>
          <w:rFonts w:ascii="Times New Roman" w:hAnsi="Times New Roman" w:cs="Times New Roman"/>
        </w:rPr>
        <w:t>li strona tajwańska przestanie zapewniać wzajemność nie będzie to oznaczać niemożności zastosowania przez stronę polską – Ministra Sprawiedliwości – art. 4 ust. 2 ustawy transponującej. Porozumienie będzie wykonywane przez organy centralne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 xml:space="preserve">Polsce w chwili jego zawarcia: Minister Sprawiedliwości i Prokuratura Krajowa, na Tajwanie Ministerstwo Sprawiedliwości </w:t>
      </w:r>
      <w:r>
        <w:rPr>
          <w:rFonts w:ascii="Times New Roman" w:hAnsi="Times New Roman" w:cs="Times New Roman"/>
        </w:rPr>
        <w:t>–</w:t>
      </w:r>
      <w:r w:rsidRPr="0001566C">
        <w:rPr>
          <w:rFonts w:ascii="Times New Roman" w:hAnsi="Times New Roman" w:cs="Times New Roman"/>
        </w:rPr>
        <w:t xml:space="preserve"> stosownie do postanowień Artykułu 1 ust. 2 Porozumienia). W celu zapewnienia Porozumieniu niezbędnej elastyczności nie wskazano ich w jego tekście przez wskazanie nazwy, lecz postanowiono, iż biura przedstawicielskie Polski i</w:t>
      </w:r>
      <w:r>
        <w:rPr>
          <w:rFonts w:ascii="Times New Roman" w:hAnsi="Times New Roman" w:cs="Times New Roman"/>
        </w:rPr>
        <w:t xml:space="preserve"> </w:t>
      </w:r>
      <w:r w:rsidRPr="0001566C">
        <w:rPr>
          <w:rFonts w:ascii="Times New Roman" w:hAnsi="Times New Roman" w:cs="Times New Roman"/>
        </w:rPr>
        <w:t xml:space="preserve">Tajwanu poinformują się o nazwie lub nazwach organu centralnego lub organów centralnych odpowiedzialnych za wykonywanie zadań </w:t>
      </w:r>
      <w:r w:rsidRPr="0001566C">
        <w:rPr>
          <w:rFonts w:ascii="Times New Roman" w:hAnsi="Times New Roman" w:cs="Times New Roman"/>
        </w:rPr>
        <w:lastRenderedPageBreak/>
        <w:t>wskazanych w Porozumieniu, a także o zmianie ich nazw lub danych kontaktowych. Tym samym nowelizacja prawa krajowego zmieniająca nazwę lub usytuowanie któregokolwiek z organów centralnych, a także przesuwanie kompetencji między nimi, nie będzie wymagać zmiany Porozumienia.</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Porozumienie nie narusza zobowiązań Polski wynikających z członkostwa w Unii Europejskiej (Artykuł 1 ust. 3 Porozumienia). Oznacza to, że nie może być przywoływane lub interpretowane ani w całości ani też w części, w sposób pozwalający na unieważnienie, zmianę lub naruszenie zobowiązań RP wynikających z traktatów ustanawiających Unię Europejską oraz pierwotnego i wtórnego prawa Unii Europejskiej.</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Zakres przedmiotowy Porozumienia (Artykuł 2 ust. 1 Porozumienia) jest stosunkowo szeroki i obejmuje wzajemną pomoc prawną, ekstradycję, przekazywanie osób skazanych, udzielanie informacji o prawie i praktyce jego stosowania oraz udzielanie informacji dotyczących ścigania i</w:t>
      </w:r>
      <w:r>
        <w:rPr>
          <w:rFonts w:ascii="Times New Roman" w:hAnsi="Times New Roman" w:cs="Times New Roman"/>
        </w:rPr>
        <w:t xml:space="preserve"> </w:t>
      </w:r>
      <w:r w:rsidRPr="0001566C">
        <w:rPr>
          <w:rFonts w:ascii="Times New Roman" w:hAnsi="Times New Roman" w:cs="Times New Roman"/>
        </w:rPr>
        <w:t>zapobiegania przestępstwom. Porozumienie dotyczy tylko spraw karnych należących do</w:t>
      </w:r>
      <w:r>
        <w:rPr>
          <w:rFonts w:ascii="Times New Roman" w:hAnsi="Times New Roman" w:cs="Times New Roman"/>
        </w:rPr>
        <w:t xml:space="preserve"> </w:t>
      </w:r>
      <w:r w:rsidRPr="0001566C">
        <w:rPr>
          <w:rFonts w:ascii="Times New Roman" w:hAnsi="Times New Roman" w:cs="Times New Roman"/>
        </w:rPr>
        <w:t>właściwości sądów i Prokuratury (Artykuł 2 ust. 2 Porozumienia). W jego Artykule 3 ust. 1 doprecyzowano, że</w:t>
      </w:r>
      <w:r>
        <w:rPr>
          <w:rFonts w:ascii="Times New Roman" w:hAnsi="Times New Roman" w:cs="Times New Roman"/>
        </w:rPr>
        <w:t xml:space="preserve"> </w:t>
      </w:r>
      <w:r w:rsidRPr="0001566C">
        <w:rPr>
          <w:rFonts w:ascii="Times New Roman" w:hAnsi="Times New Roman" w:cs="Times New Roman"/>
        </w:rPr>
        <w:t xml:space="preserve">wzajemna pomoc prawa będzie udzielana „w związku z dochodzeniem, ściganiem lub postępowaniem sądowym” („in connection with the investigation, prosecution or court proceedings”). Użyte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 xml:space="preserve">tekście polskim pojęcie „dochodzenie” (ang. „investigation”) należy wykładać autonomicznie, jako każde postępowanie mające na celu ustalenie czy został popełniony czyn zabroniony, czy stanowi on przestępstwo, kto jest jego sprawcą, jaką odpowiedzialność powinien ponieść (postępowanie przygotowawcze we wszystkich jego formach, w tym śledztwo). Tak pojęcie „dochodzenie” (investigation) rozumiane jest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 xml:space="preserve">instrumentach z zakresu międzynarodowego prawa karnego (np. art. 1 ust. 1 umowy między Rzecząpospolitą Polską a Stanami Zjednoczonymi Ameryki </w:t>
      </w:r>
      <w:r w:rsidR="00D10D67" w:rsidRPr="0001566C">
        <w:rPr>
          <w:rFonts w:ascii="Times New Roman" w:hAnsi="Times New Roman" w:cs="Times New Roman"/>
        </w:rPr>
        <w:t>o</w:t>
      </w:r>
      <w:r w:rsidR="00D10D67">
        <w:rPr>
          <w:rFonts w:ascii="Times New Roman" w:hAnsi="Times New Roman" w:cs="Times New Roman"/>
        </w:rPr>
        <w:t> </w:t>
      </w:r>
      <w:r w:rsidRPr="0001566C">
        <w:rPr>
          <w:rFonts w:ascii="Times New Roman" w:hAnsi="Times New Roman" w:cs="Times New Roman"/>
        </w:rPr>
        <w:t>wzajemnej pomocy prawnej w</w:t>
      </w:r>
      <w:r>
        <w:rPr>
          <w:rFonts w:ascii="Times New Roman" w:hAnsi="Times New Roman" w:cs="Times New Roman"/>
        </w:rPr>
        <w:t xml:space="preserve"> </w:t>
      </w:r>
      <w:r w:rsidRPr="0001566C">
        <w:rPr>
          <w:rFonts w:ascii="Times New Roman" w:hAnsi="Times New Roman" w:cs="Times New Roman"/>
        </w:rPr>
        <w:t>sprawach karnych) i brak podstaw, aby odstępować od tej utrwalonej konwencji terminologicznej.</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 xml:space="preserve">Porozumienie nie daje też uprawnień podmiotom prywatnym lub osobom fizycznym (ang. „private party or natural person”), ani co oczywiste także ich nie odbiera (Artykuł 2 ust. 2 Porozumienia). Pojęcie „podmiotu prywatnego” jest używane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 xml:space="preserve">międzynarodowych instrumentach z zakresu prawa karnego (np. art. 2 rozporządzenia Parlamentu Europejskiego i Rady (UE) 2016/794 z dnia 11 maja 2016 r. </w:t>
      </w:r>
      <w:r w:rsidRPr="0001566C">
        <w:rPr>
          <w:rFonts w:ascii="Times New Roman" w:hAnsi="Times New Roman" w:cs="Times New Roman"/>
        </w:rPr>
        <w:lastRenderedPageBreak/>
        <w:t xml:space="preserve">w sprawie Agencji Unii Europejskiej ds. Współpracy Organów Ścigania (Europol), zastępujące </w:t>
      </w:r>
      <w:r w:rsidR="00976CF5" w:rsidRPr="0001566C">
        <w:rPr>
          <w:rFonts w:ascii="Times New Roman" w:hAnsi="Times New Roman" w:cs="Times New Roman"/>
        </w:rPr>
        <w:t>i</w:t>
      </w:r>
      <w:r w:rsidR="00976CF5">
        <w:rPr>
          <w:rFonts w:ascii="Times New Roman" w:hAnsi="Times New Roman" w:cs="Times New Roman"/>
        </w:rPr>
        <w:t> </w:t>
      </w:r>
      <w:r w:rsidRPr="0001566C">
        <w:rPr>
          <w:rFonts w:ascii="Times New Roman" w:hAnsi="Times New Roman" w:cs="Times New Roman"/>
        </w:rPr>
        <w:t>uchylające decyzje Rady 2009/371/WSiSW, 2009/934/WSiSW, 2009/935/WSiSW, 2009/936/WSiSW i 2009/968/WSiSW (Dz. Urz. UE L 135/53 str, 53). Oznacza podmioty oraz jednostki organizacyjne utworzone zgodnie z</w:t>
      </w:r>
      <w:r>
        <w:rPr>
          <w:rFonts w:ascii="Times New Roman" w:hAnsi="Times New Roman" w:cs="Times New Roman"/>
        </w:rPr>
        <w:t xml:space="preserve"> </w:t>
      </w:r>
      <w:r w:rsidRPr="0001566C">
        <w:rPr>
          <w:rFonts w:ascii="Times New Roman" w:hAnsi="Times New Roman" w:cs="Times New Roman"/>
        </w:rPr>
        <w:t xml:space="preserve">prawem krajowym,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szczególności spółki, przedsiębiorstwa, stowarzyszenia przedsiębiorców, organizacje niezarobkowe,</w:t>
      </w:r>
      <w:r>
        <w:rPr>
          <w:rFonts w:ascii="Times New Roman" w:hAnsi="Times New Roman" w:cs="Times New Roman"/>
        </w:rPr>
        <w:t xml:space="preserve"> </w:t>
      </w:r>
      <w:r w:rsidRPr="0001566C">
        <w:rPr>
          <w:rFonts w:ascii="Times New Roman" w:hAnsi="Times New Roman" w:cs="Times New Roman"/>
        </w:rPr>
        <w:t>inne prywatnoprawne osoby prawne. Brak podstaw, aby odstępować od tej utrwalonej konwencji terminologicznej.</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W myśl Porozumienia współpraca odbywać się będzie zgodnie z mającym zastosowanie prawem krajowym, a więc to prawo krajowe będzie określać podstawy odmowy wykonania wniosku (zob. np. 588 KPK, art. 604 KPK). Tym niemniej dla większej jasności, a przez to</w:t>
      </w:r>
      <w:r>
        <w:rPr>
          <w:rFonts w:ascii="Times New Roman" w:hAnsi="Times New Roman" w:cs="Times New Roman"/>
        </w:rPr>
        <w:t xml:space="preserve"> </w:t>
      </w:r>
      <w:r w:rsidRPr="0001566C">
        <w:rPr>
          <w:rFonts w:ascii="Times New Roman" w:hAnsi="Times New Roman" w:cs="Times New Roman"/>
        </w:rPr>
        <w:t xml:space="preserve">przyspieszenia i uproszczenia obrotu oraz w celu uniknięcia ewentualnych nieporozumień, Porozumienie zobowiązuje organy centralne do wstępnej kontroli przekazywanego wniosku pod kątem okoliczności, które </w:t>
      </w:r>
      <w:r w:rsidR="00D10D67" w:rsidRPr="0001566C">
        <w:rPr>
          <w:rFonts w:ascii="Times New Roman" w:hAnsi="Times New Roman" w:cs="Times New Roman"/>
        </w:rPr>
        <w:t>w</w:t>
      </w:r>
      <w:r w:rsidR="00D10D67">
        <w:rPr>
          <w:rFonts w:ascii="Times New Roman" w:hAnsi="Times New Roman" w:cs="Times New Roman"/>
        </w:rPr>
        <w:t> </w:t>
      </w:r>
      <w:r w:rsidRPr="0001566C">
        <w:rPr>
          <w:rFonts w:ascii="Times New Roman" w:hAnsi="Times New Roman" w:cs="Times New Roman"/>
        </w:rPr>
        <w:t>oczywisty sposób uniemożliwiałby Organowi Wezwanemu jego wykonanie (Artykuł 8 ust. 2 Porozumienia) oraz wszelkich wymogów określonych przez drugi Organ Centralny (Artykuł 8 ust. 3 Porozumienia).</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Porozumienie przewiduje współpracę bezpośrednio między organami centralnymi, bez pośrednictwa Ministerstwa Spraw Zagranicznych (Artykuł 8 Porozumienia), co ma na celu przyspieszenie i uproszczenie obrotu. Jest to jeden z</w:t>
      </w:r>
      <w:r>
        <w:rPr>
          <w:rFonts w:ascii="Times New Roman" w:hAnsi="Times New Roman" w:cs="Times New Roman"/>
        </w:rPr>
        <w:t xml:space="preserve"> </w:t>
      </w:r>
      <w:r w:rsidRPr="0001566C">
        <w:rPr>
          <w:rFonts w:ascii="Times New Roman" w:hAnsi="Times New Roman" w:cs="Times New Roman"/>
        </w:rPr>
        <w:t xml:space="preserve">przejawów wynikającej </w:t>
      </w:r>
      <w:r w:rsidR="00976CF5" w:rsidRPr="0001566C">
        <w:rPr>
          <w:rFonts w:ascii="Times New Roman" w:hAnsi="Times New Roman" w:cs="Times New Roman"/>
        </w:rPr>
        <w:t>z</w:t>
      </w:r>
      <w:r w:rsidR="00976CF5">
        <w:rPr>
          <w:rFonts w:ascii="Times New Roman" w:hAnsi="Times New Roman" w:cs="Times New Roman"/>
        </w:rPr>
        <w:t> </w:t>
      </w:r>
      <w:r w:rsidRPr="0001566C">
        <w:rPr>
          <w:rFonts w:ascii="Times New Roman" w:hAnsi="Times New Roman" w:cs="Times New Roman"/>
        </w:rPr>
        <w:t>Porozumienia zasady niezwłoczności współpracy (Artykuł 11 ust. 1 Porozumienia). Kolejne zasady, na gruncie których stoi Porozumienie to zasada informacji ( Artykuł 11 ust. 2 Porozumienia) oraz zasada przychylności dla porządku prawnego stosowanego na terytorium na które skierowano wniosek (Artykuł 11 ust. 3 Porozumienia). Są to standardowe zasady międzynarodowej współpracy prawnej w</w:t>
      </w:r>
      <w:r>
        <w:rPr>
          <w:rFonts w:ascii="Times New Roman" w:hAnsi="Times New Roman" w:cs="Times New Roman"/>
        </w:rPr>
        <w:t xml:space="preserve"> </w:t>
      </w:r>
      <w:r w:rsidRPr="0001566C">
        <w:rPr>
          <w:rFonts w:ascii="Times New Roman" w:hAnsi="Times New Roman" w:cs="Times New Roman"/>
        </w:rPr>
        <w:t>sprawach karnych.</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 xml:space="preserve">Organy Centralne będą komunikować się w swoich językach urzędowych </w:t>
      </w:r>
      <w:r w:rsidR="00976CF5" w:rsidRPr="0001566C">
        <w:rPr>
          <w:rFonts w:ascii="Times New Roman" w:hAnsi="Times New Roman" w:cs="Times New Roman"/>
        </w:rPr>
        <w:t>z</w:t>
      </w:r>
      <w:r w:rsidR="00976CF5">
        <w:rPr>
          <w:rFonts w:ascii="Times New Roman" w:hAnsi="Times New Roman" w:cs="Times New Roman"/>
        </w:rPr>
        <w:t> </w:t>
      </w:r>
      <w:r w:rsidRPr="0001566C">
        <w:rPr>
          <w:rFonts w:ascii="Times New Roman" w:hAnsi="Times New Roman" w:cs="Times New Roman"/>
        </w:rPr>
        <w:t>tłumaczeniem na język angielski (Artykuł 9 Porozumienia). Wybór tego ostatniego jest uzasadniony względami pragmatycznymi. Porozumienie nie ma wpływu na regulacje prawa krajowego dotyczące w</w:t>
      </w:r>
      <w:r>
        <w:rPr>
          <w:rFonts w:ascii="Times New Roman" w:hAnsi="Times New Roman" w:cs="Times New Roman"/>
        </w:rPr>
        <w:t xml:space="preserve"> </w:t>
      </w:r>
      <w:r w:rsidRPr="0001566C">
        <w:rPr>
          <w:rFonts w:ascii="Times New Roman" w:hAnsi="Times New Roman" w:cs="Times New Roman"/>
        </w:rPr>
        <w:t xml:space="preserve">szczególności języka urzędowego obowiązującego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postępowaniu przed sądami polskimi.</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Po zawarciu Porozumienia wzajemna pomoc prawna (Artykuł 3 Porozumienia), ekstradycja dla celów postępowania karnego (Artykuł 4 Porozumienia) oraz przekazywanie skazanych (Artykuł 5 Porozumienia) prowadzone będą na</w:t>
      </w:r>
      <w:r>
        <w:rPr>
          <w:rFonts w:ascii="Times New Roman" w:hAnsi="Times New Roman" w:cs="Times New Roman"/>
        </w:rPr>
        <w:t xml:space="preserve"> </w:t>
      </w:r>
      <w:r w:rsidRPr="0001566C">
        <w:rPr>
          <w:rFonts w:ascii="Times New Roman" w:hAnsi="Times New Roman" w:cs="Times New Roman"/>
        </w:rPr>
        <w:t xml:space="preserve">podstawie </w:t>
      </w:r>
      <w:r w:rsidRPr="0001566C">
        <w:rPr>
          <w:rFonts w:ascii="Times New Roman" w:hAnsi="Times New Roman" w:cs="Times New Roman"/>
        </w:rPr>
        <w:lastRenderedPageBreak/>
        <w:t>Porozumienia oraz – w zakresie w nim nieuregulowanym – właściwego prawa krajowego (w Polsce w szczególności: rozdział 62 i 65 KPK, rozporządzenie Ministra Sprawiedliwości z dnia 28 stycznia 2002 r. w sprawie szczegółowych czynności sądów w</w:t>
      </w:r>
      <w:r>
        <w:rPr>
          <w:rFonts w:ascii="Times New Roman" w:hAnsi="Times New Roman" w:cs="Times New Roman"/>
        </w:rPr>
        <w:t xml:space="preserve"> </w:t>
      </w:r>
      <w:r w:rsidRPr="0001566C">
        <w:rPr>
          <w:rFonts w:ascii="Times New Roman" w:hAnsi="Times New Roman" w:cs="Times New Roman"/>
        </w:rPr>
        <w:t xml:space="preserve">sprawach z zakresu międzynarodowego postępowania cywilnego oraz karnego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stosunkach międzynarodowych.</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 xml:space="preserve">Postanowienie dotyczące informacji prawnej (Artykuł 6 Porozumienia) to standardowa klauzula stosowana w zawieranych przez Ministra Sprawiedliwości porozumieniach </w:t>
      </w:r>
      <w:r w:rsidR="00976CF5" w:rsidRPr="0001566C">
        <w:rPr>
          <w:rFonts w:ascii="Times New Roman" w:hAnsi="Times New Roman" w:cs="Times New Roman"/>
        </w:rPr>
        <w:t>o</w:t>
      </w:r>
      <w:r w:rsidR="00976CF5">
        <w:rPr>
          <w:rFonts w:ascii="Times New Roman" w:hAnsi="Times New Roman" w:cs="Times New Roman"/>
        </w:rPr>
        <w:t> </w:t>
      </w:r>
      <w:r w:rsidRPr="0001566C">
        <w:rPr>
          <w:rFonts w:ascii="Times New Roman" w:hAnsi="Times New Roman" w:cs="Times New Roman"/>
        </w:rPr>
        <w:t xml:space="preserve">współpracy. Umożliwia Ministerstwu Sprawiedliwości wypełnienie obowiązków, </w:t>
      </w:r>
      <w:r w:rsidR="00976CF5" w:rsidRPr="0001566C">
        <w:rPr>
          <w:rFonts w:ascii="Times New Roman" w:hAnsi="Times New Roman" w:cs="Times New Roman"/>
        </w:rPr>
        <w:t>o</w:t>
      </w:r>
      <w:r w:rsidR="00976CF5">
        <w:rPr>
          <w:rFonts w:ascii="Times New Roman" w:hAnsi="Times New Roman" w:cs="Times New Roman"/>
        </w:rPr>
        <w:t> </w:t>
      </w:r>
      <w:r w:rsidRPr="0001566C">
        <w:rPr>
          <w:rFonts w:ascii="Times New Roman" w:hAnsi="Times New Roman" w:cs="Times New Roman"/>
        </w:rPr>
        <w:t>których mowa w art. 51a § 1 zd. 2 ustawy z dnia 27 lipca 2001 r. Prawo o ustroju sądów powszechnych: „Sąd może zwrócić się do Ministra Sprawiedliwości o</w:t>
      </w:r>
      <w:r>
        <w:rPr>
          <w:rFonts w:ascii="Times New Roman" w:hAnsi="Times New Roman" w:cs="Times New Roman"/>
        </w:rPr>
        <w:t xml:space="preserve"> </w:t>
      </w:r>
      <w:r w:rsidRPr="0001566C">
        <w:rPr>
          <w:rFonts w:ascii="Times New Roman" w:hAnsi="Times New Roman" w:cs="Times New Roman"/>
        </w:rPr>
        <w:t>udzielenie tekstu tego prawa oraz wyjaśnienie obcej praktyki sądowe</w:t>
      </w:r>
      <w:r w:rsidR="00F8123D">
        <w:rPr>
          <w:rFonts w:ascii="Times New Roman" w:hAnsi="Times New Roman" w:cs="Times New Roman"/>
        </w:rPr>
        <w:t>j</w:t>
      </w:r>
      <w:r w:rsidRPr="0001566C">
        <w:rPr>
          <w:rFonts w:ascii="Times New Roman" w:hAnsi="Times New Roman" w:cs="Times New Roman"/>
        </w:rPr>
        <w:t>.”</w:t>
      </w:r>
      <w:r w:rsidR="00E746E1">
        <w:rPr>
          <w:rFonts w:ascii="Times New Roman" w:hAnsi="Times New Roman" w:cs="Times New Roman"/>
        </w:rPr>
        <w:t>.</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 xml:space="preserve">Postanowienie o przekazywaniu informacji w celu ścigania i zapobiegania przestępczości (Artykuł 7 Porozumienia) ma na celu zademonstrowanie dobrej woli Polski i Tajwanu dążących do współpracy także przy ściganiu i zapobieganiu przestępczości przez wymianę informacji w sprawach przestępczości i umożliwienie organom tajwańskim dzielenia się informacjami. Przekazywanie informacji pozostawione jest całkowicie swobodnej ocenie właściwych organów. Oznacza to, że władze polskie nie będą nigdy zobowiązane do przekazania na Tajwan jakichkolwiek informacji. Nadmienić należy, że Porozumienie nie tylko nie zobowiązuje, ale nawet samo przez się nie uprawnia władz polskich do takiego przekazania (zgodnie </w:t>
      </w:r>
      <w:r w:rsidR="00D10D67" w:rsidRPr="0001566C">
        <w:rPr>
          <w:rFonts w:ascii="Times New Roman" w:hAnsi="Times New Roman" w:cs="Times New Roman"/>
        </w:rPr>
        <w:t>z</w:t>
      </w:r>
      <w:r w:rsidR="00D10D67">
        <w:rPr>
          <w:rFonts w:ascii="Times New Roman" w:hAnsi="Times New Roman" w:cs="Times New Roman"/>
        </w:rPr>
        <w:t> </w:t>
      </w:r>
      <w:r w:rsidRPr="0001566C">
        <w:rPr>
          <w:rFonts w:ascii="Times New Roman" w:hAnsi="Times New Roman" w:cs="Times New Roman"/>
        </w:rPr>
        <w:t xml:space="preserve">Artykułem 7 Porozumienia przekazanie następuje „zgodnie z prawem krajowym”, </w:t>
      </w:r>
      <w:r w:rsidR="00D10D67" w:rsidRPr="0001566C">
        <w:rPr>
          <w:rFonts w:ascii="Times New Roman" w:hAnsi="Times New Roman" w:cs="Times New Roman"/>
        </w:rPr>
        <w:t>a</w:t>
      </w:r>
      <w:r w:rsidR="00D10D67">
        <w:rPr>
          <w:rFonts w:ascii="Times New Roman" w:hAnsi="Times New Roman" w:cs="Times New Roman"/>
        </w:rPr>
        <w:t> </w:t>
      </w:r>
      <w:r w:rsidRPr="0001566C">
        <w:rPr>
          <w:rFonts w:ascii="Times New Roman" w:hAnsi="Times New Roman" w:cs="Times New Roman"/>
        </w:rPr>
        <w:t xml:space="preserve">więc uprawnienie takie musi wynikać </w:t>
      </w:r>
      <w:r w:rsidR="00976CF5" w:rsidRPr="0001566C">
        <w:rPr>
          <w:rFonts w:ascii="Times New Roman" w:hAnsi="Times New Roman" w:cs="Times New Roman"/>
        </w:rPr>
        <w:t>z</w:t>
      </w:r>
      <w:r w:rsidR="00976CF5">
        <w:rPr>
          <w:rFonts w:ascii="Times New Roman" w:hAnsi="Times New Roman" w:cs="Times New Roman"/>
        </w:rPr>
        <w:t> </w:t>
      </w:r>
      <w:r w:rsidRPr="0001566C">
        <w:rPr>
          <w:rFonts w:ascii="Times New Roman" w:hAnsi="Times New Roman" w:cs="Times New Roman"/>
        </w:rPr>
        <w:t>prawa krajowego).</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Porozumienie jednoznacznie wskazuje, że dane osobowe przekazywane z Polski na Tajwan i tam przetwarzane oraz przekazywane z Tajwanu do Polski i przetwarzane tutaj będą chronione na podstawie właściwych przepisów Polski, Tajwanu i Unii Europejskiej (Artykuł 12 Porozumienia).</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W celu dalszego rozwoju współpracy, uwzględniając przewidywaną intensyfikację kontaktów polsko-tajwańskich, Porozumienie przewiduje mechanizm kontaktów roboczych (Artykuł 13 Porozumienia) i konsultacji (Artykuł 10 Porozumienia). Porozumienie nie zamyka też drogi do współpracy na innych niż ono podstawach prawnych (Artykuł 14 Porozumienia).</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lastRenderedPageBreak/>
        <w:t xml:space="preserve">Skutki finansowe wynikające z zawarcia Porozumienia nie będą znaczne w skali budżetu państwa. Zobowiązania strony polskiej będą finansowane w ramach limitu wydatków właściwych dysponentów części budżetowych przewidzianych corocznie </w:t>
      </w:r>
      <w:r w:rsidR="00D10D67" w:rsidRPr="0001566C">
        <w:rPr>
          <w:rFonts w:ascii="Times New Roman" w:hAnsi="Times New Roman" w:cs="Times New Roman"/>
        </w:rPr>
        <w:t>w</w:t>
      </w:r>
      <w:r w:rsidR="00D10D67">
        <w:rPr>
          <w:rFonts w:ascii="Times New Roman" w:hAnsi="Times New Roman" w:cs="Times New Roman"/>
        </w:rPr>
        <w:t> </w:t>
      </w:r>
      <w:r w:rsidRPr="0001566C">
        <w:rPr>
          <w:rFonts w:ascii="Times New Roman" w:hAnsi="Times New Roman" w:cs="Times New Roman"/>
        </w:rPr>
        <w:t>ustawie budżetowej (Ministra Sprawiedliwości i Prokuratora Generalnego</w:t>
      </w:r>
      <w:r>
        <w:rPr>
          <w:rFonts w:ascii="Times New Roman" w:hAnsi="Times New Roman" w:cs="Times New Roman"/>
        </w:rPr>
        <w:t xml:space="preserve"> </w:t>
      </w:r>
      <w:r w:rsidRPr="0001566C">
        <w:rPr>
          <w:rFonts w:ascii="Times New Roman" w:hAnsi="Times New Roman" w:cs="Times New Roman"/>
        </w:rPr>
        <w:t>– m.in. koszty tłumaczeń) i</w:t>
      </w:r>
      <w:r>
        <w:rPr>
          <w:rFonts w:ascii="Times New Roman" w:hAnsi="Times New Roman" w:cs="Times New Roman"/>
        </w:rPr>
        <w:t xml:space="preserve"> </w:t>
      </w:r>
      <w:r w:rsidRPr="0001566C">
        <w:rPr>
          <w:rFonts w:ascii="Times New Roman" w:hAnsi="Times New Roman" w:cs="Times New Roman"/>
        </w:rPr>
        <w:t>nie będą stanowiły tytułu do zwiększenia wydatków.</w:t>
      </w:r>
    </w:p>
    <w:p w:rsidR="008A6CDF" w:rsidRPr="0001566C" w:rsidRDefault="008A6CDF" w:rsidP="0001566C">
      <w:pPr>
        <w:pStyle w:val="ARTartustawynprozporzdzenia"/>
        <w:ind w:firstLine="0"/>
        <w:rPr>
          <w:rFonts w:ascii="Times New Roman" w:hAnsi="Times New Roman" w:cs="Times New Roman"/>
        </w:rPr>
      </w:pPr>
      <w:r w:rsidRPr="0001566C">
        <w:rPr>
          <w:rFonts w:ascii="Times New Roman" w:hAnsi="Times New Roman" w:cs="Times New Roman"/>
        </w:rPr>
        <w:t xml:space="preserve">Z uwagi na oczywistą omyłkę wykrytą w tekście Porozumienia w języku polskim, już po podpisaniu tekstu w trzech językach, oraz brak możliwości zmiany tekstu na obecnym etapie procedowania Porozumienia, konieczne będzie sprostowanie tej omyłki w formie przewidzianej w art. 17 ustawy o ogłaszaniu aktów normatywnych </w:t>
      </w:r>
      <w:r w:rsidR="00D10D67" w:rsidRPr="0001566C">
        <w:rPr>
          <w:rFonts w:ascii="Times New Roman" w:hAnsi="Times New Roman" w:cs="Times New Roman"/>
        </w:rPr>
        <w:t>i</w:t>
      </w:r>
      <w:r w:rsidR="00D10D67">
        <w:rPr>
          <w:rFonts w:ascii="Times New Roman" w:hAnsi="Times New Roman" w:cs="Times New Roman"/>
        </w:rPr>
        <w:t> </w:t>
      </w:r>
      <w:r w:rsidRPr="0001566C">
        <w:rPr>
          <w:rFonts w:ascii="Times New Roman" w:hAnsi="Times New Roman" w:cs="Times New Roman"/>
        </w:rPr>
        <w:t xml:space="preserve">niektórych innych aktów prawnych z dnia 20 lipca 2000 r. W Artykule 19 ust. 1 </w:t>
      </w:r>
      <w:r w:rsidR="00D10D67" w:rsidRPr="0001566C">
        <w:rPr>
          <w:rFonts w:ascii="Times New Roman" w:hAnsi="Times New Roman" w:cs="Times New Roman"/>
        </w:rPr>
        <w:t>w</w:t>
      </w:r>
      <w:r w:rsidR="00D10D67">
        <w:rPr>
          <w:rFonts w:ascii="Times New Roman" w:hAnsi="Times New Roman" w:cs="Times New Roman"/>
        </w:rPr>
        <w:t> </w:t>
      </w:r>
      <w:r w:rsidRPr="0001566C">
        <w:rPr>
          <w:rFonts w:ascii="Times New Roman" w:hAnsi="Times New Roman" w:cs="Times New Roman"/>
        </w:rPr>
        <w:t xml:space="preserve">tekście Porozumienia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 xml:space="preserve">języku polskim sformułowanie </w:t>
      </w:r>
      <w:r w:rsidR="00F8123D">
        <w:rPr>
          <w:rFonts w:ascii="Times New Roman" w:hAnsi="Times New Roman" w:cs="Times New Roman"/>
        </w:rPr>
        <w:t>„</w:t>
      </w:r>
      <w:r w:rsidRPr="0001566C">
        <w:rPr>
          <w:rFonts w:ascii="Times New Roman" w:hAnsi="Times New Roman" w:cs="Times New Roman"/>
        </w:rPr>
        <w:t>3 miesiące</w:t>
      </w:r>
      <w:r w:rsidR="00F8123D">
        <w:rPr>
          <w:rFonts w:ascii="Times New Roman" w:hAnsi="Times New Roman" w:cs="Times New Roman"/>
        </w:rPr>
        <w:t>”</w:t>
      </w:r>
      <w:r w:rsidRPr="0001566C">
        <w:rPr>
          <w:rFonts w:ascii="Times New Roman" w:hAnsi="Times New Roman" w:cs="Times New Roman"/>
        </w:rPr>
        <w:t xml:space="preserve"> powinno się zastąpić, spójnie z tekstem w języku angielskim i chińskim, sformułowaniem </w:t>
      </w:r>
      <w:r w:rsidR="00F8123D">
        <w:rPr>
          <w:rFonts w:ascii="Times New Roman" w:hAnsi="Times New Roman" w:cs="Times New Roman"/>
        </w:rPr>
        <w:t>„</w:t>
      </w:r>
      <w:r w:rsidRPr="0001566C">
        <w:rPr>
          <w:rFonts w:ascii="Times New Roman" w:hAnsi="Times New Roman" w:cs="Times New Roman"/>
        </w:rPr>
        <w:t>90 dni</w:t>
      </w:r>
      <w:r w:rsidR="00F8123D">
        <w:rPr>
          <w:rFonts w:ascii="Times New Roman" w:hAnsi="Times New Roman" w:cs="Times New Roman"/>
        </w:rPr>
        <w:t>”</w:t>
      </w:r>
      <w:r w:rsidRPr="0001566C">
        <w:rPr>
          <w:rFonts w:ascii="Times New Roman" w:hAnsi="Times New Roman" w:cs="Times New Roman"/>
        </w:rPr>
        <w:t xml:space="preserve">; natomiast w Artykule 16 w tekście w języku polskim należy dodać tytuł artykułu </w:t>
      </w:r>
      <w:r w:rsidR="00F8123D">
        <w:rPr>
          <w:rFonts w:ascii="Times New Roman" w:hAnsi="Times New Roman" w:cs="Times New Roman"/>
        </w:rPr>
        <w:t>„</w:t>
      </w:r>
      <w:r w:rsidRPr="0001566C">
        <w:rPr>
          <w:rFonts w:ascii="Times New Roman" w:hAnsi="Times New Roman" w:cs="Times New Roman"/>
        </w:rPr>
        <w:t>Wejście w życie</w:t>
      </w:r>
      <w:r w:rsidR="00F8123D">
        <w:rPr>
          <w:rFonts w:ascii="Times New Roman" w:hAnsi="Times New Roman" w:cs="Times New Roman"/>
        </w:rPr>
        <w:t>”</w:t>
      </w:r>
      <w:r w:rsidRPr="0001566C">
        <w:rPr>
          <w:rFonts w:ascii="Times New Roman" w:hAnsi="Times New Roman" w:cs="Times New Roman"/>
        </w:rPr>
        <w:t xml:space="preserve">. Zmiany te nie mają wpływu na merytoryczną treść podpisanego Porozumienia, regulującego zasady współpracy prawnej między RP a terytorium, do którego stosuje się prawo karne należące do właściwości Ministra Sprawiedliwości Tajwanu. Jednocześnie należy dodać, że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kwestii oczywistej omyłki powodującej rozbieżności między wersją polską oraz angielską i chińską co do terminu wskazanego w Artykule 19 ust. 1 Porozumienia (odpowiednio 3 miesiące (j. polski) i 90 dni (j</w:t>
      </w:r>
      <w:r w:rsidR="00D10D67" w:rsidRPr="0001566C">
        <w:rPr>
          <w:rFonts w:ascii="Times New Roman" w:hAnsi="Times New Roman" w:cs="Times New Roman"/>
        </w:rPr>
        <w:t>.</w:t>
      </w:r>
      <w:r w:rsidR="00D10D67">
        <w:rPr>
          <w:rFonts w:ascii="Times New Roman" w:hAnsi="Times New Roman" w:cs="Times New Roman"/>
        </w:rPr>
        <w:t> </w:t>
      </w:r>
      <w:r w:rsidRPr="0001566C">
        <w:rPr>
          <w:rFonts w:ascii="Times New Roman" w:hAnsi="Times New Roman" w:cs="Times New Roman"/>
        </w:rPr>
        <w:t xml:space="preserve">angielski i j. chiński) rozbieżność ta nie stanowi przeszkody do transpozycji Porozumienia, albowiem stosownie do testimonium Porozumienia w takim wypadku rozstrzygający jest tekst w języku angielskim. </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Projekt ustawy nie podlega notyfikacji w trybie przewidzianym w rozporządzeniu Rady Ministrów z dnia 23 grudnia 2002 r. w sprawie sposobu funkcjonowania krajowego systemu notyfikacji norm i aktów prawnych (Dz. U. poz. 2039, z późn. zm.).</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 xml:space="preserve">Stosownie do § 27 ust. 4 uchwały nr 190 Rady Ministrów z dnia 29 października </w:t>
      </w:r>
      <w:r w:rsidR="00D10D67" w:rsidRPr="0001566C">
        <w:rPr>
          <w:rFonts w:ascii="Times New Roman" w:hAnsi="Times New Roman" w:cs="Times New Roman"/>
        </w:rPr>
        <w:t>2013</w:t>
      </w:r>
      <w:r w:rsidR="00D10D67">
        <w:rPr>
          <w:rFonts w:ascii="Times New Roman" w:hAnsi="Times New Roman" w:cs="Times New Roman"/>
        </w:rPr>
        <w:t> </w:t>
      </w:r>
      <w:r w:rsidRPr="0001566C">
        <w:rPr>
          <w:rFonts w:ascii="Times New Roman" w:hAnsi="Times New Roman" w:cs="Times New Roman"/>
        </w:rPr>
        <w:t>r. – Regulamin pracy Rady Ministrów (M.P. z 2016 r. poz. 1006, z późn. zm.), zwanej dalej „Regulaminem pracy Rady Ministrów”, stwierdza się, że projekt ustawy nie wymaga przedłożenia właściwym organom i instytucjom Unii Europejskiej, w tym Europejskiemu Bankowi Centralnemu</w:t>
      </w:r>
      <w:r w:rsidR="00F8123D">
        <w:rPr>
          <w:rFonts w:ascii="Times New Roman" w:hAnsi="Times New Roman" w:cs="Times New Roman"/>
        </w:rPr>
        <w:t>,</w:t>
      </w:r>
      <w:r w:rsidRPr="0001566C">
        <w:rPr>
          <w:rFonts w:ascii="Times New Roman" w:hAnsi="Times New Roman" w:cs="Times New Roman"/>
        </w:rPr>
        <w:t xml:space="preserve"> w celu uzyskania opinii, dokonania konsultacji lub uzgodnienia, o których mowa w § 27 ust. 4 Regulaminu pracy Rady Ministrów.</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lastRenderedPageBreak/>
        <w:t xml:space="preserve">Zgodnie z art. 5 ustawy z dnia 7 lipca 2005 r. o działalności lobbingowej w procesie stanowienia prawa (Dz. U. z 2017 r. poz. 248) projekt został udostępniony w Biuletynie Informacji Publicznej na stronie podmiotowej Rządowego Centrum Legislacji, </w:t>
      </w:r>
      <w:r w:rsidR="00976CF5" w:rsidRPr="0001566C">
        <w:rPr>
          <w:rFonts w:ascii="Times New Roman" w:hAnsi="Times New Roman" w:cs="Times New Roman"/>
        </w:rPr>
        <w:t>w</w:t>
      </w:r>
      <w:r w:rsidR="00976CF5">
        <w:rPr>
          <w:rFonts w:ascii="Times New Roman" w:hAnsi="Times New Roman" w:cs="Times New Roman"/>
        </w:rPr>
        <w:t> </w:t>
      </w:r>
      <w:r w:rsidRPr="0001566C">
        <w:rPr>
          <w:rFonts w:ascii="Times New Roman" w:hAnsi="Times New Roman" w:cs="Times New Roman"/>
        </w:rPr>
        <w:t>serwisie Rządowy Proces Legislacyjny</w:t>
      </w:r>
      <w:r w:rsidR="00976CF5">
        <w:rPr>
          <w:rFonts w:ascii="Times New Roman" w:hAnsi="Times New Roman" w:cs="Times New Roman"/>
        </w:rPr>
        <w:t>,</w:t>
      </w:r>
      <w:r w:rsidRPr="0001566C">
        <w:rPr>
          <w:rFonts w:ascii="Times New Roman" w:hAnsi="Times New Roman" w:cs="Times New Roman"/>
        </w:rPr>
        <w:t xml:space="preserve"> oraz na stronach internetowych Ministerstwa Sprawiedliwości w zakładce „Projekty aktów prawnych – prawo karne”. W toku prac nie zgłosiły się podmioty zainteresowane pracami nad projektem w trybie ww. ustawy.</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Stosownie do § 33 ust. 2 Regulaminu pracy Rady Ministrów koordynator Oceny Skutków Regulacji nie przedstawił stanowiska w zakreślonym terminie.</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 xml:space="preserve">Stosownie do § 52 Regulaminu pracy Rady Ministrów projekt ustawy został zamieszczony w Biuletynie Informacji Publicznej Rządowego Centrum Legislacji </w:t>
      </w:r>
      <w:r w:rsidR="00976CF5" w:rsidRPr="0001566C">
        <w:rPr>
          <w:rFonts w:ascii="Times New Roman" w:hAnsi="Times New Roman" w:cs="Times New Roman"/>
        </w:rPr>
        <w:t>z</w:t>
      </w:r>
      <w:r w:rsidR="00976CF5">
        <w:rPr>
          <w:rFonts w:ascii="Times New Roman" w:hAnsi="Times New Roman" w:cs="Times New Roman"/>
        </w:rPr>
        <w:t> </w:t>
      </w:r>
      <w:r w:rsidRPr="0001566C">
        <w:rPr>
          <w:rFonts w:ascii="Times New Roman" w:hAnsi="Times New Roman" w:cs="Times New Roman"/>
        </w:rPr>
        <w:t>dniem skierowania do uzgodnień międzyresortowych i konsultacji publicznych.</w:t>
      </w:r>
    </w:p>
    <w:p w:rsidR="008A6CDF" w:rsidRPr="0001566C" w:rsidRDefault="008A6CDF" w:rsidP="0001566C">
      <w:pPr>
        <w:pStyle w:val="NIEARTTEKSTtekstnieartykuowanynppodstprawnarozplubpreambua"/>
        <w:ind w:firstLine="0"/>
        <w:rPr>
          <w:rFonts w:ascii="Times New Roman" w:hAnsi="Times New Roman" w:cs="Times New Roman"/>
        </w:rPr>
      </w:pPr>
      <w:r w:rsidRPr="0001566C">
        <w:rPr>
          <w:rFonts w:ascii="Times New Roman" w:hAnsi="Times New Roman" w:cs="Times New Roman"/>
        </w:rPr>
        <w:t>Projekt ustawy jest zgodny z prawem Unii Europejskiej.</w:t>
      </w:r>
    </w:p>
    <w:p w:rsidR="00E36F2B" w:rsidRPr="0001566C" w:rsidRDefault="00E36F2B" w:rsidP="0001566C">
      <w:pPr>
        <w:spacing w:before="120" w:after="0" w:line="360" w:lineRule="auto"/>
        <w:rPr>
          <w:rFonts w:ascii="Times New Roman" w:hAnsi="Times New Roman" w:cs="Times New Roman"/>
        </w:rPr>
      </w:pPr>
      <w:bookmarkStart w:id="0" w:name="_GoBack"/>
      <w:bookmarkEnd w:id="0"/>
    </w:p>
    <w:sectPr w:rsidR="00E36F2B" w:rsidRPr="0001566C" w:rsidSect="0001566C">
      <w:headerReference w:type="default" r:id="rId7"/>
      <w:footerReference w:type="default" r:id="rId8"/>
      <w:footnotePr>
        <w:numRestart w:val="eachSect"/>
      </w:footnotePr>
      <w:pgSz w:w="11906" w:h="16838" w:code="9"/>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0F2" w:rsidRDefault="009D00F2" w:rsidP="008A6CDF">
      <w:pPr>
        <w:spacing w:after="0" w:line="240" w:lineRule="auto"/>
      </w:pPr>
      <w:r>
        <w:separator/>
      </w:r>
    </w:p>
  </w:endnote>
  <w:endnote w:type="continuationSeparator" w:id="0">
    <w:p w:rsidR="009D00F2" w:rsidRDefault="009D00F2" w:rsidP="008A6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34339"/>
      <w:docPartObj>
        <w:docPartGallery w:val="Page Numbers (Bottom of Page)"/>
        <w:docPartUnique/>
      </w:docPartObj>
    </w:sdtPr>
    <w:sdtEndPr>
      <w:rPr>
        <w:rFonts w:ascii="Times New Roman" w:hAnsi="Times New Roman" w:cs="Times New Roman"/>
        <w:sz w:val="24"/>
        <w:szCs w:val="24"/>
      </w:rPr>
    </w:sdtEndPr>
    <w:sdtContent>
      <w:p w:rsidR="008A6CDF" w:rsidRPr="0001566C" w:rsidRDefault="008A6CDF" w:rsidP="0001566C">
        <w:pPr>
          <w:pStyle w:val="Stopka"/>
          <w:jc w:val="center"/>
          <w:rPr>
            <w:rFonts w:ascii="Times New Roman" w:hAnsi="Times New Roman" w:cs="Times New Roman"/>
            <w:sz w:val="24"/>
            <w:szCs w:val="24"/>
          </w:rPr>
        </w:pPr>
        <w:r w:rsidRPr="0001566C">
          <w:rPr>
            <w:rFonts w:ascii="Times New Roman" w:hAnsi="Times New Roman" w:cs="Times New Roman"/>
            <w:sz w:val="24"/>
            <w:szCs w:val="24"/>
          </w:rPr>
          <w:fldChar w:fldCharType="begin"/>
        </w:r>
        <w:r w:rsidRPr="0001566C">
          <w:rPr>
            <w:rFonts w:ascii="Times New Roman" w:hAnsi="Times New Roman" w:cs="Times New Roman"/>
            <w:sz w:val="24"/>
            <w:szCs w:val="24"/>
          </w:rPr>
          <w:instrText>PAGE   \* MERGEFORMAT</w:instrText>
        </w:r>
        <w:r w:rsidRPr="0001566C">
          <w:rPr>
            <w:rFonts w:ascii="Times New Roman" w:hAnsi="Times New Roman" w:cs="Times New Roman"/>
            <w:sz w:val="24"/>
            <w:szCs w:val="24"/>
          </w:rPr>
          <w:fldChar w:fldCharType="separate"/>
        </w:r>
        <w:r w:rsidR="00D10D67">
          <w:rPr>
            <w:rFonts w:ascii="Times New Roman" w:hAnsi="Times New Roman" w:cs="Times New Roman"/>
            <w:noProof/>
            <w:sz w:val="24"/>
            <w:szCs w:val="24"/>
          </w:rPr>
          <w:t>9</w:t>
        </w:r>
        <w:r w:rsidRPr="0001566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0F2" w:rsidRDefault="009D00F2" w:rsidP="008A6CDF">
      <w:pPr>
        <w:spacing w:after="0" w:line="240" w:lineRule="auto"/>
      </w:pPr>
      <w:r>
        <w:separator/>
      </w:r>
    </w:p>
  </w:footnote>
  <w:footnote w:type="continuationSeparator" w:id="0">
    <w:p w:rsidR="009D00F2" w:rsidRDefault="009D00F2" w:rsidP="008A6CDF">
      <w:pPr>
        <w:spacing w:after="0" w:line="240" w:lineRule="auto"/>
      </w:pPr>
      <w:r>
        <w:continuationSeparator/>
      </w:r>
    </w:p>
  </w:footnote>
  <w:footnote w:id="1">
    <w:p w:rsidR="008A6CDF" w:rsidRPr="0001566C" w:rsidRDefault="008A6CDF" w:rsidP="0001566C">
      <w:pPr>
        <w:pStyle w:val="Tekstprzypisudolnego"/>
        <w:ind w:left="284" w:hanging="284"/>
        <w:jc w:val="both"/>
        <w:rPr>
          <w:rFonts w:ascii="Times New Roman" w:hAnsi="Times New Roman" w:cs="Times New Roman"/>
        </w:rPr>
      </w:pPr>
      <w:r w:rsidRPr="0001566C">
        <w:rPr>
          <w:rStyle w:val="Odwoanieprzypisudolnego"/>
          <w:rFonts w:ascii="Times New Roman" w:hAnsi="Times New Roman"/>
        </w:rPr>
        <w:footnoteRef/>
      </w:r>
      <w:r w:rsidRPr="0001566C">
        <w:rPr>
          <w:rFonts w:ascii="Times New Roman" w:hAnsi="Times New Roman" w:cs="Times New Roman"/>
          <w:vertAlign w:val="superscript"/>
        </w:rPr>
        <w:t>)</w:t>
      </w:r>
      <w:r w:rsidRPr="0001566C">
        <w:rPr>
          <w:rFonts w:ascii="Times New Roman" w:hAnsi="Times New Roman" w:cs="Times New Roman"/>
        </w:rPr>
        <w:tab/>
        <w:t>Zob. ustawa dnia 15 grudnia 2016 r. o zasadach unikania podwójnego opodatkowania oraz zapobiegania uchylaniu się od opodatkowania w zakresie podatków od dochodu stosowanych przez Rzeczpospolitą Polską i terytorium, do którego stosuje się prawo podatkowe należące do właściwości Ministra Finansów Tajwanu (Dz. U. z 2016 r., poz. 2244).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3D6" w:rsidRPr="00B371CC" w:rsidRDefault="00D10D67" w:rsidP="0001566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CDF"/>
    <w:rsid w:val="0001566C"/>
    <w:rsid w:val="00171F35"/>
    <w:rsid w:val="00334605"/>
    <w:rsid w:val="003D0CF5"/>
    <w:rsid w:val="005B6FB6"/>
    <w:rsid w:val="00684E25"/>
    <w:rsid w:val="007D473C"/>
    <w:rsid w:val="008A6CDF"/>
    <w:rsid w:val="008B6C0E"/>
    <w:rsid w:val="00976CF5"/>
    <w:rsid w:val="009D00F2"/>
    <w:rsid w:val="00A42E3C"/>
    <w:rsid w:val="00A6113F"/>
    <w:rsid w:val="00CB5E17"/>
    <w:rsid w:val="00D10D67"/>
    <w:rsid w:val="00E36F2B"/>
    <w:rsid w:val="00E746E1"/>
    <w:rsid w:val="00ED53D3"/>
    <w:rsid w:val="00F812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D57A9"/>
  <w15:docId w15:val="{AAFC96B4-A391-40BD-80A5-63F56BB95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A6CDF"/>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8A6CDF"/>
    <w:rPr>
      <w:rFonts w:cs="Times New Roman"/>
      <w:vertAlign w:val="superscript"/>
    </w:rPr>
  </w:style>
  <w:style w:type="paragraph" w:styleId="Nagwek">
    <w:name w:val="header"/>
    <w:basedOn w:val="Normalny"/>
    <w:link w:val="NagwekZnak"/>
    <w:uiPriority w:val="99"/>
    <w:rsid w:val="008A6CDF"/>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rsid w:val="008A6CDF"/>
    <w:rPr>
      <w:rFonts w:ascii="Times" w:eastAsia="Times New Roman" w:hAnsi="Times" w:cs="Times New Roman"/>
      <w:kern w:val="1"/>
      <w:szCs w:val="24"/>
      <w:lang w:eastAsia="ar-SA"/>
    </w:rPr>
  </w:style>
  <w:style w:type="paragraph" w:customStyle="1" w:styleId="ARTartustawynprozporzdzenia">
    <w:name w:val="ART(§) – art. ustawy (§ np. rozporządzenia)"/>
    <w:uiPriority w:val="11"/>
    <w:qFormat/>
    <w:rsid w:val="008A6CD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A6CDF"/>
    <w:rPr>
      <w:bCs/>
    </w:rPr>
  </w:style>
  <w:style w:type="paragraph" w:customStyle="1" w:styleId="OZNRODZAKTUtznustawalubrozporzdzenieiorganwydajcy">
    <w:name w:val="OZN_RODZ_AKTU – tzn. ustawa lub rozporządzenie i organ wydający"/>
    <w:next w:val="Normalny"/>
    <w:uiPriority w:val="5"/>
    <w:qFormat/>
    <w:rsid w:val="008A6CDF"/>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DNONIKtreodnonika">
    <w:name w:val="ODNOŚNIK – treść odnośnika"/>
    <w:uiPriority w:val="19"/>
    <w:qFormat/>
    <w:rsid w:val="008A6CDF"/>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IGindeksgrnyindeksugrnego">
    <w:name w:val="_IIG_ – indeks górny indeksu górnego"/>
    <w:basedOn w:val="Domylnaczcionkaakapitu"/>
    <w:uiPriority w:val="3"/>
    <w:qFormat/>
    <w:rsid w:val="008A6CDF"/>
    <w:rPr>
      <w:b w:val="0"/>
      <w:i w:val="0"/>
      <w:vanish w:val="0"/>
      <w:spacing w:val="0"/>
      <w:position w:val="6"/>
      <w:vertAlign w:val="superscript"/>
    </w:rPr>
  </w:style>
  <w:style w:type="paragraph" w:styleId="Stopka">
    <w:name w:val="footer"/>
    <w:basedOn w:val="Normalny"/>
    <w:link w:val="StopkaZnak"/>
    <w:uiPriority w:val="99"/>
    <w:unhideWhenUsed/>
    <w:rsid w:val="008A6CD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A6CDF"/>
  </w:style>
  <w:style w:type="paragraph" w:styleId="Tekstprzypisudolnego">
    <w:name w:val="footnote text"/>
    <w:basedOn w:val="Normalny"/>
    <w:link w:val="TekstprzypisudolnegoZnak"/>
    <w:uiPriority w:val="99"/>
    <w:semiHidden/>
    <w:unhideWhenUsed/>
    <w:rsid w:val="008A6CD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A6CDF"/>
    <w:rPr>
      <w:sz w:val="20"/>
      <w:szCs w:val="20"/>
    </w:rPr>
  </w:style>
  <w:style w:type="paragraph" w:styleId="Tekstdymka">
    <w:name w:val="Balloon Text"/>
    <w:basedOn w:val="Normalny"/>
    <w:link w:val="TekstdymkaZnak"/>
    <w:uiPriority w:val="99"/>
    <w:semiHidden/>
    <w:unhideWhenUsed/>
    <w:rsid w:val="008A6CD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A6C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BEE76-9D4A-4F50-B857-F8B4E856A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2834</Words>
  <Characters>17005</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Trafisz Kinga</dc:creator>
  <cp:keywords/>
  <dc:description/>
  <cp:lastModifiedBy>Rybkowska Bożena</cp:lastModifiedBy>
  <cp:revision>4</cp:revision>
  <dcterms:created xsi:type="dcterms:W3CDTF">2020-12-10T07:15:00Z</dcterms:created>
  <dcterms:modified xsi:type="dcterms:W3CDTF">2020-12-11T10:47:00Z</dcterms:modified>
</cp:coreProperties>
</file>