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A9628" w14:textId="77777777" w:rsidR="00712E99" w:rsidRPr="00BB0293" w:rsidRDefault="001D1D55" w:rsidP="00B25A10">
      <w:pPr>
        <w:spacing w:before="120"/>
        <w:jc w:val="center"/>
        <w:rPr>
          <w:rFonts w:ascii="Times New Roman" w:hAnsi="Times New Roman" w:cs="Times New Roman"/>
          <w:sz w:val="24"/>
          <w:szCs w:val="24"/>
        </w:rPr>
      </w:pPr>
      <w:r w:rsidRPr="00BB0293">
        <w:rPr>
          <w:rFonts w:ascii="Times New Roman" w:hAnsi="Times New Roman" w:cs="Times New Roman"/>
          <w:sz w:val="24"/>
          <w:szCs w:val="24"/>
        </w:rPr>
        <w:t>UZASADNI</w:t>
      </w:r>
      <w:r w:rsidR="00712E99" w:rsidRPr="00BB0293">
        <w:rPr>
          <w:rFonts w:ascii="Times New Roman" w:hAnsi="Times New Roman" w:cs="Times New Roman"/>
          <w:sz w:val="24"/>
          <w:szCs w:val="24"/>
        </w:rPr>
        <w:t>ENIE</w:t>
      </w:r>
    </w:p>
    <w:p w14:paraId="4FCF6CD9"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Przedkładany projekt ustawy o zmianie ustawy – Prawo celne oraz nie</w:t>
      </w:r>
      <w:r w:rsidR="000B7CD8" w:rsidRPr="00B25A10">
        <w:rPr>
          <w:rFonts w:ascii="Times New Roman" w:hAnsi="Times New Roman" w:cs="Times New Roman"/>
          <w:sz w:val="24"/>
          <w:szCs w:val="24"/>
        </w:rPr>
        <w:t>których innych ustaw ma na celu:</w:t>
      </w:r>
    </w:p>
    <w:p w14:paraId="638FA575" w14:textId="77777777" w:rsidR="00712E99" w:rsidRPr="00B25A10" w:rsidRDefault="00712E99" w:rsidP="002D025D">
      <w:pPr>
        <w:spacing w:before="120" w:after="0" w:line="360" w:lineRule="auto"/>
        <w:ind w:left="567" w:hanging="567"/>
        <w:jc w:val="both"/>
        <w:rPr>
          <w:rFonts w:ascii="Times New Roman" w:hAnsi="Times New Roman" w:cs="Times New Roman"/>
          <w:sz w:val="24"/>
          <w:szCs w:val="24"/>
        </w:rPr>
      </w:pPr>
      <w:r w:rsidRPr="00B25A10">
        <w:rPr>
          <w:rFonts w:ascii="Times New Roman" w:hAnsi="Times New Roman" w:cs="Times New Roman"/>
          <w:sz w:val="24"/>
          <w:szCs w:val="24"/>
        </w:rPr>
        <w:t>1)</w:t>
      </w:r>
      <w:r w:rsidRPr="00B25A10">
        <w:rPr>
          <w:rFonts w:ascii="Times New Roman" w:hAnsi="Times New Roman" w:cs="Times New Roman"/>
          <w:sz w:val="24"/>
          <w:szCs w:val="24"/>
        </w:rPr>
        <w:tab/>
        <w:t>wyznaczenie Szefa Krajowej Administracji Skarbowej w miejsce ministra właściwego do spraw finansów publicznych do prowadzenia wykazu gwarantów uprawnionych do udzielania gwarancji składanych jako zabezpieczenie pokrycia kwot wynikających z długów celnych oraz odformalizowanie procedury wpisu do wykazu;</w:t>
      </w:r>
    </w:p>
    <w:p w14:paraId="18CB7789" w14:textId="77777777" w:rsidR="00712E99" w:rsidRPr="00B25A10" w:rsidRDefault="00712E99" w:rsidP="002D025D">
      <w:pPr>
        <w:spacing w:before="120" w:after="0" w:line="360" w:lineRule="auto"/>
        <w:ind w:left="567" w:hanging="567"/>
        <w:jc w:val="both"/>
        <w:rPr>
          <w:rFonts w:ascii="Times New Roman" w:hAnsi="Times New Roman" w:cs="Times New Roman"/>
          <w:sz w:val="24"/>
          <w:szCs w:val="24"/>
        </w:rPr>
      </w:pPr>
      <w:r w:rsidRPr="00B25A10">
        <w:rPr>
          <w:rFonts w:ascii="Times New Roman" w:hAnsi="Times New Roman" w:cs="Times New Roman"/>
          <w:sz w:val="24"/>
          <w:szCs w:val="24"/>
        </w:rPr>
        <w:t>2)</w:t>
      </w:r>
      <w:r w:rsidRPr="00B25A10">
        <w:rPr>
          <w:rFonts w:ascii="Times New Roman" w:hAnsi="Times New Roman" w:cs="Times New Roman"/>
          <w:sz w:val="24"/>
          <w:szCs w:val="24"/>
        </w:rPr>
        <w:tab/>
        <w:t>odformalizowanie wpisu osoby na listę agentów celnych;</w:t>
      </w:r>
    </w:p>
    <w:p w14:paraId="50B58A2D" w14:textId="77777777" w:rsidR="00712E99" w:rsidRPr="00B25A10" w:rsidRDefault="00712E99" w:rsidP="002D025D">
      <w:pPr>
        <w:spacing w:before="120" w:after="0" w:line="360" w:lineRule="auto"/>
        <w:ind w:left="567" w:hanging="567"/>
        <w:jc w:val="both"/>
        <w:rPr>
          <w:rFonts w:ascii="Times New Roman" w:hAnsi="Times New Roman" w:cs="Times New Roman"/>
          <w:sz w:val="24"/>
          <w:szCs w:val="24"/>
        </w:rPr>
      </w:pPr>
      <w:r w:rsidRPr="00B25A10">
        <w:rPr>
          <w:rFonts w:ascii="Times New Roman" w:hAnsi="Times New Roman" w:cs="Times New Roman"/>
          <w:sz w:val="24"/>
          <w:szCs w:val="24"/>
        </w:rPr>
        <w:t>3)</w:t>
      </w:r>
      <w:r w:rsidRPr="00B25A10">
        <w:rPr>
          <w:rFonts w:ascii="Times New Roman" w:hAnsi="Times New Roman" w:cs="Times New Roman"/>
          <w:sz w:val="24"/>
          <w:szCs w:val="24"/>
        </w:rPr>
        <w:tab/>
        <w:t xml:space="preserve">doprecyzowanie przepisów w zakresie postępowania w sprawach celnych; </w:t>
      </w:r>
    </w:p>
    <w:p w14:paraId="5F82BE28" w14:textId="77777777" w:rsidR="00712E99" w:rsidRPr="00B25A10" w:rsidRDefault="00712E99" w:rsidP="002D025D">
      <w:pPr>
        <w:spacing w:before="120" w:after="0" w:line="360" w:lineRule="auto"/>
        <w:ind w:left="567" w:hanging="567"/>
        <w:jc w:val="both"/>
        <w:rPr>
          <w:rFonts w:ascii="Times New Roman" w:hAnsi="Times New Roman" w:cs="Times New Roman"/>
          <w:sz w:val="24"/>
          <w:szCs w:val="24"/>
        </w:rPr>
      </w:pPr>
      <w:r w:rsidRPr="00B25A10">
        <w:rPr>
          <w:rFonts w:ascii="Times New Roman" w:hAnsi="Times New Roman" w:cs="Times New Roman"/>
          <w:sz w:val="24"/>
          <w:szCs w:val="24"/>
        </w:rPr>
        <w:t>4)</w:t>
      </w:r>
      <w:r w:rsidRPr="00B25A10">
        <w:rPr>
          <w:rFonts w:ascii="Times New Roman" w:hAnsi="Times New Roman" w:cs="Times New Roman"/>
          <w:sz w:val="24"/>
          <w:szCs w:val="24"/>
        </w:rPr>
        <w:tab/>
        <w:t>usprawnienie wydawania decyzji w zakresie należności celnych i podatkowych oraz opłaty paliwowej i opłaty emisyjnej, należnych z tytułu importu towarów;</w:t>
      </w:r>
    </w:p>
    <w:p w14:paraId="35C5EE42" w14:textId="1D77A732" w:rsidR="00712E99" w:rsidRPr="00B25A10" w:rsidRDefault="00712E99" w:rsidP="002D025D">
      <w:pPr>
        <w:spacing w:before="120" w:after="0" w:line="360" w:lineRule="auto"/>
        <w:ind w:left="567" w:hanging="567"/>
        <w:jc w:val="both"/>
        <w:rPr>
          <w:rFonts w:ascii="Times New Roman" w:hAnsi="Times New Roman" w:cs="Times New Roman"/>
          <w:sz w:val="24"/>
          <w:szCs w:val="24"/>
        </w:rPr>
      </w:pPr>
      <w:r w:rsidRPr="00B25A10">
        <w:rPr>
          <w:rFonts w:ascii="Times New Roman" w:hAnsi="Times New Roman" w:cs="Times New Roman"/>
          <w:sz w:val="24"/>
          <w:szCs w:val="24"/>
        </w:rPr>
        <w:t>5)</w:t>
      </w:r>
      <w:r w:rsidRPr="00B25A10">
        <w:rPr>
          <w:rFonts w:ascii="Times New Roman" w:hAnsi="Times New Roman" w:cs="Times New Roman"/>
          <w:sz w:val="24"/>
          <w:szCs w:val="24"/>
        </w:rPr>
        <w:tab/>
        <w:t>wyznaczenie naczelnika urzędu celno</w:t>
      </w:r>
      <w:r w:rsidR="00573303">
        <w:rPr>
          <w:rFonts w:ascii="Times New Roman" w:hAnsi="Times New Roman" w:cs="Times New Roman"/>
          <w:sz w:val="24"/>
          <w:szCs w:val="24"/>
        </w:rPr>
        <w:t>-</w:t>
      </w:r>
      <w:r w:rsidRPr="00B25A10">
        <w:rPr>
          <w:rFonts w:ascii="Times New Roman" w:hAnsi="Times New Roman" w:cs="Times New Roman"/>
          <w:sz w:val="24"/>
          <w:szCs w:val="24"/>
        </w:rPr>
        <w:t>skarbowego, w miejsce naczelnika urzędu skarbowego, jako organu właściwego do przyjmowania informacji o opłacie emisyjnej w przypadku importu paliw silnikowych;</w:t>
      </w:r>
    </w:p>
    <w:p w14:paraId="055218C5" w14:textId="77777777" w:rsidR="00712E99" w:rsidRPr="00B25A10" w:rsidRDefault="00712E99" w:rsidP="002D025D">
      <w:pPr>
        <w:spacing w:before="120" w:after="0" w:line="360" w:lineRule="auto"/>
        <w:ind w:left="567" w:hanging="567"/>
        <w:jc w:val="both"/>
        <w:rPr>
          <w:rFonts w:ascii="Times New Roman" w:hAnsi="Times New Roman" w:cs="Times New Roman"/>
          <w:sz w:val="24"/>
          <w:szCs w:val="24"/>
        </w:rPr>
      </w:pPr>
      <w:r w:rsidRPr="00B25A10">
        <w:rPr>
          <w:rFonts w:ascii="Times New Roman" w:hAnsi="Times New Roman" w:cs="Times New Roman"/>
          <w:sz w:val="24"/>
          <w:szCs w:val="24"/>
        </w:rPr>
        <w:t>6)</w:t>
      </w:r>
      <w:r w:rsidRPr="00B25A10">
        <w:rPr>
          <w:rFonts w:ascii="Times New Roman" w:hAnsi="Times New Roman" w:cs="Times New Roman"/>
          <w:sz w:val="24"/>
          <w:szCs w:val="24"/>
        </w:rPr>
        <w:tab/>
        <w:t>doprecyzowanie przepisów ustawy o podatku akcyzowym w zakresie dotyczącym importu towarów;</w:t>
      </w:r>
    </w:p>
    <w:p w14:paraId="398CF949" w14:textId="77777777" w:rsidR="00712E99" w:rsidRPr="00B25A10" w:rsidRDefault="002D025D" w:rsidP="002D025D">
      <w:pPr>
        <w:spacing w:before="120" w:after="0"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7)</w:t>
      </w:r>
      <w:r w:rsidR="00712E99" w:rsidRPr="00B25A10">
        <w:rPr>
          <w:rFonts w:ascii="Times New Roman" w:hAnsi="Times New Roman" w:cs="Times New Roman"/>
          <w:sz w:val="24"/>
          <w:szCs w:val="24"/>
        </w:rPr>
        <w:tab/>
        <w:t xml:space="preserve">odformalizowanie, uproszczenie i skrócenie </w:t>
      </w:r>
      <w:r w:rsidR="0098018E" w:rsidRPr="00B25A10">
        <w:rPr>
          <w:rFonts w:ascii="Times New Roman" w:hAnsi="Times New Roman" w:cs="Times New Roman"/>
          <w:sz w:val="24"/>
          <w:szCs w:val="24"/>
        </w:rPr>
        <w:t>procedury</w:t>
      </w:r>
      <w:r w:rsidR="00712E99" w:rsidRPr="00B25A10">
        <w:rPr>
          <w:rFonts w:ascii="Times New Roman" w:hAnsi="Times New Roman" w:cs="Times New Roman"/>
          <w:sz w:val="24"/>
          <w:szCs w:val="24"/>
        </w:rPr>
        <w:t xml:space="preserve"> prowadzenia spraw z zakresu gier hazardowych (m.in. elektronizacja w zakresie przekazywania informacji wymaganych ustawą o grach hazardowych);</w:t>
      </w:r>
    </w:p>
    <w:p w14:paraId="70443671" w14:textId="77777777" w:rsidR="00903478" w:rsidRPr="00B25A10" w:rsidRDefault="00712E99" w:rsidP="002D025D">
      <w:pPr>
        <w:spacing w:before="120" w:after="0" w:line="360" w:lineRule="auto"/>
        <w:ind w:left="567" w:hanging="567"/>
        <w:jc w:val="both"/>
        <w:rPr>
          <w:rFonts w:ascii="Times New Roman" w:hAnsi="Times New Roman" w:cs="Times New Roman"/>
          <w:sz w:val="24"/>
          <w:szCs w:val="24"/>
        </w:rPr>
      </w:pPr>
      <w:r w:rsidRPr="00B25A10">
        <w:rPr>
          <w:rFonts w:ascii="Times New Roman" w:hAnsi="Times New Roman" w:cs="Times New Roman"/>
          <w:sz w:val="24"/>
          <w:szCs w:val="24"/>
        </w:rPr>
        <w:t>8)</w:t>
      </w:r>
      <w:r w:rsidRPr="00B25A10">
        <w:rPr>
          <w:rFonts w:ascii="Times New Roman" w:hAnsi="Times New Roman" w:cs="Times New Roman"/>
          <w:sz w:val="24"/>
          <w:szCs w:val="24"/>
        </w:rPr>
        <w:tab/>
        <w:t>ujednolicenie trybu prowadzenia kontroli celno-skarbowych w zakresie przestrzegania przepisów prawa celnego i prawa podatkowego w związku z przywozem towarów w obrocie między obszarem celnym Unii Europejskiej a państwami trzecimi</w:t>
      </w:r>
      <w:r w:rsidR="00903478" w:rsidRPr="00B25A10">
        <w:rPr>
          <w:rFonts w:ascii="Times New Roman" w:hAnsi="Times New Roman" w:cs="Times New Roman"/>
          <w:sz w:val="24"/>
          <w:szCs w:val="24"/>
        </w:rPr>
        <w:t>;</w:t>
      </w:r>
    </w:p>
    <w:p w14:paraId="03E96D7D" w14:textId="77777777" w:rsidR="00EC50CA" w:rsidRPr="00B25A10" w:rsidRDefault="00903478" w:rsidP="002D025D">
      <w:pPr>
        <w:pStyle w:val="ZUSTzmustartykuempunktem"/>
        <w:spacing w:before="120"/>
        <w:ind w:left="567" w:hanging="567"/>
        <w:rPr>
          <w:rFonts w:ascii="Times New Roman" w:hAnsi="Times New Roman" w:cs="Times New Roman"/>
          <w:szCs w:val="24"/>
        </w:rPr>
      </w:pPr>
      <w:r w:rsidRPr="00B25A10">
        <w:rPr>
          <w:rFonts w:ascii="Times New Roman" w:hAnsi="Times New Roman" w:cs="Times New Roman"/>
          <w:szCs w:val="24"/>
        </w:rPr>
        <w:t>9)</w:t>
      </w:r>
      <w:r w:rsidRPr="00B25A10">
        <w:rPr>
          <w:rFonts w:ascii="Times New Roman" w:hAnsi="Times New Roman" w:cs="Times New Roman"/>
          <w:szCs w:val="24"/>
        </w:rPr>
        <w:tab/>
        <w:t>zapewnienie</w:t>
      </w:r>
      <w:r w:rsidR="00B04E34" w:rsidRPr="00B25A10">
        <w:rPr>
          <w:rFonts w:ascii="Times New Roman" w:hAnsi="Times New Roman" w:cs="Times New Roman"/>
          <w:szCs w:val="24"/>
        </w:rPr>
        <w:t xml:space="preserve"> możliwości uzyskania</w:t>
      </w:r>
      <w:r w:rsidRPr="00B25A10">
        <w:rPr>
          <w:rFonts w:ascii="Times New Roman" w:hAnsi="Times New Roman" w:cs="Times New Roman"/>
          <w:szCs w:val="24"/>
        </w:rPr>
        <w:t xml:space="preserve"> numer</w:t>
      </w:r>
      <w:r w:rsidR="00B04E34" w:rsidRPr="00B25A10">
        <w:rPr>
          <w:rFonts w:ascii="Times New Roman" w:hAnsi="Times New Roman" w:cs="Times New Roman"/>
          <w:szCs w:val="24"/>
        </w:rPr>
        <w:t>u</w:t>
      </w:r>
      <w:r w:rsidRPr="00B25A10">
        <w:rPr>
          <w:rFonts w:ascii="Times New Roman" w:hAnsi="Times New Roman" w:cs="Times New Roman"/>
          <w:szCs w:val="24"/>
        </w:rPr>
        <w:t xml:space="preserve"> PESEL </w:t>
      </w:r>
      <w:r w:rsidR="00B04E34" w:rsidRPr="00B25A10">
        <w:rPr>
          <w:rFonts w:ascii="Times New Roman" w:hAnsi="Times New Roman" w:cs="Times New Roman"/>
          <w:szCs w:val="24"/>
        </w:rPr>
        <w:t>(identyfikatora podatkowego) tym wszystkim</w:t>
      </w:r>
      <w:r w:rsidRPr="00B25A10">
        <w:rPr>
          <w:rFonts w:ascii="Times New Roman" w:hAnsi="Times New Roman" w:cs="Times New Roman"/>
          <w:szCs w:val="24"/>
        </w:rPr>
        <w:t xml:space="preserve"> podatnikom (nieprowadzącym działalności gospodarczej lub niebędącym zarejestrowanymi podatnikami podatku od towarów i usług), któr</w:t>
      </w:r>
      <w:r w:rsidR="00B04E34" w:rsidRPr="00B25A10">
        <w:rPr>
          <w:rFonts w:ascii="Times New Roman" w:hAnsi="Times New Roman" w:cs="Times New Roman"/>
          <w:szCs w:val="24"/>
        </w:rPr>
        <w:t>zy</w:t>
      </w:r>
      <w:r w:rsidRPr="00B25A10">
        <w:rPr>
          <w:rFonts w:ascii="Times New Roman" w:hAnsi="Times New Roman" w:cs="Times New Roman"/>
          <w:szCs w:val="24"/>
        </w:rPr>
        <w:t xml:space="preserve"> są </w:t>
      </w:r>
      <w:r w:rsidR="00B04E34" w:rsidRPr="00B25A10">
        <w:rPr>
          <w:rFonts w:ascii="Times New Roman" w:hAnsi="Times New Roman" w:cs="Times New Roman"/>
          <w:szCs w:val="24"/>
        </w:rPr>
        <w:t>zobowiązani do posługiwania się identyfikatorem podatkowym</w:t>
      </w:r>
      <w:r w:rsidR="00016A37" w:rsidRPr="00B25A10">
        <w:rPr>
          <w:rFonts w:ascii="Times New Roman" w:hAnsi="Times New Roman" w:cs="Times New Roman"/>
          <w:szCs w:val="24"/>
        </w:rPr>
        <w:t xml:space="preserve"> numer PESEL</w:t>
      </w:r>
      <w:r w:rsidRPr="00B25A10">
        <w:rPr>
          <w:rFonts w:ascii="Times New Roman" w:hAnsi="Times New Roman" w:cs="Times New Roman"/>
          <w:szCs w:val="24"/>
        </w:rPr>
        <w:t xml:space="preserve">, </w:t>
      </w:r>
      <w:r w:rsidR="00016A37" w:rsidRPr="00B25A10">
        <w:rPr>
          <w:rFonts w:ascii="Times New Roman" w:hAnsi="Times New Roman" w:cs="Times New Roman"/>
          <w:szCs w:val="24"/>
        </w:rPr>
        <w:t>aby</w:t>
      </w:r>
      <w:r w:rsidRPr="00B25A10">
        <w:rPr>
          <w:rFonts w:ascii="Times New Roman" w:hAnsi="Times New Roman" w:cs="Times New Roman"/>
          <w:szCs w:val="24"/>
        </w:rPr>
        <w:t xml:space="preserve"> mog</w:t>
      </w:r>
      <w:r w:rsidR="00CD376A" w:rsidRPr="00B25A10">
        <w:rPr>
          <w:rFonts w:ascii="Times New Roman" w:hAnsi="Times New Roman" w:cs="Times New Roman"/>
          <w:szCs w:val="24"/>
        </w:rPr>
        <w:t>li</w:t>
      </w:r>
      <w:r w:rsidRPr="00B25A10">
        <w:rPr>
          <w:rFonts w:ascii="Times New Roman" w:hAnsi="Times New Roman" w:cs="Times New Roman"/>
          <w:szCs w:val="24"/>
        </w:rPr>
        <w:t xml:space="preserve"> go uzyskać, w tym na podstawie art. 7 ust. 2 ustawy z dnia 24 września 2010 r. o ewidencji ludności (Dz. U. z 2019 r. poz. 1397, z późn. zm.)</w:t>
      </w:r>
      <w:r w:rsidR="007D6E73" w:rsidRPr="00B25A10">
        <w:rPr>
          <w:rFonts w:ascii="Times New Roman" w:hAnsi="Times New Roman" w:cs="Times New Roman"/>
          <w:szCs w:val="24"/>
        </w:rPr>
        <w:t>;</w:t>
      </w:r>
    </w:p>
    <w:p w14:paraId="2D19FF32" w14:textId="77777777" w:rsidR="00AF064B" w:rsidRPr="00B25A10" w:rsidRDefault="00AF064B" w:rsidP="002D025D">
      <w:pPr>
        <w:pStyle w:val="ZUSTzmustartykuempunktem"/>
        <w:spacing w:before="120"/>
        <w:ind w:left="567" w:hanging="567"/>
        <w:rPr>
          <w:rFonts w:ascii="Times New Roman" w:hAnsi="Times New Roman" w:cs="Times New Roman"/>
          <w:szCs w:val="24"/>
        </w:rPr>
      </w:pPr>
      <w:r w:rsidRPr="00B25A10">
        <w:rPr>
          <w:rFonts w:ascii="Times New Roman" w:hAnsi="Times New Roman" w:cs="Times New Roman"/>
          <w:szCs w:val="24"/>
        </w:rPr>
        <w:t>10)</w:t>
      </w:r>
      <w:r w:rsidRPr="00B25A10">
        <w:rPr>
          <w:rFonts w:ascii="Times New Roman" w:hAnsi="Times New Roman" w:cs="Times New Roman"/>
          <w:szCs w:val="24"/>
        </w:rPr>
        <w:tab/>
        <w:t>umożliwienie dochodzenia opłaty emisyjnej przez naczelnika urzędu celno-skarbowego w trybie egzekucji administracyjnej;</w:t>
      </w:r>
    </w:p>
    <w:p w14:paraId="595FF023" w14:textId="77777777" w:rsidR="00712E99" w:rsidRPr="00B25A10" w:rsidRDefault="00AF064B" w:rsidP="002D025D">
      <w:pPr>
        <w:pStyle w:val="ZUSTzmustartykuempunktem"/>
        <w:spacing w:before="120"/>
        <w:ind w:left="567" w:hanging="567"/>
        <w:rPr>
          <w:rFonts w:ascii="Times New Roman" w:hAnsi="Times New Roman" w:cs="Times New Roman"/>
          <w:szCs w:val="24"/>
        </w:rPr>
      </w:pPr>
      <w:r w:rsidRPr="00B25A10">
        <w:rPr>
          <w:rFonts w:ascii="Times New Roman" w:hAnsi="Times New Roman" w:cs="Times New Roman"/>
          <w:szCs w:val="24"/>
        </w:rPr>
        <w:lastRenderedPageBreak/>
        <w:t>11)</w:t>
      </w:r>
      <w:r w:rsidRPr="00B25A10">
        <w:rPr>
          <w:rFonts w:ascii="Times New Roman" w:hAnsi="Times New Roman" w:cs="Times New Roman"/>
          <w:szCs w:val="24"/>
        </w:rPr>
        <w:tab/>
      </w:r>
      <w:r w:rsidR="00EC50CA" w:rsidRPr="00B25A10">
        <w:rPr>
          <w:rFonts w:ascii="Times New Roman" w:hAnsi="Times New Roman" w:cs="Times New Roman"/>
          <w:szCs w:val="24"/>
        </w:rPr>
        <w:t xml:space="preserve"> zmianę przepisów ustawy z dnia 27 października 1994 r. o autostradach płatnych oraz o Krajowym Funduszu Drogowym (Dz. U. z 2020 r. poz. 72</w:t>
      </w:r>
      <w:r w:rsidRPr="00B25A10">
        <w:rPr>
          <w:rFonts w:ascii="Times New Roman" w:hAnsi="Times New Roman" w:cs="Times New Roman"/>
          <w:szCs w:val="24"/>
        </w:rPr>
        <w:t>, z późn. zm.</w:t>
      </w:r>
      <w:r w:rsidR="00EC50CA" w:rsidRPr="00B25A10">
        <w:rPr>
          <w:rFonts w:ascii="Times New Roman" w:hAnsi="Times New Roman" w:cs="Times New Roman"/>
          <w:szCs w:val="24"/>
        </w:rPr>
        <w:t>), ustawy z dnia 16 grudnia 2005 r. o Funduszu Kolejowym (Dz. U. z 2017 r. poz. 510</w:t>
      </w:r>
      <w:r w:rsidRPr="00B25A10">
        <w:rPr>
          <w:rFonts w:ascii="Times New Roman" w:hAnsi="Times New Roman" w:cs="Times New Roman"/>
          <w:szCs w:val="24"/>
        </w:rPr>
        <w:t xml:space="preserve">, z późn. </w:t>
      </w:r>
      <w:r w:rsidR="00F83C8D">
        <w:rPr>
          <w:rFonts w:ascii="Times New Roman" w:hAnsi="Times New Roman" w:cs="Times New Roman"/>
          <w:szCs w:val="24"/>
        </w:rPr>
        <w:t>z</w:t>
      </w:r>
      <w:r w:rsidRPr="00B25A10">
        <w:rPr>
          <w:rFonts w:ascii="Times New Roman" w:hAnsi="Times New Roman" w:cs="Times New Roman"/>
          <w:szCs w:val="24"/>
        </w:rPr>
        <w:t>m.</w:t>
      </w:r>
      <w:r w:rsidR="00EC50CA" w:rsidRPr="00B25A10">
        <w:rPr>
          <w:rFonts w:ascii="Times New Roman" w:hAnsi="Times New Roman" w:cs="Times New Roman"/>
          <w:szCs w:val="24"/>
        </w:rPr>
        <w:t>) oraz ustawy z dnia 16 maja 2019 r. o Funduszu rozwoju przewozów autobusowych o charakterze użyteczności publicznej (Dz. U. z 2019 r. poz. 1123</w:t>
      </w:r>
      <w:r w:rsidRPr="00B25A10">
        <w:rPr>
          <w:rFonts w:ascii="Times New Roman" w:hAnsi="Times New Roman" w:cs="Times New Roman"/>
          <w:szCs w:val="24"/>
        </w:rPr>
        <w:t>, z późn. zm.</w:t>
      </w:r>
      <w:r w:rsidR="00EC50CA" w:rsidRPr="00B25A10">
        <w:rPr>
          <w:rFonts w:ascii="Times New Roman" w:hAnsi="Times New Roman" w:cs="Times New Roman"/>
          <w:szCs w:val="24"/>
        </w:rPr>
        <w:t>), w zakresie regulac</w:t>
      </w:r>
      <w:r w:rsidR="00CB6251" w:rsidRPr="00B25A10">
        <w:rPr>
          <w:rFonts w:ascii="Times New Roman" w:hAnsi="Times New Roman" w:cs="Times New Roman"/>
          <w:szCs w:val="24"/>
        </w:rPr>
        <w:t>ji dotyczących opłaty paliwowej</w:t>
      </w:r>
      <w:r w:rsidR="00EC50CA" w:rsidRPr="00B25A10">
        <w:rPr>
          <w:rFonts w:ascii="Times New Roman" w:hAnsi="Times New Roman" w:cs="Times New Roman"/>
          <w:szCs w:val="24"/>
        </w:rPr>
        <w:t xml:space="preserve"> </w:t>
      </w:r>
      <w:r w:rsidR="00CB6251" w:rsidRPr="00B25A10">
        <w:rPr>
          <w:rFonts w:ascii="Times New Roman" w:hAnsi="Times New Roman" w:cs="Times New Roman"/>
          <w:szCs w:val="24"/>
        </w:rPr>
        <w:t>w celu osiągnięcia</w:t>
      </w:r>
      <w:r w:rsidR="00EC50CA" w:rsidRPr="00B25A10">
        <w:rPr>
          <w:rFonts w:ascii="Times New Roman" w:hAnsi="Times New Roman" w:cs="Times New Roman"/>
          <w:szCs w:val="24"/>
        </w:rPr>
        <w:t xml:space="preserve"> pełnej spójności przepisów regulujących opłatę paliwową z przepisami </w:t>
      </w:r>
      <w:r w:rsidR="00920DA5" w:rsidRPr="00B25A10">
        <w:rPr>
          <w:rFonts w:ascii="Times New Roman" w:hAnsi="Times New Roman" w:cs="Times New Roman"/>
          <w:szCs w:val="24"/>
        </w:rPr>
        <w:t>ustawy z dnia 6 grudnia 2008 r. o podatku akcyzowym (Dz. U. z 2020 r. poz. 722</w:t>
      </w:r>
      <w:r w:rsidR="00E37D55">
        <w:rPr>
          <w:rFonts w:ascii="Times New Roman" w:hAnsi="Times New Roman" w:cs="Times New Roman"/>
          <w:szCs w:val="24"/>
        </w:rPr>
        <w:t>, z późn. zm.</w:t>
      </w:r>
      <w:r w:rsidR="00920DA5" w:rsidRPr="00B25A10">
        <w:rPr>
          <w:rFonts w:ascii="Times New Roman" w:hAnsi="Times New Roman" w:cs="Times New Roman"/>
          <w:szCs w:val="24"/>
        </w:rPr>
        <w:t xml:space="preserve">), która wdrożyła do polskiego porządku prawnego przepisy </w:t>
      </w:r>
      <w:r w:rsidR="00EC50CA" w:rsidRPr="00B25A10">
        <w:rPr>
          <w:rFonts w:ascii="Times New Roman" w:hAnsi="Times New Roman" w:cs="Times New Roman"/>
          <w:szCs w:val="24"/>
        </w:rPr>
        <w:t>dyrektywy Rady 2008/118/WE z dnia 16 grudnia 2008 r. w sprawie ogólnych zasad dotyczących podatku akcyzowego, uchylającej dyrektywę 92/12/EWG (Dz. Urz. UE L 9</w:t>
      </w:r>
      <w:r w:rsidR="00685D33">
        <w:rPr>
          <w:rFonts w:ascii="Times New Roman" w:hAnsi="Times New Roman" w:cs="Times New Roman"/>
          <w:szCs w:val="24"/>
        </w:rPr>
        <w:t xml:space="preserve"> z 14.01.2009</w:t>
      </w:r>
      <w:r w:rsidR="00EC50CA" w:rsidRPr="00B25A10">
        <w:rPr>
          <w:rFonts w:ascii="Times New Roman" w:hAnsi="Times New Roman" w:cs="Times New Roman"/>
          <w:szCs w:val="24"/>
        </w:rPr>
        <w:t>, str. 12</w:t>
      </w:r>
      <w:r w:rsidR="007D7C43">
        <w:rPr>
          <w:rFonts w:ascii="Times New Roman" w:hAnsi="Times New Roman" w:cs="Times New Roman"/>
          <w:szCs w:val="24"/>
        </w:rPr>
        <w:t>, z późn. zm.</w:t>
      </w:r>
      <w:r w:rsidR="00EC50CA" w:rsidRPr="00B25A10">
        <w:rPr>
          <w:rFonts w:ascii="Times New Roman" w:hAnsi="Times New Roman" w:cs="Times New Roman"/>
          <w:szCs w:val="24"/>
        </w:rPr>
        <w:t>), dyrektywy Rady 2003/96/WE z dnia 27 października 2003 r. w sprawie restrukturyzacji wspólnotowych przepisów ramowych dotyczących opodatkowania produktów energetycznych i energii elektrycznej (Dz. Urz. UE L</w:t>
      </w:r>
      <w:r w:rsidR="007D7C43">
        <w:rPr>
          <w:rFonts w:ascii="Times New Roman" w:hAnsi="Times New Roman" w:cs="Times New Roman"/>
          <w:szCs w:val="24"/>
        </w:rPr>
        <w:t xml:space="preserve"> </w:t>
      </w:r>
      <w:r w:rsidR="00EC50CA" w:rsidRPr="00B25A10">
        <w:rPr>
          <w:rFonts w:ascii="Times New Roman" w:hAnsi="Times New Roman" w:cs="Times New Roman"/>
          <w:szCs w:val="24"/>
        </w:rPr>
        <w:t>283</w:t>
      </w:r>
      <w:r w:rsidR="007D7C43">
        <w:rPr>
          <w:rFonts w:ascii="Times New Roman" w:hAnsi="Times New Roman" w:cs="Times New Roman"/>
          <w:szCs w:val="24"/>
        </w:rPr>
        <w:t xml:space="preserve"> z 31.10.2003</w:t>
      </w:r>
      <w:r w:rsidR="00EC50CA" w:rsidRPr="00B25A10">
        <w:rPr>
          <w:rFonts w:ascii="Times New Roman" w:hAnsi="Times New Roman" w:cs="Times New Roman"/>
          <w:szCs w:val="24"/>
        </w:rPr>
        <w:t>, str. 51</w:t>
      </w:r>
      <w:r w:rsidR="007D7C43">
        <w:rPr>
          <w:rFonts w:ascii="Times New Roman" w:hAnsi="Times New Roman" w:cs="Times New Roman"/>
          <w:szCs w:val="24"/>
        </w:rPr>
        <w:t>, z późn. zm.</w:t>
      </w:r>
      <w:r w:rsidR="00EC50CA" w:rsidRPr="00B25A10">
        <w:rPr>
          <w:rFonts w:ascii="Times New Roman" w:hAnsi="Times New Roman" w:cs="Times New Roman"/>
          <w:szCs w:val="24"/>
        </w:rPr>
        <w:t>) oraz dyrektywy Rady 2007/74/WE z dnia 20 grudnia 2007 r. w sprawie zwolnienia towarów prz</w:t>
      </w:r>
      <w:r w:rsidR="00B31455">
        <w:rPr>
          <w:rFonts w:ascii="Times New Roman" w:hAnsi="Times New Roman" w:cs="Times New Roman"/>
          <w:szCs w:val="24"/>
        </w:rPr>
        <w:t>y</w:t>
      </w:r>
      <w:r w:rsidR="00EC50CA" w:rsidRPr="00B25A10">
        <w:rPr>
          <w:rFonts w:ascii="Times New Roman" w:hAnsi="Times New Roman" w:cs="Times New Roman"/>
          <w:szCs w:val="24"/>
        </w:rPr>
        <w:t>wożonych przez osoby podróżujące z państwa trzecich z podatku od wartości dodanej i akcyzy (Dz.</w:t>
      </w:r>
      <w:r w:rsidR="00040437">
        <w:rPr>
          <w:rFonts w:ascii="Times New Roman" w:hAnsi="Times New Roman" w:cs="Times New Roman"/>
          <w:szCs w:val="24"/>
        </w:rPr>
        <w:t> </w:t>
      </w:r>
      <w:r w:rsidR="00EC50CA" w:rsidRPr="00B25A10">
        <w:rPr>
          <w:rFonts w:ascii="Times New Roman" w:hAnsi="Times New Roman" w:cs="Times New Roman"/>
          <w:szCs w:val="24"/>
        </w:rPr>
        <w:t>Urz. UE L 346</w:t>
      </w:r>
      <w:r w:rsidR="00B31455">
        <w:rPr>
          <w:rFonts w:ascii="Times New Roman" w:hAnsi="Times New Roman" w:cs="Times New Roman"/>
          <w:szCs w:val="24"/>
        </w:rPr>
        <w:t xml:space="preserve"> z 29.12.2007</w:t>
      </w:r>
      <w:r w:rsidR="00EC50CA" w:rsidRPr="00B25A10">
        <w:rPr>
          <w:rFonts w:ascii="Times New Roman" w:hAnsi="Times New Roman" w:cs="Times New Roman"/>
          <w:szCs w:val="24"/>
        </w:rPr>
        <w:t xml:space="preserve">, str. 6). </w:t>
      </w:r>
    </w:p>
    <w:p w14:paraId="508C59C9" w14:textId="77777777" w:rsidR="00712E99" w:rsidRPr="00B25A10" w:rsidRDefault="00712E99" w:rsidP="002D025D">
      <w:pPr>
        <w:spacing w:before="240"/>
        <w:jc w:val="both"/>
        <w:rPr>
          <w:rFonts w:ascii="Times New Roman" w:hAnsi="Times New Roman" w:cs="Times New Roman"/>
          <w:b/>
          <w:sz w:val="24"/>
          <w:szCs w:val="24"/>
          <w:u w:val="single"/>
        </w:rPr>
      </w:pPr>
      <w:r w:rsidRPr="00B25A10">
        <w:rPr>
          <w:rFonts w:ascii="Times New Roman" w:hAnsi="Times New Roman" w:cs="Times New Roman"/>
          <w:b/>
          <w:sz w:val="24"/>
          <w:szCs w:val="24"/>
          <w:u w:val="single"/>
        </w:rPr>
        <w:t xml:space="preserve">Zmiany w ustawie – Prawo celne </w:t>
      </w:r>
    </w:p>
    <w:p w14:paraId="335D6384" w14:textId="1255FD50"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 xml:space="preserve">zmiana art. 10b </w:t>
      </w:r>
      <w:r w:rsidR="00BE75D0" w:rsidRPr="00B25A10">
        <w:rPr>
          <w:rFonts w:ascii="Times New Roman" w:hAnsi="Times New Roman" w:cs="Times New Roman"/>
          <w:b/>
          <w:sz w:val="24"/>
          <w:szCs w:val="24"/>
        </w:rPr>
        <w:t xml:space="preserve">Prawa celnego </w:t>
      </w:r>
      <w:r w:rsidRPr="00B25A10">
        <w:rPr>
          <w:rFonts w:ascii="Times New Roman" w:hAnsi="Times New Roman" w:cs="Times New Roman"/>
          <w:b/>
          <w:sz w:val="24"/>
          <w:szCs w:val="24"/>
        </w:rPr>
        <w:t>przez dodanie ust. 3</w:t>
      </w:r>
    </w:p>
    <w:p w14:paraId="20BF7D39" w14:textId="416C35F8"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Dodanie ust. 3 w art. 10b ustawy z dnia 19 marca 2004 r. – Prawo celne (Dz. U. z 20</w:t>
      </w:r>
      <w:r w:rsidR="008A4D67" w:rsidRPr="00B25A10">
        <w:rPr>
          <w:rFonts w:ascii="Times New Roman" w:hAnsi="Times New Roman" w:cs="Times New Roman"/>
          <w:sz w:val="24"/>
          <w:szCs w:val="24"/>
        </w:rPr>
        <w:t>20</w:t>
      </w:r>
      <w:r w:rsidRPr="00B25A10">
        <w:rPr>
          <w:rFonts w:ascii="Times New Roman" w:hAnsi="Times New Roman" w:cs="Times New Roman"/>
          <w:sz w:val="24"/>
          <w:szCs w:val="24"/>
        </w:rPr>
        <w:t xml:space="preserve"> r. poz. 1</w:t>
      </w:r>
      <w:r w:rsidR="008A4D67" w:rsidRPr="00B25A10">
        <w:rPr>
          <w:rFonts w:ascii="Times New Roman" w:hAnsi="Times New Roman" w:cs="Times New Roman"/>
          <w:sz w:val="24"/>
          <w:szCs w:val="24"/>
        </w:rPr>
        <w:t>382)</w:t>
      </w:r>
      <w:r w:rsidRPr="00B25A10">
        <w:rPr>
          <w:rFonts w:ascii="Times New Roman" w:hAnsi="Times New Roman" w:cs="Times New Roman"/>
          <w:sz w:val="24"/>
          <w:szCs w:val="24"/>
        </w:rPr>
        <w:t xml:space="preserve">, zwanej dalej „Prawem celnym”, umożliwia opatrywanie dokumentów </w:t>
      </w:r>
      <w:r w:rsidR="00F92477" w:rsidRPr="00B25A10">
        <w:rPr>
          <w:rFonts w:ascii="Times New Roman" w:hAnsi="Times New Roman" w:cs="Times New Roman"/>
          <w:sz w:val="24"/>
          <w:szCs w:val="24"/>
        </w:rPr>
        <w:t>elektronicznych</w:t>
      </w:r>
      <w:r w:rsidR="00A6261F" w:rsidRPr="00B25A10">
        <w:rPr>
          <w:rFonts w:ascii="Times New Roman" w:hAnsi="Times New Roman" w:cs="Times New Roman"/>
          <w:sz w:val="24"/>
          <w:szCs w:val="24"/>
        </w:rPr>
        <w:t xml:space="preserve"> innych niż decyzje </w:t>
      </w:r>
      <w:r w:rsidRPr="00B25A10">
        <w:rPr>
          <w:rFonts w:ascii="Times New Roman" w:hAnsi="Times New Roman" w:cs="Times New Roman"/>
          <w:sz w:val="24"/>
          <w:szCs w:val="24"/>
        </w:rPr>
        <w:t xml:space="preserve">zaawansowaną pieczęcią elektroniczną organu celnego, bez konieczności opatrywania ww. dokumentów podpisem elektronicznym.  </w:t>
      </w:r>
    </w:p>
    <w:p w14:paraId="6D33A502" w14:textId="77777777" w:rsidR="00B23B73" w:rsidRPr="00B25A10" w:rsidRDefault="007B5CE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Zgodnie z art. 36 rozporządzenia Parlamentu Europejskiego i Rady (UE) nr 910/2014 z dnia 23</w:t>
      </w:r>
      <w:r w:rsidR="008D402E">
        <w:rPr>
          <w:rFonts w:ascii="Times New Roman" w:hAnsi="Times New Roman" w:cs="Times New Roman"/>
          <w:sz w:val="24"/>
          <w:szCs w:val="24"/>
        </w:rPr>
        <w:t> </w:t>
      </w:r>
      <w:r w:rsidRPr="00B25A10">
        <w:rPr>
          <w:rFonts w:ascii="Times New Roman" w:hAnsi="Times New Roman" w:cs="Times New Roman"/>
          <w:sz w:val="24"/>
          <w:szCs w:val="24"/>
        </w:rPr>
        <w:t>lipca 2014 r. w sprawie identyfikacji elektronicznej i usług zaufania w odniesieniu do transakcji elektronicznych na rynku wewnętrznym oraz uchylające</w:t>
      </w:r>
      <w:r w:rsidR="007D0BC6">
        <w:rPr>
          <w:rFonts w:ascii="Times New Roman" w:hAnsi="Times New Roman" w:cs="Times New Roman"/>
          <w:sz w:val="24"/>
          <w:szCs w:val="24"/>
        </w:rPr>
        <w:t>go</w:t>
      </w:r>
      <w:r w:rsidRPr="00B25A10">
        <w:rPr>
          <w:rFonts w:ascii="Times New Roman" w:hAnsi="Times New Roman" w:cs="Times New Roman"/>
          <w:sz w:val="24"/>
          <w:szCs w:val="24"/>
        </w:rPr>
        <w:t xml:space="preserve"> dyrektywę 1999/93/WE (Dz. Urz. UE L 257 z 28.08.2014, str. 73), zaawansowana pieczęć elektroniczna jest unikalnie przyporządkowana podmiotowi składającemu pieczęć i umożliwia ustalenie tożsamości podmiotu składającego pieczęć</w:t>
      </w:r>
      <w:r w:rsidR="00B23B73" w:rsidRPr="00B25A10">
        <w:rPr>
          <w:rFonts w:ascii="Times New Roman" w:hAnsi="Times New Roman" w:cs="Times New Roman"/>
          <w:sz w:val="24"/>
          <w:szCs w:val="24"/>
        </w:rPr>
        <w:t>.</w:t>
      </w:r>
      <w:r w:rsidRPr="00B25A10">
        <w:rPr>
          <w:rFonts w:ascii="Times New Roman" w:hAnsi="Times New Roman" w:cs="Times New Roman"/>
          <w:sz w:val="24"/>
          <w:szCs w:val="24"/>
        </w:rPr>
        <w:t xml:space="preserve"> </w:t>
      </w:r>
      <w:r w:rsidR="00B23B73" w:rsidRPr="00B25A10">
        <w:rPr>
          <w:rFonts w:ascii="Times New Roman" w:hAnsi="Times New Roman" w:cs="Times New Roman"/>
          <w:sz w:val="24"/>
          <w:szCs w:val="24"/>
        </w:rPr>
        <w:t xml:space="preserve">Opatrzenie elektronicznego dokumentu celnego pieczęcią elektroniczną potwierdzi jego autentyczność i integralność danych, a tym samym będzie stanowić dowód jego wydania przez </w:t>
      </w:r>
      <w:r w:rsidR="009D546B" w:rsidRPr="00B25A10">
        <w:rPr>
          <w:rFonts w:ascii="Times New Roman" w:hAnsi="Times New Roman" w:cs="Times New Roman"/>
          <w:sz w:val="24"/>
          <w:szCs w:val="24"/>
        </w:rPr>
        <w:t xml:space="preserve">określony </w:t>
      </w:r>
      <w:r w:rsidR="00B23B73" w:rsidRPr="00B25A10">
        <w:rPr>
          <w:rFonts w:ascii="Times New Roman" w:hAnsi="Times New Roman" w:cs="Times New Roman"/>
          <w:sz w:val="24"/>
          <w:szCs w:val="24"/>
        </w:rPr>
        <w:t>organ celny.</w:t>
      </w:r>
    </w:p>
    <w:p w14:paraId="714E2B7E" w14:textId="34A23979" w:rsidR="00B23B73"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 xml:space="preserve">Projektowany przepis zakłada, że dokumenty </w:t>
      </w:r>
      <w:r w:rsidR="00F92477" w:rsidRPr="00B25A10">
        <w:rPr>
          <w:rFonts w:ascii="Times New Roman" w:hAnsi="Times New Roman" w:cs="Times New Roman"/>
          <w:sz w:val="24"/>
          <w:szCs w:val="24"/>
        </w:rPr>
        <w:t>elektroniczne opatrzone zaawansowaną pieczęcią elektroniczną nie będą podpisywane podpisem elektronicznym</w:t>
      </w:r>
      <w:r w:rsidR="009E0597" w:rsidRPr="00B25A10">
        <w:rPr>
          <w:rFonts w:ascii="Times New Roman" w:hAnsi="Times New Roman" w:cs="Times New Roman"/>
          <w:sz w:val="24"/>
          <w:szCs w:val="24"/>
        </w:rPr>
        <w:t xml:space="preserve"> identyfikującym konkretną osobę fizyczną wydającą taki dokument.</w:t>
      </w:r>
      <w:r w:rsidR="00376512" w:rsidRPr="00B25A10">
        <w:rPr>
          <w:rFonts w:ascii="Times New Roman" w:hAnsi="Times New Roman" w:cs="Times New Roman"/>
          <w:sz w:val="24"/>
          <w:szCs w:val="24"/>
        </w:rPr>
        <w:t xml:space="preserve"> </w:t>
      </w:r>
      <w:r w:rsidR="00B23B73" w:rsidRPr="00B25A10">
        <w:rPr>
          <w:rFonts w:ascii="Times New Roman" w:hAnsi="Times New Roman" w:cs="Times New Roman"/>
          <w:sz w:val="24"/>
          <w:szCs w:val="24"/>
        </w:rPr>
        <w:t xml:space="preserve">Organ celny będzie działał w takim przypadku bezpośrednio </w:t>
      </w:r>
      <w:r w:rsidR="00573303" w:rsidRPr="00B25A10">
        <w:rPr>
          <w:rFonts w:ascii="Times New Roman" w:hAnsi="Times New Roman" w:cs="Times New Roman"/>
          <w:sz w:val="24"/>
          <w:szCs w:val="24"/>
        </w:rPr>
        <w:t>–</w:t>
      </w:r>
      <w:r w:rsidR="00B23B73" w:rsidRPr="00B25A10">
        <w:rPr>
          <w:rFonts w:ascii="Times New Roman" w:hAnsi="Times New Roman" w:cs="Times New Roman"/>
          <w:sz w:val="24"/>
          <w:szCs w:val="24"/>
        </w:rPr>
        <w:t xml:space="preserve"> wykorzystując system informatyczny </w:t>
      </w:r>
      <w:r w:rsidR="00573303" w:rsidRPr="00B25A10">
        <w:rPr>
          <w:rFonts w:ascii="Times New Roman" w:hAnsi="Times New Roman" w:cs="Times New Roman"/>
          <w:sz w:val="24"/>
          <w:szCs w:val="24"/>
        </w:rPr>
        <w:t>–</w:t>
      </w:r>
      <w:r w:rsidR="00B23B73" w:rsidRPr="00B25A10">
        <w:rPr>
          <w:rFonts w:ascii="Times New Roman" w:hAnsi="Times New Roman" w:cs="Times New Roman"/>
          <w:sz w:val="24"/>
          <w:szCs w:val="24"/>
        </w:rPr>
        <w:t xml:space="preserve"> bez </w:t>
      </w:r>
      <w:r w:rsidR="009D546B" w:rsidRPr="00B25A10">
        <w:rPr>
          <w:rFonts w:ascii="Times New Roman" w:hAnsi="Times New Roman" w:cs="Times New Roman"/>
          <w:sz w:val="24"/>
          <w:szCs w:val="24"/>
        </w:rPr>
        <w:t xml:space="preserve">konieczności </w:t>
      </w:r>
      <w:r w:rsidR="00B23B73" w:rsidRPr="00B25A10">
        <w:rPr>
          <w:rFonts w:ascii="Times New Roman" w:hAnsi="Times New Roman" w:cs="Times New Roman"/>
          <w:sz w:val="24"/>
          <w:szCs w:val="24"/>
        </w:rPr>
        <w:t xml:space="preserve">upoważnienia </w:t>
      </w:r>
      <w:r w:rsidR="009D546B" w:rsidRPr="00B25A10">
        <w:rPr>
          <w:rFonts w:ascii="Times New Roman" w:hAnsi="Times New Roman" w:cs="Times New Roman"/>
          <w:sz w:val="24"/>
          <w:szCs w:val="24"/>
        </w:rPr>
        <w:t xml:space="preserve">konkretnego </w:t>
      </w:r>
      <w:r w:rsidR="00B23B73" w:rsidRPr="00B25A10">
        <w:rPr>
          <w:rFonts w:ascii="Times New Roman" w:hAnsi="Times New Roman" w:cs="Times New Roman"/>
          <w:sz w:val="24"/>
          <w:szCs w:val="24"/>
        </w:rPr>
        <w:t>funkcjonariusza lub pracownika do załatwiania spraw w jego imieniu</w:t>
      </w:r>
      <w:r w:rsidR="000649FD" w:rsidRPr="00B25A10">
        <w:rPr>
          <w:rFonts w:ascii="Times New Roman" w:hAnsi="Times New Roman" w:cs="Times New Roman"/>
          <w:sz w:val="24"/>
          <w:szCs w:val="24"/>
        </w:rPr>
        <w:t xml:space="preserve">. Proponowana regulacja </w:t>
      </w:r>
      <w:r w:rsidR="009568A4" w:rsidRPr="00B25A10">
        <w:rPr>
          <w:rFonts w:ascii="Times New Roman" w:hAnsi="Times New Roman" w:cs="Times New Roman"/>
          <w:sz w:val="24"/>
          <w:szCs w:val="24"/>
        </w:rPr>
        <w:t xml:space="preserve">nie </w:t>
      </w:r>
      <w:r w:rsidR="000649FD" w:rsidRPr="00B25A10">
        <w:rPr>
          <w:rFonts w:ascii="Times New Roman" w:hAnsi="Times New Roman" w:cs="Times New Roman"/>
          <w:sz w:val="24"/>
          <w:szCs w:val="24"/>
        </w:rPr>
        <w:t>będzie miała zastosowani</w:t>
      </w:r>
      <w:r w:rsidR="009568A4" w:rsidRPr="00B25A10">
        <w:rPr>
          <w:rFonts w:ascii="Times New Roman" w:hAnsi="Times New Roman" w:cs="Times New Roman"/>
          <w:sz w:val="24"/>
          <w:szCs w:val="24"/>
        </w:rPr>
        <w:t>a</w:t>
      </w:r>
      <w:r w:rsidR="000649FD" w:rsidRPr="00B25A10">
        <w:rPr>
          <w:rFonts w:ascii="Times New Roman" w:hAnsi="Times New Roman" w:cs="Times New Roman"/>
          <w:sz w:val="24"/>
          <w:szCs w:val="24"/>
        </w:rPr>
        <w:t xml:space="preserve"> </w:t>
      </w:r>
      <w:r w:rsidR="009D546B" w:rsidRPr="00B25A10">
        <w:rPr>
          <w:rFonts w:ascii="Times New Roman" w:hAnsi="Times New Roman" w:cs="Times New Roman"/>
          <w:sz w:val="24"/>
          <w:szCs w:val="24"/>
        </w:rPr>
        <w:t xml:space="preserve">do </w:t>
      </w:r>
      <w:r w:rsidR="00B23B73" w:rsidRPr="00B25A10">
        <w:rPr>
          <w:rFonts w:ascii="Times New Roman" w:hAnsi="Times New Roman" w:cs="Times New Roman"/>
          <w:sz w:val="24"/>
          <w:szCs w:val="24"/>
        </w:rPr>
        <w:t>wydawan</w:t>
      </w:r>
      <w:r w:rsidR="000649FD" w:rsidRPr="00B25A10">
        <w:rPr>
          <w:rFonts w:ascii="Times New Roman" w:hAnsi="Times New Roman" w:cs="Times New Roman"/>
          <w:sz w:val="24"/>
          <w:szCs w:val="24"/>
        </w:rPr>
        <w:t xml:space="preserve">ych przez organ celny </w:t>
      </w:r>
      <w:r w:rsidR="00B23B73" w:rsidRPr="00B25A10">
        <w:rPr>
          <w:rFonts w:ascii="Times New Roman" w:hAnsi="Times New Roman" w:cs="Times New Roman"/>
          <w:sz w:val="24"/>
          <w:szCs w:val="24"/>
        </w:rPr>
        <w:t>decyzji</w:t>
      </w:r>
      <w:r w:rsidR="000649FD" w:rsidRPr="00B25A10">
        <w:rPr>
          <w:rFonts w:ascii="Times New Roman" w:hAnsi="Times New Roman" w:cs="Times New Roman"/>
          <w:sz w:val="24"/>
          <w:szCs w:val="24"/>
        </w:rPr>
        <w:t xml:space="preserve">. </w:t>
      </w:r>
    </w:p>
    <w:p w14:paraId="5EE78505" w14:textId="2A08F77A" w:rsidR="009568A4" w:rsidRPr="00B25A10" w:rsidRDefault="00376512"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W dobie </w:t>
      </w:r>
      <w:r w:rsidR="006237FD" w:rsidRPr="00B25A10">
        <w:rPr>
          <w:rFonts w:ascii="Times New Roman" w:hAnsi="Times New Roman" w:cs="Times New Roman"/>
          <w:sz w:val="24"/>
          <w:szCs w:val="24"/>
        </w:rPr>
        <w:t>rozwoju e-usług Krajowej Administracji Skarbowej i informatyzacji</w:t>
      </w:r>
      <w:r w:rsidRPr="00B25A10">
        <w:rPr>
          <w:rFonts w:ascii="Times New Roman" w:hAnsi="Times New Roman" w:cs="Times New Roman"/>
          <w:sz w:val="24"/>
          <w:szCs w:val="24"/>
        </w:rPr>
        <w:t xml:space="preserve"> proces</w:t>
      </w:r>
      <w:r w:rsidR="006237FD" w:rsidRPr="00B25A10">
        <w:rPr>
          <w:rFonts w:ascii="Times New Roman" w:hAnsi="Times New Roman" w:cs="Times New Roman"/>
          <w:sz w:val="24"/>
          <w:szCs w:val="24"/>
        </w:rPr>
        <w:t xml:space="preserve">ów w obszarze obsługi i kontroli obrotu towarowego z państwami trzecimi, a co za tym idzie </w:t>
      </w:r>
      <w:r w:rsidR="00573303" w:rsidRPr="00B25A10">
        <w:rPr>
          <w:rFonts w:ascii="Times New Roman" w:hAnsi="Times New Roman" w:cs="Times New Roman"/>
          <w:sz w:val="24"/>
          <w:szCs w:val="24"/>
        </w:rPr>
        <w:t>–</w:t>
      </w:r>
      <w:r w:rsidR="00573303">
        <w:rPr>
          <w:rFonts w:ascii="Times New Roman" w:hAnsi="Times New Roman" w:cs="Times New Roman"/>
          <w:sz w:val="24"/>
          <w:szCs w:val="24"/>
        </w:rPr>
        <w:t xml:space="preserve"> </w:t>
      </w:r>
      <w:r w:rsidR="006237FD" w:rsidRPr="00B25A10">
        <w:rPr>
          <w:rFonts w:ascii="Times New Roman" w:hAnsi="Times New Roman" w:cs="Times New Roman"/>
          <w:sz w:val="24"/>
          <w:szCs w:val="24"/>
        </w:rPr>
        <w:t>zmian</w:t>
      </w:r>
      <w:r w:rsidR="00A6261F" w:rsidRPr="00B25A10">
        <w:rPr>
          <w:rFonts w:ascii="Times New Roman" w:hAnsi="Times New Roman" w:cs="Times New Roman"/>
          <w:sz w:val="24"/>
          <w:szCs w:val="24"/>
        </w:rPr>
        <w:t>ą</w:t>
      </w:r>
      <w:r w:rsidR="006237FD" w:rsidRPr="00B25A10">
        <w:rPr>
          <w:rFonts w:ascii="Times New Roman" w:hAnsi="Times New Roman" w:cs="Times New Roman"/>
          <w:sz w:val="24"/>
          <w:szCs w:val="24"/>
        </w:rPr>
        <w:t xml:space="preserve"> sposobu komunikowania się organu celnego z podmiotem (przez komunikaty, powiadomienia z systemu itd.)</w:t>
      </w:r>
      <w:r w:rsidR="00573303">
        <w:rPr>
          <w:rFonts w:ascii="Times New Roman" w:hAnsi="Times New Roman" w:cs="Times New Roman"/>
          <w:sz w:val="24"/>
          <w:szCs w:val="24"/>
        </w:rPr>
        <w:t>,</w:t>
      </w:r>
      <w:r w:rsidR="006237FD" w:rsidRPr="00B25A10">
        <w:rPr>
          <w:rFonts w:ascii="Times New Roman" w:hAnsi="Times New Roman" w:cs="Times New Roman"/>
          <w:sz w:val="24"/>
          <w:szCs w:val="24"/>
        </w:rPr>
        <w:t xml:space="preserve"> istnieje potrzeba wprowadzenia takiego narzędzia elektronicznego</w:t>
      </w:r>
      <w:r w:rsidR="009D546B" w:rsidRPr="00B25A10">
        <w:rPr>
          <w:rFonts w:ascii="Times New Roman" w:hAnsi="Times New Roman" w:cs="Times New Roman"/>
          <w:sz w:val="24"/>
          <w:szCs w:val="24"/>
        </w:rPr>
        <w:t>.</w:t>
      </w:r>
      <w:r w:rsidR="006237FD" w:rsidRPr="00B25A10">
        <w:rPr>
          <w:rFonts w:ascii="Times New Roman" w:hAnsi="Times New Roman" w:cs="Times New Roman"/>
          <w:sz w:val="24"/>
          <w:szCs w:val="24"/>
        </w:rPr>
        <w:t xml:space="preserve"> </w:t>
      </w:r>
    </w:p>
    <w:p w14:paraId="72E70195"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art. 52 Prawa celnego</w:t>
      </w:r>
    </w:p>
    <w:p w14:paraId="23349922"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Proponuje się zmianę art. 52 Prawa celnego dotyczącego wykazu gwarantów uprawnionych do udzielania gwarancji składanych jako zabezpieczenie pokrycia kwot wynikających z długów celnych. </w:t>
      </w:r>
    </w:p>
    <w:p w14:paraId="33E36553" w14:textId="7ABC979E"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Zaproponowane zmiany mają na celu wyznaczenie innego organu niż obecnie do prowadzenia wykazu i dokonywania w nim wpisów oraz odformalizowanie i skrócenie procedury wpisu do tego wykazu.</w:t>
      </w:r>
    </w:p>
    <w:p w14:paraId="35B2EEEE"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Zgodnie z obowiązującym art. 52 Prawa celnego, minister właściwy do spraw finansów publicznych:</w:t>
      </w:r>
    </w:p>
    <w:p w14:paraId="2C84E8C5" w14:textId="77777777" w:rsidR="00712E99" w:rsidRPr="00B25A10" w:rsidRDefault="00712E99" w:rsidP="002D025D">
      <w:pPr>
        <w:tabs>
          <w:tab w:val="left" w:pos="567"/>
        </w:tabs>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1)</w:t>
      </w:r>
      <w:r w:rsidRPr="00B25A10">
        <w:rPr>
          <w:rFonts w:ascii="Times New Roman" w:hAnsi="Times New Roman" w:cs="Times New Roman"/>
          <w:sz w:val="24"/>
          <w:szCs w:val="24"/>
        </w:rPr>
        <w:tab/>
        <w:t>prowadzi wykaz i dokonuje w nim odpowiednich wpisów (ust. 3);</w:t>
      </w:r>
    </w:p>
    <w:p w14:paraId="01E28BE9" w14:textId="77777777" w:rsidR="00712E99" w:rsidRPr="00B25A10" w:rsidRDefault="00712E99" w:rsidP="002D025D">
      <w:pPr>
        <w:tabs>
          <w:tab w:val="left" w:pos="567"/>
        </w:tabs>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2)</w:t>
      </w:r>
      <w:r w:rsidRPr="00B25A10">
        <w:rPr>
          <w:rFonts w:ascii="Times New Roman" w:hAnsi="Times New Roman" w:cs="Times New Roman"/>
          <w:sz w:val="24"/>
          <w:szCs w:val="24"/>
        </w:rPr>
        <w:tab/>
        <w:t>wydaje decyzje o wpisie do wykazu, odmowie dokonania wpisu oraz skreśleniu z wykazu (ust. 8);</w:t>
      </w:r>
    </w:p>
    <w:p w14:paraId="6B1E21EA" w14:textId="77777777" w:rsidR="00712E99" w:rsidRPr="00B25A10" w:rsidRDefault="00712E99" w:rsidP="002D025D">
      <w:pPr>
        <w:tabs>
          <w:tab w:val="left" w:pos="567"/>
        </w:tabs>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3)</w:t>
      </w:r>
      <w:r w:rsidRPr="00B25A10">
        <w:rPr>
          <w:rFonts w:ascii="Times New Roman" w:hAnsi="Times New Roman" w:cs="Times New Roman"/>
          <w:sz w:val="24"/>
          <w:szCs w:val="24"/>
        </w:rPr>
        <w:tab/>
        <w:t xml:space="preserve">udostępnia i aktualizuje do celów informacyjnych na stronie podmiotowej </w:t>
      </w:r>
      <w:r w:rsidR="0098018E" w:rsidRPr="00B25A10">
        <w:rPr>
          <w:rFonts w:ascii="Times New Roman" w:hAnsi="Times New Roman" w:cs="Times New Roman"/>
          <w:sz w:val="24"/>
          <w:szCs w:val="24"/>
        </w:rPr>
        <w:t xml:space="preserve">urzędu obsługującego </w:t>
      </w:r>
      <w:r w:rsidRPr="00B25A10">
        <w:rPr>
          <w:rFonts w:ascii="Times New Roman" w:hAnsi="Times New Roman" w:cs="Times New Roman"/>
          <w:sz w:val="24"/>
          <w:szCs w:val="24"/>
        </w:rPr>
        <w:t xml:space="preserve">ministra właściwego do spraw finansów publicznych wykaz i informację o gwarantach akredytowanych w Unii (ust. 11). </w:t>
      </w:r>
    </w:p>
    <w:p w14:paraId="7E07F7A8"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Proponuje się, aby powyższe kompetencje przejął Szef Krajowej Administracji Skarbowej, do którego zadań należy nadzór nad jednostkami organizacyjnymi Krajowej Administracji Skarbowej, a właśnie taka jednostka (departament w Ministerstwie Finansów) prowadzi sprawy związane z wykazem. </w:t>
      </w:r>
    </w:p>
    <w:p w14:paraId="12B4DD4C"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Proponuje się ponadto odformalizowanie wpisu do wykazu.</w:t>
      </w:r>
    </w:p>
    <w:p w14:paraId="3F9A6A6D" w14:textId="01AC9D42"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W art. 52 ust. 2 Prawa celnego wskazane zostały warunki, jakie muszą spełniać osoby ubiegające się o status gwarantów zatwierdzonych przez organy celne. Sprawdzenie spełnienia tych wymogów odbywa się wyłącznie na wniosek osób zainteresowanych, zaś wyrazem ich spełnienia jest wpis do wykazu. Zgodnie z obecnie obowiązującym art. 52 ust. 8 Prawa celnego wpis ten jest poprzedzony wydaniem decyzji przez ministra właściwego do spraw finansów publicznych o wpisie do wykazu. Dopiero na podstawie tej decyzji dokonywany jest wpis do wykazu. Projektowana zmiana zakłada odstąpienie od wydawania tej decyzji – wpis do wykazu będzie decyzją Szefa Krajowej Administracji Skarbowej, </w:t>
      </w:r>
      <w:r w:rsidR="00903478" w:rsidRPr="00B25A10">
        <w:rPr>
          <w:rFonts w:ascii="Times New Roman" w:hAnsi="Times New Roman" w:cs="Times New Roman"/>
          <w:sz w:val="24"/>
          <w:szCs w:val="24"/>
        </w:rPr>
        <w:t>o</w:t>
      </w:r>
      <w:r w:rsidRPr="00B25A10">
        <w:rPr>
          <w:rFonts w:ascii="Times New Roman" w:hAnsi="Times New Roman" w:cs="Times New Roman"/>
          <w:sz w:val="24"/>
          <w:szCs w:val="24"/>
        </w:rPr>
        <w:t xml:space="preserve"> której zostanie poinformowany zarówno wnioskodawca, jak i Komisja Nadzoru Finansowego. Również zmiany w wykazie gwarantów niepociągające za sobą zmiany statusu osoby wpisanej do tego wykazu (np. zmiana adresu siedziby gwaranta</w:t>
      </w:r>
      <w:r w:rsidR="00573303">
        <w:rPr>
          <w:rFonts w:ascii="Times New Roman" w:hAnsi="Times New Roman" w:cs="Times New Roman"/>
          <w:sz w:val="24"/>
          <w:szCs w:val="24"/>
        </w:rPr>
        <w:t>,</w:t>
      </w:r>
      <w:r w:rsidRPr="00B25A10">
        <w:rPr>
          <w:rFonts w:ascii="Times New Roman" w:hAnsi="Times New Roman" w:cs="Times New Roman"/>
          <w:sz w:val="24"/>
          <w:szCs w:val="24"/>
        </w:rPr>
        <w:t xml:space="preserve"> zmiana nazwy gwaranta</w:t>
      </w:r>
      <w:r w:rsidR="00573303">
        <w:rPr>
          <w:rFonts w:ascii="Times New Roman" w:hAnsi="Times New Roman" w:cs="Times New Roman"/>
          <w:sz w:val="24"/>
          <w:szCs w:val="24"/>
        </w:rPr>
        <w:t>,</w:t>
      </w:r>
      <w:r w:rsidRPr="00B25A10">
        <w:rPr>
          <w:rFonts w:ascii="Times New Roman" w:hAnsi="Times New Roman" w:cs="Times New Roman"/>
          <w:sz w:val="24"/>
          <w:szCs w:val="24"/>
        </w:rPr>
        <w:t xml:space="preserve"> prostowanie oczywistych omyłek pisarskich w nazwie gwaranta lub adresie jego siedziby) będą mogły odbywać się w tym trybie. Takie rozwiązanie wpisuje się w sposób wydawania decyzji korzystnej określony w przepisach celnych. Przepisy te nie określają formy i elementów decyzji korzystnej, jeżeli zatem organ celny rozpoczyna postępowanie na wniosek osoby zainteresowanej i w pełni uwzględnia ten wniosek, decyzja może mieć formę np. akceptacji na dokumentach czy komunikatu w systemie informatycznym. W przypadku wniosku o wpis do wykazu będzie to wpis do wykazu.   </w:t>
      </w:r>
    </w:p>
    <w:p w14:paraId="21F1ABD2" w14:textId="5619A4B9"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Należy zauważyć, że do decyzji dotyczących stosowania przepisów prawa celnego w pierwszej kolejności zastosowanie znajdują unijne przepisy celne (w szczególności przepisy art. 22</w:t>
      </w:r>
      <w:r w:rsidR="00573303" w:rsidRPr="00B25A10">
        <w:rPr>
          <w:rFonts w:ascii="Times New Roman" w:hAnsi="Times New Roman" w:cs="Times New Roman"/>
          <w:sz w:val="24"/>
          <w:szCs w:val="24"/>
        </w:rPr>
        <w:t>–</w:t>
      </w:r>
      <w:r w:rsidRPr="00B25A10">
        <w:rPr>
          <w:rFonts w:ascii="Times New Roman" w:hAnsi="Times New Roman" w:cs="Times New Roman"/>
          <w:sz w:val="24"/>
          <w:szCs w:val="24"/>
        </w:rPr>
        <w:t>37</w:t>
      </w:r>
      <w:r w:rsidR="000876DA" w:rsidRPr="00B25A10">
        <w:rPr>
          <w:rFonts w:ascii="Times New Roman" w:hAnsi="Times New Roman" w:cs="Times New Roman"/>
          <w:sz w:val="24"/>
          <w:szCs w:val="24"/>
        </w:rPr>
        <w:t xml:space="preserve"> </w:t>
      </w:r>
      <w:r w:rsidR="000F2A97" w:rsidRPr="00B25A10">
        <w:rPr>
          <w:rFonts w:ascii="Times New Roman" w:hAnsi="Times New Roman" w:cs="Times New Roman"/>
          <w:sz w:val="24"/>
          <w:szCs w:val="24"/>
        </w:rPr>
        <w:t>rozporządzenia Parlamentu Europejskiego i Rady (UE) nr 952/2013 z dnia 9 października 2013</w:t>
      </w:r>
      <w:r w:rsidR="00573303">
        <w:rPr>
          <w:rFonts w:ascii="Times New Roman" w:hAnsi="Times New Roman" w:cs="Times New Roman"/>
          <w:sz w:val="24"/>
          <w:szCs w:val="24"/>
        </w:rPr>
        <w:t> </w:t>
      </w:r>
      <w:r w:rsidR="000F2A97" w:rsidRPr="00B25A10">
        <w:rPr>
          <w:rFonts w:ascii="Times New Roman" w:hAnsi="Times New Roman" w:cs="Times New Roman"/>
          <w:sz w:val="24"/>
          <w:szCs w:val="24"/>
        </w:rPr>
        <w:t>r. ustanawiającego unijny kodeks celny (Dz. Urz. UE L 269 z 10.10.2013, str. 1, z późn. zm.), zwanego dalej „UKC”,</w:t>
      </w:r>
      <w:r w:rsidRPr="00B25A10">
        <w:rPr>
          <w:rFonts w:ascii="Times New Roman" w:hAnsi="Times New Roman" w:cs="Times New Roman"/>
          <w:sz w:val="24"/>
          <w:szCs w:val="24"/>
        </w:rPr>
        <w:t xml:space="preserve"> wraz z przepisami delegowanymi i wykonawczymi), uzupełnione odpowiednio krajowymi przepisami celnymi oraz wskazanymi przepisami </w:t>
      </w:r>
      <w:r w:rsidR="000F2A97" w:rsidRPr="00B25A10">
        <w:rPr>
          <w:rFonts w:ascii="Times New Roman" w:hAnsi="Times New Roman" w:cs="Times New Roman"/>
          <w:sz w:val="24"/>
          <w:szCs w:val="24"/>
        </w:rPr>
        <w:t>ustawy z dnia 29</w:t>
      </w:r>
      <w:r w:rsidR="00573303">
        <w:rPr>
          <w:rFonts w:ascii="Times New Roman" w:hAnsi="Times New Roman" w:cs="Times New Roman"/>
          <w:sz w:val="24"/>
          <w:szCs w:val="24"/>
        </w:rPr>
        <w:t> </w:t>
      </w:r>
      <w:r w:rsidR="000F2A97" w:rsidRPr="00B25A10">
        <w:rPr>
          <w:rFonts w:ascii="Times New Roman" w:hAnsi="Times New Roman" w:cs="Times New Roman"/>
          <w:sz w:val="24"/>
          <w:szCs w:val="24"/>
        </w:rPr>
        <w:t xml:space="preserve">sierpnia 1997 r. </w:t>
      </w:r>
      <w:r w:rsidR="00573303" w:rsidRPr="00B25A10">
        <w:rPr>
          <w:rFonts w:ascii="Times New Roman" w:hAnsi="Times New Roman" w:cs="Times New Roman"/>
          <w:sz w:val="24"/>
          <w:szCs w:val="24"/>
        </w:rPr>
        <w:t>–</w:t>
      </w:r>
      <w:r w:rsidR="000F2A97" w:rsidRPr="00B25A10">
        <w:rPr>
          <w:rFonts w:ascii="Times New Roman" w:hAnsi="Times New Roman" w:cs="Times New Roman"/>
          <w:sz w:val="24"/>
          <w:szCs w:val="24"/>
        </w:rPr>
        <w:t xml:space="preserve"> Ordyna</w:t>
      </w:r>
      <w:r w:rsidR="000C51B7" w:rsidRPr="00B25A10">
        <w:rPr>
          <w:rFonts w:ascii="Times New Roman" w:hAnsi="Times New Roman" w:cs="Times New Roman"/>
          <w:sz w:val="24"/>
          <w:szCs w:val="24"/>
        </w:rPr>
        <w:t>cja podatkowa (Dz. U. z 20</w:t>
      </w:r>
      <w:r w:rsidR="006D0100" w:rsidRPr="00B25A10">
        <w:rPr>
          <w:rFonts w:ascii="Times New Roman" w:hAnsi="Times New Roman" w:cs="Times New Roman"/>
          <w:sz w:val="24"/>
          <w:szCs w:val="24"/>
        </w:rPr>
        <w:t>20</w:t>
      </w:r>
      <w:r w:rsidR="000C51B7" w:rsidRPr="00B25A10">
        <w:rPr>
          <w:rFonts w:ascii="Times New Roman" w:hAnsi="Times New Roman" w:cs="Times New Roman"/>
          <w:sz w:val="24"/>
          <w:szCs w:val="24"/>
        </w:rPr>
        <w:t xml:space="preserve"> r.</w:t>
      </w:r>
      <w:r w:rsidR="000F2A97" w:rsidRPr="00B25A10">
        <w:rPr>
          <w:rFonts w:ascii="Times New Roman" w:hAnsi="Times New Roman" w:cs="Times New Roman"/>
          <w:sz w:val="24"/>
          <w:szCs w:val="24"/>
        </w:rPr>
        <w:t xml:space="preserve"> poz. </w:t>
      </w:r>
      <w:r w:rsidR="006D0100" w:rsidRPr="00B25A10">
        <w:rPr>
          <w:rFonts w:ascii="Times New Roman" w:hAnsi="Times New Roman" w:cs="Times New Roman"/>
          <w:sz w:val="24"/>
          <w:szCs w:val="24"/>
        </w:rPr>
        <w:t>1325</w:t>
      </w:r>
      <w:r w:rsidR="008A4D67" w:rsidRPr="00B25A10">
        <w:rPr>
          <w:rFonts w:ascii="Times New Roman" w:hAnsi="Times New Roman" w:cs="Times New Roman"/>
          <w:sz w:val="24"/>
          <w:szCs w:val="24"/>
        </w:rPr>
        <w:t>, z późn. zm.</w:t>
      </w:r>
      <w:r w:rsidR="000F2A97" w:rsidRPr="00B25A10">
        <w:rPr>
          <w:rFonts w:ascii="Times New Roman" w:hAnsi="Times New Roman" w:cs="Times New Roman"/>
          <w:sz w:val="24"/>
          <w:szCs w:val="24"/>
        </w:rPr>
        <w:t xml:space="preserve">), zwanej dalej „Ordynacją podatkową” </w:t>
      </w:r>
      <w:r w:rsidRPr="00B25A10">
        <w:rPr>
          <w:rFonts w:ascii="Times New Roman" w:hAnsi="Times New Roman" w:cs="Times New Roman"/>
          <w:sz w:val="24"/>
          <w:szCs w:val="24"/>
        </w:rPr>
        <w:t xml:space="preserve">(przepisy </w:t>
      </w:r>
      <w:r w:rsidR="00765839" w:rsidRPr="00B25A10">
        <w:rPr>
          <w:rFonts w:ascii="Times New Roman" w:hAnsi="Times New Roman" w:cs="Times New Roman"/>
          <w:sz w:val="24"/>
          <w:szCs w:val="24"/>
        </w:rPr>
        <w:t xml:space="preserve">ustawy z dnia 14 czerwca 1960 r. </w:t>
      </w:r>
      <w:r w:rsidR="00573303" w:rsidRPr="00B25A10">
        <w:rPr>
          <w:rFonts w:ascii="Times New Roman" w:hAnsi="Times New Roman" w:cs="Times New Roman"/>
          <w:sz w:val="24"/>
          <w:szCs w:val="24"/>
        </w:rPr>
        <w:t>–</w:t>
      </w:r>
      <w:r w:rsidR="00765839" w:rsidRPr="00B25A10">
        <w:rPr>
          <w:rFonts w:ascii="Times New Roman" w:hAnsi="Times New Roman" w:cs="Times New Roman"/>
          <w:sz w:val="24"/>
          <w:szCs w:val="24"/>
        </w:rPr>
        <w:t xml:space="preserve"> </w:t>
      </w:r>
      <w:r w:rsidRPr="00B25A10">
        <w:rPr>
          <w:rFonts w:ascii="Times New Roman" w:hAnsi="Times New Roman" w:cs="Times New Roman"/>
          <w:sz w:val="24"/>
          <w:szCs w:val="24"/>
        </w:rPr>
        <w:t xml:space="preserve">Kodeks postępowania administracyjnego </w:t>
      </w:r>
      <w:r w:rsidR="006D0100" w:rsidRPr="00B25A10">
        <w:rPr>
          <w:rFonts w:ascii="Times New Roman" w:hAnsi="Times New Roman" w:cs="Times New Roman"/>
          <w:sz w:val="24"/>
          <w:szCs w:val="24"/>
        </w:rPr>
        <w:t>(Dz. U. z 2020</w:t>
      </w:r>
      <w:r w:rsidR="00765839" w:rsidRPr="00B25A10">
        <w:rPr>
          <w:rFonts w:ascii="Times New Roman" w:hAnsi="Times New Roman" w:cs="Times New Roman"/>
          <w:sz w:val="24"/>
          <w:szCs w:val="24"/>
        </w:rPr>
        <w:t xml:space="preserve"> r. poz. 2</w:t>
      </w:r>
      <w:r w:rsidR="006D0100" w:rsidRPr="00B25A10">
        <w:rPr>
          <w:rFonts w:ascii="Times New Roman" w:hAnsi="Times New Roman" w:cs="Times New Roman"/>
          <w:sz w:val="24"/>
          <w:szCs w:val="24"/>
        </w:rPr>
        <w:t>56, z późn. zm.</w:t>
      </w:r>
      <w:r w:rsidR="00765839" w:rsidRPr="00B25A10">
        <w:rPr>
          <w:rFonts w:ascii="Times New Roman" w:hAnsi="Times New Roman" w:cs="Times New Roman"/>
          <w:sz w:val="24"/>
          <w:szCs w:val="24"/>
        </w:rPr>
        <w:t xml:space="preserve">) </w:t>
      </w:r>
      <w:r w:rsidRPr="00B25A10">
        <w:rPr>
          <w:rFonts w:ascii="Times New Roman" w:hAnsi="Times New Roman" w:cs="Times New Roman"/>
          <w:sz w:val="24"/>
          <w:szCs w:val="24"/>
        </w:rPr>
        <w:t xml:space="preserve">nie mają zastosowania do postępowania celnego </w:t>
      </w:r>
      <w:r w:rsidR="00573303" w:rsidRPr="00B25A10">
        <w:rPr>
          <w:rFonts w:ascii="Times New Roman" w:hAnsi="Times New Roman" w:cs="Times New Roman"/>
          <w:sz w:val="24"/>
          <w:szCs w:val="24"/>
        </w:rPr>
        <w:t>–</w:t>
      </w:r>
      <w:r w:rsidRPr="00B25A10">
        <w:rPr>
          <w:rFonts w:ascii="Times New Roman" w:hAnsi="Times New Roman" w:cs="Times New Roman"/>
          <w:sz w:val="24"/>
          <w:szCs w:val="24"/>
        </w:rPr>
        <w:t xml:space="preserve"> stanowisko potwierdzone w orzecznictwie, np. wyrok z dnia 29</w:t>
      </w:r>
      <w:r w:rsidR="00573303">
        <w:rPr>
          <w:rFonts w:ascii="Times New Roman" w:hAnsi="Times New Roman" w:cs="Times New Roman"/>
          <w:sz w:val="24"/>
          <w:szCs w:val="24"/>
        </w:rPr>
        <w:t> </w:t>
      </w:r>
      <w:r w:rsidRPr="00B25A10">
        <w:rPr>
          <w:rFonts w:ascii="Times New Roman" w:hAnsi="Times New Roman" w:cs="Times New Roman"/>
          <w:sz w:val="24"/>
          <w:szCs w:val="24"/>
        </w:rPr>
        <w:t>listopada 2018</w:t>
      </w:r>
      <w:r w:rsidR="000C51B7" w:rsidRPr="00B25A10">
        <w:rPr>
          <w:rFonts w:ascii="Times New Roman" w:hAnsi="Times New Roman" w:cs="Times New Roman"/>
          <w:sz w:val="24"/>
          <w:szCs w:val="24"/>
        </w:rPr>
        <w:t xml:space="preserve"> r.</w:t>
      </w:r>
      <w:r w:rsidRPr="00B25A10">
        <w:rPr>
          <w:rFonts w:ascii="Times New Roman" w:hAnsi="Times New Roman" w:cs="Times New Roman"/>
          <w:sz w:val="24"/>
          <w:szCs w:val="24"/>
        </w:rPr>
        <w:t>, sygn. III SA/Gd 670/18).</w:t>
      </w:r>
    </w:p>
    <w:p w14:paraId="4F59510F"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Wymagane przepisami prawa celnego elementy decyzji niekorzystnej zawarte zostały w art. 22 ust. 7 UKC, zgodnie z którą decyzja niekorzystna dla wnioskodawcy określa podstawy, na której ją oparto</w:t>
      </w:r>
      <w:r w:rsidR="00573303">
        <w:rPr>
          <w:rFonts w:ascii="Times New Roman" w:hAnsi="Times New Roman" w:cs="Times New Roman"/>
          <w:sz w:val="24"/>
          <w:szCs w:val="24"/>
        </w:rPr>
        <w:t>,</w:t>
      </w:r>
      <w:r w:rsidRPr="00B25A10">
        <w:rPr>
          <w:rFonts w:ascii="Times New Roman" w:hAnsi="Times New Roman" w:cs="Times New Roman"/>
          <w:sz w:val="24"/>
          <w:szCs w:val="24"/>
        </w:rPr>
        <w:t xml:space="preserve"> i zawiera pouczenie o prawie do wniesienia odwołania. Poza tym przed </w:t>
      </w:r>
      <w:r w:rsidRPr="00B25A10">
        <w:rPr>
          <w:rFonts w:ascii="Times New Roman" w:hAnsi="Times New Roman" w:cs="Times New Roman"/>
          <w:sz w:val="24"/>
          <w:szCs w:val="24"/>
        </w:rPr>
        <w:lastRenderedPageBreak/>
        <w:t xml:space="preserve">wydaniem takiej decyzji osoba zainteresowana powinna mieć prawo do przedstawienia swojego stanowiska w sprawie (art. 22 ust. 6 UKC). Unijne przepisy celne zawierają również regulacje dotyczące danych, jakie powinny zawierać wydawane przez organy celne pozwolenia, które również są decyzjami celnymi. Polskie przepisy celne nie zawierają w tym zakresie uzupełnienia. </w:t>
      </w:r>
    </w:p>
    <w:p w14:paraId="30878803"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Wpis do wykazu gwarantów, jako decyzja korzystna w pełni uwzględniająca wniosek osoby zainteresowanej, na gruncie przepisów celnych może zatem przyjąć formę wpisu do wykazu. </w:t>
      </w:r>
    </w:p>
    <w:p w14:paraId="5A79B394"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Dotychczas stosowany tryb postępowania nie zmieni się w odniesieniu do decyzji odmawiającej wpisu do wykazu gwarantów oraz decyzji o skreśleniu z tego wykazu. Są to decyzje niekorzystne i, jak wyżej wspomniano, przed ich wydaniem podmiot ma prawo do bycia wysłuchanym, na podstawie art. 22 ust. 6 UKC. Ponadto decyzje niekorzystne powinny określać podstawy, na których je oparto</w:t>
      </w:r>
      <w:r w:rsidR="00573303">
        <w:rPr>
          <w:rFonts w:ascii="Times New Roman" w:hAnsi="Times New Roman" w:cs="Times New Roman"/>
          <w:sz w:val="24"/>
          <w:szCs w:val="24"/>
        </w:rPr>
        <w:t>,</w:t>
      </w:r>
      <w:r w:rsidRPr="00B25A10">
        <w:rPr>
          <w:rFonts w:ascii="Times New Roman" w:hAnsi="Times New Roman" w:cs="Times New Roman"/>
          <w:sz w:val="24"/>
          <w:szCs w:val="24"/>
        </w:rPr>
        <w:t xml:space="preserve"> oraz zawierać pouczenie o prawie do wniesienia odwołania (art. 22 ust. 7 UKC). Wyjątkiem są tu decyzje o skreśleniu z wykazu wydawane na wniosek osoby. Taka decyzja, jako w pełni uwzględniająca wniosek strony, jest decyzją korzystną dla osoby, niemniej z uwagi na skutki prawne, jakie za sobą niesie, ona również powinna być wydawana jak</w:t>
      </w:r>
      <w:r w:rsidR="00765839" w:rsidRPr="00B25A10">
        <w:rPr>
          <w:rFonts w:ascii="Times New Roman" w:hAnsi="Times New Roman" w:cs="Times New Roman"/>
          <w:sz w:val="24"/>
          <w:szCs w:val="24"/>
        </w:rPr>
        <w:t>o</w:t>
      </w:r>
      <w:r w:rsidRPr="00B25A10">
        <w:rPr>
          <w:rFonts w:ascii="Times New Roman" w:hAnsi="Times New Roman" w:cs="Times New Roman"/>
          <w:sz w:val="24"/>
          <w:szCs w:val="24"/>
        </w:rPr>
        <w:t xml:space="preserve"> odrębny akt prawny. </w:t>
      </w:r>
    </w:p>
    <w:p w14:paraId="09EB2277" w14:textId="77777777" w:rsidR="00712E99" w:rsidRPr="00B25A10" w:rsidRDefault="00712E99" w:rsidP="002D025D">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W art. 52 zaproponowano również dodanie art. 10a stanowiącego, że skreślenie z wykazu następuje z dniem wydania decyzji. </w:t>
      </w:r>
    </w:p>
    <w:p w14:paraId="1C95DFB6" w14:textId="63A2D6B9" w:rsidR="00712E99" w:rsidRPr="00B25A10" w:rsidRDefault="00712E99" w:rsidP="002D025D">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Zgodnie z art. 22 ust. 4 UKC, decyzja zaczyna obowiązywać z dniem jej doręczenia lub uznania jej za doręczoną, o ile decyzja lub przepisy prawa celnego nie stanowią inaczej. Na podstawie tego przepisu projektowana regulacja art. 52 ust. 10a Prawa celnego wprowadza wyłączenie od wskazanej ogólnej zasady, tj. stanowi, że skreślenie z wykazu następuje z dniem wydania decyzji o skreśleniu z wykazu. Przyjęcie tego rozwiązania służy ochronie fiskalnych interesów </w:t>
      </w:r>
      <w:r w:rsidR="00045161">
        <w:rPr>
          <w:rFonts w:ascii="Times New Roman" w:eastAsia="Calibri" w:hAnsi="Times New Roman" w:cs="Times New Roman"/>
          <w:sz w:val="24"/>
          <w:szCs w:val="24"/>
        </w:rPr>
        <w:t>p</w:t>
      </w:r>
      <w:r w:rsidRPr="00B25A10">
        <w:rPr>
          <w:rFonts w:ascii="Times New Roman" w:eastAsia="Calibri" w:hAnsi="Times New Roman" w:cs="Times New Roman"/>
          <w:sz w:val="24"/>
          <w:szCs w:val="24"/>
        </w:rPr>
        <w:t>aństwa i Unii Europejskiej przez uniemożliwienie gwarantowi składania gwarancji nieskutecznie zabezpieczających należności celne i podatkowe z tytułu importu towarów, już od dnia wydania decyzji.</w:t>
      </w:r>
    </w:p>
    <w:p w14:paraId="3CB41099" w14:textId="77777777" w:rsidR="00712E99" w:rsidRPr="00B25A10" w:rsidRDefault="00712E99" w:rsidP="002D025D">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Wydanie decyzji o skreśleniu z wykazu natychmiast znajdzie w nim odzwierciedlenie, co zapewni bezpieczeństwo obrotu prawnego. Wykaz ma charakter publiczny i jest dostępny na stronie ministra właściwego do spraw finansów publicznych. Przed wydaniem z urzędu decyzji o skreśleniu z wykazu gwarant ma prawo przedstawić swoje stanowisko w sprawie. Stanowi o tym art. 22 ust. 6 UKC, na podstawie którego przed wydaniem decyzji niekorzystnej dla osoby (a taką niewątpliwie będzie podejmowana z urzędu decyzja o </w:t>
      </w:r>
      <w:r w:rsidRPr="00B25A10">
        <w:rPr>
          <w:rFonts w:ascii="Times New Roman" w:eastAsia="Calibri" w:hAnsi="Times New Roman" w:cs="Times New Roman"/>
          <w:sz w:val="24"/>
          <w:szCs w:val="24"/>
        </w:rPr>
        <w:lastRenderedPageBreak/>
        <w:t xml:space="preserve">skreśleniu z wykazu) organ celny ma obowiązek powiadomić gwaranta o podstawach, na których zamierza oprzeć decyzję, dając możliwość przedstawienia swojego stanowiska w określonym terminie. Gwarant nie będzie zatem zaskoczony decyzją organu. </w:t>
      </w:r>
    </w:p>
    <w:p w14:paraId="62EDA25C" w14:textId="77777777" w:rsidR="00712E99" w:rsidRPr="00B25A10" w:rsidRDefault="00712E99" w:rsidP="002D025D">
      <w:pPr>
        <w:spacing w:before="120" w:after="0" w:line="360" w:lineRule="auto"/>
        <w:jc w:val="both"/>
        <w:rPr>
          <w:rFonts w:ascii="Times New Roman" w:eastAsia="Calibri" w:hAnsi="Times New Roman" w:cs="Times New Roman"/>
          <w:bCs/>
          <w:sz w:val="24"/>
          <w:szCs w:val="24"/>
        </w:rPr>
      </w:pPr>
      <w:r w:rsidRPr="00B25A10">
        <w:rPr>
          <w:rFonts w:ascii="Times New Roman" w:eastAsia="Calibri" w:hAnsi="Times New Roman" w:cs="Times New Roman"/>
          <w:sz w:val="24"/>
          <w:szCs w:val="24"/>
        </w:rPr>
        <w:t xml:space="preserve">Podmiot skreślony z wykazu nie będzie mógł występować w charakterze gwaranta celnego, przynajmniej do czasu rozpatrzenia odwołania od takiej decyzji. Należy przy tym zauważyć, że zgodnie z art. 45 ust. 1 UKC wniesienie odwołania nie powoduje wstrzymania wykonania zaskarżonej decyzji. </w:t>
      </w:r>
      <w:r w:rsidRPr="00B25A10">
        <w:rPr>
          <w:rFonts w:ascii="Times New Roman" w:eastAsia="Calibri" w:hAnsi="Times New Roman" w:cs="Times New Roman"/>
          <w:bCs/>
          <w:sz w:val="24"/>
          <w:szCs w:val="24"/>
        </w:rPr>
        <w:t>Ponadto takie rozwiązanie prawnie usankcjonuje dotychczasową praktykę w tym zakresie.  </w:t>
      </w:r>
    </w:p>
    <w:p w14:paraId="517A8906" w14:textId="791451B8"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art. 66 Prawa celnego przez dodanie ust. 1a</w:t>
      </w:r>
    </w:p>
    <w:p w14:paraId="64E790B5"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Zmiana zaproponowana w art. 66 Prawa celnego polega na dodaniu nowego przepisu oznaczonego jako ust. 1a, stanowiącego, że organem celnym właściwym w sprawach odpowiedzialności osoby trzeciej z tytułu długu celnego i odsetek, o których mowa w art. 114 UKC, jest naczelnik urzędu celno-skarbowego właściwy ze względu na miejsce powstania długu celnego.</w:t>
      </w:r>
    </w:p>
    <w:p w14:paraId="22A74E51" w14:textId="1B8FE9DF"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Zgodnie z art. 66 ust. 1 Prawa celnego, do odpowiedzialności z tytułu długu celnego oraz odsetek, o których mowa w art. 114 UKC, stosuje się odpowiednio przepisy art. 29 oraz działu III rozdziału 15 Ordynacji podatkowej. Powołany przepis prawa celnego nie stanowi wprost, który organ (celny czy podatkowy) jest właściwy do prowadzenia postępowania i wydania decyzji w przedmiotowej sprawie, a takie wątpliwości powstają w związku z różnym rozumieniem odpowiedniego stosowania przepisów Ordynacji podatkowej. Dodatkowo sprawę komplikują przepisy ustawy o Krajowej Administracji Skarbowej, które określają zadania naczelnika urzędu celno</w:t>
      </w:r>
      <w:r w:rsidR="00045161">
        <w:rPr>
          <w:rFonts w:ascii="Times New Roman" w:hAnsi="Times New Roman" w:cs="Times New Roman"/>
          <w:sz w:val="24"/>
          <w:szCs w:val="24"/>
        </w:rPr>
        <w:t>-</w:t>
      </w:r>
      <w:r w:rsidRPr="00B25A10">
        <w:rPr>
          <w:rFonts w:ascii="Times New Roman" w:hAnsi="Times New Roman" w:cs="Times New Roman"/>
          <w:sz w:val="24"/>
          <w:szCs w:val="24"/>
        </w:rPr>
        <w:t xml:space="preserve">skarbowego i naczelnika urzędu skarbowego. </w:t>
      </w:r>
    </w:p>
    <w:p w14:paraId="077435BF" w14:textId="7B0BC462"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Wg jednej z przyjętych interpretacji, ponieważ przepis art. 66 Prawa celnego jest przepisem prawa celnego, do wydania decyzji w sprawie odpowiedzialności osób trzecich powinny mieć zastosowanie przepisy celne regulujące proces wydawania decyzji celnych. Do prowadzenia postępowania celnego uprawnione są organy celne określone w art. 69 ust. 1 Prawa celnego. Wśród wymienionych tam nie ma naczelnika urzędu skarbowego, jest natomiast naczelnik urzędu celno-skarbowego, zatem to ten organ jest uprawiony do orzekania o odpowiedzialności osoby trzeciej z tytułu długu celnego i odsetek z nim związanych. Należy również zauważyć, że zgodnie z art. 33 ust. 1 pkt 7 ustawy z dnia 16 listopada 2016 r. o Krajowej Admin</w:t>
      </w:r>
      <w:r w:rsidR="006D0100" w:rsidRPr="00B25A10">
        <w:rPr>
          <w:rFonts w:ascii="Times New Roman" w:hAnsi="Times New Roman" w:cs="Times New Roman"/>
          <w:sz w:val="24"/>
          <w:szCs w:val="24"/>
        </w:rPr>
        <w:t>istracji Skarbowej (Dz. U. z 2020</w:t>
      </w:r>
      <w:r w:rsidRPr="00B25A10">
        <w:rPr>
          <w:rFonts w:ascii="Times New Roman" w:hAnsi="Times New Roman" w:cs="Times New Roman"/>
          <w:sz w:val="24"/>
          <w:szCs w:val="24"/>
        </w:rPr>
        <w:t xml:space="preserve"> r. poz. </w:t>
      </w:r>
      <w:r w:rsidR="006D0100" w:rsidRPr="00B25A10">
        <w:rPr>
          <w:rFonts w:ascii="Times New Roman" w:hAnsi="Times New Roman" w:cs="Times New Roman"/>
          <w:sz w:val="24"/>
          <w:szCs w:val="24"/>
        </w:rPr>
        <w:t>505</w:t>
      </w:r>
      <w:r w:rsidRPr="00B25A10">
        <w:rPr>
          <w:rFonts w:ascii="Times New Roman" w:hAnsi="Times New Roman" w:cs="Times New Roman"/>
          <w:sz w:val="24"/>
          <w:szCs w:val="24"/>
        </w:rPr>
        <w:t xml:space="preserve">, z późn. zm.), jednym z zadań </w:t>
      </w:r>
      <w:r w:rsidRPr="00B25A10">
        <w:rPr>
          <w:rFonts w:ascii="Times New Roman" w:hAnsi="Times New Roman" w:cs="Times New Roman"/>
          <w:sz w:val="24"/>
          <w:szCs w:val="24"/>
        </w:rPr>
        <w:lastRenderedPageBreak/>
        <w:t>naczelnika urzędu celno</w:t>
      </w:r>
      <w:r w:rsidR="00045161">
        <w:rPr>
          <w:rFonts w:ascii="Times New Roman" w:hAnsi="Times New Roman" w:cs="Times New Roman"/>
          <w:sz w:val="24"/>
          <w:szCs w:val="24"/>
        </w:rPr>
        <w:noBreakHyphen/>
      </w:r>
      <w:r w:rsidRPr="00B25A10">
        <w:rPr>
          <w:rFonts w:ascii="Times New Roman" w:hAnsi="Times New Roman" w:cs="Times New Roman"/>
          <w:sz w:val="24"/>
          <w:szCs w:val="24"/>
        </w:rPr>
        <w:t xml:space="preserve">skarbowego jest prowadzenie w pierwszej instancji postępowań w sprawach celnych przewidzianych przepisami prawa celnego. </w:t>
      </w:r>
    </w:p>
    <w:p w14:paraId="103E9C55"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Inne interpretacje powołują się natomiast na art. 28 ust. 1 pkt 2 ustawy o Krajowej Administracji Skarbowej przyznający naczelnikowi urzędu skarbowego kompetencje poboru należności celnych oraz innych opłat związanych z przywozem i wywozem towarów, a także wykonywania zadań wierzyciela należności pieniężnych. Interpretacje te opierają się na wyroku WSA w Warszawie z dnia 9 stycznia 2013 r., sygn. akt III SA/</w:t>
      </w:r>
      <w:proofErr w:type="spellStart"/>
      <w:r w:rsidRPr="00B25A10">
        <w:rPr>
          <w:rFonts w:ascii="Times New Roman" w:hAnsi="Times New Roman" w:cs="Times New Roman"/>
          <w:sz w:val="24"/>
          <w:szCs w:val="24"/>
        </w:rPr>
        <w:t>Wa</w:t>
      </w:r>
      <w:proofErr w:type="spellEnd"/>
      <w:r w:rsidRPr="00B25A10">
        <w:rPr>
          <w:rFonts w:ascii="Times New Roman" w:hAnsi="Times New Roman" w:cs="Times New Roman"/>
          <w:sz w:val="24"/>
          <w:szCs w:val="24"/>
        </w:rPr>
        <w:t xml:space="preserve"> 1218/12 dotyczącym rozumienia pojęcia „pobór składek” w ustawie o systemie ubezpieczeń społecznych. W wyroku tym Sąd opowiedział się za szerokim rozumieniem pojęcia „pobór składek”, a więc obejmującym też przeniesienie odpowiedzialności za zaległości składkowe na osoby trzecie. Takie stanowisko wyraził także Sąd Najwyższy w uchwale składu siedmiu sędziów z dnia 15</w:t>
      </w:r>
      <w:r w:rsidR="00045161">
        <w:rPr>
          <w:rFonts w:ascii="Times New Roman" w:hAnsi="Times New Roman" w:cs="Times New Roman"/>
          <w:sz w:val="24"/>
          <w:szCs w:val="24"/>
        </w:rPr>
        <w:t> </w:t>
      </w:r>
      <w:r w:rsidRPr="00B25A10">
        <w:rPr>
          <w:rFonts w:ascii="Times New Roman" w:hAnsi="Times New Roman" w:cs="Times New Roman"/>
          <w:sz w:val="24"/>
          <w:szCs w:val="24"/>
        </w:rPr>
        <w:t xml:space="preserve">października 2009 r., sygn. akt II UZP 3/09. </w:t>
      </w:r>
    </w:p>
    <w:p w14:paraId="4D002858" w14:textId="0D79E289"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W opinii projektodawcy nie można jednak bezrefleksyjnie przenieść zaprezentowanej powyżej definicji poboru na grunt prawa celnego. Naczelnicy urzędu celno</w:t>
      </w:r>
      <w:r w:rsidR="00045161">
        <w:rPr>
          <w:rFonts w:ascii="Times New Roman" w:hAnsi="Times New Roman" w:cs="Times New Roman"/>
          <w:sz w:val="24"/>
          <w:szCs w:val="24"/>
        </w:rPr>
        <w:t>-</w:t>
      </w:r>
      <w:r w:rsidRPr="00B25A10">
        <w:rPr>
          <w:rFonts w:ascii="Times New Roman" w:hAnsi="Times New Roman" w:cs="Times New Roman"/>
          <w:sz w:val="24"/>
          <w:szCs w:val="24"/>
        </w:rPr>
        <w:t xml:space="preserve">skarbowego wydają już bowiem, na podstawie obowiązujących przepisów prawa celnego, decyzje np. o zawieszeniu terminu płatności, a dyrektorzy IAS w I instancji decyzje o odroczeniu terminu płatności czy stosowaniu innych ułatwień płatniczych przewidzianych w przepisach prawa celnego. Są to decyzje wydawane w postępowaniu celnym przez organy celne. Tak samo więc powinny być wydawane decyzje o odpowiedzialności osoby trzeciej z tytułu długu celnego. </w:t>
      </w:r>
    </w:p>
    <w:p w14:paraId="1A188C0A" w14:textId="17F449DC" w:rsidR="00712E99" w:rsidRPr="00B25A10" w:rsidRDefault="00712E99" w:rsidP="002D025D">
      <w:pPr>
        <w:pStyle w:val="ZUSTzmustartykuempunktem"/>
        <w:spacing w:before="120"/>
        <w:ind w:left="0" w:firstLine="0"/>
        <w:rPr>
          <w:rFonts w:ascii="Times New Roman" w:hAnsi="Times New Roman" w:cs="Times New Roman"/>
          <w:szCs w:val="24"/>
        </w:rPr>
      </w:pPr>
      <w:r w:rsidRPr="00B25A10">
        <w:rPr>
          <w:rFonts w:ascii="Times New Roman" w:hAnsi="Times New Roman" w:cs="Times New Roman"/>
          <w:szCs w:val="24"/>
        </w:rPr>
        <w:t>W celu wyeliminowania zarysowanych powyżej wątpliwości interpretacyjnych proponuje się dodanie przepisu wprost stanowiącego, że organem właściwym w sprawach odpowiedzialności osoby trzeciej z tytułu długu celnego i odsetek, o których mowa w art. 114 UKC, jest naczelnik urzędu celno-skarbowego, działający jako organ celny, a więc wydający decyzję o odpowiedzialności osoby trzeciej po przeprowadzeniu postępowania celnego.</w:t>
      </w:r>
    </w:p>
    <w:p w14:paraId="3AC12DD4" w14:textId="62CD1EF5" w:rsidR="00712E99" w:rsidRPr="00B25A10" w:rsidRDefault="00712E99" w:rsidP="002D025D">
      <w:pPr>
        <w:spacing w:before="120" w:after="0" w:line="360" w:lineRule="auto"/>
        <w:jc w:val="both"/>
        <w:rPr>
          <w:rFonts w:ascii="Times New Roman" w:hAnsi="Times New Roman" w:cs="Times New Roman"/>
          <w:b/>
          <w:sz w:val="24"/>
          <w:szCs w:val="24"/>
        </w:rPr>
      </w:pPr>
      <w:r w:rsidRPr="00B25A10">
        <w:rPr>
          <w:rFonts w:ascii="Times New Roman" w:hAnsi="Times New Roman" w:cs="Times New Roman"/>
          <w:sz w:val="24"/>
          <w:szCs w:val="24"/>
        </w:rPr>
        <w:t>Dodatkowo zaproponowany przepis wskazuje, który naczelnik urzędu celno</w:t>
      </w:r>
      <w:r w:rsidR="00045161">
        <w:rPr>
          <w:rFonts w:ascii="Times New Roman" w:hAnsi="Times New Roman" w:cs="Times New Roman"/>
          <w:sz w:val="24"/>
          <w:szCs w:val="24"/>
        </w:rPr>
        <w:t>-</w:t>
      </w:r>
      <w:r w:rsidRPr="00B25A10">
        <w:rPr>
          <w:rFonts w:ascii="Times New Roman" w:hAnsi="Times New Roman" w:cs="Times New Roman"/>
          <w:sz w:val="24"/>
          <w:szCs w:val="24"/>
        </w:rPr>
        <w:t>skarbowego powinien prowadzić takie postępowanie w sprawie odpowiedzialności osoby trzeciej. Za orzekanie w tym zakresie będzie odpowiedzialny naczelnik urzędu celno</w:t>
      </w:r>
      <w:r w:rsidR="00045161">
        <w:rPr>
          <w:rFonts w:ascii="Times New Roman" w:hAnsi="Times New Roman" w:cs="Times New Roman"/>
          <w:sz w:val="24"/>
          <w:szCs w:val="24"/>
        </w:rPr>
        <w:t>-</w:t>
      </w:r>
      <w:r w:rsidRPr="00B25A10">
        <w:rPr>
          <w:rFonts w:ascii="Times New Roman" w:hAnsi="Times New Roman" w:cs="Times New Roman"/>
          <w:sz w:val="24"/>
          <w:szCs w:val="24"/>
        </w:rPr>
        <w:t xml:space="preserve">skarbowego właściwy ze względu na miejsce powstania długu celnego. Zaproponowane brzmienie przepisu obejmie przypadki, w których należności te zostały obliczone i wskazane w zgłoszeniu celnym przez zgłaszającego, jak również określone przez organ celny w decyzji.  </w:t>
      </w:r>
    </w:p>
    <w:p w14:paraId="200801D3"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 xml:space="preserve">zmiana art. 69 ust. 1 pkt 3 Prawa celnego </w:t>
      </w:r>
    </w:p>
    <w:p w14:paraId="6E3AAD07"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 xml:space="preserve">Zmiana art. 69 ust. 1 pkt 3 Prawa celnego jest wynikiem zmian zaproponowanych w art. 52 tej ustawy, dotyczących wyznaczenia innego niż obecnie organu do prowadzenia spraw dotyczących wykazu gwarantów uprawnionych do udzielania gwarancji składanych jako zabezpieczenie pokrycia kwot wynikających z długów celnych. </w:t>
      </w:r>
    </w:p>
    <w:p w14:paraId="5C0CDA48" w14:textId="77777777" w:rsidR="00712E99" w:rsidRPr="00B25A10" w:rsidRDefault="00712E99" w:rsidP="002D025D">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sz w:val="24"/>
          <w:szCs w:val="24"/>
        </w:rPr>
        <w:t xml:space="preserve">Na gruncie obowiązujących przepisów prawa organem właściwym w tych sprawach jest minister właściwy do spraw finansów publicznych, po nowelizacji będzie to Szef Krajowej Administracji Skarbowej.  Biorąc pod uwagę, że wykaz i sprawy z nim związane prowadzone są na podstawie przepisów prawa celnego, konieczne jest rozszerzenie uprawnień </w:t>
      </w:r>
      <w:r w:rsidRPr="00B25A10">
        <w:rPr>
          <w:rFonts w:ascii="Times New Roman" w:hAnsi="Times New Roman" w:cs="Times New Roman"/>
          <w:bCs/>
          <w:sz w:val="24"/>
          <w:szCs w:val="24"/>
        </w:rPr>
        <w:t xml:space="preserve">Szefa Krajowej Administracji Skarbowej jako organu celnego. </w:t>
      </w:r>
    </w:p>
    <w:p w14:paraId="741ED5FE" w14:textId="72297F02" w:rsidR="00712E99" w:rsidRPr="00B25A10" w:rsidRDefault="00712E99" w:rsidP="002D025D">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Szef Krajowej Administracji Skarbowej stanie się organem celnym – jako organ pierwszej instancji w sprawach dotyczących wpisu do wykazu oraz jego zmiany, odmowy wpisu oraz skreślenia z wykazu oraz jako organ odwoławczy od tych decyzji. </w:t>
      </w:r>
    </w:p>
    <w:p w14:paraId="5E04694F" w14:textId="77777777" w:rsidR="00712E99" w:rsidRPr="00B25A10" w:rsidRDefault="00712E99" w:rsidP="002D025D">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Organy celne i ich właściwość określone są w art. 69 Prawa celnego. Minister właściwy do spraw finansów publicznych jest tam wskazany jako organ odwoławczy od decyzji wydawanych przez ten organ w pierwszej instancji. W przepisach prawa celnego, oprócz decyzji o wpisie do wykazu (właściwość w trakcie zmiany), Minister Finansów jest właściwy tylko do wydania decyzji o odmowie utworzenia wolnego obszaru celnego (art. 26 ust. 3b Prawa celnego). Wolny obszar celny jest jednak tworzony w drodze rozporządzenia i pozostawienie w tym zakresie kompetencji ministrowi właściwemu do spraw finansów publicznych jest uzasadnione. Wszystkie inne uprawnienia z zakresu prawa celnego związane z orzekaniem zostały przeniesione na Szefa Krajowej Administracji Skarbowej. Zasadne wydaje się zatem również przekazanie temu organowi kompetencji do rozpatrywania odwołań w sprawach wpisu, zgodnie z zasadą, że do uprawnień ministra właściwego do spraw finansów należą sprawy mające znaczenie strategiczne. </w:t>
      </w:r>
    </w:p>
    <w:p w14:paraId="6A48D53C"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 xml:space="preserve">zmiana art. 70 ust. 2 pkt 3 Prawa celnego </w:t>
      </w:r>
    </w:p>
    <w:p w14:paraId="07296153"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Zmiana art. 70 ust. 2 pkt 3 Prawa celnego jest konsekwencją zmiany zaproponowanej w art. 79 tej ustawy. </w:t>
      </w:r>
    </w:p>
    <w:p w14:paraId="598770A9"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Zgodnie z obecnie obowiązującym art. 70 ust. 2 pkt 3 Prawa celnego, dyrektor lub dyrektorzy izb administracji skarbowej wyznaczeni przez ministra właściwego do spraw finansów publicznych są właściwi w sprawach dotyczących prowadzenia listy agentów celnych oraz wydawania decyzji w sprawach wpisu osoby na listę agentów celnych, skreślenia osoby z listy agentów celnych i zawieszenia w działalności agenta celnego. </w:t>
      </w:r>
    </w:p>
    <w:p w14:paraId="3BF9F67C"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Organem właściwym w ww. sprawach, wyznaczonym przez ministra właściwego do spraw finansów publicznych w drodze rozporządzenia wydanego na podstawie art. 70 ust. 3 Prawa celnego, jest i pozostanie Dyrektor Izby Administracji Skarbowej w Warszawie. Zmianie ulegnie natomiast zakres spraw, do których organ ten będzie właściwy. Zgodnie bowiem z przepisem zaproponowanym w art. 79 ust. 2 Prawa celnego, już sam wpis na listę agentów celnych oraz jego zmiana będą decyzją (vide uzasadnienie do zmiany art. 79 Prawa celnego). Nie będzie więc wydawana odrębna decyzja w sprawach wpisu osoby na listę agentów celnych – potwierdzająca wpis. Z dwóch działań, do których obecnie zobowiązany jest wyznaczony organ, tj. dokonania wpisu na listę i wydania decyzji, pozostanie tylko wpis na listę, który stanie się decyzją. Odformalizuje to znacząco wpis na listę agentów celnych i odciąży wyznaczony organ.</w:t>
      </w:r>
    </w:p>
    <w:p w14:paraId="7F71CCE2"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Dotychczas stosowany tryb postępowania nie zmieni się w odniesieniu do decyzji w sprawach odmowy wpisu osoby na listę agentów celnych, skreślenia osoby z listy agentów celnych i zawieszenia w działalności agenta celnego. Są to decyzje niekorzystne i przed ich wydaniem podmiot ma prawo do bycia wysłuchanym, na podstawie art. 22 ust. 6 UKC. Ponadto decyzje niekorzystne powinny określać podstawy, na których je oparto</w:t>
      </w:r>
      <w:r w:rsidR="00045161">
        <w:rPr>
          <w:rFonts w:ascii="Times New Roman" w:hAnsi="Times New Roman" w:cs="Times New Roman"/>
          <w:sz w:val="24"/>
          <w:szCs w:val="24"/>
        </w:rPr>
        <w:t>,</w:t>
      </w:r>
      <w:r w:rsidRPr="00B25A10">
        <w:rPr>
          <w:rFonts w:ascii="Times New Roman" w:hAnsi="Times New Roman" w:cs="Times New Roman"/>
          <w:sz w:val="24"/>
          <w:szCs w:val="24"/>
        </w:rPr>
        <w:t xml:space="preserve"> oraz zawierać pouczenie o prawie do wniesienia odwołania (art. 22 ust. 7 UKC). </w:t>
      </w:r>
    </w:p>
    <w:p w14:paraId="4BCDF223"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art. 73 Prawa celnego</w:t>
      </w:r>
    </w:p>
    <w:p w14:paraId="36CF0241" w14:textId="3CFA600B"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Art. 73 ust. 1 Prawa celnego stanowi o odpowiednim stosowaniu do postępowania w sprawach celnych wskazanych przepisów Ordynacji podatkowej. Przepis ten stosowany jest w obowiązującym brzmieniu od dnia 20 sierpnia 2016 r., wówczas bowiem weszła w życie ustawa z dnia 22 czerwca 2016 r. o zmianie ustawy </w:t>
      </w:r>
      <w:r w:rsidR="00045161" w:rsidRPr="00B25A10">
        <w:rPr>
          <w:rFonts w:ascii="Times New Roman" w:hAnsi="Times New Roman" w:cs="Times New Roman"/>
          <w:sz w:val="24"/>
          <w:szCs w:val="24"/>
        </w:rPr>
        <w:t>–</w:t>
      </w:r>
      <w:r w:rsidRPr="00B25A10">
        <w:rPr>
          <w:rFonts w:ascii="Times New Roman" w:hAnsi="Times New Roman" w:cs="Times New Roman"/>
          <w:sz w:val="24"/>
          <w:szCs w:val="24"/>
        </w:rPr>
        <w:t xml:space="preserve"> Prawo celne oraz niektórych innych ustaw (Dz.</w:t>
      </w:r>
      <w:r w:rsidR="00045161">
        <w:rPr>
          <w:rFonts w:ascii="Times New Roman" w:hAnsi="Times New Roman" w:cs="Times New Roman"/>
          <w:sz w:val="24"/>
          <w:szCs w:val="24"/>
        </w:rPr>
        <w:t> </w:t>
      </w:r>
      <w:r w:rsidRPr="00B25A10">
        <w:rPr>
          <w:rFonts w:ascii="Times New Roman" w:hAnsi="Times New Roman" w:cs="Times New Roman"/>
          <w:sz w:val="24"/>
          <w:szCs w:val="24"/>
        </w:rPr>
        <w:t>U. poz. 1228), służąca wdrożeniu UKC.</w:t>
      </w:r>
    </w:p>
    <w:p w14:paraId="3E9653C7"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Na podstawie ponad dwuletniego doświadczenia w zakresie stosowania tego przepisu proponuje się rozszerzenie zakresu stosowania przepisów Ordynacji podatkowej do postępowania w sprawach celnych o: </w:t>
      </w:r>
    </w:p>
    <w:p w14:paraId="2818BCCE" w14:textId="77777777" w:rsidR="00712E99" w:rsidRPr="00B25A10" w:rsidRDefault="00045161"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r>
      <w:r w:rsidR="00712E99" w:rsidRPr="00B25A10">
        <w:rPr>
          <w:rFonts w:ascii="Times New Roman" w:hAnsi="Times New Roman" w:cs="Times New Roman"/>
          <w:b/>
          <w:sz w:val="24"/>
          <w:szCs w:val="24"/>
        </w:rPr>
        <w:t>art. 215 § 1</w:t>
      </w:r>
      <w:r w:rsidR="00712E99" w:rsidRPr="00B25A10">
        <w:rPr>
          <w:rFonts w:ascii="Times New Roman" w:hAnsi="Times New Roman" w:cs="Times New Roman"/>
          <w:sz w:val="24"/>
          <w:szCs w:val="24"/>
        </w:rPr>
        <w:t xml:space="preserve"> dotyczący prostowania błędów rachunkowych oraz innych oczywistych omyłek w wydanej przez ten organ decyzji. </w:t>
      </w:r>
    </w:p>
    <w:p w14:paraId="580FF790" w14:textId="77777777" w:rsidR="00712E99" w:rsidRPr="00B25A10" w:rsidRDefault="00712E99" w:rsidP="002D025D">
      <w:pPr>
        <w:spacing w:before="120" w:after="0" w:line="360" w:lineRule="auto"/>
        <w:ind w:left="705"/>
        <w:jc w:val="both"/>
        <w:rPr>
          <w:rFonts w:ascii="Times New Roman" w:hAnsi="Times New Roman" w:cs="Times New Roman"/>
          <w:sz w:val="24"/>
          <w:szCs w:val="24"/>
        </w:rPr>
      </w:pPr>
      <w:r w:rsidRPr="00B25A10">
        <w:rPr>
          <w:rFonts w:ascii="Times New Roman" w:hAnsi="Times New Roman" w:cs="Times New Roman"/>
          <w:sz w:val="24"/>
          <w:szCs w:val="24"/>
        </w:rPr>
        <w:t xml:space="preserve">Zawarty w tym przepisie tryb rektyfikacji decyzji podatkowej został przewidziany do usuwania oczywistych wadliwości. Oczywista omyłka to błąd polegający na tym, że przez przeoczenie, niewłaściwy dobór słów czy też omyłkę pisarską w decyzji zostało wyrażone coś, co w sposób oczywisty i widoczny jest sprzeczne z myślą wyrażoną </w:t>
      </w:r>
      <w:r w:rsidRPr="00B25A10">
        <w:rPr>
          <w:rFonts w:ascii="Times New Roman" w:hAnsi="Times New Roman" w:cs="Times New Roman"/>
          <w:sz w:val="24"/>
          <w:szCs w:val="24"/>
        </w:rPr>
        <w:lastRenderedPageBreak/>
        <w:t xml:space="preserve">przez organ. Zatem oczywistość będzie również wynikać z porównania rozstrzygnięcia z jego uzasadnieniem. </w:t>
      </w:r>
    </w:p>
    <w:p w14:paraId="77992926" w14:textId="715E53CA" w:rsidR="00712E99" w:rsidRPr="00B25A10" w:rsidRDefault="00712E99" w:rsidP="002D025D">
      <w:pPr>
        <w:spacing w:before="120" w:after="0" w:line="360" w:lineRule="auto"/>
        <w:ind w:left="705"/>
        <w:jc w:val="both"/>
        <w:rPr>
          <w:rFonts w:ascii="Times New Roman" w:hAnsi="Times New Roman" w:cs="Times New Roman"/>
          <w:sz w:val="24"/>
          <w:szCs w:val="24"/>
        </w:rPr>
      </w:pPr>
      <w:r w:rsidRPr="00B25A10">
        <w:rPr>
          <w:rFonts w:ascii="Times New Roman" w:hAnsi="Times New Roman" w:cs="Times New Roman"/>
          <w:sz w:val="24"/>
          <w:szCs w:val="24"/>
        </w:rPr>
        <w:t>Obecnie błędy rachunkowe oraz inne oczywiste omyłki w wydanych decyzjach celnych korygowane są przez zmianę decyzji na podstawie art. 23 ust. 3 UKC, jeżeli błędy takie powodują niezgodność z przepisami prawa celnego lub w przypadku decyzji korzystnych na podstawie art. 28 ust. 1 lit. b UKC. Praktyka działania organów celnych wskazuje jednak, że prostszą i szybszą w stosowaniu podstawą prawną do usuwania oczywistej wadliwości decyzji jest art. 215 § 1 Ordynacji podatkowej. Sprostowanie będzie również decyzją, gdyż w postępowaniu celnym nie są wydawane postanowienia, stąd konieczność uzupełnienia również art. 73 ust. 2 Prawa celnego;</w:t>
      </w:r>
    </w:p>
    <w:p w14:paraId="49CC8ED7" w14:textId="77777777" w:rsidR="00712E99" w:rsidRPr="00B25A10" w:rsidRDefault="00F31244"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r>
      <w:r w:rsidR="00712E99" w:rsidRPr="00B25A10">
        <w:rPr>
          <w:rFonts w:ascii="Times New Roman" w:hAnsi="Times New Roman" w:cs="Times New Roman"/>
          <w:b/>
          <w:sz w:val="24"/>
          <w:szCs w:val="24"/>
        </w:rPr>
        <w:t>art. 169 § 2, 3 i 4</w:t>
      </w:r>
      <w:r w:rsidR="00712E99" w:rsidRPr="00B25A10">
        <w:rPr>
          <w:rFonts w:ascii="Times New Roman" w:hAnsi="Times New Roman" w:cs="Times New Roman"/>
          <w:sz w:val="24"/>
          <w:szCs w:val="24"/>
        </w:rPr>
        <w:t xml:space="preserve"> Ordynacji podatkowej dotyczący podania niespełniającego wymogów prawa – w zakresie odnoszącym się do odwołań.</w:t>
      </w:r>
    </w:p>
    <w:p w14:paraId="4790A7A5" w14:textId="77777777" w:rsidR="00712E99" w:rsidRPr="00B25A10" w:rsidRDefault="00712E99" w:rsidP="002D025D">
      <w:pPr>
        <w:spacing w:before="120" w:after="0" w:line="360" w:lineRule="auto"/>
        <w:ind w:left="705"/>
        <w:jc w:val="both"/>
        <w:rPr>
          <w:rFonts w:ascii="Times New Roman" w:hAnsi="Times New Roman" w:cs="Times New Roman"/>
          <w:sz w:val="24"/>
          <w:szCs w:val="24"/>
        </w:rPr>
      </w:pPr>
      <w:r w:rsidRPr="00B25A10">
        <w:rPr>
          <w:rFonts w:ascii="Times New Roman" w:hAnsi="Times New Roman" w:cs="Times New Roman"/>
          <w:sz w:val="24"/>
          <w:szCs w:val="24"/>
        </w:rPr>
        <w:t>Przepis art. 73 ust. 1 Prawa celnego stanowi, że do odwołań stosuje się odpowiednio art.</w:t>
      </w:r>
      <w:r w:rsidR="00F31244">
        <w:rPr>
          <w:rFonts w:ascii="Times New Roman" w:hAnsi="Times New Roman" w:cs="Times New Roman"/>
          <w:sz w:val="24"/>
          <w:szCs w:val="24"/>
        </w:rPr>
        <w:t> </w:t>
      </w:r>
      <w:r w:rsidRPr="00B25A10">
        <w:rPr>
          <w:rFonts w:ascii="Times New Roman" w:hAnsi="Times New Roman" w:cs="Times New Roman"/>
          <w:sz w:val="24"/>
          <w:szCs w:val="24"/>
        </w:rPr>
        <w:t xml:space="preserve">169 § 1 i § 1a Ordynacji podatkowej. </w:t>
      </w:r>
    </w:p>
    <w:p w14:paraId="137C411B" w14:textId="76B227CB" w:rsidR="00712E99" w:rsidRPr="00B25A10" w:rsidRDefault="00712E99" w:rsidP="002D025D">
      <w:pPr>
        <w:spacing w:before="120" w:after="0" w:line="360" w:lineRule="auto"/>
        <w:ind w:left="705"/>
        <w:jc w:val="both"/>
        <w:rPr>
          <w:rFonts w:ascii="Times New Roman" w:hAnsi="Times New Roman" w:cs="Times New Roman"/>
          <w:sz w:val="24"/>
          <w:szCs w:val="24"/>
        </w:rPr>
      </w:pPr>
      <w:r w:rsidRPr="00B25A10">
        <w:rPr>
          <w:rFonts w:ascii="Times New Roman" w:hAnsi="Times New Roman" w:cs="Times New Roman"/>
          <w:sz w:val="24"/>
          <w:szCs w:val="24"/>
        </w:rPr>
        <w:t>Zgodnie z art. 169 § 1 Ordynacji podatkowej, jeżeli odwołanie nie spełnia wymogów określonych przepisami prawa, organ odwoławczy wzywa wnoszącego odwołanie do usunięcia braków w terminie 7 dni, z pouczeniem, że niewypełnienie tego warunku spowoduje pozostawienie podania bez rozpatrzenia. Brak powołania art. 169 § 4 Ordynacji podatkowej do postępowania celnego może powodować niejednolitość postępowania organów celnych dotyczącą</w:t>
      </w:r>
      <w:r w:rsidR="00F31244">
        <w:rPr>
          <w:rFonts w:ascii="Times New Roman" w:hAnsi="Times New Roman" w:cs="Times New Roman"/>
          <w:sz w:val="24"/>
          <w:szCs w:val="24"/>
        </w:rPr>
        <w:t xml:space="preserve"> tego,</w:t>
      </w:r>
      <w:r w:rsidRPr="00B25A10">
        <w:rPr>
          <w:rFonts w:ascii="Times New Roman" w:hAnsi="Times New Roman" w:cs="Times New Roman"/>
          <w:sz w:val="24"/>
          <w:szCs w:val="24"/>
        </w:rPr>
        <w:t xml:space="preserve"> czy i jaki akt prawny wydać w sytuacji, gdy osoba odwołująca się nie usunie braków. Możliwa jest interpretacja, zgodnie z którą organ celny nie wydaje żadnego aktu i</w:t>
      </w:r>
      <w:r w:rsidR="00F31244">
        <w:rPr>
          <w:rFonts w:ascii="Times New Roman" w:hAnsi="Times New Roman" w:cs="Times New Roman"/>
          <w:sz w:val="24"/>
          <w:szCs w:val="24"/>
        </w:rPr>
        <w:t>,</w:t>
      </w:r>
      <w:r w:rsidRPr="00B25A10">
        <w:rPr>
          <w:rFonts w:ascii="Times New Roman" w:hAnsi="Times New Roman" w:cs="Times New Roman"/>
          <w:sz w:val="24"/>
          <w:szCs w:val="24"/>
        </w:rPr>
        <w:t xml:space="preserve"> tak jak stanowi art. 169 § 1</w:t>
      </w:r>
      <w:r w:rsidR="00F31244">
        <w:rPr>
          <w:rFonts w:ascii="Times New Roman" w:hAnsi="Times New Roman" w:cs="Times New Roman"/>
          <w:sz w:val="24"/>
          <w:szCs w:val="24"/>
        </w:rPr>
        <w:t>,</w:t>
      </w:r>
      <w:r w:rsidRPr="00B25A10">
        <w:rPr>
          <w:rFonts w:ascii="Times New Roman" w:hAnsi="Times New Roman" w:cs="Times New Roman"/>
          <w:sz w:val="24"/>
          <w:szCs w:val="24"/>
        </w:rPr>
        <w:t xml:space="preserve"> pozostawia odwołanie bez rozpatrzenia</w:t>
      </w:r>
      <w:r w:rsidR="00F31244">
        <w:rPr>
          <w:rFonts w:ascii="Times New Roman" w:hAnsi="Times New Roman" w:cs="Times New Roman"/>
          <w:sz w:val="24"/>
          <w:szCs w:val="24"/>
        </w:rPr>
        <w:t>;</w:t>
      </w:r>
      <w:r w:rsidRPr="00B25A10">
        <w:rPr>
          <w:rFonts w:ascii="Times New Roman" w:hAnsi="Times New Roman" w:cs="Times New Roman"/>
          <w:sz w:val="24"/>
          <w:szCs w:val="24"/>
        </w:rPr>
        <w:t xml:space="preserve"> w takim przypadku osoba odwołująca się nie ma możliwości złożenia środka zaskarżenia. Możliwe jest też takie rozwiązanie, że wydawana jest decyzja w sprawie, co jednakże nie koresponduje z art. 73 ust. 2 Prawa celnego (w postępowaniu celnym nie są wydawane postanowienia). Stąd projektuje się zastosowanie do odwołań w sprawach celnych art. 169 § 4 Ordynacji podatkowej. Przepis ten w konsekwencji musi uzupełnić również art. 73 ust. 2, przez co akt wydawany przez organ celny będzie stanowił decyzję celną.</w:t>
      </w:r>
    </w:p>
    <w:p w14:paraId="20DA6C52" w14:textId="77777777" w:rsidR="00712E99" w:rsidRPr="00B25A10" w:rsidRDefault="00712E99" w:rsidP="002D025D">
      <w:pPr>
        <w:spacing w:before="120" w:after="0" w:line="360" w:lineRule="auto"/>
        <w:ind w:left="705"/>
        <w:jc w:val="both"/>
        <w:rPr>
          <w:rFonts w:ascii="Times New Roman" w:hAnsi="Times New Roman" w:cs="Times New Roman"/>
          <w:sz w:val="24"/>
          <w:szCs w:val="24"/>
        </w:rPr>
      </w:pPr>
      <w:r w:rsidRPr="00B25A10">
        <w:rPr>
          <w:rFonts w:ascii="Times New Roman" w:hAnsi="Times New Roman" w:cs="Times New Roman"/>
          <w:sz w:val="24"/>
          <w:szCs w:val="24"/>
        </w:rPr>
        <w:t>Ponadto proponuje się do odwołań stosować również art. 168 § 2 i 3 Ordynacji podatkowej, co wyeliminuje wątpliwości, na jakiej podstawie należy wzywać osobę odwołującą się do wniesienia np. opłaty skarbowej od złożonego pełnomocnictwa;</w:t>
      </w:r>
    </w:p>
    <w:p w14:paraId="767A5283" w14:textId="77777777" w:rsidR="00712E99" w:rsidRPr="00B25A10" w:rsidRDefault="00F31244"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lastRenderedPageBreak/>
        <w:t>–</w:t>
      </w:r>
      <w:r w:rsidR="00712E99" w:rsidRPr="00B25A10">
        <w:rPr>
          <w:rFonts w:ascii="Times New Roman" w:hAnsi="Times New Roman" w:cs="Times New Roman"/>
          <w:sz w:val="24"/>
          <w:szCs w:val="24"/>
        </w:rPr>
        <w:tab/>
      </w:r>
      <w:r w:rsidR="00712E99" w:rsidRPr="00B25A10">
        <w:rPr>
          <w:rFonts w:ascii="Times New Roman" w:hAnsi="Times New Roman" w:cs="Times New Roman"/>
          <w:b/>
          <w:sz w:val="24"/>
          <w:szCs w:val="24"/>
        </w:rPr>
        <w:t xml:space="preserve">art. 208 </w:t>
      </w:r>
      <w:r w:rsidR="00712E99" w:rsidRPr="00B25A10">
        <w:rPr>
          <w:rFonts w:ascii="Times New Roman" w:hAnsi="Times New Roman" w:cs="Times New Roman"/>
          <w:sz w:val="24"/>
          <w:szCs w:val="24"/>
        </w:rPr>
        <w:t xml:space="preserve">Ordynacji podatkowej dotyczący umorzenia postępowania – w zakresie odnoszącym się do odwołań. </w:t>
      </w:r>
    </w:p>
    <w:p w14:paraId="4DBC6BCB" w14:textId="2BAD7F33" w:rsidR="00712E99" w:rsidRPr="00B25A10" w:rsidRDefault="00712E99"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ab/>
        <w:t>Zgodnie z art. 73 ust. 1 Prawa celnego, do odwołań w sprawach celnych stosuje się odpowiednio art. 233 § 1 i 2 Ordynacji podatkowej. Wskazany przepis Ordynacji podatkowej wskazuje kilka sposobów zakończenia przez organ odwoławczy postępowania odwoławczego. Jednym z nich jest umorzenie postępowania w sprawie lub umorzenie postępowania odwoławczego. Brak stosowania art. 208 Ordynacji podatkowej dotyczącego umorzenia postępowania do postępowań w sprawach celnych powoduje w konsekwencji niejednolitość stosowania art. 233 tej ustawy. Przykładowo wycofanie odwołania może spowodować wydanie przez organ odwoławczy decyzji umarzającej postępowanie odwoławcze bądź nie powodować wydania żadnej decyzji. W tym drugim przypadku postępowanie odwoławcze zakończy się przyjęciem podania o wycofaniu odwołania.</w:t>
      </w:r>
    </w:p>
    <w:p w14:paraId="50801C7E" w14:textId="77777777" w:rsidR="00712E99" w:rsidRPr="00B25A10" w:rsidRDefault="00712E99"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ab/>
        <w:t>Aby wyeliminować wątpliwości interpretacyjne i tym samym zapewnić jednolitość postępowania organów odwoławczych, proponuje się uzupełnić art. 73 ust. 1 Prawa celnego o art. 208 Ordynacji podatkowej w taki sposób, aby przepis ten miał zastosowanie do odwołań.</w:t>
      </w:r>
      <w:r w:rsidR="00CD4765" w:rsidRPr="00B25A10">
        <w:rPr>
          <w:rFonts w:ascii="Times New Roman" w:hAnsi="Times New Roman" w:cs="Times New Roman"/>
          <w:sz w:val="24"/>
          <w:szCs w:val="24"/>
        </w:rPr>
        <w:t xml:space="preserve"> </w:t>
      </w:r>
    </w:p>
    <w:p w14:paraId="5DD1EE21"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dodanie art. 73d Prawa celnego</w:t>
      </w:r>
    </w:p>
    <w:p w14:paraId="59A95874" w14:textId="39F58319"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Przez dodanie art. 73d Prawa celnego proponuje się wprowadzić regulację, zgodnie z którą naczelnik urzędu celno-skarbowego będzie prowadził jedno postępowanie w sprawie określenia należności przywozowych, w tym dotyczących podatku od towarów i usług, podatku akcyzowego, a także opłaty paliwowej i opłaty emisyjnej. W wyniku takiego postępowania wydana zostanie jedna decyzja.</w:t>
      </w:r>
    </w:p>
    <w:p w14:paraId="50B34CA1"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Celem wprowadzenia zaproponowanej regulacji jest usprawnienie wydawania decyzji w zakresie należności celnych i podatkowych oraz opłaty paliwowej i opłaty emisyjnej, należnych z tytułu importu towarów.</w:t>
      </w:r>
    </w:p>
    <w:p w14:paraId="098FAB50" w14:textId="1AB31912"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Usprawnienie to proponuje się wprowadzić przez odpowiednie zastosowanie do postępowania w sprawie określenia należności podatkowych oraz opłaty paliwowej </w:t>
      </w:r>
      <w:r w:rsidR="00317CA8" w:rsidRPr="00B25A10">
        <w:rPr>
          <w:rFonts w:ascii="Times New Roman" w:hAnsi="Times New Roman" w:cs="Times New Roman"/>
          <w:sz w:val="24"/>
          <w:szCs w:val="24"/>
        </w:rPr>
        <w:t xml:space="preserve">i opłaty </w:t>
      </w:r>
      <w:r w:rsidRPr="00B25A10">
        <w:rPr>
          <w:rFonts w:ascii="Times New Roman" w:hAnsi="Times New Roman" w:cs="Times New Roman"/>
          <w:sz w:val="24"/>
          <w:szCs w:val="24"/>
        </w:rPr>
        <w:t xml:space="preserve">emisyjnej wskazanych przepisów prawa celnego. W rezultacie należności celne, należności podatkowe oraz należne opłaty z tytułu importu towarów wymierzane będą w jednej decyzji, po przeprowadzeniu jednego dla wszystkich tych należności i opłat postępowania. </w:t>
      </w:r>
    </w:p>
    <w:p w14:paraId="67ABC1F9"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Wprowadzenie zaproponowanego rozwiązania wymaga, oprócz ww. zmiany Prawa celnego, również zmiany przepisów:</w:t>
      </w:r>
    </w:p>
    <w:p w14:paraId="433D6A36" w14:textId="05444083" w:rsidR="00712E99" w:rsidRPr="00B25A10" w:rsidRDefault="002A59B2"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t>ustawy z dnia 11 marca 2004 r. o podatku od towarów i usług (Dz. U. z 20</w:t>
      </w:r>
      <w:r w:rsidR="004F5808" w:rsidRPr="00B25A10">
        <w:rPr>
          <w:rFonts w:ascii="Times New Roman" w:hAnsi="Times New Roman" w:cs="Times New Roman"/>
          <w:sz w:val="24"/>
          <w:szCs w:val="24"/>
        </w:rPr>
        <w:t>20</w:t>
      </w:r>
      <w:r w:rsidR="000C51B7" w:rsidRPr="00B25A10">
        <w:rPr>
          <w:rFonts w:ascii="Times New Roman" w:hAnsi="Times New Roman" w:cs="Times New Roman"/>
          <w:sz w:val="24"/>
          <w:szCs w:val="24"/>
        </w:rPr>
        <w:t xml:space="preserve"> r.</w:t>
      </w:r>
      <w:r w:rsidR="00712E99" w:rsidRPr="00B25A10">
        <w:rPr>
          <w:rFonts w:ascii="Times New Roman" w:hAnsi="Times New Roman" w:cs="Times New Roman"/>
          <w:sz w:val="24"/>
          <w:szCs w:val="24"/>
        </w:rPr>
        <w:t xml:space="preserve"> poz. </w:t>
      </w:r>
      <w:r w:rsidR="004F5808" w:rsidRPr="00B25A10">
        <w:rPr>
          <w:rFonts w:ascii="Times New Roman" w:hAnsi="Times New Roman" w:cs="Times New Roman"/>
          <w:sz w:val="24"/>
          <w:szCs w:val="24"/>
        </w:rPr>
        <w:t>106</w:t>
      </w:r>
      <w:r w:rsidR="00712E99" w:rsidRPr="00B25A10">
        <w:rPr>
          <w:rFonts w:ascii="Times New Roman" w:hAnsi="Times New Roman" w:cs="Times New Roman"/>
          <w:sz w:val="24"/>
          <w:szCs w:val="24"/>
        </w:rPr>
        <w:t>, z późn. zm.),</w:t>
      </w:r>
    </w:p>
    <w:p w14:paraId="26208404" w14:textId="738DC02C" w:rsidR="00712E99" w:rsidRPr="00B25A10" w:rsidRDefault="002A59B2"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t>ustawy z dnia 6 grudnia 2008 r. o podatku akcyzowym ,</w:t>
      </w:r>
    </w:p>
    <w:p w14:paraId="48756498" w14:textId="752F18BC" w:rsidR="00712E99" w:rsidRPr="00B25A10" w:rsidRDefault="002A59B2"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t xml:space="preserve">ustawy z dnia 27 października 1994 r. o autostradach płatnych oraz </w:t>
      </w:r>
      <w:r w:rsidR="000C51B7" w:rsidRPr="00B25A10">
        <w:rPr>
          <w:rFonts w:ascii="Times New Roman" w:hAnsi="Times New Roman" w:cs="Times New Roman"/>
          <w:sz w:val="24"/>
          <w:szCs w:val="24"/>
        </w:rPr>
        <w:t xml:space="preserve">o </w:t>
      </w:r>
      <w:r w:rsidR="00712E99" w:rsidRPr="00B25A10">
        <w:rPr>
          <w:rFonts w:ascii="Times New Roman" w:hAnsi="Times New Roman" w:cs="Times New Roman"/>
          <w:sz w:val="24"/>
          <w:szCs w:val="24"/>
        </w:rPr>
        <w:t xml:space="preserve">Krajowym Funduszu Drogowym, </w:t>
      </w:r>
    </w:p>
    <w:p w14:paraId="5AA0FE93" w14:textId="6C88DDC3" w:rsidR="00712E99" w:rsidRPr="00B25A10" w:rsidRDefault="002A59B2"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 xml:space="preserve"> </w:t>
      </w:r>
      <w:r w:rsidR="00712E99" w:rsidRPr="00B25A10">
        <w:rPr>
          <w:rFonts w:ascii="Times New Roman" w:hAnsi="Times New Roman" w:cs="Times New Roman"/>
          <w:sz w:val="24"/>
          <w:szCs w:val="24"/>
        </w:rPr>
        <w:tab/>
        <w:t>ustawy z dnia 27 kwietnia 2001 r. – Prawo ochrony środowiska (D. U. z 20</w:t>
      </w:r>
      <w:r w:rsidR="00E46C57" w:rsidRPr="00B25A10">
        <w:rPr>
          <w:rFonts w:ascii="Times New Roman" w:hAnsi="Times New Roman" w:cs="Times New Roman"/>
          <w:sz w:val="24"/>
          <w:szCs w:val="24"/>
        </w:rPr>
        <w:t xml:space="preserve">20 </w:t>
      </w:r>
      <w:r w:rsidR="000C51B7" w:rsidRPr="00B25A10">
        <w:rPr>
          <w:rFonts w:ascii="Times New Roman" w:hAnsi="Times New Roman" w:cs="Times New Roman"/>
          <w:sz w:val="24"/>
          <w:szCs w:val="24"/>
        </w:rPr>
        <w:t>r.</w:t>
      </w:r>
      <w:r w:rsidR="00712E99" w:rsidRPr="00B25A10">
        <w:rPr>
          <w:rFonts w:ascii="Times New Roman" w:hAnsi="Times New Roman" w:cs="Times New Roman"/>
          <w:sz w:val="24"/>
          <w:szCs w:val="24"/>
        </w:rPr>
        <w:t xml:space="preserve"> poz. </w:t>
      </w:r>
      <w:r w:rsidR="00317CA8" w:rsidRPr="00B25A10">
        <w:rPr>
          <w:rFonts w:ascii="Times New Roman" w:hAnsi="Times New Roman" w:cs="Times New Roman"/>
          <w:sz w:val="24"/>
          <w:szCs w:val="24"/>
        </w:rPr>
        <w:t>1</w:t>
      </w:r>
      <w:r w:rsidR="00E46C57" w:rsidRPr="00B25A10">
        <w:rPr>
          <w:rFonts w:ascii="Times New Roman" w:hAnsi="Times New Roman" w:cs="Times New Roman"/>
          <w:sz w:val="24"/>
          <w:szCs w:val="24"/>
        </w:rPr>
        <w:t>219</w:t>
      </w:r>
      <w:r w:rsidR="007D0BC6">
        <w:rPr>
          <w:rFonts w:ascii="Times New Roman" w:hAnsi="Times New Roman" w:cs="Times New Roman"/>
          <w:sz w:val="24"/>
          <w:szCs w:val="24"/>
        </w:rPr>
        <w:t>, z późn. zm.</w:t>
      </w:r>
      <w:r w:rsidR="00712E99" w:rsidRPr="00B25A10">
        <w:rPr>
          <w:rFonts w:ascii="Times New Roman" w:hAnsi="Times New Roman" w:cs="Times New Roman"/>
          <w:sz w:val="24"/>
          <w:szCs w:val="24"/>
        </w:rPr>
        <w:t xml:space="preserve">), </w:t>
      </w:r>
    </w:p>
    <w:p w14:paraId="6D5321B2" w14:textId="77777777" w:rsidR="00712E99" w:rsidRPr="00B25A10" w:rsidRDefault="00712E99"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Pr="00B25A10">
        <w:rPr>
          <w:rFonts w:ascii="Times New Roman" w:hAnsi="Times New Roman" w:cs="Times New Roman"/>
          <w:sz w:val="24"/>
          <w:szCs w:val="24"/>
        </w:rPr>
        <w:tab/>
        <w:t xml:space="preserve">Ordynacji podatkowej. </w:t>
      </w:r>
    </w:p>
    <w:p w14:paraId="294090C4"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Obecny stan prawny</w:t>
      </w:r>
    </w:p>
    <w:p w14:paraId="2CFE86A5"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Unijne i krajowe przepisy celne określają przepisy i procedury mające zastosowanie do towarów wprowadzanych na obszar celny Unii Europejskiej lub z niego wyprowadzanych. Przepisy te odnoszą się tylko do należności celnych, nie regulują natomiast podatków i innych opłat należnych z tytułu importu czy eksportu towarów. </w:t>
      </w:r>
    </w:p>
    <w:p w14:paraId="3B8040CF" w14:textId="77777777" w:rsidR="00712E99" w:rsidRPr="00B25A10" w:rsidRDefault="00712E99" w:rsidP="00B25A10">
      <w:pPr>
        <w:spacing w:before="120"/>
        <w:jc w:val="both"/>
        <w:rPr>
          <w:rFonts w:ascii="Times New Roman" w:hAnsi="Times New Roman" w:cs="Times New Roman"/>
          <w:sz w:val="24"/>
          <w:szCs w:val="24"/>
          <w:u w:val="single"/>
        </w:rPr>
      </w:pPr>
      <w:r w:rsidRPr="00B25A10">
        <w:rPr>
          <w:rFonts w:ascii="Times New Roman" w:hAnsi="Times New Roman" w:cs="Times New Roman"/>
          <w:sz w:val="24"/>
          <w:szCs w:val="24"/>
          <w:u w:val="single"/>
        </w:rPr>
        <w:t xml:space="preserve">Podatek od towarów i usług i podatek akcyzowy </w:t>
      </w:r>
    </w:p>
    <w:p w14:paraId="42430902"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Podatkami należnymi z tytułu importu towarów są: podatek od towarów i usług oraz podatek akcyzowy (w przypadku towarów objętych tym podatkiem). Stanowią o tym ustawy podatkowe, tj.:</w:t>
      </w:r>
    </w:p>
    <w:p w14:paraId="20BD7A54" w14:textId="63D589D9" w:rsidR="00712E99" w:rsidRPr="00B25A10" w:rsidRDefault="00844204"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t>w zakresie podatku od towarów i usług</w:t>
      </w:r>
      <w:r w:rsidR="0082104B">
        <w:rPr>
          <w:rFonts w:ascii="Times New Roman" w:hAnsi="Times New Roman" w:cs="Times New Roman"/>
          <w:sz w:val="24"/>
          <w:szCs w:val="24"/>
        </w:rPr>
        <w:t xml:space="preserve"> </w:t>
      </w:r>
      <w:r w:rsidR="0082104B" w:rsidRPr="00B25A10">
        <w:rPr>
          <w:rFonts w:ascii="Times New Roman" w:hAnsi="Times New Roman" w:cs="Times New Roman"/>
          <w:sz w:val="24"/>
          <w:szCs w:val="24"/>
        </w:rPr>
        <w:t>–</w:t>
      </w:r>
      <w:r w:rsidR="00712E99" w:rsidRPr="00B25A10">
        <w:rPr>
          <w:rFonts w:ascii="Times New Roman" w:hAnsi="Times New Roman" w:cs="Times New Roman"/>
          <w:sz w:val="24"/>
          <w:szCs w:val="24"/>
        </w:rPr>
        <w:t xml:space="preserve"> ustawa </w:t>
      </w:r>
      <w:r w:rsidR="00317CA8" w:rsidRPr="00B25A10">
        <w:rPr>
          <w:rFonts w:ascii="Times New Roman" w:hAnsi="Times New Roman" w:cs="Times New Roman"/>
          <w:sz w:val="24"/>
          <w:szCs w:val="24"/>
        </w:rPr>
        <w:t xml:space="preserve">z dnia 11 marca 2004 r. </w:t>
      </w:r>
      <w:r w:rsidR="00712E99" w:rsidRPr="00B25A10">
        <w:rPr>
          <w:rFonts w:ascii="Times New Roman" w:hAnsi="Times New Roman" w:cs="Times New Roman"/>
          <w:sz w:val="24"/>
          <w:szCs w:val="24"/>
        </w:rPr>
        <w:t xml:space="preserve">o podatku od towarów i usług, a w szczególności dział VII tej ustawy określający zasady wymiaru i poboru podatku z tytułu importu towarów, oraz </w:t>
      </w:r>
    </w:p>
    <w:p w14:paraId="200AB1DF" w14:textId="12164086" w:rsidR="00712E99" w:rsidRPr="00B25A10" w:rsidRDefault="00844204" w:rsidP="002D025D">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t>w zakresie podatku akcyzowego</w:t>
      </w:r>
      <w:r w:rsidR="0082104B">
        <w:rPr>
          <w:rFonts w:ascii="Times New Roman" w:hAnsi="Times New Roman" w:cs="Times New Roman"/>
          <w:sz w:val="24"/>
          <w:szCs w:val="24"/>
        </w:rPr>
        <w:t xml:space="preserve"> </w:t>
      </w:r>
      <w:r w:rsidR="0082104B" w:rsidRPr="00B25A10">
        <w:rPr>
          <w:rFonts w:ascii="Times New Roman" w:hAnsi="Times New Roman" w:cs="Times New Roman"/>
          <w:sz w:val="24"/>
          <w:szCs w:val="24"/>
        </w:rPr>
        <w:t>–</w:t>
      </w:r>
      <w:r w:rsidR="00712E99" w:rsidRPr="00B25A10">
        <w:rPr>
          <w:rFonts w:ascii="Times New Roman" w:hAnsi="Times New Roman" w:cs="Times New Roman"/>
          <w:sz w:val="24"/>
          <w:szCs w:val="24"/>
        </w:rPr>
        <w:t xml:space="preserve"> ustawa </w:t>
      </w:r>
      <w:r w:rsidR="00317CA8" w:rsidRPr="00B25A10">
        <w:rPr>
          <w:rFonts w:ascii="Times New Roman" w:hAnsi="Times New Roman" w:cs="Times New Roman"/>
          <w:sz w:val="24"/>
          <w:szCs w:val="24"/>
        </w:rPr>
        <w:t xml:space="preserve">z dnia 6 grudnia 2008 r. </w:t>
      </w:r>
      <w:r w:rsidR="00712E99" w:rsidRPr="00B25A10">
        <w:rPr>
          <w:rFonts w:ascii="Times New Roman" w:hAnsi="Times New Roman" w:cs="Times New Roman"/>
          <w:sz w:val="24"/>
          <w:szCs w:val="24"/>
        </w:rPr>
        <w:t>o podatku akcyzowym, a w szczególności rozdział 5 tej ustawy dotyczący postępowania w przypadku importu.</w:t>
      </w:r>
    </w:p>
    <w:p w14:paraId="55568B2E" w14:textId="30CA1D20"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Co ważne dla </w:t>
      </w:r>
      <w:r w:rsidR="00317CA8" w:rsidRPr="00B25A10">
        <w:rPr>
          <w:rFonts w:ascii="Times New Roman" w:hAnsi="Times New Roman" w:cs="Times New Roman"/>
          <w:sz w:val="24"/>
          <w:szCs w:val="24"/>
        </w:rPr>
        <w:t xml:space="preserve">zmian </w:t>
      </w:r>
      <w:r w:rsidRPr="00B25A10">
        <w:rPr>
          <w:rFonts w:ascii="Times New Roman" w:hAnsi="Times New Roman" w:cs="Times New Roman"/>
          <w:sz w:val="24"/>
          <w:szCs w:val="24"/>
        </w:rPr>
        <w:t>wprowadzanych niniejszą ustawą, zarówno podatek od towarów i usług</w:t>
      </w:r>
      <w:r w:rsidR="00083DD2">
        <w:rPr>
          <w:rFonts w:ascii="Times New Roman" w:hAnsi="Times New Roman" w:cs="Times New Roman"/>
          <w:sz w:val="24"/>
          <w:szCs w:val="24"/>
        </w:rPr>
        <w:t>,</w:t>
      </w:r>
      <w:r w:rsidRPr="00B25A10">
        <w:rPr>
          <w:rFonts w:ascii="Times New Roman" w:hAnsi="Times New Roman" w:cs="Times New Roman"/>
          <w:sz w:val="24"/>
          <w:szCs w:val="24"/>
        </w:rPr>
        <w:t xml:space="preserve"> jak </w:t>
      </w:r>
      <w:r w:rsidR="00083DD2">
        <w:rPr>
          <w:rFonts w:ascii="Times New Roman" w:hAnsi="Times New Roman" w:cs="Times New Roman"/>
          <w:sz w:val="24"/>
          <w:szCs w:val="24"/>
        </w:rPr>
        <w:t xml:space="preserve">i </w:t>
      </w:r>
      <w:r w:rsidRPr="00B25A10">
        <w:rPr>
          <w:rFonts w:ascii="Times New Roman" w:hAnsi="Times New Roman" w:cs="Times New Roman"/>
          <w:sz w:val="24"/>
          <w:szCs w:val="24"/>
        </w:rPr>
        <w:t xml:space="preserve">podatek akcyzowy, są obliczane i wykazywane (tak jak cło i inne należności celne) w zgłoszeniu celnym, w rozumieniu prawa celnego. Obowiązek podatkowy z tytułu importu towarów w tych podatkach powstaje z chwilą powstania długu celnego, zaś podstawą opodatkowania w przypadku podatku VAT jest wartość celna powiększona o należne cło </w:t>
      </w:r>
      <w:r w:rsidRPr="00B25A10">
        <w:rPr>
          <w:rFonts w:ascii="Times New Roman" w:hAnsi="Times New Roman" w:cs="Times New Roman"/>
          <w:sz w:val="24"/>
          <w:szCs w:val="24"/>
        </w:rPr>
        <w:lastRenderedPageBreak/>
        <w:t xml:space="preserve">(jeżeli przedmiotem importu są towary opodatkowane podatkiem akcyzowym, podstawą opodatkowania podatkiem VAT jest wartość celna powiększona o należne cło i podatek akcyzowy). Podstawą opodatkowania w przypadku akcyzy z tytułu importu samochodów osobowych jest również wartość celna powiększona o należne cło (podstawa opodatkowania akcyzą od importu innych wyrobów akcyzowych określana jest, co do zasady, od ich ilości). Podatki należne z tytułu importu towaru są nierozerwalnie związane z przepisami celnymi i  od nich zależne. </w:t>
      </w:r>
    </w:p>
    <w:p w14:paraId="74265560"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Na etapie zgłoszenia celnego (które można porównać do deklaracji podatkowej) dostosowanie przepisów podatkowych do przepisów celnych jest na tyle daleko idące, że zapewnia sprawny wymiar i pobór tych podatków. Podatnicy są obowiązani do obliczenia i wskazania w zgłoszeniu celnym kwoty podatków, a do należności podatkowych stosuje się odpowiednio przepisy celne dotyczące powiadomienia dłużnika o kwocie należności wynikających z długu celnego, ujednolicony jest też termin na uiszczenie należności celnych i podatkowych (10 dni od dnia powiadomienia). </w:t>
      </w:r>
    </w:p>
    <w:p w14:paraId="7DA632C4"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Jeżeli jednak określenie podatków z tytułu importu następuje w drodze decyzji, dostosowanie przepisów podatkowych do przepisów celnych jest niewielkie. Obie z wymienionych wyżej ustaw podatkowych stanowią, że do postępowania podatkowego w sprawie określenia prawidłowej kwoty podatków należnych z tytułu importu stosuje się przepisy Ordynacji podatkowej, podczas gdy należności celne określane są w znacząco różniącym się postępowaniu celnym. </w:t>
      </w:r>
    </w:p>
    <w:p w14:paraId="6BF682CF" w14:textId="7AB5FD5D"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Żeby zatem w decyzji określić należności celne od przywiezionego spoza Unii Europejskiej towaru</w:t>
      </w:r>
      <w:r w:rsidR="00DF3FAB">
        <w:rPr>
          <w:rFonts w:ascii="Times New Roman" w:hAnsi="Times New Roman" w:cs="Times New Roman"/>
          <w:sz w:val="24"/>
          <w:szCs w:val="24"/>
        </w:rPr>
        <w:t>,</w:t>
      </w:r>
      <w:r w:rsidRPr="00B25A10">
        <w:rPr>
          <w:rFonts w:ascii="Times New Roman" w:hAnsi="Times New Roman" w:cs="Times New Roman"/>
          <w:sz w:val="24"/>
          <w:szCs w:val="24"/>
        </w:rPr>
        <w:t xml:space="preserve"> należy przeprowadzić postępowanie celne i wydać decyzję celną, natomiast żeby określić podatki należne z tytułu importu od tego samego towaru</w:t>
      </w:r>
      <w:r w:rsidR="00DF3FAB">
        <w:rPr>
          <w:rFonts w:ascii="Times New Roman" w:hAnsi="Times New Roman" w:cs="Times New Roman"/>
          <w:sz w:val="24"/>
          <w:szCs w:val="24"/>
        </w:rPr>
        <w:t>,</w:t>
      </w:r>
      <w:r w:rsidRPr="00B25A10">
        <w:rPr>
          <w:rFonts w:ascii="Times New Roman" w:hAnsi="Times New Roman" w:cs="Times New Roman"/>
          <w:sz w:val="24"/>
          <w:szCs w:val="24"/>
        </w:rPr>
        <w:t xml:space="preserve"> konieczne jest przeprowadzenie postępowania podatkowego i wydanie decyzji podatkowych. Postępowania te prowadzone są w odniesieniu do tego samego stanu faktycznego, tj. w stosunku do tej samej osoby lub osób, tego samego towaru, tego samego zdarzenia powodującego powstanie długu celnego i zobowiązania podatkowego. Co więcej w zdecydowanej większości przypadków decyzje podatkowe wydawane są następczo dopiero po wydaniu decyzji celnej, gdyż do podstawy opodatkowania podatkiem VAT i podatkiem akcyzowym (w przypadku samochodów osobowych) wliczane są należności celne określone w decyzji celnej. Bardzo często też decyzja celna określa wartość celną czy inne elementy mające wpływ na podstawę opodatkowania i dopiero prawidłowe ich określenie w decyzji celnej daje podstawę do określenia podatków w decyzji podatkowej.  </w:t>
      </w:r>
    </w:p>
    <w:p w14:paraId="6B0537E8" w14:textId="6902EC2C"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 xml:space="preserve">Dodatkowo odmienność obu postępowań – celnego i podatkowego </w:t>
      </w:r>
      <w:r w:rsidR="00DF3FAB" w:rsidRPr="00B25A10">
        <w:rPr>
          <w:rFonts w:ascii="Times New Roman" w:hAnsi="Times New Roman" w:cs="Times New Roman"/>
          <w:sz w:val="24"/>
          <w:szCs w:val="24"/>
        </w:rPr>
        <w:t>–</w:t>
      </w:r>
      <w:r w:rsidRPr="00B25A10">
        <w:rPr>
          <w:rFonts w:ascii="Times New Roman" w:hAnsi="Times New Roman" w:cs="Times New Roman"/>
          <w:sz w:val="24"/>
          <w:szCs w:val="24"/>
        </w:rPr>
        <w:t xml:space="preserve"> powoduje, że nie można ich połączyć. </w:t>
      </w:r>
    </w:p>
    <w:p w14:paraId="423EB119"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Opisany stan występuje od dnia 1 maja 2016 r., tj. od daty wdrożenia UKC. </w:t>
      </w:r>
    </w:p>
    <w:p w14:paraId="7A1CE29F" w14:textId="302B46ED"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Przed tą datą, zgodnie z art. 33 ust. 2 ustawy o podatku od towarów i usług oraz z art. 27 ust. 4 ustawy o podatku akcyzowym, naczelnik urzędu celnego (obecnie naczelnik urzędu celno</w:t>
      </w:r>
      <w:r w:rsidR="00DF3FAB">
        <w:rPr>
          <w:rFonts w:ascii="Times New Roman" w:hAnsi="Times New Roman" w:cs="Times New Roman"/>
          <w:sz w:val="24"/>
          <w:szCs w:val="24"/>
        </w:rPr>
        <w:noBreakHyphen/>
      </w:r>
      <w:r w:rsidRPr="00B25A10">
        <w:rPr>
          <w:rFonts w:ascii="Times New Roman" w:hAnsi="Times New Roman" w:cs="Times New Roman"/>
          <w:sz w:val="24"/>
          <w:szCs w:val="24"/>
        </w:rPr>
        <w:t xml:space="preserve">skarbowego) mógł określić kwotę podatku w decyzji dotyczącej należności celnych. Było to możliwe, gdyż zgodnie z obowiązującym wówczas stanem prawnym do postępowań w sprawach celnych zastosowanie miały odpowiednio przepisy działu IV Ordynacji podatkowej, z uwzględnieniem zmian wynikających z przepisów prawa celnego (art. 73 Prawa celnego). Biorąc pod uwagę, że przepisów celnych regulujących postępowanie było bardzo niewiele, praktycznie całe postępowanie celne prowadzone było na podstawie przepisów Ordynacji podatkowej, a zatem na tej samej podstawie prawnej co postępowanie dotyczące podatków importowych. Dawało to możliwość prowadzenia jednego postępowania i wydawania jednej decyzji. </w:t>
      </w:r>
    </w:p>
    <w:p w14:paraId="412EE619"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O ile możliwość wydawania jednej decyzji wynikała wprost z powołanych przepisów prawa, o możliwości prowadzenia jednego postępowania wypowiedział się jednoznacznie Naczelny Sąd Administracyjny w wyroku z dnia 08.06.2011 r. (</w:t>
      </w:r>
      <w:r w:rsidRPr="00B25A10">
        <w:rPr>
          <w:rFonts w:ascii="Times New Roman" w:hAnsi="Times New Roman" w:cs="Times New Roman"/>
          <w:bCs/>
          <w:sz w:val="24"/>
          <w:szCs w:val="24"/>
        </w:rPr>
        <w:t>I GSK 498/10):</w:t>
      </w:r>
    </w:p>
    <w:p w14:paraId="3F3E1C22"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„1. Brak jakiegokolwiek uzasadnienia dla poglądu, że weryfikacja jednego zgłoszenia celnego i określenie na nowo elementów kalkulacyjnych do obliczenia akcyzy i podatku od towarów i usług oraz określenie wysokości tych podatków z uwzględnieniem nowych elementów kalkulacyjnych powinno odbywać się w dwóch oddzielnych postępowaniach wszczynanych dwoma oddzielnymi postanowieniami. Skoro z woli ustawodawcy może odbywać się w jednym postępowaniu weryfikacja zgłoszenia celnego i określenie w jednej decyzji długu celnego, akcyzy i podatku od towarów i usług, to tym bardziej możliwe jest prowadzenie jednego wspólnego postępowania, którego zakres jest węższy w tym znaczeniu, że nie obejmuje długu celnego, ale w miejsce tego obejmuje określenie elementów kalkulacyjnych do obu podatków oraz określenie obu tych podatków. Weryfikacja zgłoszenia celnego i wynikające z niej określenie elementów kalkulacyjnych podatku akcyzowego i podatku od towarów i usług oraz określenie wysokości tych podatków stanowi jedną sprawę i może być dokonane w jednym postępowaniu.”. </w:t>
      </w:r>
    </w:p>
    <w:p w14:paraId="4CCA1007" w14:textId="77777777" w:rsidR="00712E99" w:rsidRPr="00B25A10" w:rsidRDefault="00712E99" w:rsidP="002D025D">
      <w:pPr>
        <w:spacing w:before="120" w:after="0" w:line="360" w:lineRule="auto"/>
        <w:jc w:val="both"/>
        <w:rPr>
          <w:rFonts w:ascii="Times New Roman" w:hAnsi="Times New Roman" w:cs="Times New Roman"/>
          <w:b/>
          <w:sz w:val="24"/>
          <w:szCs w:val="24"/>
        </w:rPr>
      </w:pPr>
      <w:r w:rsidRPr="00B25A10">
        <w:rPr>
          <w:rFonts w:ascii="Times New Roman" w:hAnsi="Times New Roman" w:cs="Times New Roman"/>
          <w:sz w:val="24"/>
          <w:szCs w:val="24"/>
        </w:rPr>
        <w:lastRenderedPageBreak/>
        <w:t xml:space="preserve">Po 1 maja 2016 r. sytuacja prawna się zmieniła. Od tego dnia stosowany jest w krajach członkowskich Unii Europejskiej UKC wraz z wydanymi do niego przepisami delegowanymi i wykonawczymi. </w:t>
      </w:r>
    </w:p>
    <w:p w14:paraId="7ED5C7E9" w14:textId="77777777" w:rsidR="00712E99" w:rsidRPr="00B25A10" w:rsidRDefault="00712E99" w:rsidP="002D025D">
      <w:pPr>
        <w:spacing w:before="120" w:after="0" w:line="360" w:lineRule="auto"/>
        <w:jc w:val="both"/>
        <w:rPr>
          <w:rFonts w:ascii="Times New Roman" w:hAnsi="Times New Roman" w:cs="Times New Roman"/>
          <w:bCs/>
          <w:iCs/>
          <w:sz w:val="24"/>
          <w:szCs w:val="24"/>
        </w:rPr>
      </w:pPr>
      <w:r w:rsidRPr="00B25A10">
        <w:rPr>
          <w:rFonts w:ascii="Times New Roman" w:hAnsi="Times New Roman" w:cs="Times New Roman"/>
          <w:sz w:val="24"/>
          <w:szCs w:val="24"/>
        </w:rPr>
        <w:t>Jedną ze zmian wprowadzonych przez unijne przepisy celne było znacznie szersze niż w obowiązujących uprzednio przepisach uregulowanie zasad i trybu wydawania decyzji dotyczących stosowania przepisów prawa celnego. Na szczeblu krajowym wymusiło to ograniczenie stosowania przepisów Ordynacji podatkowej w zakresie postępowania przed organami celnymi tylko do tych regulacji, do których wydania państwa członkowskie są upoważnione na podstawie przepisów unijnych lub które są niezbędne do ich wykonania (art. 2 ust. 1 TFUE).</w:t>
      </w:r>
    </w:p>
    <w:p w14:paraId="6A634102" w14:textId="3BD626F1" w:rsidR="00712E99" w:rsidRPr="00B25A10" w:rsidRDefault="00712E99" w:rsidP="002D025D">
      <w:pPr>
        <w:spacing w:before="120" w:after="0" w:line="360" w:lineRule="auto"/>
        <w:jc w:val="both"/>
        <w:rPr>
          <w:rFonts w:ascii="Times New Roman" w:hAnsi="Times New Roman" w:cs="Times New Roman"/>
          <w:bCs/>
          <w:iCs/>
          <w:sz w:val="24"/>
          <w:szCs w:val="24"/>
        </w:rPr>
      </w:pPr>
      <w:r w:rsidRPr="00B25A10">
        <w:rPr>
          <w:rFonts w:ascii="Times New Roman" w:hAnsi="Times New Roman" w:cs="Times New Roman"/>
          <w:bCs/>
          <w:iCs/>
          <w:sz w:val="24"/>
          <w:szCs w:val="24"/>
        </w:rPr>
        <w:t>UKC, a więc także nowe regulacje w zakresie wydawania decyzji celnych, stosowane są już od 1 maja 2016 r., a zatem ponad 3 lata. Pytane o ich ocenę izby administracji skarbowej (IAS), co do zasady, pozytywnie je oceniły</w:t>
      </w:r>
      <w:r w:rsidR="00DF3FAB">
        <w:rPr>
          <w:rFonts w:ascii="Times New Roman" w:hAnsi="Times New Roman" w:cs="Times New Roman"/>
          <w:bCs/>
          <w:iCs/>
          <w:sz w:val="24"/>
          <w:szCs w:val="24"/>
        </w:rPr>
        <w:t>,</w:t>
      </w:r>
      <w:r w:rsidRPr="00B25A10">
        <w:rPr>
          <w:rFonts w:ascii="Times New Roman" w:hAnsi="Times New Roman" w:cs="Times New Roman"/>
          <w:bCs/>
          <w:iCs/>
          <w:sz w:val="24"/>
          <w:szCs w:val="24"/>
        </w:rPr>
        <w:t xml:space="preserve"> wskazując na znaczne uproszczenie i odformalizowanie postępowania celnego. IAS wskazały ponadto obszary sprawiające trudności lub wymagające naprawy. Jednym z podstawowych problemów zgłoszonych przez zdecydowaną większość IAS jest brak możliwości prowadzenia jednego postępowania i w konsekwencji brak możliwości wydawania jednej decyzji w zakresie należności celnych i podatkowych (oraz innych opłat) z tytułu importu towarów. </w:t>
      </w:r>
    </w:p>
    <w:p w14:paraId="7CC1E43B" w14:textId="77777777" w:rsidR="00712E99" w:rsidRPr="00B25A10" w:rsidRDefault="00712E99" w:rsidP="00B25A10">
      <w:pPr>
        <w:spacing w:before="120"/>
        <w:jc w:val="both"/>
        <w:rPr>
          <w:rFonts w:ascii="Times New Roman" w:hAnsi="Times New Roman" w:cs="Times New Roman"/>
          <w:bCs/>
          <w:iCs/>
          <w:sz w:val="24"/>
          <w:szCs w:val="24"/>
          <w:u w:val="single"/>
        </w:rPr>
      </w:pPr>
      <w:r w:rsidRPr="00B25A10">
        <w:rPr>
          <w:rFonts w:ascii="Times New Roman" w:hAnsi="Times New Roman" w:cs="Times New Roman"/>
          <w:bCs/>
          <w:iCs/>
          <w:sz w:val="24"/>
          <w:szCs w:val="24"/>
          <w:u w:val="single"/>
        </w:rPr>
        <w:t>Opłata paliwowa i opłata emisyjna</w:t>
      </w:r>
    </w:p>
    <w:p w14:paraId="355DAAF6" w14:textId="6B5E7192" w:rsidR="00712E99" w:rsidRPr="00B25A10" w:rsidRDefault="00712E99" w:rsidP="002D025D">
      <w:pPr>
        <w:spacing w:before="120" w:after="0" w:line="360" w:lineRule="auto"/>
        <w:jc w:val="both"/>
        <w:rPr>
          <w:rFonts w:ascii="Times New Roman" w:hAnsi="Times New Roman" w:cs="Times New Roman"/>
          <w:bCs/>
          <w:iCs/>
          <w:sz w:val="24"/>
          <w:szCs w:val="24"/>
        </w:rPr>
      </w:pPr>
      <w:r w:rsidRPr="00B25A10">
        <w:rPr>
          <w:rFonts w:ascii="Times New Roman" w:hAnsi="Times New Roman" w:cs="Times New Roman"/>
          <w:bCs/>
          <w:iCs/>
          <w:sz w:val="24"/>
          <w:szCs w:val="24"/>
        </w:rPr>
        <w:t>Opłata paliwowa uregulowana jest w art. 37h–37q ustawy</w:t>
      </w:r>
      <w:r w:rsidR="003D1244" w:rsidRPr="00B25A10">
        <w:rPr>
          <w:rFonts w:ascii="Times New Roman" w:hAnsi="Times New Roman" w:cs="Times New Roman"/>
          <w:bCs/>
          <w:iCs/>
          <w:sz w:val="24"/>
          <w:szCs w:val="24"/>
        </w:rPr>
        <w:t xml:space="preserve"> z dnia </w:t>
      </w:r>
      <w:r w:rsidR="00541B12" w:rsidRPr="00B25A10">
        <w:rPr>
          <w:rFonts w:ascii="Times New Roman" w:hAnsi="Times New Roman" w:cs="Times New Roman"/>
          <w:bCs/>
          <w:iCs/>
          <w:sz w:val="24"/>
          <w:szCs w:val="24"/>
        </w:rPr>
        <w:t xml:space="preserve">27 października 1994 r.                   </w:t>
      </w:r>
      <w:r w:rsidRPr="00B25A10">
        <w:rPr>
          <w:rFonts w:ascii="Times New Roman" w:hAnsi="Times New Roman" w:cs="Times New Roman"/>
          <w:bCs/>
          <w:iCs/>
          <w:sz w:val="24"/>
          <w:szCs w:val="24"/>
        </w:rPr>
        <w:t>o autostradach płatnych oraz o Krajowym Funduszu Drogowym, natomiast opłata emisyjna w art. 321a–321j ustawy</w:t>
      </w:r>
      <w:r w:rsidR="00541B12" w:rsidRPr="00B25A10">
        <w:rPr>
          <w:rFonts w:ascii="Times New Roman" w:hAnsi="Times New Roman" w:cs="Times New Roman"/>
          <w:bCs/>
          <w:iCs/>
          <w:sz w:val="24"/>
          <w:szCs w:val="24"/>
        </w:rPr>
        <w:t xml:space="preserve"> z dnia 27 kwietnia 2001 r. </w:t>
      </w:r>
      <w:r w:rsidRPr="00B25A10">
        <w:rPr>
          <w:rFonts w:ascii="Times New Roman" w:hAnsi="Times New Roman" w:cs="Times New Roman"/>
          <w:bCs/>
          <w:iCs/>
          <w:sz w:val="24"/>
          <w:szCs w:val="24"/>
        </w:rPr>
        <w:t>– Prawo ochrony środowiska. Obowiązek zapłaty zarówno jednej</w:t>
      </w:r>
      <w:r w:rsidR="00DF3FAB">
        <w:rPr>
          <w:rFonts w:ascii="Times New Roman" w:hAnsi="Times New Roman" w:cs="Times New Roman"/>
          <w:bCs/>
          <w:iCs/>
          <w:sz w:val="24"/>
          <w:szCs w:val="24"/>
        </w:rPr>
        <w:t>,</w:t>
      </w:r>
      <w:r w:rsidRPr="00B25A10">
        <w:rPr>
          <w:rFonts w:ascii="Times New Roman" w:hAnsi="Times New Roman" w:cs="Times New Roman"/>
          <w:bCs/>
          <w:iCs/>
          <w:sz w:val="24"/>
          <w:szCs w:val="24"/>
        </w:rPr>
        <w:t xml:space="preserve"> jak i drugiej opłaty powstaje z dniem powstania zobowiązania podatkowego w podatku akcyzowym od paliw silnikowych, a w przypadku opłaty paliwowej dodatkowo także od gazu.  </w:t>
      </w:r>
    </w:p>
    <w:p w14:paraId="65747F33" w14:textId="2137E327" w:rsidR="00712E99" w:rsidRPr="00B25A10" w:rsidRDefault="00712E99" w:rsidP="002D025D">
      <w:pPr>
        <w:spacing w:before="120" w:after="0" w:line="360" w:lineRule="auto"/>
        <w:jc w:val="both"/>
        <w:rPr>
          <w:rFonts w:ascii="Times New Roman" w:hAnsi="Times New Roman" w:cs="Times New Roman"/>
          <w:bCs/>
          <w:iCs/>
          <w:sz w:val="24"/>
          <w:szCs w:val="24"/>
        </w:rPr>
      </w:pPr>
      <w:r w:rsidRPr="00B25A10">
        <w:rPr>
          <w:rFonts w:ascii="Times New Roman" w:hAnsi="Times New Roman" w:cs="Times New Roman"/>
          <w:bCs/>
          <w:iCs/>
          <w:sz w:val="24"/>
          <w:szCs w:val="24"/>
        </w:rPr>
        <w:t xml:space="preserve">W przypadku importu towarów podlegających wymienionym opłatom są one wykazywane w zgłoszeniu celnym i wliczane do podstawy opodatkowania podatkiem od towarów i usług. Jeżeli jednak opłaty te nie zostaną wykazane w zgłoszeniu celnym lub zostaną wykazane w kwocie niższej niż należna, są one określane w drodze decyzji. Do opłat tych stosuje się odpowiednio przepisy Ordynacji podatkowej.  </w:t>
      </w:r>
    </w:p>
    <w:p w14:paraId="4140AD94" w14:textId="77777777" w:rsidR="00712E99" w:rsidRPr="00B25A10" w:rsidRDefault="00712E99" w:rsidP="00B25A10">
      <w:pPr>
        <w:spacing w:before="120"/>
        <w:jc w:val="both"/>
        <w:rPr>
          <w:rFonts w:ascii="Times New Roman" w:hAnsi="Times New Roman" w:cs="Times New Roman"/>
          <w:b/>
          <w:bCs/>
          <w:sz w:val="24"/>
          <w:szCs w:val="24"/>
        </w:rPr>
      </w:pPr>
      <w:r w:rsidRPr="00B25A10">
        <w:rPr>
          <w:rFonts w:ascii="Times New Roman" w:hAnsi="Times New Roman" w:cs="Times New Roman"/>
          <w:b/>
          <w:bCs/>
          <w:sz w:val="24"/>
          <w:szCs w:val="24"/>
        </w:rPr>
        <w:t>Projektowana zmiana w zakresie usprawnienia procesu wydawania decyzji</w:t>
      </w:r>
    </w:p>
    <w:p w14:paraId="694FEFBD"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 xml:space="preserve">Proponuje się ujednolicenie przepisów w zakresie prowadzenia postępowania oraz wydawania decyzji określającej należności przywozowe z tytułu importu towarów w pierwszej i drugiej instancji oraz tzw. trybach nadzwyczajnych.  </w:t>
      </w:r>
    </w:p>
    <w:p w14:paraId="3AAD11DB" w14:textId="2F51BDD0"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Projektodawca przyjął, że do postępowań tych stosowane będą odpowiednio wskazane przepisy prawa celnego. Dostosowanie w odwrotnym kierunku, tj. dostosowanie przepisów celnych do przepisów Ordynacji podatkowej</w:t>
      </w:r>
      <w:r w:rsidR="00DF3FAB">
        <w:rPr>
          <w:rFonts w:ascii="Times New Roman" w:hAnsi="Times New Roman" w:cs="Times New Roman"/>
          <w:sz w:val="24"/>
          <w:szCs w:val="24"/>
        </w:rPr>
        <w:t>,</w:t>
      </w:r>
      <w:r w:rsidRPr="00B25A10">
        <w:rPr>
          <w:rFonts w:ascii="Times New Roman" w:hAnsi="Times New Roman" w:cs="Times New Roman"/>
          <w:sz w:val="24"/>
          <w:szCs w:val="24"/>
        </w:rPr>
        <w:t xml:space="preserve"> nie może być brane pod uwagę, gdyż znaczna część proceduralnych przepisów celnych unormowana jest w stosowanych bezpośrednio rozporządzeniach unijnych. Poza tym określenie podatków z tytułu importu towarów to niewielka i następcza część czynności i formalności, które należy podjąć w związku z importem towarów.  </w:t>
      </w:r>
    </w:p>
    <w:p w14:paraId="1C92E37D" w14:textId="78122568"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Należy podkreślić, że do spraw dotyczących podatków importowych, jak również do opłaty paliwowej i opłaty emisyjnej</w:t>
      </w:r>
      <w:r w:rsidR="00DF3FAB">
        <w:rPr>
          <w:rFonts w:ascii="Times New Roman" w:hAnsi="Times New Roman" w:cs="Times New Roman"/>
          <w:sz w:val="24"/>
          <w:szCs w:val="24"/>
        </w:rPr>
        <w:t>,</w:t>
      </w:r>
      <w:r w:rsidRPr="00B25A10">
        <w:rPr>
          <w:rFonts w:ascii="Times New Roman" w:hAnsi="Times New Roman" w:cs="Times New Roman"/>
          <w:sz w:val="24"/>
          <w:szCs w:val="24"/>
        </w:rPr>
        <w:t xml:space="preserve"> będą miały w dalszym ciągu zastosowanie przepisy Ordynacji podatkowej. Wprowadzana zmiana wyłącza stosowanie tylko niektórych przepisów z </w:t>
      </w:r>
      <w:r w:rsidR="00DF3FAB">
        <w:rPr>
          <w:rFonts w:ascii="Times New Roman" w:hAnsi="Times New Roman" w:cs="Times New Roman"/>
          <w:sz w:val="24"/>
          <w:szCs w:val="24"/>
        </w:rPr>
        <w:t>d</w:t>
      </w:r>
      <w:r w:rsidRPr="00B25A10">
        <w:rPr>
          <w:rFonts w:ascii="Times New Roman" w:hAnsi="Times New Roman" w:cs="Times New Roman"/>
          <w:sz w:val="24"/>
          <w:szCs w:val="24"/>
        </w:rPr>
        <w:t xml:space="preserve">ziału IV tej ustawy, dotyczących postępowania podatkowego, tj. tych, które nie mają zastosowania również do postępowania celnego, z wyłączeniem przepisów dotyczących wykonalności decyzji. </w:t>
      </w:r>
    </w:p>
    <w:p w14:paraId="4A2DFF96" w14:textId="6B32099B"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Organami właściwymi do wydawania tej decyzji będzie, tak jak obecnie, naczelnik urzędu celno-skarbowego działający jako organ celny – w zakresie należności celnych i organ podatkowy – w zakresie należności podatkowych. Decyzja ta będzie zatem decyzją celną w zakresie należności celnych i decyzją podatkową w zakresie należności podatkowych. Organem odwoławczym od takiej decyzji będzie, również tak jak obecnie, dyrektor izby administracji skarbowej. Zaletą jednej decyzji celno-podatkowej będzie również możliwość złożenia jednego odwołania od tej decyzji. </w:t>
      </w:r>
    </w:p>
    <w:p w14:paraId="61B2FAC7"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Szczegółowy zakres ujednolicenia omówiony został w uzasadnieniu do zmiany art. 34 ust. 4 ustawy </w:t>
      </w:r>
      <w:r w:rsidR="00541B12" w:rsidRPr="00B25A10">
        <w:rPr>
          <w:rFonts w:ascii="Times New Roman" w:hAnsi="Times New Roman" w:cs="Times New Roman"/>
          <w:sz w:val="24"/>
          <w:szCs w:val="24"/>
        </w:rPr>
        <w:t xml:space="preserve">z dnia 11 marca 2004 r. </w:t>
      </w:r>
      <w:r w:rsidRPr="00B25A10">
        <w:rPr>
          <w:rFonts w:ascii="Times New Roman" w:hAnsi="Times New Roman" w:cs="Times New Roman"/>
          <w:sz w:val="24"/>
          <w:szCs w:val="24"/>
        </w:rPr>
        <w:t xml:space="preserve">o podatku od towarów i usług. </w:t>
      </w:r>
    </w:p>
    <w:p w14:paraId="2A4B839A" w14:textId="79A75ED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Zaproponowany przepis art. 73d ust. 2 </w:t>
      </w:r>
      <w:r w:rsidR="00541B12" w:rsidRPr="00B25A10">
        <w:rPr>
          <w:rFonts w:ascii="Times New Roman" w:hAnsi="Times New Roman" w:cs="Times New Roman"/>
          <w:sz w:val="24"/>
          <w:szCs w:val="24"/>
        </w:rPr>
        <w:t xml:space="preserve">Prawa celnego </w:t>
      </w:r>
      <w:r w:rsidRPr="00B25A10">
        <w:rPr>
          <w:rFonts w:ascii="Times New Roman" w:hAnsi="Times New Roman" w:cs="Times New Roman"/>
          <w:sz w:val="24"/>
          <w:szCs w:val="24"/>
        </w:rPr>
        <w:t>w sposób jednoznaczny wskazuje, że intencją ustawodawcy, poza stosowaniem jednolitej procedury do postępowań w sprawach należności celnych i podatkowych</w:t>
      </w:r>
      <w:r w:rsidR="00DF3FAB">
        <w:rPr>
          <w:rFonts w:ascii="Times New Roman" w:hAnsi="Times New Roman" w:cs="Times New Roman"/>
          <w:sz w:val="24"/>
          <w:szCs w:val="24"/>
        </w:rPr>
        <w:t>,</w:t>
      </w:r>
      <w:r w:rsidRPr="00B25A10">
        <w:rPr>
          <w:rFonts w:ascii="Times New Roman" w:hAnsi="Times New Roman" w:cs="Times New Roman"/>
          <w:sz w:val="24"/>
          <w:szCs w:val="24"/>
        </w:rPr>
        <w:t xml:space="preserve"> jest również określanie tych należności w jednym akcie administracyjnym. Brak takiego zapisu może prowadzić do formułowania zarzutów, że naczelnik urzędu celno-skarbowego w sposób bezpodstawny orzekł o należnościach celnych i podatkowych w jednej decyzji</w:t>
      </w:r>
      <w:r w:rsidR="00DF3FAB">
        <w:rPr>
          <w:rFonts w:ascii="Times New Roman" w:hAnsi="Times New Roman" w:cs="Times New Roman"/>
          <w:sz w:val="24"/>
          <w:szCs w:val="24"/>
        </w:rPr>
        <w:t>,</w:t>
      </w:r>
      <w:r w:rsidRPr="00B25A10">
        <w:rPr>
          <w:rFonts w:ascii="Times New Roman" w:hAnsi="Times New Roman" w:cs="Times New Roman"/>
          <w:sz w:val="24"/>
          <w:szCs w:val="24"/>
        </w:rPr>
        <w:t xml:space="preserve"> w sytuacji gdy decyzja dotycząca należności celnych wpływająca na podstawę opodatkowania nie weszła do obrotu prawnego. </w:t>
      </w:r>
    </w:p>
    <w:p w14:paraId="2E048696"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Takie zarzuty były już przedmiotem orzekania NSA (w</w:t>
      </w:r>
      <w:r w:rsidRPr="00B25A10">
        <w:rPr>
          <w:rFonts w:ascii="Times New Roman" w:hAnsi="Times New Roman" w:cs="Times New Roman"/>
          <w:bCs/>
          <w:sz w:val="24"/>
          <w:szCs w:val="24"/>
        </w:rPr>
        <w:t>yrok NSA</w:t>
      </w:r>
      <w:r w:rsidR="000C51B7" w:rsidRPr="00B25A10">
        <w:rPr>
          <w:rFonts w:ascii="Times New Roman" w:hAnsi="Times New Roman" w:cs="Times New Roman"/>
          <w:bCs/>
          <w:sz w:val="24"/>
          <w:szCs w:val="24"/>
        </w:rPr>
        <w:t xml:space="preserve"> </w:t>
      </w:r>
      <w:r w:rsidRPr="00B25A10">
        <w:rPr>
          <w:rFonts w:ascii="Times New Roman" w:hAnsi="Times New Roman" w:cs="Times New Roman"/>
          <w:bCs/>
          <w:sz w:val="24"/>
          <w:szCs w:val="24"/>
        </w:rPr>
        <w:t>z 2016-10-05, I FSK 1325/14):</w:t>
      </w:r>
    </w:p>
    <w:p w14:paraId="7EABE196" w14:textId="77777777"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„Nie stanowi per </w:t>
      </w:r>
      <w:proofErr w:type="spellStart"/>
      <w:r w:rsidRPr="00B25A10">
        <w:rPr>
          <w:rFonts w:ascii="Times New Roman" w:hAnsi="Times New Roman" w:cs="Times New Roman"/>
          <w:sz w:val="24"/>
          <w:szCs w:val="24"/>
        </w:rPr>
        <w:t>se</w:t>
      </w:r>
      <w:proofErr w:type="spellEnd"/>
      <w:r w:rsidRPr="00B25A10">
        <w:rPr>
          <w:rFonts w:ascii="Times New Roman" w:hAnsi="Times New Roman" w:cs="Times New Roman"/>
          <w:sz w:val="24"/>
          <w:szCs w:val="24"/>
        </w:rPr>
        <w:t xml:space="preserve"> naruszenia prawa wydanie decyzji w przedmiocie podatku od towarów i usług przed doręczeniem decyzji ostatecznej określającej wysokość długu celnego. Wynika to z treści art. 33 ust. 2 </w:t>
      </w:r>
      <w:proofErr w:type="spellStart"/>
      <w:r w:rsidRPr="00B25A10">
        <w:rPr>
          <w:rFonts w:ascii="Times New Roman" w:hAnsi="Times New Roman" w:cs="Times New Roman"/>
          <w:sz w:val="24"/>
          <w:szCs w:val="24"/>
        </w:rPr>
        <w:t>zd</w:t>
      </w:r>
      <w:proofErr w:type="spellEnd"/>
      <w:r w:rsidRPr="00B25A10">
        <w:rPr>
          <w:rFonts w:ascii="Times New Roman" w:hAnsi="Times New Roman" w:cs="Times New Roman"/>
          <w:sz w:val="24"/>
          <w:szCs w:val="24"/>
        </w:rPr>
        <w:t>. 2 ustawy z dnia 11 marca 2004 r. o podatku od towarów i usług (</w:t>
      </w:r>
      <w:proofErr w:type="spellStart"/>
      <w:r w:rsidRPr="00B25A10">
        <w:rPr>
          <w:rFonts w:ascii="Times New Roman" w:hAnsi="Times New Roman" w:cs="Times New Roman"/>
          <w:sz w:val="24"/>
          <w:szCs w:val="24"/>
        </w:rPr>
        <w:t>t.j</w:t>
      </w:r>
      <w:proofErr w:type="spellEnd"/>
      <w:r w:rsidRPr="00B25A10">
        <w:rPr>
          <w:rFonts w:ascii="Times New Roman" w:hAnsi="Times New Roman" w:cs="Times New Roman"/>
          <w:sz w:val="24"/>
          <w:szCs w:val="24"/>
        </w:rPr>
        <w:t>. Dz.U. z 2016 r. poz. 710), zgodnie z którym naczelnik urzędu celnego może określić kwotę podatku w decyzji dotyczącej należności celnych. Skoro natomiast możliwe jest rozstrzyganie tych dwóch kwestii w tym samym akcie, to oczywistym jest, że decyzja w części określającej zobowiązanie w podatku od towarów i usług wejdzie do obrotu prawnego, zanim decyzja w części określającej dług celny stanie się ostateczna. Konsekwencją powyższego, jest również możliwość rozstrzygania w przedmiocie podatku od towarów i usług, gdy decyzja określająca dług celny nie weszła do obrotu prawnego (nie została doręczona).”.</w:t>
      </w:r>
    </w:p>
    <w:p w14:paraId="22FA2111"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 xml:space="preserve">zmiana art. 76 i </w:t>
      </w:r>
      <w:r w:rsidR="00BE75D0">
        <w:rPr>
          <w:rFonts w:ascii="Times New Roman" w:hAnsi="Times New Roman" w:cs="Times New Roman"/>
          <w:b/>
          <w:sz w:val="24"/>
          <w:szCs w:val="24"/>
        </w:rPr>
        <w:t xml:space="preserve">art. </w:t>
      </w:r>
      <w:r w:rsidRPr="00B25A10">
        <w:rPr>
          <w:rFonts w:ascii="Times New Roman" w:hAnsi="Times New Roman" w:cs="Times New Roman"/>
          <w:b/>
          <w:sz w:val="24"/>
          <w:szCs w:val="24"/>
        </w:rPr>
        <w:t>77 Prawa celnego</w:t>
      </w:r>
    </w:p>
    <w:p w14:paraId="70D36077" w14:textId="12307178" w:rsidR="00712E99" w:rsidRPr="00B25A10" w:rsidRDefault="00712E99" w:rsidP="002D025D">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Zmiany zaproponowane w art. 76 i </w:t>
      </w:r>
      <w:r w:rsidR="00BE75D0">
        <w:rPr>
          <w:rFonts w:ascii="Times New Roman" w:hAnsi="Times New Roman" w:cs="Times New Roman"/>
          <w:sz w:val="24"/>
          <w:szCs w:val="24"/>
        </w:rPr>
        <w:t xml:space="preserve">art. </w:t>
      </w:r>
      <w:r w:rsidRPr="00B25A10">
        <w:rPr>
          <w:rFonts w:ascii="Times New Roman" w:hAnsi="Times New Roman" w:cs="Times New Roman"/>
          <w:sz w:val="24"/>
          <w:szCs w:val="24"/>
        </w:rPr>
        <w:t>77 Prawa celnego polegają na zastąpieniu wyrazu „upoważnienie”  wyrazem „pełnomocnictwo”.  Pojęciem pełnomocnictwa posługuje się art. 19 UKC</w:t>
      </w:r>
      <w:r w:rsidR="00DF3FAB">
        <w:rPr>
          <w:rFonts w:ascii="Times New Roman" w:hAnsi="Times New Roman" w:cs="Times New Roman"/>
          <w:sz w:val="24"/>
          <w:szCs w:val="24"/>
        </w:rPr>
        <w:t>,</w:t>
      </w:r>
      <w:r w:rsidRPr="00B25A10">
        <w:rPr>
          <w:rFonts w:ascii="Times New Roman" w:hAnsi="Times New Roman" w:cs="Times New Roman"/>
          <w:sz w:val="24"/>
          <w:szCs w:val="24"/>
        </w:rPr>
        <w:t xml:space="preserve"> odnosząc się do umocowania przedstawiciela celnego działającego w imieniu osoby reprezentowanej. Przepisy art. 76 i </w:t>
      </w:r>
      <w:r w:rsidR="00BE75D0">
        <w:rPr>
          <w:rFonts w:ascii="Times New Roman" w:hAnsi="Times New Roman" w:cs="Times New Roman"/>
          <w:sz w:val="24"/>
          <w:szCs w:val="24"/>
        </w:rPr>
        <w:t xml:space="preserve">art. </w:t>
      </w:r>
      <w:r w:rsidRPr="00B25A10">
        <w:rPr>
          <w:rFonts w:ascii="Times New Roman" w:hAnsi="Times New Roman" w:cs="Times New Roman"/>
          <w:sz w:val="24"/>
          <w:szCs w:val="24"/>
        </w:rPr>
        <w:t>77 Prawa celnego posługuj</w:t>
      </w:r>
      <w:r w:rsidR="00BE75D0">
        <w:rPr>
          <w:rFonts w:ascii="Times New Roman" w:hAnsi="Times New Roman" w:cs="Times New Roman"/>
          <w:sz w:val="24"/>
          <w:szCs w:val="24"/>
        </w:rPr>
        <w:t>ą</w:t>
      </w:r>
      <w:r w:rsidRPr="00B25A10">
        <w:rPr>
          <w:rFonts w:ascii="Times New Roman" w:hAnsi="Times New Roman" w:cs="Times New Roman"/>
          <w:sz w:val="24"/>
          <w:szCs w:val="24"/>
        </w:rPr>
        <w:t xml:space="preserve"> się pojęciem upoważnienia. Aby wyeliminować ewentualne wątpliwości interpretacyjne</w:t>
      </w:r>
      <w:r w:rsidR="00DF3FAB">
        <w:rPr>
          <w:rFonts w:ascii="Times New Roman" w:hAnsi="Times New Roman" w:cs="Times New Roman"/>
          <w:sz w:val="24"/>
          <w:szCs w:val="24"/>
        </w:rPr>
        <w:t>,</w:t>
      </w:r>
      <w:r w:rsidRPr="00B25A10">
        <w:rPr>
          <w:rFonts w:ascii="Times New Roman" w:hAnsi="Times New Roman" w:cs="Times New Roman"/>
          <w:sz w:val="24"/>
          <w:szCs w:val="24"/>
        </w:rPr>
        <w:t xml:space="preserve"> proponuje się ujednolicenie nazewnictwa. </w:t>
      </w:r>
    </w:p>
    <w:p w14:paraId="7828A685"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art. 79 Prawa celnego</w:t>
      </w:r>
    </w:p>
    <w:p w14:paraId="4A892EBB" w14:textId="77777777" w:rsidR="00712E99" w:rsidRPr="00B25A10" w:rsidRDefault="00712E99" w:rsidP="002D025D">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W art. 79 proponuje się dodać nowy ust. 2 stanowiący, że wpis na listę agentów celnych oraz jego zmiana jest decyzją organu, tj. dyrektora izby administracji skarbowej. </w:t>
      </w:r>
      <w:r w:rsidR="00541B12" w:rsidRPr="00B25A10">
        <w:rPr>
          <w:rFonts w:ascii="Times New Roman" w:eastAsia="Times New Roman" w:hAnsi="Times New Roman" w:cs="Times New Roman"/>
          <w:sz w:val="24"/>
          <w:szCs w:val="24"/>
          <w:lang w:eastAsia="pl-PL"/>
        </w:rPr>
        <w:t xml:space="preserve">Informację o wpisie oraz zianie wpisu na listę otrzymuje zainteresowana osoba.  </w:t>
      </w:r>
    </w:p>
    <w:p w14:paraId="0BD2A3DD" w14:textId="74A229B7" w:rsidR="00712E99" w:rsidRPr="00B25A10" w:rsidRDefault="00712E99" w:rsidP="002D025D">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Wpis na listę agentów celnych następuje na wniosek osoby. W toku postępowania organ celny sprawdza, czy osoba występująca z wnioskiem spełnia warunki określone w art. 80 ust. 1 Prawa celnego. Jeżeli warunki są spełnione</w:t>
      </w:r>
      <w:r w:rsidR="00D402A9">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następuje wpis na listę oraz wydawana jest decyzja o wpisie. </w:t>
      </w:r>
    </w:p>
    <w:p w14:paraId="2AE5064A" w14:textId="77777777" w:rsidR="00376512" w:rsidRPr="00B25A10" w:rsidRDefault="00712E99" w:rsidP="002D025D">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Rezultatem zmiany zaproponowanej w art. 79 Prawa celnego jest odstąpienie od wydawania decyzji o wpisie na listę. Wpis będzie decyzją dyrektora izby administracji skarbowej. Działanie takie uprości i odformalizuje dokonywanie wpisu, ponadto zlikwiduje wątpliwość, czy wpis na listę powinien nastąpić na podstawie decyzji, czy też decyzja powinna </w:t>
      </w:r>
      <w:r w:rsidRPr="00B25A10">
        <w:rPr>
          <w:rFonts w:ascii="Times New Roman" w:eastAsia="Times New Roman" w:hAnsi="Times New Roman" w:cs="Times New Roman"/>
          <w:sz w:val="24"/>
          <w:szCs w:val="24"/>
          <w:lang w:eastAsia="pl-PL"/>
        </w:rPr>
        <w:lastRenderedPageBreak/>
        <w:t xml:space="preserve">potwierdzać wpis. O obecnej praktyce stosowania tych przepisów stosowany jest to drugie rozwiązanie (vide uzasadnienie do zmiany art. 70 ust. 3 Prawa celnego). </w:t>
      </w:r>
    </w:p>
    <w:p w14:paraId="2F2F16C8" w14:textId="03BD006D" w:rsidR="00712E99" w:rsidRPr="00B25A10" w:rsidRDefault="00712E99" w:rsidP="002D025D">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Dodawany w art. 79 ust. 2 odnosi się również do zmiany wpisu. Obecnie prowadzona lista agentów celnych zawiera numer agenta, imię i nazwisko oraz datę wpisu. Zdarza się, że agent  wnioskuje o zmianę nazwiska</w:t>
      </w:r>
      <w:r w:rsidR="00D402A9">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np. w związku ze zmianą stanu cywilnego</w:t>
      </w:r>
      <w:r w:rsidR="00D402A9">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i takie zmiany są dokonywane. Proponuje się, aby załatwienie takiego wniosku następowało w sposób maksymalnie uproszczony, a więc również bez wydawania odrębnej decyzji o zmianie. Sama zmiana wpisu będzie decyzją organu. </w:t>
      </w:r>
    </w:p>
    <w:p w14:paraId="3C89BE97" w14:textId="77777777" w:rsidR="00376512" w:rsidRPr="00B25A10" w:rsidRDefault="00712E99" w:rsidP="00B25A10">
      <w:pPr>
        <w:suppressAutoHyphens/>
        <w:autoSpaceDE w:val="0"/>
        <w:autoSpaceDN w:val="0"/>
        <w:adjustRightInd w:val="0"/>
        <w:spacing w:before="120"/>
        <w:jc w:val="both"/>
        <w:rPr>
          <w:rFonts w:ascii="Times New Roman" w:hAnsi="Times New Roman" w:cs="Times New Roman"/>
          <w:b/>
          <w:sz w:val="24"/>
          <w:szCs w:val="24"/>
        </w:rPr>
      </w:pPr>
      <w:r w:rsidRPr="00B25A10">
        <w:rPr>
          <w:rFonts w:ascii="Times New Roman" w:hAnsi="Times New Roman" w:cs="Times New Roman"/>
          <w:b/>
          <w:sz w:val="24"/>
          <w:szCs w:val="24"/>
        </w:rPr>
        <w:t xml:space="preserve">zmiana art. </w:t>
      </w:r>
      <w:r w:rsidR="00376512" w:rsidRPr="00B25A10">
        <w:rPr>
          <w:rFonts w:ascii="Times New Roman" w:hAnsi="Times New Roman" w:cs="Times New Roman"/>
          <w:b/>
          <w:sz w:val="24"/>
          <w:szCs w:val="24"/>
        </w:rPr>
        <w:t>80 ust. 7</w:t>
      </w:r>
      <w:r w:rsidR="00BE75D0" w:rsidRPr="00BE75D0">
        <w:rPr>
          <w:rFonts w:ascii="Times New Roman" w:hAnsi="Times New Roman" w:cs="Times New Roman"/>
          <w:b/>
          <w:sz w:val="24"/>
          <w:szCs w:val="24"/>
        </w:rPr>
        <w:t xml:space="preserve"> </w:t>
      </w:r>
      <w:r w:rsidR="00BE75D0" w:rsidRPr="00B25A10">
        <w:rPr>
          <w:rFonts w:ascii="Times New Roman" w:hAnsi="Times New Roman" w:cs="Times New Roman"/>
          <w:b/>
          <w:sz w:val="24"/>
          <w:szCs w:val="24"/>
        </w:rPr>
        <w:t>Prawa celnego</w:t>
      </w:r>
    </w:p>
    <w:p w14:paraId="0B6168B9" w14:textId="77777777" w:rsidR="002A77B5" w:rsidRPr="00B25A10" w:rsidRDefault="000876DA" w:rsidP="002D025D">
      <w:pPr>
        <w:suppressAutoHyphens/>
        <w:autoSpaceDE w:val="0"/>
        <w:autoSpaceDN w:val="0"/>
        <w:adjustRightInd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Zmiana dokonana w </w:t>
      </w:r>
      <w:r w:rsidR="00376512" w:rsidRPr="00B25A10">
        <w:rPr>
          <w:rFonts w:ascii="Times New Roman" w:hAnsi="Times New Roman" w:cs="Times New Roman"/>
          <w:sz w:val="24"/>
          <w:szCs w:val="24"/>
        </w:rPr>
        <w:t xml:space="preserve">art. 80 ust. </w:t>
      </w:r>
      <w:r w:rsidR="00DE2ABE" w:rsidRPr="00B25A10">
        <w:rPr>
          <w:rFonts w:ascii="Times New Roman" w:hAnsi="Times New Roman" w:cs="Times New Roman"/>
          <w:sz w:val="24"/>
          <w:szCs w:val="24"/>
        </w:rPr>
        <w:t xml:space="preserve">7 </w:t>
      </w:r>
      <w:r w:rsidRPr="00B25A10">
        <w:rPr>
          <w:rFonts w:ascii="Times New Roman" w:hAnsi="Times New Roman" w:cs="Times New Roman"/>
          <w:sz w:val="24"/>
          <w:szCs w:val="24"/>
        </w:rPr>
        <w:t>Prawa celnego ma na celu ujednolicenie terminologiczne przepisu ze zmienianym również w tej nowelizacji art. 52 ust. 11 tej ustawy</w:t>
      </w:r>
      <w:r w:rsidR="002A77B5" w:rsidRPr="00B25A10">
        <w:rPr>
          <w:rFonts w:ascii="Times New Roman" w:hAnsi="Times New Roman" w:cs="Times New Roman"/>
          <w:sz w:val="24"/>
          <w:szCs w:val="24"/>
        </w:rPr>
        <w:t xml:space="preserve">. </w:t>
      </w:r>
    </w:p>
    <w:p w14:paraId="32FB27B9" w14:textId="77777777" w:rsidR="002A77B5" w:rsidRPr="00B25A10" w:rsidRDefault="002A77B5" w:rsidP="002D025D">
      <w:pPr>
        <w:suppressAutoHyphens/>
        <w:autoSpaceDE w:val="0"/>
        <w:autoSpaceDN w:val="0"/>
        <w:adjustRightInd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W art. 52 ust. 11 zmieniono wyrazy „na stronie podmiotowej urzędu obsługującego ministra właściwego do spraw finansów publicznych” na wyrazy „na stronie podmiotowej ministra właściwego do spraw finansów publicznych”. Analogiczna zmiana wprowadzona została w art. 80 ust. 7 Prawa celnego. </w:t>
      </w:r>
    </w:p>
    <w:p w14:paraId="682FA59E" w14:textId="24EE4EBA" w:rsidR="00376512" w:rsidRPr="00B25A10" w:rsidRDefault="00504A36" w:rsidP="002D025D">
      <w:pPr>
        <w:suppressAutoHyphens/>
        <w:autoSpaceDE w:val="0"/>
        <w:autoSpaceDN w:val="0"/>
        <w:adjustRightInd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Zmiany we wskazanych przepisach dostosowują ich brzmienie </w:t>
      </w:r>
      <w:r w:rsidR="00DE2ABE" w:rsidRPr="00B25A10">
        <w:rPr>
          <w:rFonts w:ascii="Times New Roman" w:hAnsi="Times New Roman" w:cs="Times New Roman"/>
          <w:sz w:val="24"/>
          <w:szCs w:val="24"/>
        </w:rPr>
        <w:t xml:space="preserve">do </w:t>
      </w:r>
      <w:r w:rsidR="00D402A9">
        <w:rPr>
          <w:rFonts w:ascii="Times New Roman" w:hAnsi="Times New Roman" w:cs="Times New Roman"/>
          <w:sz w:val="24"/>
          <w:szCs w:val="24"/>
        </w:rPr>
        <w:t>prze</w:t>
      </w:r>
      <w:r w:rsidR="00DE2ABE" w:rsidRPr="00B25A10">
        <w:rPr>
          <w:rFonts w:ascii="Times New Roman" w:hAnsi="Times New Roman" w:cs="Times New Roman"/>
          <w:sz w:val="24"/>
          <w:szCs w:val="24"/>
        </w:rPr>
        <w:t>pisów ustawy z dnia 17</w:t>
      </w:r>
      <w:r w:rsidR="00D402A9">
        <w:rPr>
          <w:rFonts w:ascii="Times New Roman" w:hAnsi="Times New Roman" w:cs="Times New Roman"/>
          <w:sz w:val="24"/>
          <w:szCs w:val="24"/>
        </w:rPr>
        <w:t> </w:t>
      </w:r>
      <w:r w:rsidR="00DE2ABE" w:rsidRPr="00B25A10">
        <w:rPr>
          <w:rFonts w:ascii="Times New Roman" w:hAnsi="Times New Roman" w:cs="Times New Roman"/>
          <w:sz w:val="24"/>
          <w:szCs w:val="24"/>
        </w:rPr>
        <w:t>lutego 2005 r. o informatyzacji działalności podmiotów realizujących zadania publiczne (Dz.</w:t>
      </w:r>
      <w:r w:rsidR="000876DA" w:rsidRPr="00B25A10">
        <w:rPr>
          <w:rFonts w:ascii="Times New Roman" w:hAnsi="Times New Roman" w:cs="Times New Roman"/>
          <w:sz w:val="24"/>
          <w:szCs w:val="24"/>
        </w:rPr>
        <w:t xml:space="preserve"> </w:t>
      </w:r>
      <w:r w:rsidR="00DE2ABE" w:rsidRPr="00B25A10">
        <w:rPr>
          <w:rFonts w:ascii="Times New Roman" w:hAnsi="Times New Roman" w:cs="Times New Roman"/>
          <w:sz w:val="24"/>
          <w:szCs w:val="24"/>
        </w:rPr>
        <w:t>U. z 2019 r. poz. 700</w:t>
      </w:r>
      <w:r w:rsidR="006F5CED" w:rsidRPr="00B25A10">
        <w:rPr>
          <w:rFonts w:ascii="Times New Roman" w:hAnsi="Times New Roman" w:cs="Times New Roman"/>
          <w:sz w:val="24"/>
          <w:szCs w:val="24"/>
        </w:rPr>
        <w:t>, z późn. zm.</w:t>
      </w:r>
      <w:r w:rsidR="00DE2ABE" w:rsidRPr="00B25A10">
        <w:rPr>
          <w:rFonts w:ascii="Times New Roman" w:hAnsi="Times New Roman" w:cs="Times New Roman"/>
          <w:sz w:val="24"/>
          <w:szCs w:val="24"/>
        </w:rPr>
        <w:t>).</w:t>
      </w:r>
    </w:p>
    <w:p w14:paraId="06F18E32" w14:textId="77777777" w:rsidR="00712E99" w:rsidRPr="00B25A10" w:rsidRDefault="00376512" w:rsidP="00B25A10">
      <w:pPr>
        <w:suppressAutoHyphens/>
        <w:autoSpaceDE w:val="0"/>
        <w:autoSpaceDN w:val="0"/>
        <w:adjustRightInd w:val="0"/>
        <w:spacing w:before="120"/>
        <w:jc w:val="both"/>
        <w:rPr>
          <w:rFonts w:ascii="Times New Roman" w:hAnsi="Times New Roman" w:cs="Times New Roman"/>
          <w:b/>
          <w:sz w:val="24"/>
          <w:szCs w:val="24"/>
        </w:rPr>
      </w:pPr>
      <w:r w:rsidRPr="00B25A10">
        <w:rPr>
          <w:rFonts w:ascii="Times New Roman" w:hAnsi="Times New Roman" w:cs="Times New Roman"/>
          <w:b/>
          <w:sz w:val="24"/>
          <w:szCs w:val="24"/>
        </w:rPr>
        <w:t xml:space="preserve">zmiana art. </w:t>
      </w:r>
      <w:r w:rsidR="00712E99" w:rsidRPr="00B25A10">
        <w:rPr>
          <w:rFonts w:ascii="Times New Roman" w:hAnsi="Times New Roman" w:cs="Times New Roman"/>
          <w:b/>
          <w:sz w:val="24"/>
          <w:szCs w:val="24"/>
        </w:rPr>
        <w:t>90d Prawa celnego</w:t>
      </w:r>
    </w:p>
    <w:p w14:paraId="7BE8C7F0" w14:textId="77777777" w:rsidR="00712E99" w:rsidRPr="00B25A10" w:rsidRDefault="00712E99" w:rsidP="002D025D">
      <w:pPr>
        <w:suppressAutoHyphens/>
        <w:autoSpaceDE w:val="0"/>
        <w:autoSpaceDN w:val="0"/>
        <w:adjustRightInd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W art. 90d proponuje się dodanie nowego ust. 2 wprowadzającego regulację, zgodnie z którą przed wydaniem decyzji, która w całości uwzględnia odwołanie, organ odwoławczy nie będzie wyznaczał osobie odwołującej się terminu do wypowiedzenia się w sprawie zebranego materiału dowodowego. Obecnie obowiązujące przepisy pozwalają na skrócenie tego siedmiodniowego terminu, nie pozwalają jednak na odstąpienie od niego. </w:t>
      </w:r>
    </w:p>
    <w:p w14:paraId="2C4B2FBC" w14:textId="77777777" w:rsidR="00712E99" w:rsidRPr="00B25A10" w:rsidRDefault="00712E99" w:rsidP="002D025D">
      <w:pPr>
        <w:suppressAutoHyphens/>
        <w:autoSpaceDE w:val="0"/>
        <w:autoSpaceDN w:val="0"/>
        <w:adjustRightInd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Analogiczne rozwiązanie stosowane jest w postępowaniu podatkowym, na podstawie art. 200 § 2 pkt 1 Ordynacji podatkowej.</w:t>
      </w:r>
    </w:p>
    <w:p w14:paraId="5B73085A" w14:textId="77777777" w:rsidR="00712E99" w:rsidRPr="00B25A10" w:rsidRDefault="00712E99" w:rsidP="00B25A10">
      <w:pPr>
        <w:suppressAutoHyphens/>
        <w:autoSpaceDE w:val="0"/>
        <w:autoSpaceDN w:val="0"/>
        <w:adjustRightInd w:val="0"/>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art. 98 ust. 2</w:t>
      </w:r>
      <w:r w:rsidR="00BE75D0" w:rsidRPr="00BE75D0">
        <w:rPr>
          <w:rFonts w:ascii="Times New Roman" w:hAnsi="Times New Roman" w:cs="Times New Roman"/>
          <w:b/>
          <w:sz w:val="24"/>
          <w:szCs w:val="24"/>
        </w:rPr>
        <w:t xml:space="preserve"> </w:t>
      </w:r>
      <w:r w:rsidR="00BE75D0" w:rsidRPr="00B25A10">
        <w:rPr>
          <w:rFonts w:ascii="Times New Roman" w:hAnsi="Times New Roman" w:cs="Times New Roman"/>
          <w:b/>
          <w:sz w:val="24"/>
          <w:szCs w:val="24"/>
        </w:rPr>
        <w:t>Prawa celnego</w:t>
      </w:r>
    </w:p>
    <w:p w14:paraId="6714425B" w14:textId="77777777" w:rsidR="00712E99" w:rsidRPr="00B25A10" w:rsidRDefault="00712E99" w:rsidP="002D025D">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W wytycznych do art. 98 ust. 2 Prawa celnego proponuje się zastąpić wyrazy „w programie badań statystycznych” wyrazami „przez Prezesa Głównego Urzędu Statystycznego i udostępniana na stronie internetowej Głównego Urzędu Statystycznego”.</w:t>
      </w:r>
    </w:p>
    <w:p w14:paraId="0F4278D9" w14:textId="77777777" w:rsidR="00712E99" w:rsidRPr="00B25A10" w:rsidRDefault="00712E99" w:rsidP="002D025D">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lastRenderedPageBreak/>
        <w:t xml:space="preserve">Art. 98 ust. 2 Prawa celnego zawiera upoważnienie ustawowe dla ministra właściwego do spraw finansów publicznych do określenia, w drodze rozporządzenia, szczegółowych przepisów dotyczących zgłoszeń INTRASTAT. </w:t>
      </w:r>
    </w:p>
    <w:p w14:paraId="0422E3DE" w14:textId="77777777" w:rsidR="00712E99" w:rsidRPr="00B25A10" w:rsidRDefault="00712E99" w:rsidP="002D025D">
      <w:pPr>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W systemie INTRASTAT obowiązek sprawozdawczy jest uzależniony od wartości obrotów realizowanych przez podmioty z krajami Unii Europejskiej. Prezes Głównego Urzędu Statystycznego ustala wysokość progów statystycznych, powyżej których osoba zobowiązana dokonuje zgłoszeń INTRASTAT. Aktualnie informacje te są ujęte w Programie badań statystycznych statystyki publicznej (</w:t>
      </w:r>
      <w:proofErr w:type="spellStart"/>
      <w:r w:rsidRPr="00B25A10">
        <w:rPr>
          <w:rFonts w:ascii="Times New Roman" w:eastAsia="Times New Roman" w:hAnsi="Times New Roman" w:cs="Times New Roman"/>
          <w:sz w:val="24"/>
          <w:szCs w:val="24"/>
          <w:lang w:eastAsia="pl-PL"/>
        </w:rPr>
        <w:t>Pbssp</w:t>
      </w:r>
      <w:proofErr w:type="spellEnd"/>
      <w:r w:rsidRPr="00B25A10">
        <w:rPr>
          <w:rFonts w:ascii="Times New Roman" w:eastAsia="Times New Roman" w:hAnsi="Times New Roman" w:cs="Times New Roman"/>
          <w:sz w:val="24"/>
          <w:szCs w:val="24"/>
          <w:lang w:eastAsia="pl-PL"/>
        </w:rPr>
        <w:t>), który ustala corocznie Rada Ministrów w drodze rozporządzenia na podstawie art. 18 ustawy z dnia 29 czerwca 1995 r.  o statystyce publicznej (Dz. U. z 20</w:t>
      </w:r>
      <w:r w:rsidR="006D0100" w:rsidRPr="00B25A10">
        <w:rPr>
          <w:rFonts w:ascii="Times New Roman" w:eastAsia="Times New Roman" w:hAnsi="Times New Roman" w:cs="Times New Roman"/>
          <w:sz w:val="24"/>
          <w:szCs w:val="24"/>
          <w:lang w:eastAsia="pl-PL"/>
        </w:rPr>
        <w:t>20</w:t>
      </w:r>
      <w:r w:rsidRPr="00B25A10">
        <w:rPr>
          <w:rFonts w:ascii="Times New Roman" w:eastAsia="Times New Roman" w:hAnsi="Times New Roman" w:cs="Times New Roman"/>
          <w:sz w:val="24"/>
          <w:szCs w:val="24"/>
          <w:lang w:eastAsia="pl-PL"/>
        </w:rPr>
        <w:t xml:space="preserve"> r. poz. </w:t>
      </w:r>
      <w:r w:rsidR="006D0100" w:rsidRPr="00B25A10">
        <w:rPr>
          <w:rFonts w:ascii="Times New Roman" w:eastAsia="Times New Roman" w:hAnsi="Times New Roman" w:cs="Times New Roman"/>
          <w:sz w:val="24"/>
          <w:szCs w:val="24"/>
          <w:lang w:eastAsia="pl-PL"/>
        </w:rPr>
        <w:t>443</w:t>
      </w:r>
      <w:r w:rsidR="00685698">
        <w:rPr>
          <w:rFonts w:ascii="Times New Roman" w:eastAsia="Times New Roman" w:hAnsi="Times New Roman" w:cs="Times New Roman"/>
          <w:sz w:val="24"/>
          <w:szCs w:val="24"/>
          <w:lang w:eastAsia="pl-PL"/>
        </w:rPr>
        <w:t>, z późn. zm.</w:t>
      </w:r>
      <w:r w:rsidRPr="00B25A10">
        <w:rPr>
          <w:rFonts w:ascii="Times New Roman" w:eastAsia="Times New Roman" w:hAnsi="Times New Roman" w:cs="Times New Roman"/>
          <w:sz w:val="24"/>
          <w:szCs w:val="24"/>
          <w:lang w:eastAsia="pl-PL"/>
        </w:rPr>
        <w:t xml:space="preserve">). Proponuje się wprowadzenie informowania respondentów o obowiązku sprawozdawczym przez Prezesa Głównego Urzędu Statystycznego na stornie internetowej GUS. </w:t>
      </w:r>
    </w:p>
    <w:p w14:paraId="498C769E" w14:textId="77777777" w:rsidR="00712E99" w:rsidRPr="00B25A10" w:rsidRDefault="00712E99" w:rsidP="002D025D">
      <w:pPr>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W ten sposób nie będzie potrzeby podejmowania w tym zakresie działań legislacyjnych (w postaci procedowania rozporządzenia w sprawie </w:t>
      </w:r>
      <w:proofErr w:type="spellStart"/>
      <w:r w:rsidRPr="00B25A10">
        <w:rPr>
          <w:rFonts w:ascii="Times New Roman" w:eastAsia="Times New Roman" w:hAnsi="Times New Roman" w:cs="Times New Roman"/>
          <w:sz w:val="24"/>
          <w:szCs w:val="24"/>
          <w:lang w:eastAsia="pl-PL"/>
        </w:rPr>
        <w:t>Pbssp</w:t>
      </w:r>
      <w:proofErr w:type="spellEnd"/>
      <w:r w:rsidRPr="00B25A10">
        <w:rPr>
          <w:rFonts w:ascii="Times New Roman" w:eastAsia="Times New Roman" w:hAnsi="Times New Roman" w:cs="Times New Roman"/>
          <w:sz w:val="24"/>
          <w:szCs w:val="24"/>
          <w:lang w:eastAsia="pl-PL"/>
        </w:rPr>
        <w:t xml:space="preserve"> i jego zmian), które spowalniają proces informowania sprawozdawców. Niniejsza zmiana odpowiada zapotrzebowaniu odbiorców na aktualną i łatwo dostępną informację. </w:t>
      </w:r>
    </w:p>
    <w:p w14:paraId="2CAF635E" w14:textId="654EE958" w:rsidR="00712E99" w:rsidRPr="00B25A10" w:rsidRDefault="00712E99" w:rsidP="002D025D">
      <w:pPr>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Zapewnienie z odpowiednim wyprzedzeniem dostępności informacji o wysokości progów statystycznych dla podmiotów zobowiązanych do przekazywania statystyce publicznej informacji o dokonanych obrotach towarowych z krajami Unii Europejskiej przyczyni się do jeszcze lepszej i bardziej kompletnej sprawozdawczości w ramach statystyki handlu zagranicznego. </w:t>
      </w:r>
    </w:p>
    <w:p w14:paraId="5F83CA10" w14:textId="77777777" w:rsidR="00C01962" w:rsidRPr="00B25A10" w:rsidRDefault="00C01962" w:rsidP="00B25A10">
      <w:pPr>
        <w:spacing w:before="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 xml:space="preserve">Zmiana ustawy z dnia </w:t>
      </w:r>
      <w:r w:rsidRPr="00B25A10">
        <w:rPr>
          <w:rFonts w:ascii="Times New Roman" w:hAnsi="Times New Roman" w:cs="Times New Roman"/>
          <w:b/>
          <w:sz w:val="24"/>
          <w:szCs w:val="24"/>
        </w:rPr>
        <w:t>17 czerwca 1966 r. o postępowaniu egzekucyjnym w administracji</w:t>
      </w:r>
    </w:p>
    <w:p w14:paraId="5DEBBB80" w14:textId="6DF7966B" w:rsidR="00C01962" w:rsidRPr="00B25A10" w:rsidRDefault="00C01962" w:rsidP="002B0551">
      <w:pPr>
        <w:pStyle w:val="ARTartustawynprozporzdzenia"/>
        <w:ind w:firstLine="0"/>
        <w:rPr>
          <w:rFonts w:ascii="Times New Roman" w:hAnsi="Times New Roman" w:cs="Times New Roman"/>
          <w:szCs w:val="24"/>
        </w:rPr>
      </w:pPr>
      <w:r w:rsidRPr="00B25A10">
        <w:rPr>
          <w:rFonts w:ascii="Times New Roman" w:hAnsi="Times New Roman" w:cs="Times New Roman"/>
          <w:szCs w:val="24"/>
        </w:rPr>
        <w:t xml:space="preserve">Przepis art. 5 § 1 pkt 4 ustawy z dnia 17 czerwca 1966 r. o postępowaniu egzekucyjnym w administracji </w:t>
      </w:r>
      <w:r w:rsidR="004F5808" w:rsidRPr="00B25A10">
        <w:rPr>
          <w:rFonts w:ascii="Times New Roman" w:hAnsi="Times New Roman" w:cs="Times New Roman"/>
          <w:szCs w:val="24"/>
        </w:rPr>
        <w:t>(Dz. U. z 20</w:t>
      </w:r>
      <w:r w:rsidR="008A4D67" w:rsidRPr="00B25A10">
        <w:rPr>
          <w:rFonts w:ascii="Times New Roman" w:hAnsi="Times New Roman" w:cs="Times New Roman"/>
          <w:szCs w:val="24"/>
        </w:rPr>
        <w:t>20</w:t>
      </w:r>
      <w:r w:rsidR="004F5808" w:rsidRPr="00B25A10">
        <w:rPr>
          <w:rFonts w:ascii="Times New Roman" w:hAnsi="Times New Roman" w:cs="Times New Roman"/>
          <w:szCs w:val="24"/>
        </w:rPr>
        <w:t xml:space="preserve"> r. poz. 14</w:t>
      </w:r>
      <w:r w:rsidR="008A4D67" w:rsidRPr="00B25A10">
        <w:rPr>
          <w:rFonts w:ascii="Times New Roman" w:hAnsi="Times New Roman" w:cs="Times New Roman"/>
          <w:szCs w:val="24"/>
        </w:rPr>
        <w:t>27</w:t>
      </w:r>
      <w:r w:rsidR="004F5808" w:rsidRPr="00B25A10">
        <w:rPr>
          <w:rFonts w:ascii="Times New Roman" w:hAnsi="Times New Roman" w:cs="Times New Roman"/>
          <w:szCs w:val="24"/>
        </w:rPr>
        <w:t xml:space="preserve">, z późn. zm.) </w:t>
      </w:r>
      <w:r w:rsidRPr="00B25A10">
        <w:rPr>
          <w:rFonts w:ascii="Times New Roman" w:hAnsi="Times New Roman" w:cs="Times New Roman"/>
          <w:szCs w:val="24"/>
        </w:rPr>
        <w:t>nie obejmuje swoim zakresem informacji o opłacie emisyjnej. Wskazana informacja może zostać złożona zarówno do naczelnika urzędu skarbowego</w:t>
      </w:r>
      <w:r w:rsidR="00D402A9">
        <w:rPr>
          <w:rFonts w:ascii="Times New Roman" w:hAnsi="Times New Roman" w:cs="Times New Roman"/>
          <w:szCs w:val="24"/>
        </w:rPr>
        <w:t>,</w:t>
      </w:r>
      <w:r w:rsidRPr="00B25A10">
        <w:rPr>
          <w:rFonts w:ascii="Times New Roman" w:hAnsi="Times New Roman" w:cs="Times New Roman"/>
          <w:szCs w:val="24"/>
        </w:rPr>
        <w:t xml:space="preserve"> jak i naczelnika urzędu celno-skarbowego zgodnie z proponowanym art. 321h ust.</w:t>
      </w:r>
      <w:r w:rsidR="00D402A9">
        <w:rPr>
          <w:rFonts w:ascii="Times New Roman" w:hAnsi="Times New Roman" w:cs="Times New Roman"/>
          <w:szCs w:val="24"/>
        </w:rPr>
        <w:t> </w:t>
      </w:r>
      <w:r w:rsidRPr="00B25A10">
        <w:rPr>
          <w:rFonts w:ascii="Times New Roman" w:hAnsi="Times New Roman" w:cs="Times New Roman"/>
          <w:szCs w:val="24"/>
        </w:rPr>
        <w:t xml:space="preserve">1 ustawy – Prawo ochrony środowiska. Zgodnie natomiast z art. 28 ust. 1 pkt 3 ustawy o Krajowej Administracji Skarbowej wykonywanie zadań wierzyciela należności pieniężnych należy do zadań naczelnika urzędu skarbowego. W przypadku zatem złożenia informacji o opłacie emisyjnej do naczelnika urzędu celno-skarbowego, organ ten nie byłby uprawniony do wystąpienia o przymusowe dochodzenie tej opłaty w trybie egzekucji administracyjnej. W celu umożliwienia dochodzenia opłaty emisyjnej konieczne </w:t>
      </w:r>
      <w:r w:rsidRPr="00B25A10">
        <w:rPr>
          <w:rFonts w:ascii="Times New Roman" w:hAnsi="Times New Roman" w:cs="Times New Roman"/>
          <w:szCs w:val="24"/>
        </w:rPr>
        <w:lastRenderedPageBreak/>
        <w:t xml:space="preserve">jest ujęcie w przepisie art. 5 § 1 pkt 4 ustawy o postępowaniu egzekucyjnym w administracji również informacji o opłacie emisyjnej. W takim przypadku wierzycielem należności wynikających z informacji o opłacie emisyjnej będzie właściwy naczelnik urzędu skarbowego. </w:t>
      </w:r>
    </w:p>
    <w:p w14:paraId="378508B9" w14:textId="77777777" w:rsidR="00712E99" w:rsidRPr="00B25A10" w:rsidRDefault="00712E99" w:rsidP="00B25A10">
      <w:pPr>
        <w:suppressAutoHyphens/>
        <w:autoSpaceDE w:val="0"/>
        <w:autoSpaceDN w:val="0"/>
        <w:adjustRightInd w:val="0"/>
        <w:spacing w:before="120"/>
        <w:jc w:val="both"/>
        <w:rPr>
          <w:rFonts w:ascii="Times New Roman" w:eastAsia="Times New Roman" w:hAnsi="Times New Roman" w:cs="Times New Roman"/>
          <w:b/>
          <w:sz w:val="24"/>
          <w:szCs w:val="24"/>
          <w:u w:val="single"/>
          <w:lang w:eastAsia="pl-PL"/>
        </w:rPr>
      </w:pPr>
      <w:r w:rsidRPr="00B25A10">
        <w:rPr>
          <w:rFonts w:ascii="Times New Roman" w:eastAsia="Times New Roman" w:hAnsi="Times New Roman" w:cs="Times New Roman"/>
          <w:b/>
          <w:sz w:val="24"/>
          <w:szCs w:val="24"/>
          <w:u w:val="single"/>
          <w:lang w:eastAsia="pl-PL"/>
        </w:rPr>
        <w:t>Zmiana ustawy</w:t>
      </w:r>
      <w:r w:rsidR="00A6632A" w:rsidRPr="00B25A10">
        <w:rPr>
          <w:rFonts w:ascii="Times New Roman" w:eastAsia="Times New Roman" w:hAnsi="Times New Roman" w:cs="Times New Roman"/>
          <w:b/>
          <w:sz w:val="24"/>
          <w:szCs w:val="24"/>
          <w:u w:val="single"/>
          <w:lang w:eastAsia="pl-PL"/>
        </w:rPr>
        <w:t xml:space="preserve"> z dnia 27 października 1994 r. </w:t>
      </w:r>
      <w:r w:rsidRPr="00B25A10">
        <w:rPr>
          <w:rFonts w:ascii="Times New Roman" w:eastAsia="Times New Roman" w:hAnsi="Times New Roman" w:cs="Times New Roman"/>
          <w:b/>
          <w:sz w:val="24"/>
          <w:szCs w:val="24"/>
          <w:u w:val="single"/>
          <w:lang w:eastAsia="pl-PL"/>
        </w:rPr>
        <w:t xml:space="preserve"> o autostradach płatnych oraz</w:t>
      </w:r>
      <w:r w:rsidR="000C51B7" w:rsidRPr="00B25A10">
        <w:rPr>
          <w:rFonts w:ascii="Times New Roman" w:eastAsia="Times New Roman" w:hAnsi="Times New Roman" w:cs="Times New Roman"/>
          <w:b/>
          <w:sz w:val="24"/>
          <w:szCs w:val="24"/>
          <w:u w:val="single"/>
          <w:lang w:eastAsia="pl-PL"/>
        </w:rPr>
        <w:t xml:space="preserve"> o</w:t>
      </w:r>
      <w:r w:rsidRPr="00B25A10">
        <w:rPr>
          <w:rFonts w:ascii="Times New Roman" w:eastAsia="Times New Roman" w:hAnsi="Times New Roman" w:cs="Times New Roman"/>
          <w:b/>
          <w:sz w:val="24"/>
          <w:szCs w:val="24"/>
          <w:u w:val="single"/>
          <w:lang w:eastAsia="pl-PL"/>
        </w:rPr>
        <w:t xml:space="preserve"> Krajowym Funduszu Drogowym </w:t>
      </w:r>
    </w:p>
    <w:p w14:paraId="05AC7847" w14:textId="1F5AC284"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Zmiana przepisów</w:t>
      </w:r>
      <w:r w:rsidR="00B34DC6" w:rsidRPr="00B25A10">
        <w:rPr>
          <w:rFonts w:ascii="Times New Roman" w:hAnsi="Times New Roman" w:cs="Times New Roman"/>
          <w:bCs/>
          <w:sz w:val="24"/>
          <w:szCs w:val="24"/>
        </w:rPr>
        <w:t xml:space="preserve"> ustawy o autostradach płatnych oraz o Krajowym Funduszu Drogowym</w:t>
      </w:r>
      <w:r w:rsidRPr="00B25A10">
        <w:rPr>
          <w:rFonts w:ascii="Times New Roman" w:hAnsi="Times New Roman" w:cs="Times New Roman"/>
          <w:bCs/>
          <w:sz w:val="24"/>
          <w:szCs w:val="24"/>
        </w:rPr>
        <w:t xml:space="preserve"> ma na celu osiągnięcie pełnej spójności przepisów regulujących opłatę paliwową z przepisami</w:t>
      </w:r>
      <w:r w:rsidR="00F85E1C" w:rsidRPr="00B25A10">
        <w:rPr>
          <w:rFonts w:ascii="Times New Roman" w:hAnsi="Times New Roman" w:cs="Times New Roman"/>
          <w:bCs/>
          <w:sz w:val="24"/>
          <w:szCs w:val="24"/>
        </w:rPr>
        <w:t xml:space="preserve"> ustawy z dnia 6 grudnia 2008 r. o podatku akcyzowym, która wdrożyła do polskiego porządku prawnego przepisy</w:t>
      </w:r>
      <w:r w:rsidRPr="00B25A10">
        <w:rPr>
          <w:rFonts w:ascii="Times New Roman" w:hAnsi="Times New Roman" w:cs="Times New Roman"/>
          <w:bCs/>
          <w:sz w:val="24"/>
          <w:szCs w:val="24"/>
        </w:rPr>
        <w:t xml:space="preserve"> dyrektywy Rady 2008/118/WE z dnia 16 grudnia 2008 r. w sprawie ogólnych zasad dotyczących podatku akcyzowego, uchylającej dyrektywę 92/12/EWG, dyrektywy Rady 2003/96/WE z dnia 27 października 2003 r. w sprawie restrukturyzacji wspólnotowych przepisów ramowych dotyczących opodatkowania produktów energetycznych i energii elektrycznej ) oraz dyrektywy Rady 2007/74/WE z dnia 20 grudnia 2007 r. w sprawie zwolnienia towarów przewożonych przez osoby podróżujące z państwa trzecich z podatku od wartości dodanej i akcyzy</w:t>
      </w:r>
      <w:r w:rsidR="006D0100" w:rsidRPr="00B25A10">
        <w:rPr>
          <w:rFonts w:ascii="Times New Roman" w:hAnsi="Times New Roman" w:cs="Times New Roman"/>
          <w:bCs/>
          <w:sz w:val="24"/>
          <w:szCs w:val="24"/>
        </w:rPr>
        <w:t>.</w:t>
      </w:r>
    </w:p>
    <w:p w14:paraId="448EF1D1" w14:textId="5423BBDB"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Należy stwierdzić, że w obecnym stanie prawnym opłata paliwowa jest elementem zharmonizowanego podatku akcyzowego</w:t>
      </w:r>
      <w:r w:rsidR="006D0DBA">
        <w:rPr>
          <w:rFonts w:ascii="Times New Roman" w:hAnsi="Times New Roman" w:cs="Times New Roman"/>
          <w:bCs/>
          <w:sz w:val="24"/>
          <w:szCs w:val="24"/>
        </w:rPr>
        <w:t>,</w:t>
      </w:r>
      <w:r w:rsidRPr="00B25A10">
        <w:rPr>
          <w:rFonts w:ascii="Times New Roman" w:hAnsi="Times New Roman" w:cs="Times New Roman"/>
          <w:bCs/>
          <w:sz w:val="24"/>
          <w:szCs w:val="24"/>
        </w:rPr>
        <w:t xml:space="preserve"> na co wskazują:</w:t>
      </w:r>
    </w:p>
    <w:p w14:paraId="3ADFB758" w14:textId="540D50B1" w:rsidR="00CB6251" w:rsidRPr="00B25A10" w:rsidRDefault="00CB6251" w:rsidP="002B0551">
      <w:pPr>
        <w:pStyle w:val="Akapitzlist"/>
        <w:numPr>
          <w:ilvl w:val="0"/>
          <w:numId w:val="15"/>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poszczególne przepisy ustawy o autostradach płatnych oraz o Krajowym Funduszu Drogowym</w:t>
      </w:r>
      <w:r w:rsidR="006D0DBA">
        <w:rPr>
          <w:rFonts w:ascii="Times New Roman" w:hAnsi="Times New Roman" w:cs="Times New Roman"/>
          <w:bCs/>
          <w:sz w:val="24"/>
          <w:szCs w:val="24"/>
        </w:rPr>
        <w:t>,</w:t>
      </w:r>
      <w:r w:rsidRPr="00B25A10">
        <w:rPr>
          <w:rFonts w:ascii="Times New Roman" w:hAnsi="Times New Roman" w:cs="Times New Roman"/>
          <w:bCs/>
          <w:sz w:val="24"/>
          <w:szCs w:val="24"/>
        </w:rPr>
        <w:t xml:space="preserve"> odwołując się do regulacji mających zastosowanie do podatku akcyzowego; </w:t>
      </w:r>
    </w:p>
    <w:p w14:paraId="33896B55" w14:textId="7787C2F8" w:rsidR="00CB6251" w:rsidRPr="00B25A10" w:rsidRDefault="00CB6251" w:rsidP="002B0551">
      <w:pPr>
        <w:pStyle w:val="Akapitzlist"/>
        <w:numPr>
          <w:ilvl w:val="0"/>
          <w:numId w:val="15"/>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bezpośrednio niektóre z przepisów ustawy o podatku akcyzowym (w szczególności art.</w:t>
      </w:r>
      <w:r w:rsidR="006D0DBA">
        <w:t> </w:t>
      </w:r>
      <w:r w:rsidRPr="00B25A10">
        <w:rPr>
          <w:rFonts w:ascii="Times New Roman" w:hAnsi="Times New Roman" w:cs="Times New Roman"/>
          <w:bCs/>
          <w:sz w:val="24"/>
          <w:szCs w:val="24"/>
        </w:rPr>
        <w:t>41a ust. 6, art. 41e ust. 3, 3a, 7 i 8, art. 46g ust. 1, art. 46f, art. 46o, i art. 46 pkt 3 i</w:t>
      </w:r>
      <w:r w:rsidR="006D0DBA">
        <w:rPr>
          <w:rFonts w:ascii="Times New Roman" w:hAnsi="Times New Roman" w:cs="Times New Roman"/>
          <w:bCs/>
          <w:sz w:val="24"/>
          <w:szCs w:val="24"/>
        </w:rPr>
        <w:t> </w:t>
      </w:r>
      <w:r w:rsidRPr="00B25A10">
        <w:rPr>
          <w:rFonts w:ascii="Times New Roman" w:hAnsi="Times New Roman" w:cs="Times New Roman"/>
          <w:bCs/>
          <w:sz w:val="24"/>
          <w:szCs w:val="24"/>
        </w:rPr>
        <w:t>4, art. 48 ust. 7, art. 50 ust. 3 pkt 5, art. 52 ust. 2 pkt 3 oraz art. 56 ust. 12 pkt 3 tej ustawy);</w:t>
      </w:r>
    </w:p>
    <w:p w14:paraId="39E776D8" w14:textId="77777777" w:rsidR="00CB6251" w:rsidRPr="00B25A10" w:rsidRDefault="00CB6251" w:rsidP="002B0551">
      <w:pPr>
        <w:pStyle w:val="Akapitzlist"/>
        <w:numPr>
          <w:ilvl w:val="0"/>
          <w:numId w:val="15"/>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praktyka stosowania prawa przez organy skarbowe i sądy.</w:t>
      </w:r>
    </w:p>
    <w:p w14:paraId="7FC70392" w14:textId="3D708B30"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Ponadto opłata paliwowa jest jednym z czynników mających wpływ na wypełnienie minimalnego poziomu opodatkowania. Dyrektywa Rady 2003/96/WE zobowiązuje Państwa Członkowskie do ustalania poziomu opodatkowania produktów energetycznych i energii elektrycznej nie niższego niż minimalne poziomy opodatkowania określone w załączniku nr I tabeli A do ww. dyrektywy. Zgodnie z preambułą dyrektywy Rady 2003/96/WE Państwa Członkowskie spełniają wymagania odnośnie </w:t>
      </w:r>
      <w:r w:rsidR="006D0DBA">
        <w:rPr>
          <w:rFonts w:ascii="Times New Roman" w:hAnsi="Times New Roman" w:cs="Times New Roman"/>
          <w:bCs/>
          <w:sz w:val="24"/>
          <w:szCs w:val="24"/>
        </w:rPr>
        <w:t xml:space="preserve">do </w:t>
      </w:r>
      <w:r w:rsidRPr="00B25A10">
        <w:rPr>
          <w:rFonts w:ascii="Times New Roman" w:hAnsi="Times New Roman" w:cs="Times New Roman"/>
          <w:bCs/>
          <w:sz w:val="24"/>
          <w:szCs w:val="24"/>
        </w:rPr>
        <w:t xml:space="preserve">minimalnych poziomów opodatkowania, </w:t>
      </w:r>
      <w:r w:rsidRPr="00B25A10">
        <w:rPr>
          <w:rFonts w:ascii="Times New Roman" w:hAnsi="Times New Roman" w:cs="Times New Roman"/>
          <w:bCs/>
          <w:sz w:val="24"/>
          <w:szCs w:val="24"/>
        </w:rPr>
        <w:lastRenderedPageBreak/>
        <w:t>je</w:t>
      </w:r>
      <w:r w:rsidR="006D0DBA">
        <w:rPr>
          <w:rFonts w:ascii="Times New Roman" w:hAnsi="Times New Roman" w:cs="Times New Roman"/>
          <w:bCs/>
          <w:sz w:val="24"/>
          <w:szCs w:val="24"/>
        </w:rPr>
        <w:t>że</w:t>
      </w:r>
      <w:r w:rsidRPr="00B25A10">
        <w:rPr>
          <w:rFonts w:ascii="Times New Roman" w:hAnsi="Times New Roman" w:cs="Times New Roman"/>
          <w:bCs/>
          <w:sz w:val="24"/>
          <w:szCs w:val="24"/>
        </w:rPr>
        <w:t>li całość pobranych przez nie, jako podatki pośrednie, opłat nie jest niższa od wspólnotowych minimalnych poziomów opodatkowania.</w:t>
      </w:r>
    </w:p>
    <w:p w14:paraId="10E106B5" w14:textId="77777777"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Niemniej jednak konieczne jest dokonanie projektowanej nowelizacji, w wyniku której w niebudzący wątpliwości sposób przesądzone zostanie, że opłata paliwowa stanowi część  zharmonizowanego podatku akcyzowego. </w:t>
      </w:r>
    </w:p>
    <w:p w14:paraId="23CAFB3D" w14:textId="219872D3"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Zgodnie z art. 37h ust. 1 ustawy o autostradach płatnych oraz o Krajowym Funduszu Drogowym opłacie paliwowej podlega wprowadzanie na rynek krajowy paliw silnikowych oraz gazu, wykorzystywanych do napędu silników spalinowych. Przez wprowadzanie na rynek krajowy paliw silnikowych oraz gazu rozumie się czynności podlegające opodatkowaniu podatkiem akcyzowym, których przedmiotem są te paliwa silnikowe oraz gaz (art. 37h ust. 2 ustawy o autostradach płatnych oraz o Krajowym Funduszu Drogowym). Podstawą obliczenia wysokości opłaty paliwowej jest ilość paliw silnikowych lub gazu, od jakich ww. podmioty są obowiązane zapłacić podatek akcyzowy. </w:t>
      </w:r>
    </w:p>
    <w:p w14:paraId="3D151074" w14:textId="77777777"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Obowiązek zapłaty opłaty paliwowej powstaje z dniem powstania zobowiązania podatkowego w podatku akcyzowym od paliw silnikowych oraz gazu. </w:t>
      </w:r>
    </w:p>
    <w:p w14:paraId="6C24FBF1" w14:textId="7079DFF1"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Obowiązek podatkowy w akcyzie powstaje z dniem wykonania czynności lub zaistnienia stanu faktycznego, będących przedmiotem opodatkowania akcyzą. W art. 8 ustawy o podatku akcyzowym zostały określone czynności lub stany faktyczne, które są przedmiotem opodatkowania akcyzą. Zgodnie z art. 10 ust.1 tej ustawy z dniem wykonania tych czynności powstaje obowiązek podatkowy, który może przekształcić się w zobowiązanie podatkowe, czyli skonkretyzowany co do kwoty akcyzy, miejsca i terminu jej zapłaty obowiązek podatkowy. Zatem w dniu wykonania tych czynności w odniesieniu do paliw silnikowych, czyli w dniu powstania obowiązku podatkowego, zaistnieje możliwość powstania obowiązku zapłaty opłaty paliwowej (ponieważ obowiązek podatkowy może przekształcić się w zobowiązanie podatkowe). </w:t>
      </w:r>
    </w:p>
    <w:p w14:paraId="61E24988" w14:textId="77777777"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Uznanie podmiotu za podatnika podatku akcyzowego w odniesieniu do tego samego wyrobu akcyzowego i tej samej jego ilości oznacza, że jest on również podmiotem zobowiązanym do uiszczenia opłaty paliwowej.</w:t>
      </w:r>
    </w:p>
    <w:p w14:paraId="412BBF59" w14:textId="77777777"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Należy podkreślić, że intencją projektodawcy jest wprowadzenie do przepisów ustawy o autostradach płatnych oraz o Krajowym Funduszu Drogowym odesłania do odpowiedniego stosowania przepisów o podatku akcyzowym w odniesieniu do opłaty paliwowej. Pozostałe </w:t>
      </w:r>
      <w:r w:rsidRPr="00B25A10">
        <w:rPr>
          <w:rFonts w:ascii="Times New Roman" w:hAnsi="Times New Roman" w:cs="Times New Roman"/>
          <w:bCs/>
          <w:sz w:val="24"/>
          <w:szCs w:val="24"/>
        </w:rPr>
        <w:lastRenderedPageBreak/>
        <w:t>zmiany przepisów ww. ustawy są zasadniczo wynikiem wprowadzenia odesłania do odpowiedniego stosowania przepisów o podatku akcyzowym.</w:t>
      </w:r>
    </w:p>
    <w:p w14:paraId="4658841C" w14:textId="77777777" w:rsidR="00EB0AF2" w:rsidRPr="00B25A10" w:rsidRDefault="00EB0AF2"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bCs/>
          <w:iCs/>
          <w:sz w:val="24"/>
          <w:szCs w:val="24"/>
        </w:rPr>
        <w:t>Prawidłowość obliczania opłat</w:t>
      </w:r>
      <w:r w:rsidR="00D01518" w:rsidRPr="00B25A10">
        <w:rPr>
          <w:rFonts w:ascii="Times New Roman" w:hAnsi="Times New Roman" w:cs="Times New Roman"/>
          <w:bCs/>
          <w:iCs/>
          <w:sz w:val="24"/>
          <w:szCs w:val="24"/>
        </w:rPr>
        <w:t>y</w:t>
      </w:r>
      <w:r w:rsidRPr="00B25A10">
        <w:rPr>
          <w:rFonts w:ascii="Times New Roman" w:hAnsi="Times New Roman" w:cs="Times New Roman"/>
          <w:bCs/>
          <w:iCs/>
          <w:sz w:val="24"/>
          <w:szCs w:val="24"/>
        </w:rPr>
        <w:t xml:space="preserve"> paliwowej  podlega kontroli celno-skarbowej na podstawie art. 54 ust. 1 pkt 1 </w:t>
      </w:r>
      <w:r w:rsidRPr="00B25A10">
        <w:rPr>
          <w:rFonts w:ascii="Times New Roman" w:eastAsia="Times New Roman" w:hAnsi="Times New Roman" w:cs="Times New Roman"/>
          <w:bCs/>
          <w:sz w:val="24"/>
          <w:szCs w:val="24"/>
          <w:lang w:eastAsia="pl-PL"/>
        </w:rPr>
        <w:t>ustawy z dnia 16 listopada 2016 r. o Krajowej Administracji Skarbowej</w:t>
      </w:r>
      <w:r w:rsidR="009C6D7F" w:rsidRPr="00B25A10">
        <w:rPr>
          <w:rFonts w:ascii="Times New Roman" w:eastAsia="Times New Roman" w:hAnsi="Times New Roman" w:cs="Times New Roman"/>
          <w:bCs/>
          <w:sz w:val="24"/>
          <w:szCs w:val="24"/>
          <w:lang w:eastAsia="pl-PL"/>
        </w:rPr>
        <w:t xml:space="preserve"> (przestrzeganie przepisów prawa podatkowego w rozumieniu art. 3 pkt 2 Ordynacji podatkowej, do których zaliczają się przepisy regulujące opłatę paliwową)</w:t>
      </w:r>
      <w:r w:rsidRPr="00B25A10">
        <w:rPr>
          <w:rFonts w:ascii="Times New Roman" w:eastAsia="Times New Roman" w:hAnsi="Times New Roman" w:cs="Times New Roman"/>
          <w:bCs/>
          <w:sz w:val="24"/>
          <w:szCs w:val="24"/>
          <w:lang w:eastAsia="pl-PL"/>
        </w:rPr>
        <w:t xml:space="preserve">. </w:t>
      </w:r>
    </w:p>
    <w:p w14:paraId="4CD10AA6" w14:textId="0E9111D8" w:rsidR="00CB6251" w:rsidRPr="00B25A10" w:rsidRDefault="00155A33" w:rsidP="00B25A10">
      <w:pPr>
        <w:suppressAutoHyphens/>
        <w:autoSpaceDE w:val="0"/>
        <w:autoSpaceDN w:val="0"/>
        <w:adjustRightInd w:val="0"/>
        <w:spacing w:before="120"/>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z</w:t>
      </w:r>
      <w:r w:rsidR="00CB6251" w:rsidRPr="00B25A10">
        <w:rPr>
          <w:rFonts w:ascii="Times New Roman" w:eastAsia="Times New Roman" w:hAnsi="Times New Roman" w:cs="Times New Roman"/>
          <w:b/>
          <w:sz w:val="24"/>
          <w:szCs w:val="24"/>
          <w:lang w:eastAsia="pl-PL"/>
        </w:rPr>
        <w:t>miana w art. 37j</w:t>
      </w:r>
    </w:p>
    <w:p w14:paraId="0A927267" w14:textId="6738712A" w:rsidR="00CB6251" w:rsidRPr="00B25A10" w:rsidRDefault="00CB6251"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Projekt przewiduje uchylenie przepisów art. 37j ust. 2 i 3 regulujących zwolnienie z obowiązku uiszczania opłaty paliwowej</w:t>
      </w:r>
      <w:r w:rsidR="00155A33">
        <w:rPr>
          <w:rFonts w:ascii="Times New Roman" w:hAnsi="Times New Roman" w:cs="Times New Roman"/>
          <w:bCs/>
          <w:sz w:val="24"/>
          <w:szCs w:val="24"/>
        </w:rPr>
        <w:t>,</w:t>
      </w:r>
      <w:r w:rsidRPr="00B25A10">
        <w:rPr>
          <w:rFonts w:ascii="Times New Roman" w:hAnsi="Times New Roman" w:cs="Times New Roman"/>
          <w:bCs/>
          <w:sz w:val="24"/>
          <w:szCs w:val="24"/>
        </w:rPr>
        <w:t xml:space="preserve"> gdy wynika to z umów międzynarodowych dotyczących międzynarodowego transportu drogowego. W praktyce stosowanie umów i porozumień o międzynarodowych przewozach drogowych dotyczy wyłącznie zasad wykonywania przewozu osób i rzeczy do państw trzecich spoza UE. Przepisów tych umów dotyczących wyrobów akcyzowych, które podlegają jednocześnie opłacie paliwowej (kwestia wwozu paliwa w zbiornikach pojazdów)</w:t>
      </w:r>
      <w:r w:rsidR="00155A33">
        <w:rPr>
          <w:rFonts w:ascii="Times New Roman" w:hAnsi="Times New Roman" w:cs="Times New Roman"/>
          <w:bCs/>
          <w:sz w:val="24"/>
          <w:szCs w:val="24"/>
        </w:rPr>
        <w:t>,</w:t>
      </w:r>
      <w:r w:rsidRPr="00B25A10">
        <w:rPr>
          <w:rFonts w:ascii="Times New Roman" w:hAnsi="Times New Roman" w:cs="Times New Roman"/>
          <w:bCs/>
          <w:sz w:val="24"/>
          <w:szCs w:val="24"/>
        </w:rPr>
        <w:t xml:space="preserve"> nie stosuje się ze względu na obowiązujące przepisy prawa Unii Europejskiej. Niemniej w celu zapewnienia pełnej spójności omawianych przepisów z </w:t>
      </w:r>
      <w:r w:rsidR="0004008B" w:rsidRPr="00B25A10">
        <w:rPr>
          <w:rFonts w:ascii="Times New Roman" w:hAnsi="Times New Roman" w:cs="Times New Roman"/>
          <w:bCs/>
          <w:sz w:val="24"/>
          <w:szCs w:val="24"/>
        </w:rPr>
        <w:t xml:space="preserve">przepisami ustawy o podatku akcyzowym </w:t>
      </w:r>
      <w:r w:rsidRPr="00B25A10">
        <w:rPr>
          <w:rFonts w:ascii="Times New Roman" w:hAnsi="Times New Roman" w:cs="Times New Roman"/>
          <w:bCs/>
          <w:sz w:val="24"/>
          <w:szCs w:val="24"/>
        </w:rPr>
        <w:t xml:space="preserve">należy uchylić te przepisy. W konsekwencji w zakresie stosunków o charakterze międzynarodowym zastosowanie w odniesieniu do opłaty paliwowej będzie miał, na mocy generalnego odesłania, art. 31 ust. 1 ustawy o podatku akcyzowym, zgodnie z którym m.in. zwalnia się od akcyzy czynności podlegające opodatkowaniu, których przedmiotem są wyroby akcyzowe mające być wykorzystywane do konsumpcji zgodnie z umową zawartą z państwami trzecimi lub organizacjami międzynarodowymi, pod warunkiem że wyroby te są zwolnione od podatku od towarów i usług. Natomiast w przypadku zwolnienia importu oraz nabycia wewnątrzwspólnotowego paliw silnikowych przewożonych w standardowych zbiornikach pojazdów silnikowych odpowiednie zastosowanie znajdą przepisy art. 33 i </w:t>
      </w:r>
      <w:r w:rsidR="00BE75D0">
        <w:rPr>
          <w:rFonts w:ascii="Times New Roman" w:hAnsi="Times New Roman" w:cs="Times New Roman"/>
          <w:bCs/>
          <w:sz w:val="24"/>
          <w:szCs w:val="24"/>
        </w:rPr>
        <w:t xml:space="preserve">art. </w:t>
      </w:r>
      <w:r w:rsidRPr="00B25A10">
        <w:rPr>
          <w:rFonts w:ascii="Times New Roman" w:hAnsi="Times New Roman" w:cs="Times New Roman"/>
          <w:bCs/>
          <w:sz w:val="24"/>
          <w:szCs w:val="24"/>
        </w:rPr>
        <w:t>35 ustawy o podatku akcyzowym.</w:t>
      </w:r>
    </w:p>
    <w:p w14:paraId="2F3B82B4" w14:textId="77777777" w:rsidR="00712E99" w:rsidRPr="00B25A10" w:rsidRDefault="007D22CE" w:rsidP="00B25A10">
      <w:pPr>
        <w:pStyle w:val="ZUSTzmustartykuempunktem"/>
        <w:spacing w:before="120" w:after="200" w:line="276" w:lineRule="auto"/>
        <w:ind w:left="0" w:firstLine="0"/>
        <w:rPr>
          <w:rFonts w:ascii="Times New Roman" w:hAnsi="Times New Roman" w:cs="Times New Roman"/>
          <w:szCs w:val="24"/>
        </w:rPr>
      </w:pPr>
      <w:r w:rsidRPr="00B25A10">
        <w:rPr>
          <w:rFonts w:ascii="Times New Roman" w:hAnsi="Times New Roman" w:cs="Times New Roman"/>
          <w:b/>
          <w:szCs w:val="24"/>
        </w:rPr>
        <w:t>zmiana</w:t>
      </w:r>
      <w:r w:rsidR="00CB6251" w:rsidRPr="00B25A10">
        <w:rPr>
          <w:rFonts w:ascii="Times New Roman" w:hAnsi="Times New Roman" w:cs="Times New Roman"/>
          <w:b/>
          <w:szCs w:val="24"/>
        </w:rPr>
        <w:t xml:space="preserve"> </w:t>
      </w:r>
      <w:r w:rsidR="00712E99" w:rsidRPr="00B25A10">
        <w:rPr>
          <w:rFonts w:ascii="Times New Roman" w:hAnsi="Times New Roman" w:cs="Times New Roman"/>
          <w:b/>
          <w:szCs w:val="24"/>
        </w:rPr>
        <w:t>art. 37n</w:t>
      </w:r>
    </w:p>
    <w:p w14:paraId="19121074" w14:textId="77777777" w:rsidR="007D22CE" w:rsidRPr="00B25A10" w:rsidRDefault="007D22CE"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Zmiana art. 37n ust. 2 ustawy </w:t>
      </w:r>
      <w:r w:rsidRPr="00B25A10">
        <w:rPr>
          <w:rFonts w:ascii="Times New Roman" w:hAnsi="Times New Roman" w:cs="Times New Roman"/>
          <w:sz w:val="24"/>
          <w:szCs w:val="24"/>
        </w:rPr>
        <w:t xml:space="preserve">z dnia 27 października 1994 r. </w:t>
      </w:r>
      <w:r w:rsidRPr="00B25A10">
        <w:rPr>
          <w:rFonts w:ascii="Times New Roman" w:eastAsia="Times New Roman" w:hAnsi="Times New Roman" w:cs="Times New Roman"/>
          <w:sz w:val="24"/>
          <w:szCs w:val="24"/>
          <w:lang w:eastAsia="pl-PL"/>
        </w:rPr>
        <w:t>o autostradach płatnych oraz Krajowym Funduszu Drogowym, stanowiącego o właściwości organów, jest konsekwencją zmiany zaproponowanej w art. 37o.</w:t>
      </w:r>
    </w:p>
    <w:p w14:paraId="650DFC8B" w14:textId="7B5A4F2A" w:rsidR="007D22CE" w:rsidRPr="00B25A10" w:rsidRDefault="007D22CE"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Zmiana jest konieczna w związku z zaproponowaną zmianą dotyczącą składania informacji o opłacie paliwowej</w:t>
      </w:r>
      <w:r w:rsidR="00155A33">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tak aby:</w:t>
      </w:r>
    </w:p>
    <w:p w14:paraId="649E487F" w14:textId="6FD98087" w:rsidR="007D22CE" w:rsidRPr="00B25A10" w:rsidRDefault="007D22CE" w:rsidP="002B0551">
      <w:pPr>
        <w:suppressAutoHyphens/>
        <w:autoSpaceDE w:val="0"/>
        <w:autoSpaceDN w:val="0"/>
        <w:adjustRightInd w:val="0"/>
        <w:spacing w:before="120" w:after="0" w:line="360" w:lineRule="auto"/>
        <w:ind w:left="705" w:hanging="705"/>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lastRenderedPageBreak/>
        <w:t>1)</w:t>
      </w:r>
      <w:r w:rsidRPr="00B25A10">
        <w:rPr>
          <w:rFonts w:ascii="Times New Roman" w:eastAsia="Times New Roman" w:hAnsi="Times New Roman" w:cs="Times New Roman"/>
          <w:sz w:val="24"/>
          <w:szCs w:val="24"/>
          <w:lang w:eastAsia="pl-PL"/>
        </w:rPr>
        <w:tab/>
        <w:t>w odniesieniu do podmiotów, o których mowa w art. 37j ust. 1 pkt 1 i 3</w:t>
      </w:r>
      <w:r w:rsidR="00155A33">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oraz podmiotu, o którym mowa w ust. 1 pkt 4, jeżeli podmiot ten podlega na podstawie przepisów o podatku akcyzowym obowiązkowi podatkowemu w zakresie podatku akcyzowego od paliw silnikowych lub gazu z innego tytułu niż import, organem właściwym był naczelnik urzędu skarbowego, zaś</w:t>
      </w:r>
    </w:p>
    <w:p w14:paraId="27500E79" w14:textId="529C0893" w:rsidR="007D22CE" w:rsidRPr="00B25A10" w:rsidRDefault="007D22CE" w:rsidP="002B0551">
      <w:pPr>
        <w:suppressAutoHyphens/>
        <w:autoSpaceDE w:val="0"/>
        <w:autoSpaceDN w:val="0"/>
        <w:adjustRightInd w:val="0"/>
        <w:spacing w:before="120" w:after="0" w:line="360" w:lineRule="auto"/>
        <w:ind w:left="705" w:hanging="705"/>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2)</w:t>
      </w:r>
      <w:r w:rsidRPr="00B25A10">
        <w:rPr>
          <w:rFonts w:ascii="Times New Roman" w:eastAsia="Times New Roman" w:hAnsi="Times New Roman" w:cs="Times New Roman"/>
          <w:sz w:val="24"/>
          <w:szCs w:val="24"/>
          <w:lang w:eastAsia="pl-PL"/>
        </w:rPr>
        <w:tab/>
        <w:t>w odniesieniu do podmiotu, o którym mowa w art. 37j ust. 1 pkt 2</w:t>
      </w:r>
      <w:r w:rsidR="00155A33">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oraz podmiotu, o którym mowa w ust. 1 pkt 4, jeżeli podmiot ten podlega na podstawie przepisów o podatku akcyzowym obowiązkowi podatkowemu w zakresie podatku akcyzowego od paliw silnikowych lub gazu z tytułu importu, właściwy był naczelnik urzędu celno</w:t>
      </w:r>
      <w:r w:rsidR="00155A33">
        <w:rPr>
          <w:rFonts w:ascii="Times New Roman" w:eastAsia="Times New Roman" w:hAnsi="Times New Roman" w:cs="Times New Roman"/>
          <w:sz w:val="24"/>
          <w:szCs w:val="24"/>
          <w:lang w:eastAsia="pl-PL"/>
        </w:rPr>
        <w:noBreakHyphen/>
      </w:r>
      <w:r w:rsidRPr="00B25A10">
        <w:rPr>
          <w:rFonts w:ascii="Times New Roman" w:eastAsia="Times New Roman" w:hAnsi="Times New Roman" w:cs="Times New Roman"/>
          <w:sz w:val="24"/>
          <w:szCs w:val="24"/>
          <w:lang w:eastAsia="pl-PL"/>
        </w:rPr>
        <w:t xml:space="preserve">skarbowego. </w:t>
      </w:r>
    </w:p>
    <w:p w14:paraId="454805BC" w14:textId="77777777" w:rsidR="00712E99" w:rsidRPr="00B25A10" w:rsidRDefault="00712E99" w:rsidP="00B25A10">
      <w:pPr>
        <w:suppressAutoHyphens/>
        <w:autoSpaceDE w:val="0"/>
        <w:autoSpaceDN w:val="0"/>
        <w:adjustRightInd w:val="0"/>
        <w:spacing w:before="120"/>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b/>
          <w:sz w:val="24"/>
          <w:szCs w:val="24"/>
          <w:lang w:eastAsia="pl-PL"/>
        </w:rPr>
        <w:t xml:space="preserve">zmiana </w:t>
      </w:r>
      <w:r w:rsidR="00CB6251" w:rsidRPr="00B25A10">
        <w:rPr>
          <w:rFonts w:ascii="Times New Roman" w:eastAsia="Times New Roman" w:hAnsi="Times New Roman" w:cs="Times New Roman"/>
          <w:b/>
          <w:sz w:val="24"/>
          <w:szCs w:val="24"/>
          <w:lang w:eastAsia="pl-PL"/>
        </w:rPr>
        <w:t xml:space="preserve">w </w:t>
      </w:r>
      <w:r w:rsidRPr="00B25A10">
        <w:rPr>
          <w:rFonts w:ascii="Times New Roman" w:eastAsia="Times New Roman" w:hAnsi="Times New Roman" w:cs="Times New Roman"/>
          <w:b/>
          <w:sz w:val="24"/>
          <w:szCs w:val="24"/>
          <w:lang w:eastAsia="pl-PL"/>
        </w:rPr>
        <w:t>art. 37o</w:t>
      </w:r>
    </w:p>
    <w:p w14:paraId="7710C59A" w14:textId="77777777"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Art. 37o ustawy </w:t>
      </w:r>
      <w:r w:rsidR="00A1495A" w:rsidRPr="00B25A10">
        <w:rPr>
          <w:rFonts w:ascii="Times New Roman" w:eastAsia="Times New Roman" w:hAnsi="Times New Roman" w:cs="Times New Roman"/>
          <w:sz w:val="24"/>
          <w:szCs w:val="24"/>
          <w:lang w:eastAsia="pl-PL"/>
        </w:rPr>
        <w:t xml:space="preserve">z dnia 27 października 1994 r. </w:t>
      </w:r>
      <w:r w:rsidRPr="00B25A10">
        <w:rPr>
          <w:rFonts w:ascii="Times New Roman" w:eastAsia="Times New Roman" w:hAnsi="Times New Roman" w:cs="Times New Roman"/>
          <w:sz w:val="24"/>
          <w:szCs w:val="24"/>
          <w:lang w:eastAsia="pl-PL"/>
        </w:rPr>
        <w:t xml:space="preserve">o autostradach płatnych oraz </w:t>
      </w:r>
      <w:r w:rsidR="000C51B7" w:rsidRPr="00B25A10">
        <w:rPr>
          <w:rFonts w:ascii="Times New Roman" w:eastAsia="Times New Roman" w:hAnsi="Times New Roman" w:cs="Times New Roman"/>
          <w:sz w:val="24"/>
          <w:szCs w:val="24"/>
          <w:lang w:eastAsia="pl-PL"/>
        </w:rPr>
        <w:t xml:space="preserve">o </w:t>
      </w:r>
      <w:r w:rsidRPr="00B25A10">
        <w:rPr>
          <w:rFonts w:ascii="Times New Roman" w:eastAsia="Times New Roman" w:hAnsi="Times New Roman" w:cs="Times New Roman"/>
          <w:sz w:val="24"/>
          <w:szCs w:val="24"/>
          <w:lang w:eastAsia="pl-PL"/>
        </w:rPr>
        <w:t xml:space="preserve">Krajowym Funduszu Drogowym określa terminy, w jakich podmioty obowiązane są złożyć informację o opłacie paliwowej właściwym organom. Zgodnie z obowiązującym brzmieniem tego przepisu, importer paliw silnikowych lub gazu składa informację o opłacie paliwowej do naczelnika urzędu celno-skarbowego, zaś pozostałe podmioty zobowiązane do złożenia takiej informacji – do naczelnika urzędu skarbowego. </w:t>
      </w:r>
    </w:p>
    <w:p w14:paraId="597989A6" w14:textId="78481A7B"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Przepis ten nie uwzględnia przypadku, w którym informacje w sprawie opłaty paliwowej w związku z importem paliw silnikowych lub gazu składa podmiot niebędący importerem</w:t>
      </w:r>
      <w:r w:rsidR="00155A33">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podlegający na podstawie przepisów o podatku akcyzowym obowiązkowi podatkowemu z tytułu importu w zakresie akcyzy od paliw silnikowych i gazu, o którym mowa w ar. 37j ust. 1 pkt 4 ustawy. Zgodnie z art. 13 ust. 2 ustawy o podatku akcyzowym podatnikiem akcyzy jest również podmiot niebędący importerem, jeżeli ciąży na nim obowiązek uiszczenia cła. Podmiot ten jest więc zobowiązany do uiszczenia opłaty paliwowej, a także przekazania informacji o opłacie paliwowej właściwemu organowi. </w:t>
      </w:r>
    </w:p>
    <w:p w14:paraId="26A283F1" w14:textId="4701D53B"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W związku z powyższym w art. 37o ust. 1 ustawy</w:t>
      </w:r>
      <w:r w:rsidR="00A1495A" w:rsidRPr="00B25A10">
        <w:rPr>
          <w:rFonts w:ascii="Times New Roman" w:eastAsia="Times New Roman" w:hAnsi="Times New Roman" w:cs="Times New Roman"/>
          <w:sz w:val="24"/>
          <w:szCs w:val="24"/>
          <w:lang w:eastAsia="pl-PL"/>
        </w:rPr>
        <w:t xml:space="preserve"> z dnia 27 października 1994 r.   </w:t>
      </w:r>
      <w:r w:rsidRPr="00B25A10">
        <w:rPr>
          <w:rFonts w:ascii="Times New Roman" w:eastAsia="Times New Roman" w:hAnsi="Times New Roman" w:cs="Times New Roman"/>
          <w:sz w:val="24"/>
          <w:szCs w:val="24"/>
          <w:lang w:eastAsia="pl-PL"/>
        </w:rPr>
        <w:t xml:space="preserve">o autostradach płatnych oraz </w:t>
      </w:r>
      <w:r w:rsidR="000C51B7" w:rsidRPr="00B25A10">
        <w:rPr>
          <w:rFonts w:ascii="Times New Roman" w:eastAsia="Times New Roman" w:hAnsi="Times New Roman" w:cs="Times New Roman"/>
          <w:sz w:val="24"/>
          <w:szCs w:val="24"/>
          <w:lang w:eastAsia="pl-PL"/>
        </w:rPr>
        <w:t xml:space="preserve">o </w:t>
      </w:r>
      <w:r w:rsidRPr="00B25A10">
        <w:rPr>
          <w:rFonts w:ascii="Times New Roman" w:eastAsia="Times New Roman" w:hAnsi="Times New Roman" w:cs="Times New Roman"/>
          <w:sz w:val="24"/>
          <w:szCs w:val="24"/>
          <w:lang w:eastAsia="pl-PL"/>
        </w:rPr>
        <w:t>Krajowym Funduszu Drogowym proponuje się wprowadzenie zmiany polegającej na doprecyzowaniu, że podmioty niebędące importerami, podlegające na podstawie przepisów o podatku akcyzowym obowiązkowi podatkowemu z tytułu importu w zakresie akcyzy od paliw silnikowych oraz gazu, zobowiązane są do składania informacji o opłacie paliwowej właściwemu naczelnikowi urzędu celno-skarbowego, a nie jak dotychczas właściwemu naczelnikowi urzędu skarbowego.</w:t>
      </w:r>
    </w:p>
    <w:p w14:paraId="43AC77D6" w14:textId="77777777" w:rsidR="00CB6251" w:rsidRPr="00B25A10" w:rsidRDefault="00CB6251"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lastRenderedPageBreak/>
        <w:t>Zmiana art. 37o ust. 2 ma charakter porządkujący i stanowi konsekwencję proponowanego określenia w projektowanym art. 37o</w:t>
      </w:r>
      <w:r w:rsidR="00AF064B" w:rsidRPr="00B25A10">
        <w:rPr>
          <w:rFonts w:ascii="Times New Roman" w:eastAsia="Times New Roman" w:hAnsi="Times New Roman" w:cs="Times New Roman"/>
          <w:sz w:val="24"/>
          <w:szCs w:val="24"/>
          <w:lang w:eastAsia="pl-PL"/>
        </w:rPr>
        <w:t>b</w:t>
      </w:r>
      <w:r w:rsidRPr="00B25A10">
        <w:rPr>
          <w:rFonts w:ascii="Times New Roman" w:eastAsia="Times New Roman" w:hAnsi="Times New Roman" w:cs="Times New Roman"/>
          <w:sz w:val="24"/>
          <w:szCs w:val="24"/>
          <w:lang w:eastAsia="pl-PL"/>
        </w:rPr>
        <w:t xml:space="preserve"> zasad przekazywania przez Bank Gospodarstwa Krajowego środków w celu </w:t>
      </w:r>
      <w:r w:rsidR="006E32A1" w:rsidRPr="00B25A10">
        <w:rPr>
          <w:rFonts w:ascii="Times New Roman" w:eastAsia="Times New Roman" w:hAnsi="Times New Roman" w:cs="Times New Roman"/>
          <w:sz w:val="24"/>
          <w:szCs w:val="24"/>
          <w:lang w:eastAsia="pl-PL"/>
        </w:rPr>
        <w:t xml:space="preserve">dokonania </w:t>
      </w:r>
      <w:r w:rsidRPr="00B25A10">
        <w:rPr>
          <w:rFonts w:ascii="Times New Roman" w:eastAsia="Times New Roman" w:hAnsi="Times New Roman" w:cs="Times New Roman"/>
          <w:sz w:val="24"/>
          <w:szCs w:val="24"/>
          <w:lang w:eastAsia="pl-PL"/>
        </w:rPr>
        <w:t>zwrotu opłaty paliwowej lub zwrotu nadpłaty opłaty paliwowej przez właściwy organ skarbowy.</w:t>
      </w:r>
      <w:r w:rsidR="007D22CE" w:rsidRPr="00B25A10">
        <w:rPr>
          <w:rFonts w:ascii="Times New Roman" w:eastAsia="Times New Roman" w:hAnsi="Times New Roman" w:cs="Times New Roman"/>
          <w:sz w:val="24"/>
          <w:szCs w:val="24"/>
          <w:lang w:eastAsia="pl-PL"/>
        </w:rPr>
        <w:t xml:space="preserve"> Doprecyzowano także, że zwrotu nadpłaty opłaty paliwowej dokonuje się z zachowaniem proporcji, określonych w art. 37i ust. 1 ustawy z dnia 27 października 1994 r. o autostradach płatnych oraz o Krajowym Funduszu Drogowym.</w:t>
      </w:r>
    </w:p>
    <w:p w14:paraId="4A7E2AED" w14:textId="71092961" w:rsidR="00CB6251" w:rsidRPr="00B25A10" w:rsidRDefault="00CB6251" w:rsidP="00155A33">
      <w:pPr>
        <w:suppressAutoHyphens/>
        <w:autoSpaceDE w:val="0"/>
        <w:autoSpaceDN w:val="0"/>
        <w:adjustRightInd w:val="0"/>
        <w:spacing w:before="36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Dodanie art. 37oa</w:t>
      </w:r>
      <w:r w:rsidR="00BE75D0">
        <w:rPr>
          <w:rFonts w:ascii="Times New Roman" w:eastAsia="Times New Roman" w:hAnsi="Times New Roman" w:cs="Times New Roman"/>
          <w:b/>
          <w:sz w:val="24"/>
          <w:szCs w:val="24"/>
          <w:lang w:eastAsia="pl-PL"/>
        </w:rPr>
        <w:t xml:space="preserve"> i art. </w:t>
      </w:r>
      <w:r w:rsidRPr="00B25A10">
        <w:rPr>
          <w:rFonts w:ascii="Times New Roman" w:eastAsia="Times New Roman" w:hAnsi="Times New Roman" w:cs="Times New Roman"/>
          <w:b/>
          <w:sz w:val="24"/>
          <w:szCs w:val="24"/>
          <w:lang w:eastAsia="pl-PL"/>
        </w:rPr>
        <w:t>37o</w:t>
      </w:r>
      <w:r w:rsidR="00AF064B" w:rsidRPr="00B25A10">
        <w:rPr>
          <w:rFonts w:ascii="Times New Roman" w:eastAsia="Times New Roman" w:hAnsi="Times New Roman" w:cs="Times New Roman"/>
          <w:b/>
          <w:sz w:val="24"/>
          <w:szCs w:val="24"/>
          <w:lang w:eastAsia="pl-PL"/>
        </w:rPr>
        <w:t>b</w:t>
      </w:r>
    </w:p>
    <w:p w14:paraId="6541AC4C" w14:textId="77777777" w:rsidR="00C91DEC" w:rsidRPr="00B25A10" w:rsidRDefault="00C91DEC" w:rsidP="002B0551">
      <w:pPr>
        <w:autoSpaceDE w:val="0"/>
        <w:autoSpaceDN w:val="0"/>
        <w:spacing w:before="120" w:after="0" w:line="360" w:lineRule="auto"/>
        <w:jc w:val="both"/>
        <w:rPr>
          <w:rFonts w:ascii="Times New Roman" w:hAnsi="Times New Roman" w:cs="Times New Roman"/>
          <w:sz w:val="24"/>
          <w:szCs w:val="24"/>
          <w:lang w:eastAsia="pl-PL"/>
        </w:rPr>
      </w:pPr>
      <w:r w:rsidRPr="00B25A10">
        <w:rPr>
          <w:rFonts w:ascii="Times New Roman" w:hAnsi="Times New Roman" w:cs="Times New Roman"/>
          <w:sz w:val="24"/>
          <w:szCs w:val="24"/>
          <w:lang w:eastAsia="pl-PL"/>
        </w:rPr>
        <w:t xml:space="preserve">Projektowany art. 37oa stanowi, że opłata paliwowa podlega zwrotowi w przypadkach i na zasadach przewidzianych dla zwrotu podatku akcyzowego w art. 31 oraz art. 82 ustawy o podatku akcyzowym. </w:t>
      </w:r>
    </w:p>
    <w:p w14:paraId="237BD686" w14:textId="2C5E0C81" w:rsidR="00C91DEC" w:rsidRPr="00B25A10" w:rsidRDefault="00C91DEC" w:rsidP="002B0551">
      <w:pPr>
        <w:autoSpaceDE w:val="0"/>
        <w:autoSpaceDN w:val="0"/>
        <w:spacing w:before="120" w:after="0" w:line="360" w:lineRule="auto"/>
        <w:jc w:val="both"/>
        <w:rPr>
          <w:rFonts w:ascii="Times New Roman" w:hAnsi="Times New Roman" w:cs="Times New Roman"/>
          <w:sz w:val="24"/>
          <w:szCs w:val="24"/>
          <w:lang w:eastAsia="pl-PL"/>
        </w:rPr>
      </w:pPr>
      <w:r w:rsidRPr="00B25A10">
        <w:rPr>
          <w:rFonts w:ascii="Times New Roman" w:hAnsi="Times New Roman" w:cs="Times New Roman"/>
          <w:sz w:val="24"/>
          <w:szCs w:val="24"/>
          <w:lang w:eastAsia="pl-PL"/>
        </w:rPr>
        <w:t>Zwrot akcyzy przewidziany na podstawie ww. art. 31 jest związany z realizacją zwolnień z tego podatku przysługujących np. obcym przedstawicielstwom dyplomatycznym, urzędom konsularnym, organizacjom międzynarodowym uznawanym przez właściwe organy na terytorium kraju, instytucjom Unii Europejskiej, w tym Europejskiej Agencji Straży Granicznej i Przybrzeżnej (</w:t>
      </w:r>
      <w:proofErr w:type="spellStart"/>
      <w:r w:rsidRPr="00B25A10">
        <w:rPr>
          <w:rFonts w:ascii="Times New Roman" w:hAnsi="Times New Roman" w:cs="Times New Roman"/>
          <w:sz w:val="24"/>
          <w:szCs w:val="24"/>
          <w:lang w:eastAsia="pl-PL"/>
        </w:rPr>
        <w:t>Frontex</w:t>
      </w:r>
      <w:proofErr w:type="spellEnd"/>
      <w:r w:rsidRPr="00B25A10">
        <w:rPr>
          <w:rFonts w:ascii="Times New Roman" w:hAnsi="Times New Roman" w:cs="Times New Roman"/>
          <w:sz w:val="24"/>
          <w:szCs w:val="24"/>
          <w:lang w:eastAsia="pl-PL"/>
        </w:rPr>
        <w:t xml:space="preserve">). Przez odesłanie do art. 31 ustawy o podatku akcyzowym zwrot opłaty paliwowej będzie realizowany w związku ze zwrotem podatku akcyzowego. Wniosek w tej sprawie będą składały podmioty uprawnione do zwrotu do organu właściwego w sprawach zwrotu kwoty zapłaconej akcyzy, wyznaczonego w przepisach wydanych na podstawie art. 31 ust. 6 pkt 2 ustawy o podatku akcyzowym. </w:t>
      </w:r>
    </w:p>
    <w:p w14:paraId="60E19045" w14:textId="42FE6810" w:rsidR="00C91DEC" w:rsidRPr="00B25A10" w:rsidRDefault="00C91DEC" w:rsidP="002B0551">
      <w:pPr>
        <w:autoSpaceDE w:val="0"/>
        <w:autoSpaceDN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lang w:eastAsia="pl-PL"/>
        </w:rPr>
        <w:t xml:space="preserve">Podstawę zwrotu opłaty paliwowej będzie stanowiła faktura zakupu paliwa silnikowego lub gazu. </w:t>
      </w:r>
      <w:r w:rsidRPr="00B25A10">
        <w:rPr>
          <w:rFonts w:ascii="Times New Roman" w:hAnsi="Times New Roman" w:cs="Times New Roman"/>
          <w:sz w:val="24"/>
          <w:szCs w:val="24"/>
        </w:rPr>
        <w:t>Podmioty, o których mowa w art. 31 ustawy o podatku akcyzowym</w:t>
      </w:r>
      <w:r w:rsidR="00155A33">
        <w:rPr>
          <w:rFonts w:ascii="Times New Roman" w:hAnsi="Times New Roman" w:cs="Times New Roman"/>
          <w:sz w:val="24"/>
          <w:szCs w:val="24"/>
        </w:rPr>
        <w:t>,</w:t>
      </w:r>
      <w:r w:rsidRPr="00B25A10">
        <w:rPr>
          <w:rFonts w:ascii="Times New Roman" w:hAnsi="Times New Roman" w:cs="Times New Roman"/>
          <w:sz w:val="24"/>
          <w:szCs w:val="24"/>
        </w:rPr>
        <w:t xml:space="preserve"> nabywają bowiem wyroby akcyzowe, tj. paliwa silnikowe lub gaz, na rynku z zapłaconą akcyzą i opłatą paliwową, które są wliczone w cenę wyrobu. Kwota zapłaconej opłaty paliwowej nie będzie wykazana na fakturze. Należy wskazać, że dowód zapłaty opłaty paliwowej będzie posiadał jedynie podmiot, wobec którego powstało zobowiązanie podatkowe w podatku akcyzowym. Ponieważ nie przewiduje się  obowiązku przekazywania tego dokumentu następnym nabywcom tych wyrobów (których może być wielu i mogą nabywać wyroby w różnej ilości od ich producenta/importera/nabywcy wewnątrzwspólnotowego, który zapłacił opłatę paliwową), stąd dokument ten nie może być wymagany jako niezbędny do ubiegania się o zwrot opłaty paliwowej przez podmiot uprawniony do jej zwrotu. </w:t>
      </w:r>
    </w:p>
    <w:p w14:paraId="48688CBE" w14:textId="77777777" w:rsidR="00C91DEC" w:rsidRPr="00B25A10" w:rsidRDefault="00C91DEC" w:rsidP="002B0551">
      <w:pPr>
        <w:autoSpaceDE w:val="0"/>
        <w:autoSpaceDN w:val="0"/>
        <w:spacing w:before="120" w:after="0" w:line="360" w:lineRule="auto"/>
        <w:jc w:val="both"/>
        <w:rPr>
          <w:rFonts w:ascii="Times New Roman" w:hAnsi="Times New Roman" w:cs="Times New Roman"/>
          <w:sz w:val="24"/>
          <w:szCs w:val="24"/>
          <w:lang w:eastAsia="pl-PL"/>
        </w:rPr>
      </w:pPr>
      <w:r w:rsidRPr="00B25A10">
        <w:rPr>
          <w:rFonts w:ascii="Times New Roman" w:hAnsi="Times New Roman" w:cs="Times New Roman"/>
          <w:sz w:val="24"/>
          <w:szCs w:val="24"/>
          <w:lang w:eastAsia="pl-PL"/>
        </w:rPr>
        <w:t xml:space="preserve">Zwrot opłaty paliwowej w przypadkach i na zasadach określonych dla zwrotu podatku akcyzowego w art. 82 ustawy o podatku akcyzowym związany jest natomiast z dostawą </w:t>
      </w:r>
      <w:r w:rsidRPr="00B25A10">
        <w:rPr>
          <w:rFonts w:ascii="Times New Roman" w:hAnsi="Times New Roman" w:cs="Times New Roman"/>
          <w:sz w:val="24"/>
          <w:szCs w:val="24"/>
          <w:lang w:eastAsia="pl-PL"/>
        </w:rPr>
        <w:lastRenderedPageBreak/>
        <w:t xml:space="preserve">wewnątrzwspólnotową lub eksportem wyrobów akcyzowych, od których akcyza i opłata paliwowa zostały zapłacone na terytorium kraju. </w:t>
      </w:r>
    </w:p>
    <w:p w14:paraId="6DEC4184" w14:textId="77777777" w:rsidR="00C91DEC" w:rsidRPr="00B25A10" w:rsidRDefault="00C91DEC" w:rsidP="002B0551">
      <w:pPr>
        <w:autoSpaceDE w:val="0"/>
        <w:autoSpaceDN w:val="0"/>
        <w:spacing w:before="120" w:after="0" w:line="360" w:lineRule="auto"/>
        <w:jc w:val="both"/>
        <w:rPr>
          <w:rFonts w:ascii="Times New Roman" w:hAnsi="Times New Roman" w:cs="Times New Roman"/>
          <w:sz w:val="24"/>
          <w:szCs w:val="24"/>
          <w:lang w:eastAsia="pl-PL"/>
        </w:rPr>
      </w:pPr>
      <w:r w:rsidRPr="00B25A10">
        <w:rPr>
          <w:rFonts w:ascii="Times New Roman" w:hAnsi="Times New Roman" w:cs="Times New Roman"/>
          <w:sz w:val="24"/>
          <w:szCs w:val="24"/>
          <w:lang w:eastAsia="pl-PL"/>
        </w:rPr>
        <w:t>Zwrot opłaty paliwowej dokonywany będzie na wniosek podmiotów</w:t>
      </w:r>
      <w:r w:rsidR="00991B9F" w:rsidRPr="00B25A10">
        <w:rPr>
          <w:rFonts w:ascii="Times New Roman" w:hAnsi="Times New Roman" w:cs="Times New Roman"/>
          <w:sz w:val="24"/>
          <w:szCs w:val="24"/>
          <w:lang w:eastAsia="pl-PL"/>
        </w:rPr>
        <w:t>,</w:t>
      </w:r>
      <w:r w:rsidRPr="00B25A10">
        <w:rPr>
          <w:rFonts w:ascii="Times New Roman" w:hAnsi="Times New Roman" w:cs="Times New Roman"/>
          <w:sz w:val="24"/>
          <w:szCs w:val="24"/>
          <w:lang w:eastAsia="pl-PL"/>
        </w:rPr>
        <w:t xml:space="preserve"> na których ciąży obowiązek zapłaty opłaty paliwowej,</w:t>
      </w:r>
      <w:r w:rsidRPr="00B25A10">
        <w:rPr>
          <w:rFonts w:ascii="Times New Roman" w:eastAsia="Times New Roman" w:hAnsi="Times New Roman" w:cs="Times New Roman"/>
          <w:sz w:val="24"/>
          <w:szCs w:val="24"/>
          <w:lang w:eastAsia="pl-PL"/>
        </w:rPr>
        <w:t xml:space="preserve"> określonych w art. 37j ust. 1 </w:t>
      </w:r>
      <w:r w:rsidRPr="00B25A10">
        <w:rPr>
          <w:rFonts w:ascii="Times New Roman" w:hAnsi="Times New Roman" w:cs="Times New Roman"/>
          <w:sz w:val="24"/>
          <w:szCs w:val="24"/>
        </w:rPr>
        <w:t>ustawy o autostradach płatnych oraz o Krajowym Funduszu Drogowym</w:t>
      </w:r>
      <w:r w:rsidRPr="00B25A10">
        <w:rPr>
          <w:rFonts w:ascii="Times New Roman" w:eastAsia="Times New Roman" w:hAnsi="Times New Roman" w:cs="Times New Roman"/>
          <w:sz w:val="24"/>
          <w:szCs w:val="24"/>
          <w:lang w:eastAsia="pl-PL"/>
        </w:rPr>
        <w:t xml:space="preserve"> oraz podmiotów, które nabyły od tych podmiotów </w:t>
      </w:r>
      <w:r w:rsidRPr="00B25A10">
        <w:rPr>
          <w:rFonts w:ascii="Times New Roman" w:hAnsi="Times New Roman" w:cs="Times New Roman"/>
          <w:sz w:val="24"/>
          <w:szCs w:val="24"/>
        </w:rPr>
        <w:t>paliwa silnikowe lub gaz podlegające tej opłacie i będą dokonywały ich</w:t>
      </w:r>
      <w:r w:rsidRPr="00B25A10">
        <w:rPr>
          <w:rFonts w:ascii="Times New Roman" w:hAnsi="Times New Roman" w:cs="Times New Roman"/>
          <w:sz w:val="24"/>
          <w:szCs w:val="24"/>
          <w:lang w:eastAsia="pl-PL"/>
        </w:rPr>
        <w:t xml:space="preserve"> dostawy wewnątrzwspólnotowej lub eksportu</w:t>
      </w:r>
      <w:r w:rsidRPr="00B25A10">
        <w:rPr>
          <w:rFonts w:ascii="Times New Roman" w:hAnsi="Times New Roman" w:cs="Times New Roman"/>
          <w:sz w:val="24"/>
          <w:szCs w:val="24"/>
        </w:rPr>
        <w:t xml:space="preserve">.  Wniosek będzie </w:t>
      </w:r>
      <w:r w:rsidRPr="00B25A10">
        <w:rPr>
          <w:rFonts w:ascii="Times New Roman" w:hAnsi="Times New Roman" w:cs="Times New Roman"/>
          <w:sz w:val="24"/>
          <w:szCs w:val="24"/>
          <w:lang w:eastAsia="pl-PL"/>
        </w:rPr>
        <w:t>składa</w:t>
      </w:r>
      <w:r w:rsidR="003869C2" w:rsidRPr="00B25A10">
        <w:rPr>
          <w:rFonts w:ascii="Times New Roman" w:hAnsi="Times New Roman" w:cs="Times New Roman"/>
          <w:sz w:val="24"/>
          <w:szCs w:val="24"/>
          <w:lang w:eastAsia="pl-PL"/>
        </w:rPr>
        <w:t>ny</w:t>
      </w:r>
      <w:r w:rsidRPr="00B25A10">
        <w:rPr>
          <w:rFonts w:ascii="Times New Roman" w:hAnsi="Times New Roman" w:cs="Times New Roman"/>
          <w:sz w:val="24"/>
          <w:szCs w:val="24"/>
          <w:lang w:eastAsia="pl-PL"/>
        </w:rPr>
        <w:t xml:space="preserve"> do organu właściwego w sprawach zwrotu kwoty zapłaconej na terytorium kraju akcyzy,</w:t>
      </w:r>
      <w:r w:rsidR="00991B9F" w:rsidRPr="00B25A10">
        <w:rPr>
          <w:rFonts w:ascii="Times New Roman" w:hAnsi="Times New Roman" w:cs="Times New Roman"/>
          <w:sz w:val="24"/>
          <w:szCs w:val="24"/>
          <w:lang w:eastAsia="pl-PL"/>
        </w:rPr>
        <w:t xml:space="preserve"> o którym mowa w projektowanym art. 31oa ust. 2 pkt 2</w:t>
      </w:r>
      <w:r w:rsidRPr="00B25A10">
        <w:rPr>
          <w:rFonts w:ascii="Times New Roman" w:hAnsi="Times New Roman" w:cs="Times New Roman"/>
          <w:sz w:val="24"/>
          <w:szCs w:val="24"/>
          <w:lang w:eastAsia="pl-PL"/>
        </w:rPr>
        <w:t xml:space="preserve"> </w:t>
      </w:r>
      <w:r w:rsidR="00991B9F" w:rsidRPr="00B25A10">
        <w:rPr>
          <w:rFonts w:ascii="Times New Roman" w:hAnsi="Times New Roman" w:cs="Times New Roman"/>
          <w:sz w:val="24"/>
          <w:szCs w:val="24"/>
          <w:lang w:eastAsia="pl-PL"/>
        </w:rPr>
        <w:t xml:space="preserve">ustawy o autostradach płatnych oraz o Krajowym Funduszu Drogowym, tj. organu </w:t>
      </w:r>
      <w:r w:rsidRPr="00B25A10">
        <w:rPr>
          <w:rFonts w:ascii="Times New Roman" w:hAnsi="Times New Roman" w:cs="Times New Roman"/>
          <w:sz w:val="24"/>
          <w:szCs w:val="24"/>
          <w:lang w:eastAsia="pl-PL"/>
        </w:rPr>
        <w:t xml:space="preserve">wyznaczonego w przepisach wydanych na podstawie art. </w:t>
      </w:r>
      <w:r w:rsidRPr="00B25A10">
        <w:rPr>
          <w:rFonts w:ascii="Times New Roman" w:eastAsia="Times New Roman" w:hAnsi="Times New Roman" w:cs="Times New Roman"/>
          <w:sz w:val="24"/>
          <w:szCs w:val="24"/>
          <w:lang w:eastAsia="pl-PL"/>
        </w:rPr>
        <w:t xml:space="preserve">14 ust. 8a i ust. 9 </w:t>
      </w:r>
      <w:r w:rsidRPr="00B25A10">
        <w:rPr>
          <w:rFonts w:ascii="Times New Roman" w:hAnsi="Times New Roman" w:cs="Times New Roman"/>
          <w:sz w:val="24"/>
          <w:szCs w:val="24"/>
          <w:lang w:eastAsia="pl-PL"/>
        </w:rPr>
        <w:t>ustawy</w:t>
      </w:r>
      <w:r w:rsidR="00991B9F" w:rsidRPr="00B25A10">
        <w:rPr>
          <w:rFonts w:ascii="Times New Roman" w:hAnsi="Times New Roman" w:cs="Times New Roman"/>
          <w:sz w:val="24"/>
          <w:szCs w:val="24"/>
          <w:lang w:eastAsia="pl-PL"/>
        </w:rPr>
        <w:t xml:space="preserve"> </w:t>
      </w:r>
      <w:r w:rsidRPr="00B25A10">
        <w:rPr>
          <w:rFonts w:ascii="Times New Roman" w:hAnsi="Times New Roman" w:cs="Times New Roman"/>
          <w:sz w:val="24"/>
          <w:szCs w:val="24"/>
          <w:lang w:eastAsia="pl-PL"/>
        </w:rPr>
        <w:t>o podatku akcyzowym. Do wniosku o zwrot opłaty paliwowej będą musiały być dołączone  odpowiednie dokumenty, o których mowa w art. 82 ustawy o podatku akcyzowym.</w:t>
      </w:r>
    </w:p>
    <w:p w14:paraId="1B9A65C2" w14:textId="77777777" w:rsidR="00C91DEC" w:rsidRPr="00B25A10" w:rsidRDefault="00C91DEC" w:rsidP="002B0551">
      <w:pPr>
        <w:spacing w:before="120" w:after="0" w:line="360" w:lineRule="auto"/>
        <w:jc w:val="both"/>
        <w:rPr>
          <w:rFonts w:ascii="Times New Roman" w:eastAsia="Times New Roman" w:hAnsi="Times New Roman" w:cs="Times New Roman"/>
          <w:sz w:val="24"/>
          <w:szCs w:val="24"/>
          <w:lang w:eastAsia="pl-PL"/>
        </w:rPr>
      </w:pPr>
      <w:r w:rsidRPr="00B25A10">
        <w:rPr>
          <w:rFonts w:ascii="Times New Roman" w:hAnsi="Times New Roman" w:cs="Times New Roman"/>
          <w:sz w:val="24"/>
          <w:szCs w:val="24"/>
        </w:rPr>
        <w:t>Ponieważ obecnie obowiązujące regulacje nie przewidują sformalizowanego wniosku o zwrot podatku akcyzowego, gdyż na podstawie art. 31 występują o zwrot akcyzy różne podmioty, które nabywają paliwo silnikowe lub gaz na różne cele (służbowe lub prywatne), a wniosek o zwrot akcyzy składają przeważanie uprawnione podmioty, tj. np. organizacje międzynarodowe w imieniu swoim i swoich pracowników (ich liczba może być różna), obecnie również nie planuje się w zakresie regulacji art. 31 ustawy o podatku akcyzowym wprowadzania sformalizowanego wzoru wniosku o zwrot opłaty paliwowej. Natomiast m</w:t>
      </w:r>
      <w:r w:rsidRPr="00B25A10">
        <w:rPr>
          <w:rFonts w:ascii="Times New Roman" w:eastAsia="Times New Roman" w:hAnsi="Times New Roman" w:cs="Times New Roman"/>
          <w:sz w:val="24"/>
          <w:szCs w:val="24"/>
          <w:lang w:eastAsia="pl-PL"/>
        </w:rPr>
        <w:t xml:space="preserve">inister właściwy do spraw transportu określi, w drodze rozporządzenia, wzór wniosku o zwrot opłaty paliwowej, </w:t>
      </w:r>
      <w:r w:rsidRPr="00B25A10">
        <w:rPr>
          <w:rFonts w:ascii="Times New Roman" w:hAnsi="Times New Roman" w:cs="Times New Roman"/>
          <w:sz w:val="24"/>
          <w:szCs w:val="24"/>
        </w:rPr>
        <w:t xml:space="preserve">dokonywany </w:t>
      </w:r>
      <w:r w:rsidRPr="00B25A10">
        <w:rPr>
          <w:rFonts w:ascii="Times New Roman" w:hAnsi="Times New Roman" w:cs="Times New Roman"/>
          <w:sz w:val="24"/>
          <w:szCs w:val="24"/>
          <w:lang w:eastAsia="pl-PL"/>
        </w:rPr>
        <w:t>na podstawie ww. art. 82 ustawy o podatku akcyzowym</w:t>
      </w:r>
      <w:r w:rsidRPr="00B25A10">
        <w:rPr>
          <w:rFonts w:ascii="Times New Roman" w:eastAsia="Times New Roman" w:hAnsi="Times New Roman" w:cs="Times New Roman"/>
          <w:sz w:val="24"/>
          <w:szCs w:val="24"/>
          <w:lang w:eastAsia="pl-PL"/>
        </w:rPr>
        <w:t>, uwzględniając konieczność prawidłowego określania kwot zwracanej opłaty paliwowej.</w:t>
      </w:r>
    </w:p>
    <w:p w14:paraId="0D3E803F" w14:textId="2F128310" w:rsidR="00D514F8" w:rsidRPr="00B25A10" w:rsidRDefault="00D514F8"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Konieczność opracowania wzoru wniosku o zwrot opłaty paliwowej wynika z faktu, że zwrot opłaty paliwowej następuje ze środków przysługujących Krajowemu Funduszowi Drogowemu i Funduszowi Kolejowemu, a od dnia 1 stycznia 2022 r. również ze środków przysługujących Funduszowi rozwoju przewozów autobusowych o charakterze użyteczności publicznej, a nie jak w przypadku zwrotu akcyzy </w:t>
      </w:r>
      <w:r w:rsidR="00155A33" w:rsidRPr="00B25A10">
        <w:rPr>
          <w:rFonts w:ascii="Times New Roman" w:hAnsi="Times New Roman" w:cs="Times New Roman"/>
          <w:sz w:val="24"/>
          <w:szCs w:val="24"/>
        </w:rPr>
        <w:t>–</w:t>
      </w:r>
      <w:r w:rsidRPr="00B25A10">
        <w:rPr>
          <w:rFonts w:ascii="Times New Roman" w:eastAsia="Times New Roman" w:hAnsi="Times New Roman" w:cs="Times New Roman"/>
          <w:sz w:val="24"/>
          <w:szCs w:val="24"/>
          <w:lang w:eastAsia="pl-PL"/>
        </w:rPr>
        <w:t xml:space="preserve"> ze środków budżetu państwa. W pozostałym zakresie do zwrotu opłaty paliwowej stosowane będą odpowiednio przepisy o podatku akcyzowym, w tym przepisy wykonawcze wydane na podstawie art. 82 ust. 7 ustawy o podatku akcyzowym (rozporządzenie Ministra Finansów z dnia 20 sierpnia 2010 r. w </w:t>
      </w:r>
      <w:r w:rsidRPr="00B25A10">
        <w:rPr>
          <w:rFonts w:ascii="Times New Roman" w:eastAsia="Times New Roman" w:hAnsi="Times New Roman" w:cs="Times New Roman"/>
          <w:sz w:val="24"/>
          <w:szCs w:val="24"/>
          <w:lang w:eastAsia="pl-PL"/>
        </w:rPr>
        <w:lastRenderedPageBreak/>
        <w:t xml:space="preserve">sprawie zwrotu akcyzy od wyrobów akcyzowych (Dz. U. z 2018 r. poz. 125)), w szczególności przepisy dotyczące minimalnej kwoty opłaty podlegającej zwrotowi.  </w:t>
      </w:r>
    </w:p>
    <w:p w14:paraId="31CAB047" w14:textId="7A0B8A36" w:rsidR="00D514F8" w:rsidRPr="00B25A10" w:rsidRDefault="00D514F8"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Zwrot opłaty paliwowej następować będzie ze środków należnych Krajowemu Funduszowi Drogowemu, Funduszowi Kolejowemu</w:t>
      </w:r>
      <w:r w:rsidR="00155A33">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w:t>
      </w:r>
      <w:r w:rsidR="00AF064B" w:rsidRPr="00B25A10">
        <w:rPr>
          <w:rFonts w:ascii="Times New Roman" w:eastAsia="Times New Roman" w:hAnsi="Times New Roman" w:cs="Times New Roman"/>
          <w:sz w:val="24"/>
          <w:szCs w:val="24"/>
          <w:lang w:eastAsia="pl-PL"/>
        </w:rPr>
        <w:t>a od 1 stycznia 2022 r. także</w:t>
      </w:r>
      <w:r w:rsidRPr="00B25A10">
        <w:rPr>
          <w:rFonts w:ascii="Times New Roman" w:eastAsia="Times New Roman" w:hAnsi="Times New Roman" w:cs="Times New Roman"/>
          <w:sz w:val="24"/>
          <w:szCs w:val="24"/>
          <w:lang w:eastAsia="pl-PL"/>
        </w:rPr>
        <w:t xml:space="preserve"> Funduszowi rozwoju przewozów autobusowych o charakterze użyteczności publicznej (projektowany art. </w:t>
      </w:r>
      <w:r w:rsidR="00AF064B" w:rsidRPr="00B25A10">
        <w:rPr>
          <w:rFonts w:ascii="Times New Roman" w:eastAsia="Times New Roman" w:hAnsi="Times New Roman" w:cs="Times New Roman"/>
          <w:sz w:val="24"/>
          <w:szCs w:val="24"/>
          <w:lang w:eastAsia="pl-PL"/>
        </w:rPr>
        <w:t>12 ustawy</w:t>
      </w:r>
      <w:r w:rsidR="00E608C8">
        <w:rPr>
          <w:rFonts w:ascii="Times New Roman" w:eastAsia="Times New Roman" w:hAnsi="Times New Roman" w:cs="Times New Roman"/>
          <w:sz w:val="24"/>
          <w:szCs w:val="24"/>
          <w:lang w:eastAsia="pl-PL"/>
        </w:rPr>
        <w:t xml:space="preserve"> –</w:t>
      </w:r>
      <w:r w:rsidR="006E32A1" w:rsidRPr="00B25A10">
        <w:rPr>
          <w:rFonts w:ascii="Times New Roman" w:eastAsia="Times New Roman" w:hAnsi="Times New Roman" w:cs="Times New Roman"/>
          <w:sz w:val="24"/>
          <w:szCs w:val="24"/>
          <w:lang w:eastAsia="pl-PL"/>
        </w:rPr>
        <w:t xml:space="preserve"> dodanie w art. 31 pkt 3a przewidującego zmianę art. 37oa ust. 2 ustawy o autostradach płatnych oraz o Krajowym Funduszu Drogowym</w:t>
      </w:r>
      <w:r w:rsidRPr="00B25A10">
        <w:rPr>
          <w:rFonts w:ascii="Times New Roman" w:eastAsia="Times New Roman" w:hAnsi="Times New Roman" w:cs="Times New Roman"/>
          <w:sz w:val="24"/>
          <w:szCs w:val="24"/>
          <w:lang w:eastAsia="pl-PL"/>
        </w:rPr>
        <w:t xml:space="preserve">).  </w:t>
      </w:r>
    </w:p>
    <w:p w14:paraId="47D960E5" w14:textId="743ABA40" w:rsidR="00CB6251" w:rsidRPr="00B25A10" w:rsidRDefault="00D514F8"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Projektowany art. 37o</w:t>
      </w:r>
      <w:r w:rsidR="00AF064B" w:rsidRPr="00B25A10">
        <w:rPr>
          <w:rFonts w:ascii="Times New Roman" w:eastAsia="Times New Roman" w:hAnsi="Times New Roman" w:cs="Times New Roman"/>
          <w:sz w:val="24"/>
          <w:szCs w:val="24"/>
          <w:lang w:eastAsia="pl-PL"/>
        </w:rPr>
        <w:t>b</w:t>
      </w:r>
      <w:r w:rsidRPr="00B25A10">
        <w:rPr>
          <w:rFonts w:ascii="Times New Roman" w:eastAsia="Times New Roman" w:hAnsi="Times New Roman" w:cs="Times New Roman"/>
          <w:sz w:val="24"/>
          <w:szCs w:val="24"/>
          <w:lang w:eastAsia="pl-PL"/>
        </w:rPr>
        <w:t xml:space="preserve"> dodawany w ustawie o autostradach płatnych oraz o Krajowym Funduszu Drogowym przewiduje, że </w:t>
      </w:r>
      <w:r w:rsidR="003869C2" w:rsidRPr="00B25A10">
        <w:rPr>
          <w:rFonts w:ascii="Times New Roman" w:hAnsi="Times New Roman" w:cs="Times New Roman"/>
          <w:sz w:val="24"/>
          <w:szCs w:val="24"/>
        </w:rPr>
        <w:t>Bank Gospodarstwa Krajowego przekazuje środki w celu dokonania zwrotu nadpłaty, o której mowa w art. 37o ust. 2, lub zwrotu opłaty paliwowej, o którym mowa w art. 37oa ust. 1, na wniosek urzędu skarbowego</w:t>
      </w:r>
      <w:r w:rsidR="003869C2" w:rsidRPr="00B25A10">
        <w:rPr>
          <w:rStyle w:val="Ppogrubienie"/>
          <w:rFonts w:ascii="Times New Roman" w:hAnsi="Times New Roman" w:cs="Times New Roman"/>
          <w:sz w:val="24"/>
          <w:szCs w:val="24"/>
        </w:rPr>
        <w:t xml:space="preserve"> </w:t>
      </w:r>
      <w:r w:rsidR="003869C2" w:rsidRPr="00B25A10">
        <w:rPr>
          <w:rStyle w:val="Ppogrubienie"/>
          <w:rFonts w:ascii="Times New Roman" w:hAnsi="Times New Roman" w:cs="Times New Roman"/>
          <w:b w:val="0"/>
          <w:sz w:val="24"/>
          <w:szCs w:val="24"/>
        </w:rPr>
        <w:t>określonego w przepisach wydanych na podstawie art. 14 ust. 11 pkt 2 ustawy z dnia 6 grudnia 2008 r. o podatku akcyzowym</w:t>
      </w:r>
      <w:r w:rsidR="003869C2" w:rsidRPr="00B25A10">
        <w:rPr>
          <w:rStyle w:val="Ppogrubienie"/>
          <w:rFonts w:ascii="Times New Roman" w:hAnsi="Times New Roman" w:cs="Times New Roman"/>
          <w:sz w:val="24"/>
          <w:szCs w:val="24"/>
        </w:rPr>
        <w:t xml:space="preserve"> </w:t>
      </w:r>
      <w:r w:rsidR="003869C2" w:rsidRPr="00B25A10">
        <w:rPr>
          <w:rFonts w:ascii="Times New Roman" w:hAnsi="Times New Roman" w:cs="Times New Roman"/>
          <w:sz w:val="24"/>
          <w:szCs w:val="24"/>
        </w:rPr>
        <w:t>, w terminie 7 dni od dnia złożenia wniosku, na rachunek bankowy wskazany przez ten organ</w:t>
      </w:r>
      <w:r w:rsidR="00155A33">
        <w:rPr>
          <w:rFonts w:ascii="Times New Roman" w:hAnsi="Times New Roman" w:cs="Times New Roman"/>
          <w:sz w:val="24"/>
          <w:szCs w:val="24"/>
        </w:rPr>
        <w:t>.</w:t>
      </w:r>
      <w:r w:rsidR="003869C2" w:rsidRPr="00B25A10">
        <w:rPr>
          <w:rFonts w:ascii="Times New Roman" w:eastAsia="Times New Roman" w:hAnsi="Times New Roman" w:cs="Times New Roman"/>
          <w:sz w:val="24"/>
          <w:szCs w:val="24"/>
          <w:lang w:eastAsia="pl-PL"/>
        </w:rPr>
        <w:t xml:space="preserve"> </w:t>
      </w:r>
      <w:r w:rsidRPr="00B25A10">
        <w:rPr>
          <w:rFonts w:ascii="Times New Roman" w:eastAsia="Times New Roman" w:hAnsi="Times New Roman" w:cs="Times New Roman"/>
          <w:sz w:val="24"/>
          <w:szCs w:val="24"/>
          <w:lang w:eastAsia="pl-PL"/>
        </w:rPr>
        <w:t>Uregulowanie tej kwestii w ww. ustawie jest konieczne ze względu na fakt, iż omawiane zwroty będą następować nie z budżetu państwa</w:t>
      </w:r>
      <w:r w:rsidR="00155A33">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jak to ma miejsce w przypadku podatku akcyzowego, lecz z Krajowego Funduszu Drogowego i Funduszu Kolejowego, a także, od dnia 1 stycznia 2022 r., Funduszu rozwoju przewozów autobusowych o charakterze użyteczności publicznej. Po drugie zastosowanie będą miały w omawianych sprawach, na mocy odesłania zawartego w art. 37q</w:t>
      </w:r>
      <w:r w:rsidR="00155A33">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terminy zwrotów określone w przepisach podatkowych. Konieczne jest więc</w:t>
      </w:r>
      <w:r w:rsidR="00773B1F" w:rsidRPr="00B25A10">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aby w krótkim terminie, jakim jest 7 dni kalendarzowych, Bank Gospodarstwa Krajowego przekazywał organowi skarbowemu środki w celu dokonania zwrotu zainteresowanemu podmiotowi.</w:t>
      </w:r>
    </w:p>
    <w:p w14:paraId="79670781" w14:textId="0C08275C" w:rsidR="00D514F8" w:rsidRPr="00B25A10" w:rsidRDefault="00636513" w:rsidP="00B25A10">
      <w:pPr>
        <w:suppressAutoHyphens/>
        <w:autoSpaceDE w:val="0"/>
        <w:autoSpaceDN w:val="0"/>
        <w:adjustRightInd w:val="0"/>
        <w:spacing w:before="120"/>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z</w:t>
      </w:r>
      <w:r w:rsidR="00D514F8" w:rsidRPr="00B25A10">
        <w:rPr>
          <w:rFonts w:ascii="Times New Roman" w:eastAsia="Times New Roman" w:hAnsi="Times New Roman" w:cs="Times New Roman"/>
          <w:b/>
          <w:sz w:val="24"/>
          <w:szCs w:val="24"/>
          <w:lang w:eastAsia="pl-PL"/>
        </w:rPr>
        <w:t>miana w art. 37p</w:t>
      </w:r>
    </w:p>
    <w:p w14:paraId="0097E9A9" w14:textId="2E1ECB1E" w:rsidR="00D514F8" w:rsidRPr="00B25A10" w:rsidRDefault="00D514F8"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Zmiana </w:t>
      </w:r>
      <w:r w:rsidR="0004008B" w:rsidRPr="00B25A10">
        <w:rPr>
          <w:rFonts w:ascii="Times New Roman" w:hAnsi="Times New Roman" w:cs="Times New Roman"/>
          <w:bCs/>
          <w:sz w:val="24"/>
          <w:szCs w:val="24"/>
        </w:rPr>
        <w:t xml:space="preserve">w </w:t>
      </w:r>
      <w:r w:rsidRPr="00B25A10">
        <w:rPr>
          <w:rFonts w:ascii="Times New Roman" w:hAnsi="Times New Roman" w:cs="Times New Roman"/>
          <w:bCs/>
          <w:sz w:val="24"/>
          <w:szCs w:val="24"/>
        </w:rPr>
        <w:t xml:space="preserve">ust. 2 w art. 37p </w:t>
      </w:r>
      <w:r w:rsidR="007C5C61" w:rsidRPr="00B25A10">
        <w:rPr>
          <w:rFonts w:ascii="Times New Roman" w:hAnsi="Times New Roman" w:cs="Times New Roman"/>
          <w:bCs/>
          <w:sz w:val="24"/>
          <w:szCs w:val="24"/>
        </w:rPr>
        <w:t>polega na zmianie odesłania na odesłanie do art. 37ob, tj</w:t>
      </w:r>
      <w:r w:rsidR="0036672B" w:rsidRPr="00B25A10">
        <w:rPr>
          <w:rFonts w:ascii="Times New Roman" w:hAnsi="Times New Roman" w:cs="Times New Roman"/>
          <w:bCs/>
          <w:sz w:val="24"/>
          <w:szCs w:val="24"/>
        </w:rPr>
        <w:t>.</w:t>
      </w:r>
      <w:r w:rsidR="007C5C61" w:rsidRPr="00B25A10">
        <w:rPr>
          <w:rFonts w:ascii="Times New Roman" w:hAnsi="Times New Roman" w:cs="Times New Roman"/>
          <w:bCs/>
          <w:sz w:val="24"/>
          <w:szCs w:val="24"/>
        </w:rPr>
        <w:t xml:space="preserve"> zastrzeżenie</w:t>
      </w:r>
      <w:r w:rsidRPr="00B25A10">
        <w:rPr>
          <w:rFonts w:ascii="Times New Roman" w:hAnsi="Times New Roman" w:cs="Times New Roman"/>
          <w:bCs/>
          <w:sz w:val="24"/>
          <w:szCs w:val="24"/>
        </w:rPr>
        <w:t>, że Bank Gospodarstwa Krajowego nie przekazuje środków z opłaty paliwowej na rachunek odpowiedniego Funduszu</w:t>
      </w:r>
      <w:r w:rsidR="00636513">
        <w:rPr>
          <w:rFonts w:ascii="Times New Roman" w:hAnsi="Times New Roman" w:cs="Times New Roman"/>
          <w:bCs/>
          <w:sz w:val="24"/>
          <w:szCs w:val="24"/>
        </w:rPr>
        <w:t>,</w:t>
      </w:r>
      <w:r w:rsidRPr="00B25A10">
        <w:rPr>
          <w:rFonts w:ascii="Times New Roman" w:hAnsi="Times New Roman" w:cs="Times New Roman"/>
          <w:bCs/>
          <w:sz w:val="24"/>
          <w:szCs w:val="24"/>
        </w:rPr>
        <w:t xml:space="preserve"> w przypadku gdy zachodzi konieczność zwrotu opłaty paliwowej</w:t>
      </w:r>
      <w:r w:rsidR="007C5C61" w:rsidRPr="00B25A10">
        <w:rPr>
          <w:rFonts w:ascii="Times New Roman" w:hAnsi="Times New Roman" w:cs="Times New Roman"/>
          <w:bCs/>
          <w:sz w:val="24"/>
          <w:szCs w:val="24"/>
        </w:rPr>
        <w:t xml:space="preserve"> lub zwrotu nadpłaty tej opłaty</w:t>
      </w:r>
      <w:r w:rsidRPr="00B25A10">
        <w:rPr>
          <w:rFonts w:ascii="Times New Roman" w:hAnsi="Times New Roman" w:cs="Times New Roman"/>
          <w:bCs/>
          <w:sz w:val="24"/>
          <w:szCs w:val="24"/>
        </w:rPr>
        <w:t>.</w:t>
      </w:r>
    </w:p>
    <w:p w14:paraId="5EEBAD5E" w14:textId="77777777" w:rsidR="00712E99" w:rsidRPr="00B25A10" w:rsidRDefault="00712E99" w:rsidP="00B25A10">
      <w:pPr>
        <w:suppressAutoHyphens/>
        <w:autoSpaceDE w:val="0"/>
        <w:autoSpaceDN w:val="0"/>
        <w:adjustRightInd w:val="0"/>
        <w:spacing w:before="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 xml:space="preserve">zmiana w art. 37q </w:t>
      </w:r>
    </w:p>
    <w:p w14:paraId="1266D91A" w14:textId="000706C3" w:rsidR="00D514F8" w:rsidRPr="00B25A10" w:rsidRDefault="00D514F8"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W art. 37q ustawy o autostradach płatnych oraz o Krajowym Funduszu Drogowym</w:t>
      </w:r>
      <w:r w:rsidRPr="00B25A10">
        <w:rPr>
          <w:rFonts w:ascii="Times New Roman" w:eastAsia="Times New Roman" w:hAnsi="Times New Roman" w:cs="Times New Roman"/>
          <w:sz w:val="24"/>
          <w:szCs w:val="24"/>
          <w:lang w:eastAsia="pl-PL"/>
        </w:rPr>
        <w:t xml:space="preserve"> </w:t>
      </w:r>
      <w:r w:rsidRPr="00B25A10">
        <w:rPr>
          <w:rFonts w:ascii="Times New Roman" w:hAnsi="Times New Roman" w:cs="Times New Roman"/>
          <w:bCs/>
          <w:sz w:val="24"/>
          <w:szCs w:val="24"/>
        </w:rPr>
        <w:t xml:space="preserve">wprowadzono odesłanie do odpowiedniego stosowania przepisów </w:t>
      </w:r>
      <w:r w:rsidR="008D765A" w:rsidRPr="00B25A10">
        <w:rPr>
          <w:rFonts w:ascii="Times New Roman" w:hAnsi="Times New Roman" w:cs="Times New Roman"/>
          <w:bCs/>
          <w:sz w:val="24"/>
          <w:szCs w:val="24"/>
        </w:rPr>
        <w:t xml:space="preserve"> </w:t>
      </w:r>
      <w:r w:rsidRPr="00B25A10">
        <w:rPr>
          <w:rFonts w:ascii="Times New Roman" w:hAnsi="Times New Roman" w:cs="Times New Roman"/>
          <w:bCs/>
          <w:sz w:val="24"/>
          <w:szCs w:val="24"/>
        </w:rPr>
        <w:t xml:space="preserve">o podatku akcyzowym, które dotyczą wyrobów akcyzowych podlegających zarówno podatkowi akcyzowemu, jak i opłacie paliwowej, </w:t>
      </w:r>
      <w:r w:rsidR="00AF064B" w:rsidRPr="00B25A10">
        <w:rPr>
          <w:rFonts w:ascii="Times New Roman" w:hAnsi="Times New Roman" w:cs="Times New Roman"/>
          <w:bCs/>
          <w:sz w:val="24"/>
          <w:szCs w:val="24"/>
        </w:rPr>
        <w:t xml:space="preserve">w zakresie nieuregulowanym w ustawie o autostradach płatnych oraz o </w:t>
      </w:r>
      <w:r w:rsidR="00AF064B" w:rsidRPr="00B25A10">
        <w:rPr>
          <w:rFonts w:ascii="Times New Roman" w:hAnsi="Times New Roman" w:cs="Times New Roman"/>
          <w:bCs/>
          <w:sz w:val="24"/>
          <w:szCs w:val="24"/>
        </w:rPr>
        <w:lastRenderedPageBreak/>
        <w:t>Krajowym Funduszu Drogowym.</w:t>
      </w:r>
      <w:r w:rsidR="0036672B" w:rsidRPr="00B25A10">
        <w:rPr>
          <w:rFonts w:ascii="Times New Roman" w:hAnsi="Times New Roman" w:cs="Times New Roman"/>
          <w:bCs/>
          <w:sz w:val="24"/>
          <w:szCs w:val="24"/>
        </w:rPr>
        <w:t xml:space="preserve"> Jednocześnie wskazano przepisy ustawy o podatku akcyzowym, które nie znajdą zastosowania do opłaty paliwowej. </w:t>
      </w:r>
      <w:r w:rsidR="00773B1F" w:rsidRPr="00B25A10">
        <w:rPr>
          <w:rFonts w:ascii="Times New Roman" w:hAnsi="Times New Roman" w:cs="Times New Roman"/>
          <w:bCs/>
          <w:sz w:val="24"/>
          <w:szCs w:val="24"/>
        </w:rPr>
        <w:t>Odesłanie obejmie zarówno przepisy ustawy o podatku akcyzowym</w:t>
      </w:r>
      <w:r w:rsidR="00636513">
        <w:rPr>
          <w:rFonts w:ascii="Times New Roman" w:hAnsi="Times New Roman" w:cs="Times New Roman"/>
          <w:bCs/>
          <w:sz w:val="24"/>
          <w:szCs w:val="24"/>
        </w:rPr>
        <w:t>,</w:t>
      </w:r>
      <w:r w:rsidR="00773B1F" w:rsidRPr="00B25A10">
        <w:rPr>
          <w:rFonts w:ascii="Times New Roman" w:hAnsi="Times New Roman" w:cs="Times New Roman"/>
          <w:bCs/>
          <w:sz w:val="24"/>
          <w:szCs w:val="24"/>
        </w:rPr>
        <w:t xml:space="preserve"> jak i przepisy aktów wykonawczych do tej ustawy.</w:t>
      </w:r>
      <w:r w:rsidR="0036672B" w:rsidRPr="00B25A10">
        <w:rPr>
          <w:rFonts w:ascii="Times New Roman" w:hAnsi="Times New Roman" w:cs="Times New Roman"/>
          <w:bCs/>
          <w:sz w:val="24"/>
          <w:szCs w:val="24"/>
        </w:rPr>
        <w:t xml:space="preserve"> </w:t>
      </w:r>
    </w:p>
    <w:p w14:paraId="0EA3733F" w14:textId="5DC779F3" w:rsidR="00D514F8" w:rsidRPr="00B25A10" w:rsidRDefault="0036672B"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K</w:t>
      </w:r>
      <w:r w:rsidR="00D514F8" w:rsidRPr="00B25A10">
        <w:rPr>
          <w:rFonts w:ascii="Times New Roman" w:hAnsi="Times New Roman" w:cs="Times New Roman"/>
          <w:bCs/>
          <w:sz w:val="24"/>
          <w:szCs w:val="24"/>
        </w:rPr>
        <w:t>westie, które pozostaną uregulowane bezpośrednio w ustawie o autostradach płatnych oraz o Krajowym Funduszu Drogowym</w:t>
      </w:r>
      <w:r w:rsidR="00636513">
        <w:rPr>
          <w:rFonts w:ascii="Times New Roman" w:hAnsi="Times New Roman" w:cs="Times New Roman"/>
          <w:bCs/>
          <w:sz w:val="24"/>
          <w:szCs w:val="24"/>
        </w:rPr>
        <w:t>,</w:t>
      </w:r>
      <w:r w:rsidR="00D514F8" w:rsidRPr="00B25A10">
        <w:rPr>
          <w:rFonts w:ascii="Times New Roman" w:hAnsi="Times New Roman" w:cs="Times New Roman"/>
          <w:bCs/>
          <w:sz w:val="24"/>
          <w:szCs w:val="24"/>
        </w:rPr>
        <w:t xml:space="preserve"> specyficzne dla opłaty paliwowej,</w:t>
      </w:r>
      <w:r w:rsidRPr="00B25A10">
        <w:rPr>
          <w:rFonts w:ascii="Times New Roman" w:hAnsi="Times New Roman" w:cs="Times New Roman"/>
          <w:bCs/>
          <w:sz w:val="24"/>
          <w:szCs w:val="24"/>
        </w:rPr>
        <w:t xml:space="preserve"> to kwestie regulujące:</w:t>
      </w:r>
    </w:p>
    <w:p w14:paraId="2F88DF3A" w14:textId="77777777" w:rsidR="00D514F8" w:rsidRPr="00B25A10" w:rsidRDefault="00D514F8" w:rsidP="002B0551">
      <w:pPr>
        <w:numPr>
          <w:ilvl w:val="0"/>
          <w:numId w:val="16"/>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rodzaje wyrobów podlegających opłacie paliwowej; </w:t>
      </w:r>
    </w:p>
    <w:p w14:paraId="30E87569" w14:textId="77777777" w:rsidR="00D514F8" w:rsidRPr="00B25A10" w:rsidRDefault="00D514F8" w:rsidP="002B0551">
      <w:pPr>
        <w:numPr>
          <w:ilvl w:val="0"/>
          <w:numId w:val="16"/>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przeznaczenie przychodów z tytułu opłaty paliwowej;</w:t>
      </w:r>
    </w:p>
    <w:p w14:paraId="60ECFF9B" w14:textId="77777777" w:rsidR="00D514F8" w:rsidRPr="00B25A10" w:rsidRDefault="00D514F8" w:rsidP="002B0551">
      <w:pPr>
        <w:numPr>
          <w:ilvl w:val="0"/>
          <w:numId w:val="16"/>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podmioty obowiązane do zapłaty opłaty paliwowej; </w:t>
      </w:r>
    </w:p>
    <w:p w14:paraId="7F16BB91" w14:textId="77777777" w:rsidR="00D514F8" w:rsidRPr="00B25A10" w:rsidRDefault="00D514F8" w:rsidP="002B0551">
      <w:pPr>
        <w:numPr>
          <w:ilvl w:val="0"/>
          <w:numId w:val="16"/>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stawki opłaty paliwowej; </w:t>
      </w:r>
    </w:p>
    <w:p w14:paraId="262696D9" w14:textId="77777777" w:rsidR="00D514F8" w:rsidRPr="00B25A10" w:rsidRDefault="00D514F8" w:rsidP="002B0551">
      <w:pPr>
        <w:numPr>
          <w:ilvl w:val="0"/>
          <w:numId w:val="16"/>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obowiązek składania informacji o opłacie paliwowej;</w:t>
      </w:r>
    </w:p>
    <w:p w14:paraId="3175CF56" w14:textId="77777777" w:rsidR="00D514F8" w:rsidRPr="00B25A10" w:rsidRDefault="00D514F8" w:rsidP="002B0551">
      <w:pPr>
        <w:numPr>
          <w:ilvl w:val="0"/>
          <w:numId w:val="16"/>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terminy i sposób dokonywania wpłat z tytułu opłaty paliwowej;</w:t>
      </w:r>
    </w:p>
    <w:p w14:paraId="0F9FDB2E" w14:textId="77777777" w:rsidR="00D514F8" w:rsidRPr="00B25A10" w:rsidRDefault="00D514F8" w:rsidP="002B0551">
      <w:pPr>
        <w:numPr>
          <w:ilvl w:val="0"/>
          <w:numId w:val="16"/>
        </w:num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tryb przekazywania środków z opłaty paliwowej na rachunek Krajowego Funduszu Drogowego.</w:t>
      </w:r>
    </w:p>
    <w:p w14:paraId="02A82B63" w14:textId="77777777" w:rsidR="00D514F8" w:rsidRPr="00B25A10" w:rsidRDefault="00D514F8"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 xml:space="preserve">W konsekwencji do opłaty paliwowej będą miały natomiast odpowiednie zastosowanie m.in. przepisy działu II rozdziału 6 ustawy o podatku akcyzowym regulujące zwolnienia wyrobów akcyzowych z podatku akcyzowego. Uregulowane w tym rozdziale zwolnienia wynikają z przepisów dyrektywy 2008/118/WE, 2003/96/WE, jak i dyrektywy Rady 2007/74/WE. </w:t>
      </w:r>
    </w:p>
    <w:p w14:paraId="089526DF" w14:textId="77777777" w:rsidR="0036672B"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eastAsia="Times New Roman" w:hAnsi="Times New Roman" w:cs="Times New Roman"/>
          <w:sz w:val="24"/>
          <w:szCs w:val="24"/>
          <w:lang w:eastAsia="pl-PL"/>
        </w:rPr>
        <w:t xml:space="preserve">Proponuje się </w:t>
      </w:r>
      <w:r w:rsidR="00B34DC6" w:rsidRPr="00B25A10">
        <w:rPr>
          <w:rFonts w:ascii="Times New Roman" w:eastAsia="Times New Roman" w:hAnsi="Times New Roman" w:cs="Times New Roman"/>
          <w:sz w:val="24"/>
          <w:szCs w:val="24"/>
          <w:lang w:eastAsia="pl-PL"/>
        </w:rPr>
        <w:t xml:space="preserve">również </w:t>
      </w:r>
      <w:r w:rsidRPr="00B25A10">
        <w:rPr>
          <w:rFonts w:ascii="Times New Roman" w:eastAsia="Times New Roman" w:hAnsi="Times New Roman" w:cs="Times New Roman"/>
          <w:sz w:val="24"/>
          <w:szCs w:val="24"/>
          <w:lang w:eastAsia="pl-PL"/>
        </w:rPr>
        <w:t xml:space="preserve">zmianę w art. 37q ustawy </w:t>
      </w:r>
      <w:r w:rsidR="00A1495A" w:rsidRPr="00B25A10">
        <w:rPr>
          <w:rFonts w:ascii="Times New Roman" w:eastAsia="Times New Roman" w:hAnsi="Times New Roman" w:cs="Times New Roman"/>
          <w:sz w:val="24"/>
          <w:szCs w:val="24"/>
          <w:lang w:eastAsia="pl-PL"/>
        </w:rPr>
        <w:t xml:space="preserve">z dnia 27 października 1994 r. </w:t>
      </w:r>
      <w:r w:rsidRPr="00B25A10">
        <w:rPr>
          <w:rFonts w:ascii="Times New Roman" w:eastAsia="Times New Roman" w:hAnsi="Times New Roman" w:cs="Times New Roman"/>
          <w:sz w:val="24"/>
          <w:szCs w:val="24"/>
          <w:lang w:eastAsia="pl-PL"/>
        </w:rPr>
        <w:t xml:space="preserve">o autostradach płatnych oraz </w:t>
      </w:r>
      <w:r w:rsidR="000C51B7" w:rsidRPr="00B25A10">
        <w:rPr>
          <w:rFonts w:ascii="Times New Roman" w:eastAsia="Times New Roman" w:hAnsi="Times New Roman" w:cs="Times New Roman"/>
          <w:sz w:val="24"/>
          <w:szCs w:val="24"/>
          <w:lang w:eastAsia="pl-PL"/>
        </w:rPr>
        <w:t xml:space="preserve">o </w:t>
      </w:r>
      <w:r w:rsidRPr="00B25A10">
        <w:rPr>
          <w:rFonts w:ascii="Times New Roman" w:eastAsia="Times New Roman" w:hAnsi="Times New Roman" w:cs="Times New Roman"/>
          <w:sz w:val="24"/>
          <w:szCs w:val="24"/>
          <w:lang w:eastAsia="pl-PL"/>
        </w:rPr>
        <w:t xml:space="preserve">Krajowym Funduszu Drogowym, zgodnie z którą do postępowania w sprawach opłaty paliwowej ciążącej na podmiotach, </w:t>
      </w:r>
      <w:r w:rsidRPr="00B25A10">
        <w:rPr>
          <w:rFonts w:ascii="Times New Roman" w:eastAsia="Times New Roman" w:hAnsi="Times New Roman" w:cs="Times New Roman"/>
          <w:bCs/>
          <w:sz w:val="24"/>
          <w:szCs w:val="24"/>
          <w:lang w:eastAsia="pl-PL"/>
        </w:rPr>
        <w:t>o których mowa w art. 37j ust. 1 pkt 2 i 4, jeżeli podmiot</w:t>
      </w:r>
      <w:r w:rsidR="00A1495A" w:rsidRPr="00B25A10">
        <w:rPr>
          <w:rFonts w:ascii="Times New Roman" w:eastAsia="Times New Roman" w:hAnsi="Times New Roman" w:cs="Times New Roman"/>
          <w:bCs/>
          <w:sz w:val="24"/>
          <w:szCs w:val="24"/>
          <w:lang w:eastAsia="pl-PL"/>
        </w:rPr>
        <w:t>y</w:t>
      </w:r>
      <w:r w:rsidRPr="00B25A10">
        <w:rPr>
          <w:rFonts w:ascii="Times New Roman" w:eastAsia="Times New Roman" w:hAnsi="Times New Roman" w:cs="Times New Roman"/>
          <w:bCs/>
          <w:sz w:val="24"/>
          <w:szCs w:val="24"/>
          <w:lang w:eastAsia="pl-PL"/>
        </w:rPr>
        <w:t xml:space="preserve"> te podlega</w:t>
      </w:r>
      <w:r w:rsidR="00A1495A" w:rsidRPr="00B25A10">
        <w:rPr>
          <w:rFonts w:ascii="Times New Roman" w:eastAsia="Times New Roman" w:hAnsi="Times New Roman" w:cs="Times New Roman"/>
          <w:bCs/>
          <w:sz w:val="24"/>
          <w:szCs w:val="24"/>
          <w:lang w:eastAsia="pl-PL"/>
        </w:rPr>
        <w:t>ją</w:t>
      </w:r>
      <w:r w:rsidRPr="00B25A10">
        <w:rPr>
          <w:rFonts w:ascii="Times New Roman" w:eastAsia="Times New Roman" w:hAnsi="Times New Roman" w:cs="Times New Roman"/>
          <w:bCs/>
          <w:sz w:val="24"/>
          <w:szCs w:val="24"/>
          <w:lang w:eastAsia="pl-PL"/>
        </w:rPr>
        <w:t xml:space="preserve"> na podstawie przepisów o podatku akcyzowym obowiązkowi podatkowemu w zakresie podatku akcyzowego od paliw silnikowych </w:t>
      </w:r>
      <w:r w:rsidR="00A1495A" w:rsidRPr="00B25A10">
        <w:rPr>
          <w:rFonts w:ascii="Times New Roman" w:eastAsia="Times New Roman" w:hAnsi="Times New Roman" w:cs="Times New Roman"/>
          <w:bCs/>
          <w:sz w:val="24"/>
          <w:szCs w:val="24"/>
          <w:lang w:eastAsia="pl-PL"/>
        </w:rPr>
        <w:t xml:space="preserve">oraz gazu </w:t>
      </w:r>
      <w:r w:rsidRPr="00B25A10">
        <w:rPr>
          <w:rFonts w:ascii="Times New Roman" w:eastAsia="Times New Roman" w:hAnsi="Times New Roman" w:cs="Times New Roman"/>
          <w:bCs/>
          <w:sz w:val="24"/>
          <w:szCs w:val="24"/>
          <w:lang w:eastAsia="pl-PL"/>
        </w:rPr>
        <w:t xml:space="preserve">z tytułu importu, odpowiednie zastosowanie będą miały określone przepisy unijnego i krajowego prawa celnego oraz Ordynacji podatkowej. </w:t>
      </w:r>
      <w:r w:rsidR="0036672B" w:rsidRPr="00B25A10">
        <w:rPr>
          <w:rFonts w:ascii="Times New Roman" w:hAnsi="Times New Roman" w:cs="Times New Roman"/>
          <w:sz w:val="24"/>
          <w:szCs w:val="24"/>
        </w:rPr>
        <w:t xml:space="preserve">Proponowana zmiana ma na celu umożliwienie prowadzenia jednego postępowania w sprawie należności celnych i podatkowych oraz opłaty paliwowej i opłaty emisyjnej, należnych z tytułu importu towarów oraz wydawanie w tym zakresie jednej decyzji. </w:t>
      </w:r>
    </w:p>
    <w:p w14:paraId="5D00EB70" w14:textId="77777777" w:rsidR="0036672B" w:rsidRPr="00B25A10" w:rsidRDefault="0036672B"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Uzasadnienie zmiany analogiczne jak do zmiany art. 34 ust. 4 i 5 ustawy o podatku od towarów i usług.  </w:t>
      </w:r>
    </w:p>
    <w:p w14:paraId="075521E4" w14:textId="77777777" w:rsidR="00712E99" w:rsidRPr="00B25A10" w:rsidRDefault="00842360"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hAnsi="Times New Roman" w:cs="Times New Roman"/>
          <w:sz w:val="24"/>
          <w:szCs w:val="24"/>
        </w:rPr>
        <w:lastRenderedPageBreak/>
        <w:t>Jednocześnie doprecyzowano, że w zakresie postępowań w sprawie zwrotu opłaty paliwowej w imporcie zastosowanie znajdą ogólne zasady, tzn. w tym zakresie nie będzie wydawana jedna decyzja.</w:t>
      </w:r>
    </w:p>
    <w:p w14:paraId="6801D5D5" w14:textId="77777777" w:rsidR="00D514F8" w:rsidRPr="00B25A10" w:rsidRDefault="00D514F8"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w art. 39f</w:t>
      </w:r>
    </w:p>
    <w:p w14:paraId="29753A73" w14:textId="74070CBD" w:rsidR="00D514F8" w:rsidRPr="00B25A10" w:rsidRDefault="00D514F8"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Zmiana art. 39f ust. 3 ma charakter porządkujący polegający na wykreśleniu z niego regulacji odnoszącej się do zwrotu nadpłaty paliwowej przez Bank Gospodarstwa Krajowego. Zwrot nadpłaty opłaty paliwowej, w tym</w:t>
      </w:r>
      <w:r w:rsidR="00636513">
        <w:rPr>
          <w:rFonts w:ascii="Times New Roman" w:hAnsi="Times New Roman" w:cs="Times New Roman"/>
          <w:bCs/>
          <w:sz w:val="24"/>
          <w:szCs w:val="24"/>
        </w:rPr>
        <w:t>,</w:t>
      </w:r>
      <w:r w:rsidRPr="00B25A10">
        <w:rPr>
          <w:rFonts w:ascii="Times New Roman" w:hAnsi="Times New Roman" w:cs="Times New Roman"/>
          <w:bCs/>
          <w:sz w:val="24"/>
          <w:szCs w:val="24"/>
        </w:rPr>
        <w:t xml:space="preserve"> z jakich środków jest on dokonywany, został uregulowany w art. 37o ust. 2 i art. 37o</w:t>
      </w:r>
      <w:r w:rsidR="006E32A1" w:rsidRPr="00B25A10">
        <w:rPr>
          <w:rFonts w:ascii="Times New Roman" w:hAnsi="Times New Roman" w:cs="Times New Roman"/>
          <w:bCs/>
          <w:sz w:val="24"/>
          <w:szCs w:val="24"/>
        </w:rPr>
        <w:t>b</w:t>
      </w:r>
      <w:r w:rsidRPr="00B25A10">
        <w:rPr>
          <w:rFonts w:ascii="Times New Roman" w:hAnsi="Times New Roman" w:cs="Times New Roman"/>
          <w:bCs/>
          <w:sz w:val="24"/>
          <w:szCs w:val="24"/>
        </w:rPr>
        <w:t xml:space="preserve">, w związku z czym nie ma potrzeby powtarzania przepisów w tym zakresie. </w:t>
      </w:r>
    </w:p>
    <w:p w14:paraId="1150211A" w14:textId="77777777" w:rsidR="00D514F8" w:rsidRPr="00B25A10" w:rsidRDefault="00D514F8"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w art. 39l</w:t>
      </w:r>
    </w:p>
    <w:p w14:paraId="4A129552" w14:textId="5D3BE082" w:rsidR="00D514F8" w:rsidRPr="00B25A10" w:rsidRDefault="00D514F8"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bCs/>
          <w:sz w:val="24"/>
          <w:szCs w:val="24"/>
        </w:rPr>
        <w:t>Uchylenie art. 39l pkt 3 ustawy o autostradach płatnych oraz o Krajowym Funduszu Drogowym ma charakter porządkujący. Zasady zwrotu nadpłaty opłaty paliwowej zostały bowiem, na mocy niniejszej nowelizacji, określone bezpośrednio w przepisach powszechnie obowiązujących, czyli ustawach podatkowych (poprzez odesłanie z art. 37q) oraz w ustawie o autostradach płatnych oraz o Krajowym Funduszu Drogowym. Zatem nie ma konieczności</w:t>
      </w:r>
      <w:r w:rsidR="00636513">
        <w:rPr>
          <w:rFonts w:ascii="Times New Roman" w:hAnsi="Times New Roman" w:cs="Times New Roman"/>
          <w:bCs/>
          <w:sz w:val="24"/>
          <w:szCs w:val="24"/>
        </w:rPr>
        <w:t>,</w:t>
      </w:r>
      <w:r w:rsidRPr="00B25A10">
        <w:rPr>
          <w:rFonts w:ascii="Times New Roman" w:hAnsi="Times New Roman" w:cs="Times New Roman"/>
          <w:bCs/>
          <w:sz w:val="24"/>
          <w:szCs w:val="24"/>
        </w:rPr>
        <w:t xml:space="preserve"> aby porozumienie zawierane przez ministra właściwego do spraw transportu z Bankiem Gospodarstwa Krajowego dla prowadzenia Krajowego Funduszu Drogowego regulowało sposób i termin zwrotu nadpłaty opłaty paliwowej. </w:t>
      </w:r>
    </w:p>
    <w:p w14:paraId="45F75171" w14:textId="77777777" w:rsidR="00903478" w:rsidRPr="00B25A10" w:rsidRDefault="00903478" w:rsidP="00636513">
      <w:pPr>
        <w:pStyle w:val="ZUSTzmustartykuempunktem"/>
        <w:spacing w:before="240" w:after="240" w:line="240" w:lineRule="auto"/>
        <w:ind w:left="0" w:firstLine="0"/>
        <w:rPr>
          <w:rFonts w:ascii="Times New Roman" w:hAnsi="Times New Roman" w:cs="Times New Roman"/>
          <w:b/>
          <w:szCs w:val="24"/>
          <w:u w:val="single"/>
        </w:rPr>
      </w:pPr>
      <w:r w:rsidRPr="00B25A10">
        <w:rPr>
          <w:rFonts w:ascii="Times New Roman" w:hAnsi="Times New Roman" w:cs="Times New Roman"/>
          <w:b/>
          <w:szCs w:val="24"/>
          <w:u w:val="single"/>
        </w:rPr>
        <w:t>Zmiana ustawy z dnia 13 października 1995 r. o zasadach ewidencji i identyfikacji podatników i płatników</w:t>
      </w:r>
    </w:p>
    <w:p w14:paraId="54CC0796" w14:textId="48CCD6D6" w:rsidR="007D6E73" w:rsidRPr="00B25A10" w:rsidRDefault="007D6E73" w:rsidP="002B0551">
      <w:pPr>
        <w:spacing w:before="120" w:after="0" w:line="360" w:lineRule="auto"/>
        <w:jc w:val="both"/>
        <w:rPr>
          <w:rFonts w:ascii="Times New Roman" w:eastAsia="Times New Roman" w:hAnsi="Times New Roman" w:cs="Times New Roman"/>
          <w:sz w:val="24"/>
          <w:szCs w:val="24"/>
          <w:lang w:eastAsia="pl-PL"/>
        </w:rPr>
      </w:pPr>
      <w:r w:rsidRPr="00B25A10">
        <w:rPr>
          <w:rFonts w:ascii="Times New Roman" w:hAnsi="Times New Roman" w:cs="Times New Roman"/>
          <w:sz w:val="24"/>
          <w:szCs w:val="24"/>
        </w:rPr>
        <w:t xml:space="preserve">Przyczyną wprowadzenia zmiany zawartej w art. 4 projektowanej ustawy jest umożliwienie nadawania numeru PESEL osobom (głównie cudzoziemcom) nieprowadzącym działalności gospodarczej lub niebędącym zarejestrowanymi podatnikami VAT, które nie posiadają zameldowania na terytorium RP. W obecnym stanie prawnym osoby te z uwagi na trudności z wypełnieniem obowiązku meldunkowego nie są wpisywane do rejestru PESEL przez właściwe organy, czego konsekwencją jest brak możliwości posługiwania się </w:t>
      </w:r>
      <w:r w:rsidRPr="00B25A10">
        <w:rPr>
          <w:rFonts w:ascii="Times New Roman" w:eastAsia="Times New Roman" w:hAnsi="Times New Roman" w:cs="Times New Roman"/>
          <w:sz w:val="24"/>
          <w:szCs w:val="24"/>
          <w:lang w:eastAsia="pl-PL"/>
        </w:rPr>
        <w:t>numerem PESEL jako identyfikatorem podatkowym. Zgodnie bowiem z art. 3 ust. 1 pkt 1 ustawy z dnia 13</w:t>
      </w:r>
      <w:r w:rsidR="00636513">
        <w:rPr>
          <w:rFonts w:ascii="Times New Roman" w:eastAsia="Times New Roman" w:hAnsi="Times New Roman" w:cs="Times New Roman"/>
          <w:sz w:val="24"/>
          <w:szCs w:val="24"/>
          <w:lang w:eastAsia="pl-PL"/>
        </w:rPr>
        <w:t> </w:t>
      </w:r>
      <w:r w:rsidRPr="00B25A10">
        <w:rPr>
          <w:rFonts w:ascii="Times New Roman" w:eastAsia="Times New Roman" w:hAnsi="Times New Roman" w:cs="Times New Roman"/>
          <w:sz w:val="24"/>
          <w:szCs w:val="24"/>
          <w:lang w:eastAsia="pl-PL"/>
        </w:rPr>
        <w:t xml:space="preserve">października 1995 r. o zasadach ewidencji i identyfikacji podatników i płatników </w:t>
      </w:r>
      <w:r w:rsidRPr="00B25A10">
        <w:rPr>
          <w:rFonts w:ascii="Times New Roman" w:hAnsi="Times New Roman" w:cs="Times New Roman"/>
          <w:sz w:val="24"/>
          <w:szCs w:val="24"/>
        </w:rPr>
        <w:t xml:space="preserve">(Dz. U. z 2020 r. poz. 170) </w:t>
      </w:r>
      <w:r w:rsidRPr="00B25A10">
        <w:rPr>
          <w:rFonts w:ascii="Times New Roman" w:eastAsia="Times New Roman" w:hAnsi="Times New Roman" w:cs="Times New Roman"/>
          <w:sz w:val="24"/>
          <w:szCs w:val="24"/>
          <w:lang w:eastAsia="pl-PL"/>
        </w:rPr>
        <w:t xml:space="preserve">numer PESEL jest identyfikatorem podatkowym jedynie w przypadku podatników będących osobami fizycznymi </w:t>
      </w:r>
      <w:r w:rsidRPr="00B25A10">
        <w:rPr>
          <w:rFonts w:ascii="Times New Roman" w:eastAsia="Times New Roman" w:hAnsi="Times New Roman" w:cs="Times New Roman"/>
          <w:sz w:val="24"/>
          <w:szCs w:val="24"/>
          <w:u w:val="single"/>
          <w:lang w:eastAsia="pl-PL"/>
        </w:rPr>
        <w:t>objętymi rejestrem</w:t>
      </w:r>
      <w:r w:rsidRPr="00B25A10">
        <w:rPr>
          <w:rFonts w:ascii="Times New Roman" w:eastAsia="Times New Roman" w:hAnsi="Times New Roman" w:cs="Times New Roman"/>
          <w:sz w:val="24"/>
          <w:szCs w:val="24"/>
          <w:lang w:eastAsia="pl-PL"/>
        </w:rPr>
        <w:t xml:space="preserve"> PESEL nieprowadzącymi działalności gospodarczej lub niebędącymi zarejestrowanymi podatnikami podatku od towarów i usług.</w:t>
      </w:r>
      <w:r w:rsidRPr="00B25A10">
        <w:rPr>
          <w:rFonts w:ascii="Times New Roman" w:hAnsi="Times New Roman" w:cs="Times New Roman"/>
          <w:sz w:val="24"/>
          <w:szCs w:val="24"/>
        </w:rPr>
        <w:t xml:space="preserve"> W praktyce występują przypadki, że podmiotom takim, na ich wniosek, w </w:t>
      </w:r>
      <w:r w:rsidRPr="00B25A10">
        <w:rPr>
          <w:rFonts w:ascii="Times New Roman" w:hAnsi="Times New Roman" w:cs="Times New Roman"/>
          <w:sz w:val="24"/>
          <w:szCs w:val="24"/>
        </w:rPr>
        <w:lastRenderedPageBreak/>
        <w:t>celu umożliwienia prawidłowego wykonywania obowiązków podatkowych, jest nadawany numer NIP, mimo że identyfikator ten powinien być nadawany jedynie podmiotom, które są obowiązane posiadać NIP na podstawie przepisów ww. ustawy o zasadach ewidencji i identyfikacji podatników i płatników (art. 3a i ar</w:t>
      </w:r>
      <w:r w:rsidR="00636513">
        <w:rPr>
          <w:rFonts w:ascii="Times New Roman" w:hAnsi="Times New Roman" w:cs="Times New Roman"/>
          <w:sz w:val="24"/>
          <w:szCs w:val="24"/>
        </w:rPr>
        <w:t xml:space="preserve">t. 3 ust. 1 pkt 2 ww. ustawy). </w:t>
      </w:r>
      <w:r w:rsidRPr="00B25A10">
        <w:rPr>
          <w:rFonts w:ascii="Times New Roman" w:hAnsi="Times New Roman" w:cs="Times New Roman"/>
          <w:sz w:val="24"/>
          <w:szCs w:val="24"/>
        </w:rPr>
        <w:t xml:space="preserve">Projektowana zmiana ustawy </w:t>
      </w:r>
      <w:r w:rsidRPr="00B25A10">
        <w:rPr>
          <w:rFonts w:ascii="Times New Roman" w:eastAsia="Times New Roman" w:hAnsi="Times New Roman" w:cs="Times New Roman"/>
          <w:sz w:val="24"/>
          <w:szCs w:val="24"/>
          <w:lang w:eastAsia="pl-PL"/>
        </w:rPr>
        <w:t>o zasadach ewidencji i identyfikacji podatników i płatników ma zatem na celu umożliwienie takim osobom zapewnienie identyfikatora PESEL dla celów podatkowych, bez konieczności realizacji obowiązku meldunkowego</w:t>
      </w:r>
      <w:r w:rsidR="00636513">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oraz wyeliminowanie praktyki nadawania takim osobom numeru NIP.</w:t>
      </w:r>
    </w:p>
    <w:p w14:paraId="324BED6B" w14:textId="77777777" w:rsidR="00A56215" w:rsidRPr="00B25A10" w:rsidRDefault="00A56215" w:rsidP="002B0551">
      <w:pPr>
        <w:pStyle w:val="NormalnyWeb"/>
        <w:keepLines/>
        <w:shd w:val="clear" w:color="auto" w:fill="FFFFFF"/>
        <w:spacing w:before="120" w:line="360" w:lineRule="auto"/>
        <w:jc w:val="both"/>
        <w:textAlignment w:val="baseline"/>
      </w:pPr>
      <w:r w:rsidRPr="00B25A10">
        <w:t>W ostatnim czasie sprawa ta stała się szczególnie istotna i pilna z uwagi na dynamiczny wzrost napływu na terytorium Rzeczypospolitej Polskiej cudzoziemców (głównie obywateli ukraińskich) poszukujących tutaj zatrudnienia i zarobkowania. W dużej części osoby te mają trudności z uzyskaniem zameldowania.</w:t>
      </w:r>
    </w:p>
    <w:p w14:paraId="64457D89" w14:textId="77777777" w:rsidR="00636513" w:rsidRDefault="00A56215" w:rsidP="00636513">
      <w:pPr>
        <w:pStyle w:val="NormalnyWeb"/>
        <w:keepLines/>
        <w:shd w:val="clear" w:color="auto" w:fill="FFFFFF"/>
        <w:spacing w:line="360" w:lineRule="auto"/>
        <w:jc w:val="both"/>
        <w:textAlignment w:val="baseline"/>
      </w:pPr>
      <w:r w:rsidRPr="00B25A10">
        <w:t>Istniejące okoliczności mogą stać się przyczynkiem do powstania nieprawidłowości (podatkowych) po stronie podatników (głównie cudzoziemców), płatników (w tym zatrudniających cudzoziemców) i organów podatkowych borykających się z identyfikacją tych podatników konieczną m.in. do prawidłowego ich rozliczenia.</w:t>
      </w:r>
    </w:p>
    <w:p w14:paraId="133CE662" w14:textId="4DE09459" w:rsidR="00D92305" w:rsidRPr="00B25A10" w:rsidRDefault="00903478" w:rsidP="00636513">
      <w:pPr>
        <w:pStyle w:val="NormalnyWeb"/>
        <w:keepLines/>
        <w:shd w:val="clear" w:color="auto" w:fill="FFFFFF"/>
        <w:spacing w:line="360" w:lineRule="auto"/>
        <w:jc w:val="both"/>
        <w:textAlignment w:val="baseline"/>
      </w:pPr>
      <w:r w:rsidRPr="00B25A10">
        <w:lastRenderedPageBreak/>
        <w:t xml:space="preserve">W związku z referencyjnym charakterem określonych danych z rejestru PESEL dla Centralnego Rejestru Podmiotów </w:t>
      </w:r>
      <w:r w:rsidR="00636513" w:rsidRPr="00B25A10">
        <w:t>–</w:t>
      </w:r>
      <w:r w:rsidRPr="00B25A10">
        <w:t xml:space="preserve"> Krajowe</w:t>
      </w:r>
      <w:r w:rsidR="001C4AE8" w:rsidRPr="00B25A10">
        <w:t>j Ewidencji Podatników</w:t>
      </w:r>
      <w:r w:rsidRPr="00B25A10">
        <w:t xml:space="preserve"> i regulacją prawną stanowiącą, że numer PESEL jest identyfikatorem podatkowym dla określonych podatników</w:t>
      </w:r>
      <w:r w:rsidR="00636513">
        <w:t>,</w:t>
      </w:r>
      <w:r w:rsidRPr="00B25A10">
        <w:t xml:space="preserve"> istnieje konieczność zapewnienia tego identyfikatora</w:t>
      </w:r>
      <w:r w:rsidR="00FF4D64" w:rsidRPr="00B25A10">
        <w:t xml:space="preserve"> </w:t>
      </w:r>
      <w:r w:rsidRPr="00B25A10">
        <w:t xml:space="preserve">nie tylko osobom objętym rejestrem PESEL (zobowiązanym do posiadania go), ale również innym podatnikom (nieprowadzącym działalności gospodarczej lub niebędącym zarejestrowanymi podatnikami podatku od towarów i usług), które </w:t>
      </w:r>
      <w:r w:rsidR="000B5D14" w:rsidRPr="00B25A10">
        <w:t>–</w:t>
      </w:r>
      <w:r w:rsidRPr="00B25A10">
        <w:t xml:space="preserve"> w określonych warunkach </w:t>
      </w:r>
      <w:r w:rsidR="000B5D14" w:rsidRPr="00B25A10">
        <w:t>–</w:t>
      </w:r>
      <w:r w:rsidRPr="00B25A10">
        <w:t xml:space="preserve"> mogłyby go uzyskać na podstawie art. 7 ust. 2 ustawy </w:t>
      </w:r>
      <w:r w:rsidR="00323D59" w:rsidRPr="00B25A10">
        <w:t xml:space="preserve">z 24 września 2010 r. </w:t>
      </w:r>
      <w:r w:rsidRPr="00B25A10">
        <w:t>o ewidencji ludności</w:t>
      </w:r>
      <w:r w:rsidR="00323D59" w:rsidRPr="00B25A10">
        <w:t>, zwanej dalej „ustawą o ewidencji ludności”</w:t>
      </w:r>
      <w:r w:rsidRPr="00B25A10">
        <w:t>. Istotny charakter numeru PESEL dla identyfikacji podatkowej potwierdza art. 67 ustawy z dnia 29 lipca 2011 r. o zmianie ustawy o</w:t>
      </w:r>
      <w:r w:rsidR="00693388" w:rsidRPr="00B25A10">
        <w:t> </w:t>
      </w:r>
      <w:r w:rsidRPr="00B25A10">
        <w:t>zasadach ewidencji i identyfikacji podatników i płatników oraz niektórych innych ustaw (Dz. U. poz. 1016) znoszący NIP nadany osobom fizycznym objętym rejestrem PESEL, nieprowadzącym działalności gospodarczej lub niebędącym zarejestrowanymi podatnikami podatku od towarów i usług i wskazujący jednocześnie, że numer PESEL jest jedynym identyfikatorem podatkowym tych osób</w:t>
      </w:r>
      <w:r w:rsidR="00A2388C" w:rsidRPr="00B25A10">
        <w:t>. Ponadto, w przypadku gdy z odrębnych przepisów wynika obowiązek podawania NIP, obowiązek ten dotyczy wyłącznie podmiotów, które są obowiązane posiadać NIP na podstawie przepisó</w:t>
      </w:r>
      <w:r w:rsidR="006D0100" w:rsidRPr="00B25A10">
        <w:t xml:space="preserve">w ustawy o zasadach ewidencji </w:t>
      </w:r>
      <w:r w:rsidR="00693388" w:rsidRPr="00B25A10">
        <w:t>i </w:t>
      </w:r>
      <w:r w:rsidR="00A2388C" w:rsidRPr="00B25A10">
        <w:t>identyfikacji podatników i płatników (art. 3a)</w:t>
      </w:r>
      <w:r w:rsidR="006A5081" w:rsidRPr="00B25A10">
        <w:t>. Zobowiązano</w:t>
      </w:r>
      <w:r w:rsidR="00A2388C" w:rsidRPr="00B25A10">
        <w:t xml:space="preserve"> także naczelnika urzędu skarbowego do wydawania decyzj</w:t>
      </w:r>
      <w:r w:rsidR="00FF4D64" w:rsidRPr="00B25A10">
        <w:t>i</w:t>
      </w:r>
      <w:r w:rsidR="00A2388C" w:rsidRPr="00B25A10">
        <w:t xml:space="preserve"> o odmowie nadania NIP</w:t>
      </w:r>
      <w:r w:rsidR="00693388" w:rsidRPr="00B25A10">
        <w:t xml:space="preserve"> w przypadku wystąpienia o </w:t>
      </w:r>
      <w:r w:rsidR="00A2388C" w:rsidRPr="00B25A10">
        <w:t>nadanie NIP przez podatnika objętego rejestrem PESEL</w:t>
      </w:r>
      <w:r w:rsidR="00FF4D64" w:rsidRPr="00B25A10">
        <w:t xml:space="preserve"> (zobowiązanego do posiadania go)</w:t>
      </w:r>
      <w:r w:rsidR="00A2388C" w:rsidRPr="00B25A10">
        <w:t xml:space="preserve"> nieprowadzącego działalności gospodarczej lub niebędącego zarejestrowanym podatnikiem podatku od towarów i usług, czyli przez podatnika</w:t>
      </w:r>
      <w:r w:rsidR="000B5D14">
        <w:t>,</w:t>
      </w:r>
      <w:r w:rsidR="00A2388C" w:rsidRPr="00B25A10">
        <w:t xml:space="preserve"> dla którego identyfikatorem podatkowym jest numer PESEL (art. 8c ust. 1 pkt 4)</w:t>
      </w:r>
      <w:r w:rsidRPr="00B25A10">
        <w:t xml:space="preserve">. </w:t>
      </w:r>
      <w:r w:rsidR="00A2388C" w:rsidRPr="00B25A10">
        <w:t xml:space="preserve">Zatem </w:t>
      </w:r>
      <w:r w:rsidR="000B5D14" w:rsidRPr="00B25A10">
        <w:t>–</w:t>
      </w:r>
      <w:r w:rsidR="00A2388C" w:rsidRPr="00B25A10">
        <w:t xml:space="preserve"> co do zasady </w:t>
      </w:r>
      <w:r w:rsidR="000B5D14" w:rsidRPr="00B25A10">
        <w:t>–</w:t>
      </w:r>
      <w:r w:rsidR="00A2388C" w:rsidRPr="00B25A10">
        <w:t xml:space="preserve"> osoba fizyczna jest obowiązana posiadać (posługiwać się) NIP</w:t>
      </w:r>
      <w:r w:rsidR="000B5D14">
        <w:t>,</w:t>
      </w:r>
      <w:r w:rsidR="00A2388C" w:rsidRPr="00B25A10">
        <w:t xml:space="preserve"> prowadząc działalność gospodarczą (przedsiębiorc</w:t>
      </w:r>
      <w:r w:rsidR="00FF4D64" w:rsidRPr="00B25A10">
        <w:t>a</w:t>
      </w:r>
      <w:r w:rsidR="00A2388C" w:rsidRPr="00B25A10">
        <w:t xml:space="preserve">) lub będąc zarejestrowanym podatnikiem podatku od towarów i usług, lub będąc płatnikiem. </w:t>
      </w:r>
      <w:r w:rsidR="006A5081" w:rsidRPr="00B25A10">
        <w:t xml:space="preserve">NIP nie powinien być nadawany automatycznie cudzoziemcom, którzy nie są ujęci w rejestrze PESEL. </w:t>
      </w:r>
    </w:p>
    <w:p w14:paraId="225EFF77" w14:textId="77777777" w:rsidR="00D92305" w:rsidRPr="00B25A10" w:rsidRDefault="00D92305" w:rsidP="002B0551">
      <w:pPr>
        <w:pStyle w:val="NormalnyWeb"/>
        <w:keepLines/>
        <w:shd w:val="clear" w:color="auto" w:fill="FFFFFF"/>
        <w:spacing w:before="120" w:line="360" w:lineRule="auto"/>
        <w:jc w:val="both"/>
        <w:textAlignment w:val="baseline"/>
        <w:rPr>
          <w:rFonts w:eastAsia="Times New Roman"/>
          <w:spacing w:val="-2"/>
        </w:rPr>
      </w:pPr>
      <w:r w:rsidRPr="00B25A10">
        <w:t>Cudzoziemcy</w:t>
      </w:r>
      <w:r w:rsidRPr="00B25A10">
        <w:rPr>
          <w:rFonts w:eastAsia="Times New Roman"/>
        </w:rPr>
        <w:t>, którzy są obywatelami państwa członkowskiego Unii Europejskiej, państwa członkowskiego Europejskiego Porozumienia o Wolnym</w:t>
      </w:r>
      <w:r w:rsidR="00693388" w:rsidRPr="00B25A10">
        <w:rPr>
          <w:rFonts w:eastAsia="Times New Roman"/>
        </w:rPr>
        <w:t xml:space="preserve"> Handlu (EFTA) – strony umowy o </w:t>
      </w:r>
      <w:r w:rsidRPr="00B25A10">
        <w:rPr>
          <w:rFonts w:eastAsia="Times New Roman"/>
        </w:rPr>
        <w:t xml:space="preserve">Europejskim Obszarze Gospodarczym lub Konfederacji Szwajcarskiej oraz członkowie ich rodzin zamieszkujący w Polsce, mają obowiązek zameldować się w miejscu pobytu stałego lub czasowego najpóźniej w 30. dniu, licząc od dnia przybycia do tego miejsca. </w:t>
      </w:r>
    </w:p>
    <w:p w14:paraId="317B451C" w14:textId="77777777" w:rsidR="00D92305" w:rsidRPr="00B25A10" w:rsidRDefault="00D92305" w:rsidP="002B0551">
      <w:pPr>
        <w:pStyle w:val="NormalnyWeb"/>
        <w:keepLines/>
        <w:shd w:val="clear" w:color="auto" w:fill="FFFFFF"/>
        <w:spacing w:before="120" w:line="360" w:lineRule="auto"/>
        <w:jc w:val="both"/>
        <w:textAlignment w:val="baseline"/>
        <w:rPr>
          <w:bCs/>
        </w:rPr>
      </w:pPr>
      <w:r w:rsidRPr="00B25A10">
        <w:lastRenderedPageBreak/>
        <w:t>Jednocześnie</w:t>
      </w:r>
      <w:r w:rsidRPr="00B25A10">
        <w:rPr>
          <w:bCs/>
        </w:rPr>
        <w:t xml:space="preserve"> art. 41 ust. 3 ustawy o ewidencji ludności stanowi, iż cudzoziemiec niebędący obywatelem państwa członkowskiego Unii Europejskiej, obywatelem państwa członkowskiego  Europejskiego Porozumienia o Wolnym Handlu (EFTA) lub obywatelem Konfederacji Szwajcarskiej lub członkiem rodziny takiego cudzoziemca, przebywający na terytorium Rzeczypospolitej Polskiej, ma obowiązek zameldować się w miejscu pobytu stałego lub czasowego najpóźniej czwartego dnia, licząc od dnia przybycia do tego miejsca. </w:t>
      </w:r>
    </w:p>
    <w:p w14:paraId="61170495" w14:textId="77777777" w:rsidR="00D92305" w:rsidRPr="00B25A10" w:rsidRDefault="00D92305" w:rsidP="002B0551">
      <w:pPr>
        <w:pStyle w:val="NormalnyWeb"/>
        <w:keepLines/>
        <w:shd w:val="clear" w:color="auto" w:fill="FFFFFF"/>
        <w:spacing w:before="120" w:line="360" w:lineRule="auto"/>
        <w:jc w:val="both"/>
        <w:textAlignment w:val="baseline"/>
        <w:rPr>
          <w:bCs/>
        </w:rPr>
      </w:pPr>
      <w:r w:rsidRPr="00B25A10">
        <w:t>Powyższy</w:t>
      </w:r>
      <w:r w:rsidRPr="00B25A10">
        <w:rPr>
          <w:bCs/>
        </w:rPr>
        <w:t xml:space="preserve"> nakaz dopełnienia obowiązku zameldowania w odniesieniu do osób wymienionych w art. 41 ust. 3 ustawy o ewidencji ludności, który pociąga za sobą nadanie numeru PESEL, stanowi powinność administracyjną, której niewykonanie obwarowane jest odpowiedzialnością karną z art. 59 ust. 1 ustawy o ewidencji ludności.</w:t>
      </w:r>
    </w:p>
    <w:p w14:paraId="4B17B7EC" w14:textId="76C26C22" w:rsidR="001C4AE8" w:rsidRPr="00B25A10" w:rsidRDefault="00323D59" w:rsidP="002B0551">
      <w:pPr>
        <w:pStyle w:val="ZUSTzmustartykuempunktem"/>
        <w:spacing w:before="120"/>
        <w:ind w:left="0" w:firstLine="0"/>
        <w:rPr>
          <w:rFonts w:ascii="Times New Roman" w:hAnsi="Times New Roman" w:cs="Times New Roman"/>
          <w:szCs w:val="24"/>
        </w:rPr>
      </w:pPr>
      <w:r w:rsidRPr="00B25A10">
        <w:rPr>
          <w:rFonts w:ascii="Times New Roman" w:hAnsi="Times New Roman" w:cs="Times New Roman"/>
          <w:spacing w:val="-2"/>
          <w:szCs w:val="24"/>
        </w:rPr>
        <w:t>Natomiast</w:t>
      </w:r>
      <w:r w:rsidR="00D92305" w:rsidRPr="00B25A10">
        <w:rPr>
          <w:rFonts w:ascii="Times New Roman" w:hAnsi="Times New Roman" w:cs="Times New Roman"/>
          <w:spacing w:val="-2"/>
          <w:szCs w:val="24"/>
        </w:rPr>
        <w:t xml:space="preserve"> cudzoziemcy, których pobyt na terenie Polski nie przekracza</w:t>
      </w:r>
      <w:r w:rsidR="00D92305" w:rsidRPr="00B25A10">
        <w:rPr>
          <w:rFonts w:ascii="Times New Roman" w:hAnsi="Times New Roman" w:cs="Times New Roman"/>
          <w:szCs w:val="24"/>
        </w:rPr>
        <w:t xml:space="preserve"> 30 dni, są zwolnieni z obowiązku meldunkowego (art. 42 ust. 2 ustawy o ewidencji ludności)</w:t>
      </w:r>
      <w:r w:rsidR="00FF4D64" w:rsidRPr="00B25A10">
        <w:rPr>
          <w:rFonts w:ascii="Times New Roman" w:hAnsi="Times New Roman" w:cs="Times New Roman"/>
          <w:szCs w:val="24"/>
        </w:rPr>
        <w:t>, choć mogą być podatnikami</w:t>
      </w:r>
      <w:r w:rsidR="00A56215" w:rsidRPr="00B25A10">
        <w:rPr>
          <w:rFonts w:ascii="Times New Roman" w:hAnsi="Times New Roman" w:cs="Times New Roman"/>
          <w:szCs w:val="24"/>
        </w:rPr>
        <w:t>. Zgodnie z art. 7 ust. 3 w związku z ust. 2 ustawy</w:t>
      </w:r>
      <w:r w:rsidR="00765F35" w:rsidRPr="00B25A10">
        <w:rPr>
          <w:rFonts w:ascii="Times New Roman" w:hAnsi="Times New Roman" w:cs="Times New Roman"/>
          <w:szCs w:val="24"/>
        </w:rPr>
        <w:t xml:space="preserve"> o ewidencji ludności</w:t>
      </w:r>
      <w:r w:rsidR="00A56215" w:rsidRPr="00B25A10">
        <w:rPr>
          <w:rFonts w:ascii="Times New Roman" w:hAnsi="Times New Roman" w:cs="Times New Roman"/>
          <w:szCs w:val="24"/>
        </w:rPr>
        <w:t>, w rejestrze mieszkańców gromadzone są dane osób obowiązanych na podstawie odrębnych przepisów do posiadania numeru PESEL, które wykonały obowiązek meldunkowy na terenie danej gminy. A contrario należy uznać, że dane osób, które nie wykonały obowiązku meldunkowego</w:t>
      </w:r>
      <w:r w:rsidR="00765F35" w:rsidRPr="00B25A10">
        <w:rPr>
          <w:rFonts w:ascii="Times New Roman" w:hAnsi="Times New Roman" w:cs="Times New Roman"/>
          <w:szCs w:val="24"/>
        </w:rPr>
        <w:t>,</w:t>
      </w:r>
      <w:r w:rsidR="00A56215" w:rsidRPr="00B25A10">
        <w:rPr>
          <w:rFonts w:ascii="Times New Roman" w:hAnsi="Times New Roman" w:cs="Times New Roman"/>
          <w:szCs w:val="24"/>
        </w:rPr>
        <w:t xml:space="preserve"> nie są gromadzone w rejestrze mieszkańców, są natomiast gromadzone w rejestrze PESEL, jeżeli osoby te na podstawie odrębnych przepisów są obowiązane do posiadania numeru PESEL. Warto dodać, że zgodnie z art. 8 ustawy zarówno w rejestrze PESEL</w:t>
      </w:r>
      <w:r w:rsidR="000B5D14">
        <w:rPr>
          <w:rFonts w:ascii="Times New Roman" w:hAnsi="Times New Roman" w:cs="Times New Roman"/>
          <w:szCs w:val="24"/>
        </w:rPr>
        <w:t>,</w:t>
      </w:r>
      <w:r w:rsidR="00A56215" w:rsidRPr="00B25A10">
        <w:rPr>
          <w:rFonts w:ascii="Times New Roman" w:hAnsi="Times New Roman" w:cs="Times New Roman"/>
          <w:szCs w:val="24"/>
        </w:rPr>
        <w:t xml:space="preserve"> jak i w rejestrach mieszkańców gromadzone są takie same dane. Co więcej brzmienie art. 10 ust. 3 stanowiącego, że dane z rejestru PESEL są przekazywane do rejestru mieszkańców</w:t>
      </w:r>
      <w:r w:rsidR="000B5D14">
        <w:rPr>
          <w:rFonts w:ascii="Times New Roman" w:hAnsi="Times New Roman" w:cs="Times New Roman"/>
          <w:szCs w:val="24"/>
        </w:rPr>
        <w:t>,</w:t>
      </w:r>
      <w:r w:rsidR="00A56215" w:rsidRPr="00B25A10">
        <w:rPr>
          <w:rFonts w:ascii="Times New Roman" w:hAnsi="Times New Roman" w:cs="Times New Roman"/>
          <w:szCs w:val="24"/>
        </w:rPr>
        <w:t xml:space="preserve"> wskazuje, że rejestr mieszkańców jest rejestrem wtórnym w stosunku do rejestru PESEL. Warto podkreślić, że w odniesieniu do osób, o których mowa w art. 7 ust. 2 ustawy, nie gromadzi się danych dotyczących adresu i daty zameldowania na pobyt stały lub czasowy (art. 9 ust. 4 ustawy</w:t>
      </w:r>
      <w:r w:rsidR="00765F35" w:rsidRPr="00B25A10">
        <w:rPr>
          <w:rFonts w:ascii="Times New Roman" w:hAnsi="Times New Roman" w:cs="Times New Roman"/>
          <w:szCs w:val="24"/>
        </w:rPr>
        <w:t xml:space="preserve"> o ewidencji ludności</w:t>
      </w:r>
      <w:r w:rsidR="00A56215" w:rsidRPr="00B25A10">
        <w:rPr>
          <w:rFonts w:ascii="Times New Roman" w:hAnsi="Times New Roman" w:cs="Times New Roman"/>
          <w:szCs w:val="24"/>
        </w:rPr>
        <w:t>). Numer PESEL nadaje się również osobom, które są obywatelami polskimi zamieszkującymi poza granicami Rzeczypospolitej Polskiej, a więc są osobami, które nie są ujęte w rejestrze mieszkańców i nie posiadają na terytorium RP żadnego miejsca pobytu. Analiza ww. przepisów uprawnia do wniosku, że warunkiem gromadzenia danych w rejestrze PESEL, a także uzyskania samego numeru PESEL</w:t>
      </w:r>
      <w:r w:rsidR="000B5D14">
        <w:rPr>
          <w:rFonts w:ascii="Times New Roman" w:hAnsi="Times New Roman" w:cs="Times New Roman"/>
          <w:szCs w:val="24"/>
        </w:rPr>
        <w:t>,</w:t>
      </w:r>
      <w:r w:rsidR="00A56215" w:rsidRPr="00B25A10">
        <w:rPr>
          <w:rFonts w:ascii="Times New Roman" w:hAnsi="Times New Roman" w:cs="Times New Roman"/>
          <w:szCs w:val="24"/>
        </w:rPr>
        <w:t xml:space="preserve"> nie jest jednoczesne gromadzenie danych w rejestrze mieszkańców.</w:t>
      </w:r>
    </w:p>
    <w:p w14:paraId="67F7B2DF" w14:textId="33F8FD0C" w:rsidR="00323D59" w:rsidRPr="00B25A10" w:rsidRDefault="00A56215" w:rsidP="002B0551">
      <w:pPr>
        <w:pStyle w:val="ZUSTzmustartykuempunktem"/>
        <w:spacing w:before="120"/>
        <w:ind w:left="0" w:firstLine="0"/>
        <w:rPr>
          <w:rFonts w:ascii="Times New Roman" w:hAnsi="Times New Roman" w:cs="Times New Roman"/>
          <w:szCs w:val="24"/>
        </w:rPr>
      </w:pPr>
      <w:r w:rsidRPr="00B25A10">
        <w:rPr>
          <w:rFonts w:ascii="Times New Roman" w:hAnsi="Times New Roman" w:cs="Times New Roman"/>
          <w:szCs w:val="24"/>
        </w:rPr>
        <w:t>Projektowana nowelizacja ustawy z dnia 13 października 1995 r. o zasadach ewidencji i ident</w:t>
      </w:r>
      <w:r w:rsidR="001C4AE8" w:rsidRPr="00B25A10">
        <w:rPr>
          <w:rFonts w:ascii="Times New Roman" w:hAnsi="Times New Roman" w:cs="Times New Roman"/>
          <w:szCs w:val="24"/>
        </w:rPr>
        <w:t>yfikacji podatników i płatników</w:t>
      </w:r>
      <w:r w:rsidRPr="00B25A10">
        <w:rPr>
          <w:rFonts w:ascii="Times New Roman" w:hAnsi="Times New Roman" w:cs="Times New Roman"/>
          <w:szCs w:val="24"/>
        </w:rPr>
        <w:t xml:space="preserve"> ma na celu umożliwienie nadania numeru PESEL </w:t>
      </w:r>
      <w:r w:rsidRPr="00B25A10">
        <w:rPr>
          <w:rFonts w:ascii="Times New Roman" w:hAnsi="Times New Roman" w:cs="Times New Roman"/>
          <w:szCs w:val="24"/>
        </w:rPr>
        <w:lastRenderedPageBreak/>
        <w:t xml:space="preserve">osobom, które nie wykonały obowiązku meldunkowego lub nie chcą go wykonać, natomiast chcą wypełnić obowiązek podatkowy przez rozliczenie się z urzędem skarbowym. </w:t>
      </w:r>
    </w:p>
    <w:p w14:paraId="2496028F" w14:textId="7210866E" w:rsidR="009D381E" w:rsidRPr="00B25A10" w:rsidRDefault="006F64E4" w:rsidP="002B0551">
      <w:pPr>
        <w:pStyle w:val="ARTartustawynprozporzdzenia"/>
        <w:ind w:firstLine="0"/>
        <w:rPr>
          <w:rFonts w:ascii="Times New Roman" w:hAnsi="Times New Roman" w:cs="Times New Roman"/>
          <w:szCs w:val="24"/>
        </w:rPr>
      </w:pPr>
      <w:r w:rsidRPr="00B25A10">
        <w:rPr>
          <w:rFonts w:ascii="Times New Roman" w:hAnsi="Times New Roman" w:cs="Times New Roman"/>
          <w:szCs w:val="24"/>
          <w:lang w:eastAsia="ar-SA"/>
        </w:rPr>
        <w:t xml:space="preserve">Dodano również przepis przejściowy </w:t>
      </w:r>
      <w:r w:rsidR="00CA213A" w:rsidRPr="00B25A10">
        <w:rPr>
          <w:rFonts w:ascii="Times New Roman" w:hAnsi="Times New Roman" w:cs="Times New Roman"/>
          <w:szCs w:val="24"/>
          <w:lang w:eastAsia="ar-SA"/>
        </w:rPr>
        <w:t>określają</w:t>
      </w:r>
      <w:r w:rsidR="00675AFE" w:rsidRPr="00B25A10">
        <w:rPr>
          <w:rFonts w:ascii="Times New Roman" w:hAnsi="Times New Roman" w:cs="Times New Roman"/>
          <w:szCs w:val="24"/>
          <w:lang w:eastAsia="ar-SA"/>
        </w:rPr>
        <w:t>cy sytuację</w:t>
      </w:r>
      <w:r w:rsidRPr="00B25A10">
        <w:rPr>
          <w:rFonts w:ascii="Times New Roman" w:hAnsi="Times New Roman" w:cs="Times New Roman"/>
          <w:szCs w:val="24"/>
          <w:lang w:eastAsia="ar-SA"/>
        </w:rPr>
        <w:t xml:space="preserve"> osób, </w:t>
      </w:r>
      <w:r w:rsidR="00CA213A" w:rsidRPr="00B25A10">
        <w:rPr>
          <w:rFonts w:ascii="Times New Roman" w:hAnsi="Times New Roman" w:cs="Times New Roman"/>
          <w:szCs w:val="24"/>
          <w:lang w:eastAsia="ar-SA"/>
        </w:rPr>
        <w:t>które na skutek wprowadzanych zmian będą zobowiązane do posługiwania się numerem P</w:t>
      </w:r>
      <w:r w:rsidR="000B5D14">
        <w:rPr>
          <w:rFonts w:ascii="Times New Roman" w:hAnsi="Times New Roman" w:cs="Times New Roman"/>
          <w:szCs w:val="24"/>
          <w:lang w:eastAsia="ar-SA"/>
        </w:rPr>
        <w:t>ESEL</w:t>
      </w:r>
      <w:r w:rsidR="00CA213A" w:rsidRPr="00B25A10">
        <w:rPr>
          <w:rFonts w:ascii="Times New Roman" w:hAnsi="Times New Roman" w:cs="Times New Roman"/>
          <w:szCs w:val="24"/>
          <w:lang w:eastAsia="ar-SA"/>
        </w:rPr>
        <w:t>. Osoby takie będą podawać</w:t>
      </w:r>
      <w:r w:rsidR="000B5D14">
        <w:rPr>
          <w:rFonts w:ascii="Times New Roman" w:hAnsi="Times New Roman" w:cs="Times New Roman"/>
          <w:szCs w:val="24"/>
          <w:lang w:eastAsia="ar-SA"/>
        </w:rPr>
        <w:t>,</w:t>
      </w:r>
      <w:r w:rsidR="00CA213A" w:rsidRPr="00B25A10">
        <w:rPr>
          <w:rFonts w:ascii="Times New Roman" w:hAnsi="Times New Roman" w:cs="Times New Roman"/>
          <w:szCs w:val="24"/>
          <w:lang w:eastAsia="ar-SA"/>
        </w:rPr>
        <w:t xml:space="preserve"> </w:t>
      </w:r>
      <w:r w:rsidR="00CA213A" w:rsidRPr="00B25A10">
        <w:rPr>
          <w:rFonts w:ascii="Times New Roman" w:hAnsi="Times New Roman" w:cs="Times New Roman"/>
          <w:szCs w:val="24"/>
        </w:rPr>
        <w:t xml:space="preserve">do dnia nadania im numeru PESEL, identyfikator podatkowy NIP nadany im przed dniem wejścia w życie niniejszej ustawy, jednak nie dłużej niż przez okres 30 dni od dnia wejścia w życie ustawy. </w:t>
      </w:r>
    </w:p>
    <w:p w14:paraId="01E0D149" w14:textId="77777777" w:rsidR="00712E99" w:rsidRPr="00B25A10" w:rsidRDefault="00712E99" w:rsidP="000B5D14">
      <w:pPr>
        <w:spacing w:before="360"/>
        <w:jc w:val="both"/>
        <w:rPr>
          <w:rFonts w:ascii="Times New Roman" w:hAnsi="Times New Roman" w:cs="Times New Roman"/>
          <w:b/>
          <w:sz w:val="24"/>
          <w:szCs w:val="24"/>
          <w:u w:val="single"/>
        </w:rPr>
      </w:pPr>
      <w:r w:rsidRPr="00B25A10">
        <w:rPr>
          <w:rFonts w:ascii="Times New Roman" w:hAnsi="Times New Roman" w:cs="Times New Roman"/>
          <w:b/>
          <w:sz w:val="24"/>
          <w:szCs w:val="24"/>
          <w:u w:val="single"/>
        </w:rPr>
        <w:t>Zmiana Ordynacji podatkowej</w:t>
      </w:r>
    </w:p>
    <w:p w14:paraId="28C99B30" w14:textId="77777777" w:rsidR="00712E99" w:rsidRPr="00B25A10" w:rsidRDefault="00712E99" w:rsidP="00B25A10">
      <w:pPr>
        <w:spacing w:before="120"/>
        <w:jc w:val="both"/>
        <w:rPr>
          <w:rFonts w:ascii="Times New Roman" w:eastAsia="Times New Roman" w:hAnsi="Times New Roman" w:cs="Times New Roman"/>
          <w:b/>
          <w:bCs/>
          <w:sz w:val="24"/>
          <w:szCs w:val="24"/>
          <w:lang w:eastAsia="pl-PL"/>
        </w:rPr>
      </w:pPr>
      <w:r w:rsidRPr="00B25A10">
        <w:rPr>
          <w:rFonts w:ascii="Times New Roman" w:eastAsia="Times New Roman" w:hAnsi="Times New Roman" w:cs="Times New Roman"/>
          <w:b/>
          <w:bCs/>
          <w:sz w:val="24"/>
          <w:szCs w:val="24"/>
          <w:lang w:eastAsia="pl-PL"/>
        </w:rPr>
        <w:t>zmiana art. 17a</w:t>
      </w:r>
    </w:p>
    <w:p w14:paraId="595346B9" w14:textId="77777777" w:rsidR="00712E99" w:rsidRPr="00B25A10" w:rsidRDefault="00712E99"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 xml:space="preserve">Zmiana w art. 17a Ordynacji podatkowej jest konsekwencją zmian zaproponowanych w art. 39a ustawy </w:t>
      </w:r>
      <w:r w:rsidR="00A1495A" w:rsidRPr="00B25A10">
        <w:rPr>
          <w:rFonts w:ascii="Times New Roman" w:eastAsia="Times New Roman" w:hAnsi="Times New Roman" w:cs="Times New Roman"/>
          <w:bCs/>
          <w:sz w:val="24"/>
          <w:szCs w:val="24"/>
          <w:lang w:eastAsia="pl-PL"/>
        </w:rPr>
        <w:t xml:space="preserve">z dnia 11 marca 2004 r. </w:t>
      </w:r>
      <w:r w:rsidRPr="00B25A10">
        <w:rPr>
          <w:rFonts w:ascii="Times New Roman" w:eastAsia="Times New Roman" w:hAnsi="Times New Roman" w:cs="Times New Roman"/>
          <w:bCs/>
          <w:sz w:val="24"/>
          <w:szCs w:val="24"/>
          <w:lang w:eastAsia="pl-PL"/>
        </w:rPr>
        <w:t xml:space="preserve">o podatku od towarów i usług oraz w art. 14 ust. 3b ustawy </w:t>
      </w:r>
      <w:r w:rsidR="00A1495A" w:rsidRPr="00B25A10">
        <w:rPr>
          <w:rFonts w:ascii="Times New Roman" w:eastAsia="Times New Roman" w:hAnsi="Times New Roman" w:cs="Times New Roman"/>
          <w:bCs/>
          <w:sz w:val="24"/>
          <w:szCs w:val="24"/>
          <w:lang w:eastAsia="pl-PL"/>
        </w:rPr>
        <w:t xml:space="preserve">z dnia 6 grudnia 2008 r. </w:t>
      </w:r>
      <w:r w:rsidRPr="00B25A10">
        <w:rPr>
          <w:rFonts w:ascii="Times New Roman" w:eastAsia="Times New Roman" w:hAnsi="Times New Roman" w:cs="Times New Roman"/>
          <w:bCs/>
          <w:sz w:val="24"/>
          <w:szCs w:val="24"/>
          <w:lang w:eastAsia="pl-PL"/>
        </w:rPr>
        <w:t xml:space="preserve">o podatku akcyzowym, dotyczących wskazania organu właściwego do orzekania w sprawach odpowiedzialności podatkowej osoby trzeciej za zobowiązania w tych podatkach z tytułu importu towarów. </w:t>
      </w:r>
    </w:p>
    <w:p w14:paraId="6ACD0038"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 xml:space="preserve">uchylenie art. 147a, art. 165 § 6 i art. 166a </w:t>
      </w:r>
    </w:p>
    <w:p w14:paraId="558E5C74" w14:textId="77777777" w:rsidR="00712E99" w:rsidRPr="00B25A10" w:rsidRDefault="00712E99"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hAnsi="Times New Roman" w:cs="Times New Roman"/>
          <w:sz w:val="24"/>
          <w:szCs w:val="24"/>
        </w:rPr>
        <w:t xml:space="preserve">Uchylenie art. 147a, art. 165 § 6 i art. 166a Ordynacji podatkowej jest konsekwencją stosowania do postępowań w sprawie określania należnej kwoty podatków z tytułu importu towarów </w:t>
      </w:r>
      <w:r w:rsidR="00A1495A" w:rsidRPr="00B25A10">
        <w:rPr>
          <w:rFonts w:ascii="Times New Roman" w:hAnsi="Times New Roman" w:cs="Times New Roman"/>
          <w:sz w:val="24"/>
          <w:szCs w:val="24"/>
        </w:rPr>
        <w:t xml:space="preserve">określonych </w:t>
      </w:r>
      <w:r w:rsidRPr="00B25A10">
        <w:rPr>
          <w:rFonts w:ascii="Times New Roman" w:hAnsi="Times New Roman" w:cs="Times New Roman"/>
          <w:sz w:val="24"/>
          <w:szCs w:val="24"/>
        </w:rPr>
        <w:t>przepisów celnych. Wymienione przepisy stają się zbędne:</w:t>
      </w:r>
    </w:p>
    <w:p w14:paraId="517DAE93" w14:textId="3957747E" w:rsidR="00712E99" w:rsidRPr="00B25A10" w:rsidRDefault="000B5D14" w:rsidP="002B0551">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t>art. 147a odsyła do stosowania art. 83 i</w:t>
      </w:r>
      <w:r w:rsidR="00E608C8">
        <w:rPr>
          <w:rFonts w:ascii="Times New Roman" w:hAnsi="Times New Roman" w:cs="Times New Roman"/>
          <w:sz w:val="24"/>
          <w:szCs w:val="24"/>
        </w:rPr>
        <w:t xml:space="preserve"> art.</w:t>
      </w:r>
      <w:r w:rsidR="00712E99" w:rsidRPr="00B25A10">
        <w:rPr>
          <w:rFonts w:ascii="Times New Roman" w:hAnsi="Times New Roman" w:cs="Times New Roman"/>
          <w:sz w:val="24"/>
          <w:szCs w:val="24"/>
        </w:rPr>
        <w:t xml:space="preserve"> 84 Prawa celnego; po wprowadzeniu nowelizacji przepisy te będą stosowane na podstawie odesłania zawartego w art. 34 ust.</w:t>
      </w:r>
      <w:r>
        <w:rPr>
          <w:rFonts w:ascii="Times New Roman" w:hAnsi="Times New Roman" w:cs="Times New Roman"/>
          <w:sz w:val="24"/>
          <w:szCs w:val="24"/>
        </w:rPr>
        <w:t> </w:t>
      </w:r>
      <w:r w:rsidR="00712E99" w:rsidRPr="00B25A10">
        <w:rPr>
          <w:rFonts w:ascii="Times New Roman" w:hAnsi="Times New Roman" w:cs="Times New Roman"/>
          <w:sz w:val="24"/>
          <w:szCs w:val="24"/>
        </w:rPr>
        <w:t xml:space="preserve">4 ustawy o podatku od towarów i usług oraz art. 27 ust. 6b ustawy o podatku akcyzowym;  </w:t>
      </w:r>
    </w:p>
    <w:p w14:paraId="5D9F0E79" w14:textId="338AAB8B" w:rsidR="00712E99" w:rsidRPr="00B25A10" w:rsidRDefault="000B5D14" w:rsidP="002B0551">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t>art. 165 § 6 jest przepisem szczególnym stanowiącym o niewydawaniu postanowienia o wszczęciu postępowania w przypadku stwierdzenia nieprawidłowości w zgłoszeniu celnym przed zwolnieniem towaru; po nowelizacji postępowanie prowadzone będzie na podstawie przepisów celnych, w toku którego nie są wydawane postanowienia ani formalne wszczęcie postępowania;</w:t>
      </w:r>
    </w:p>
    <w:p w14:paraId="39FB2654" w14:textId="69E3CB76" w:rsidR="00712E99" w:rsidRPr="00B25A10" w:rsidRDefault="000B5D14" w:rsidP="002B0551">
      <w:pPr>
        <w:spacing w:before="120" w:after="0" w:line="360" w:lineRule="auto"/>
        <w:ind w:left="705" w:hanging="705"/>
        <w:jc w:val="both"/>
        <w:rPr>
          <w:rFonts w:ascii="Times New Roman" w:hAnsi="Times New Roman" w:cs="Times New Roman"/>
          <w:b/>
          <w:sz w:val="24"/>
          <w:szCs w:val="24"/>
          <w:u w:val="single"/>
        </w:rPr>
      </w:pPr>
      <w:r w:rsidRPr="00B25A10">
        <w:rPr>
          <w:rFonts w:ascii="Times New Roman" w:hAnsi="Times New Roman" w:cs="Times New Roman"/>
          <w:sz w:val="24"/>
          <w:szCs w:val="24"/>
        </w:rPr>
        <w:t>–</w:t>
      </w:r>
      <w:r w:rsidR="00712E99" w:rsidRPr="00B25A10">
        <w:rPr>
          <w:rFonts w:ascii="Times New Roman" w:hAnsi="Times New Roman" w:cs="Times New Roman"/>
          <w:sz w:val="24"/>
          <w:szCs w:val="24"/>
        </w:rPr>
        <w:tab/>
        <w:t>art. 166a daje możliwość połączenia, w drodze postanowienia, odrębnych postępowań w sprawach dotyczących podatku od towarów i usług oraz podatku akcyzowego z tytułu importu towarów; po nowelizacji sprawy te wraz ze sprawami dotyczącymi należności celnych powadzone będą w jednym postępowaniu.</w:t>
      </w:r>
    </w:p>
    <w:p w14:paraId="72FA2D58" w14:textId="77777777" w:rsidR="00712E99" w:rsidRPr="00B25A10" w:rsidRDefault="00712E99" w:rsidP="000B5D14">
      <w:pPr>
        <w:spacing w:before="360"/>
        <w:jc w:val="both"/>
        <w:rPr>
          <w:rFonts w:ascii="Times New Roman" w:hAnsi="Times New Roman" w:cs="Times New Roman"/>
          <w:b/>
          <w:sz w:val="24"/>
          <w:szCs w:val="24"/>
          <w:u w:val="single"/>
        </w:rPr>
      </w:pPr>
      <w:r w:rsidRPr="00B25A10">
        <w:rPr>
          <w:rFonts w:ascii="Times New Roman" w:hAnsi="Times New Roman" w:cs="Times New Roman"/>
          <w:b/>
          <w:sz w:val="24"/>
          <w:szCs w:val="24"/>
          <w:u w:val="single"/>
        </w:rPr>
        <w:lastRenderedPageBreak/>
        <w:t xml:space="preserve">Zmiana ustawy </w:t>
      </w:r>
      <w:r w:rsidR="00A1495A" w:rsidRPr="00B25A10">
        <w:rPr>
          <w:rFonts w:ascii="Times New Roman" w:hAnsi="Times New Roman" w:cs="Times New Roman"/>
          <w:b/>
          <w:sz w:val="24"/>
          <w:szCs w:val="24"/>
          <w:u w:val="single"/>
        </w:rPr>
        <w:t xml:space="preserve">z dnia 27 kwietnia 2001 r. </w:t>
      </w:r>
      <w:r w:rsidRPr="00B25A10">
        <w:rPr>
          <w:rFonts w:ascii="Times New Roman" w:hAnsi="Times New Roman" w:cs="Times New Roman"/>
          <w:b/>
          <w:sz w:val="24"/>
          <w:szCs w:val="24"/>
          <w:u w:val="single"/>
        </w:rPr>
        <w:t xml:space="preserve">– Prawo ochrony środowiska </w:t>
      </w:r>
    </w:p>
    <w:p w14:paraId="02AA7817"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 xml:space="preserve">zmiana art. 321d </w:t>
      </w:r>
    </w:p>
    <w:p w14:paraId="60CDCC37" w14:textId="1F099FDD"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Dodanie w art. 321d ustawy </w:t>
      </w:r>
      <w:r w:rsidR="00A1495A" w:rsidRPr="00B25A10">
        <w:rPr>
          <w:rFonts w:ascii="Times New Roman" w:hAnsi="Times New Roman" w:cs="Times New Roman"/>
          <w:sz w:val="24"/>
          <w:szCs w:val="24"/>
        </w:rPr>
        <w:t xml:space="preserve">z dnia 27 kwietnia 2001 r. </w:t>
      </w:r>
      <w:r w:rsidRPr="00B25A10">
        <w:rPr>
          <w:rFonts w:ascii="Times New Roman" w:hAnsi="Times New Roman" w:cs="Times New Roman"/>
          <w:sz w:val="24"/>
          <w:szCs w:val="24"/>
        </w:rPr>
        <w:t xml:space="preserve">– Prawo ochrony środowiska nowego przepisu </w:t>
      </w:r>
      <w:r w:rsidR="00A1495A" w:rsidRPr="00B25A10">
        <w:rPr>
          <w:rFonts w:ascii="Times New Roman" w:hAnsi="Times New Roman" w:cs="Times New Roman"/>
          <w:sz w:val="24"/>
          <w:szCs w:val="24"/>
        </w:rPr>
        <w:t xml:space="preserve">oznaczonego jako </w:t>
      </w:r>
      <w:r w:rsidRPr="00B25A10">
        <w:rPr>
          <w:rFonts w:ascii="Times New Roman" w:hAnsi="Times New Roman" w:cs="Times New Roman"/>
          <w:sz w:val="24"/>
          <w:szCs w:val="24"/>
        </w:rPr>
        <w:t>ust. 1a umożliwi odpowiednie stosowanie do określania opłaty emisyjnej ciążącej na podmiotach podlegających na podstawie przepisów o podatku akcyzowym obowiązkowi podatkowemu w zakresie podatku akcyzowego od paliw silnikowych z tytułu importu, przepisów art. 27 ust. 4</w:t>
      </w:r>
      <w:r w:rsidR="000B5D14" w:rsidRPr="00B25A10">
        <w:rPr>
          <w:rFonts w:ascii="Times New Roman" w:hAnsi="Times New Roman" w:cs="Times New Roman"/>
          <w:sz w:val="24"/>
          <w:szCs w:val="24"/>
        </w:rPr>
        <w:t>–</w:t>
      </w:r>
      <w:r w:rsidRPr="00B25A10">
        <w:rPr>
          <w:rFonts w:ascii="Times New Roman" w:hAnsi="Times New Roman" w:cs="Times New Roman"/>
          <w:sz w:val="24"/>
          <w:szCs w:val="24"/>
        </w:rPr>
        <w:t>6a ustawy z dnia 6 grudnia 2008 r. o podatku akcyzowym.</w:t>
      </w:r>
    </w:p>
    <w:p w14:paraId="52204D39" w14:textId="3D25917E"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Odesłanie, w omawianym zakresie, do przepisów ustawy o podatku akcyzowym wynika z nierozerwalnego powiązania opłaty emisyjnej z tym podatkiem. Zgodnie z art. 321d ust. 1 ustawy </w:t>
      </w:r>
      <w:r w:rsidR="008B3D35" w:rsidRPr="00B25A10">
        <w:rPr>
          <w:rFonts w:ascii="Times New Roman" w:hAnsi="Times New Roman" w:cs="Times New Roman"/>
          <w:sz w:val="24"/>
          <w:szCs w:val="24"/>
        </w:rPr>
        <w:t xml:space="preserve">z dnia 27 kwietnia 2001 r. </w:t>
      </w:r>
      <w:r w:rsidR="000B5D14" w:rsidRPr="00B25A10">
        <w:rPr>
          <w:rFonts w:ascii="Times New Roman" w:hAnsi="Times New Roman" w:cs="Times New Roman"/>
          <w:sz w:val="24"/>
          <w:szCs w:val="24"/>
        </w:rPr>
        <w:t>–</w:t>
      </w:r>
      <w:r w:rsidRPr="00B25A10">
        <w:rPr>
          <w:rFonts w:ascii="Times New Roman" w:hAnsi="Times New Roman" w:cs="Times New Roman"/>
          <w:sz w:val="24"/>
          <w:szCs w:val="24"/>
        </w:rPr>
        <w:t xml:space="preserve"> Prawo ochrony środowiska, obowiązek zapłaty opłaty emisyjnej powstaje z dniem powstania zobowiązania podatkowego w podatku akcyzowym od paliw silnikowych. </w:t>
      </w:r>
    </w:p>
    <w:p w14:paraId="3C3F5C1F" w14:textId="7F021854"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Zaproponowana zmiana pozwoli na określenie opłaty emisyjnej w jednej decyzji wraz z określeniem należności celnych i podatkowych oraz opłaty paliwowej, należnych </w:t>
      </w:r>
      <w:r w:rsidR="000B5D14">
        <w:rPr>
          <w:rFonts w:ascii="Times New Roman" w:hAnsi="Times New Roman" w:cs="Times New Roman"/>
          <w:sz w:val="24"/>
          <w:szCs w:val="24"/>
        </w:rPr>
        <w:t>z</w:t>
      </w:r>
      <w:r w:rsidRPr="00B25A10">
        <w:rPr>
          <w:rFonts w:ascii="Times New Roman" w:hAnsi="Times New Roman" w:cs="Times New Roman"/>
          <w:sz w:val="24"/>
          <w:szCs w:val="24"/>
        </w:rPr>
        <w:t xml:space="preserve"> tytułu importu towarów. Zasadę prowadzenia jednego postępowania i wydawania w konsekwencji jednej decyzji w sprawie określenia należności przywozowych określanych w związku z importem towarów wprowadza dodawany w Prawie celnym art. 73d.</w:t>
      </w:r>
    </w:p>
    <w:p w14:paraId="65BDF7FD"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Obecnie, w przypadku niepobrania opłaty emisyjnej lub pobrania jej w kwocie niższej niż należna, naczelnik urzędu celno-skarbowego wydaje decyzję na podstawie art. 21 § 3 Ordynacji podatkowej.   </w:t>
      </w:r>
    </w:p>
    <w:p w14:paraId="43DF7FE0"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art. 321g</w:t>
      </w:r>
    </w:p>
    <w:p w14:paraId="70397B7B"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Zmiana art. 321g ust. 2 ustawy </w:t>
      </w:r>
      <w:r w:rsidR="008B3D35" w:rsidRPr="00B25A10">
        <w:rPr>
          <w:rFonts w:ascii="Times New Roman" w:hAnsi="Times New Roman" w:cs="Times New Roman"/>
          <w:sz w:val="24"/>
          <w:szCs w:val="24"/>
        </w:rPr>
        <w:t xml:space="preserve">z dnia 27 kwietnia 2001 r. </w:t>
      </w:r>
      <w:r w:rsidRPr="00B25A10">
        <w:rPr>
          <w:rFonts w:ascii="Times New Roman" w:hAnsi="Times New Roman" w:cs="Times New Roman"/>
          <w:sz w:val="24"/>
          <w:szCs w:val="24"/>
        </w:rPr>
        <w:t>– Prawo ochrony środowiska, stanowiącego o właściwości organów, jest konsekwencją zmiany zaproponowanej w art. 321h</w:t>
      </w:r>
      <w:r w:rsidR="008B3D35" w:rsidRPr="00B25A10">
        <w:rPr>
          <w:rFonts w:ascii="Times New Roman" w:hAnsi="Times New Roman" w:cs="Times New Roman"/>
          <w:sz w:val="24"/>
          <w:szCs w:val="24"/>
        </w:rPr>
        <w:t xml:space="preserve"> tej ustawy</w:t>
      </w:r>
      <w:r w:rsidRPr="00B25A10">
        <w:rPr>
          <w:rFonts w:ascii="Times New Roman" w:hAnsi="Times New Roman" w:cs="Times New Roman"/>
          <w:sz w:val="24"/>
          <w:szCs w:val="24"/>
        </w:rPr>
        <w:t>.</w:t>
      </w:r>
    </w:p>
    <w:p w14:paraId="684305FB"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Zmiana jest konieczna w związku z zaproponowaną zmianą dotyczącą składania informacji o opłacie emisyjnej, tak aby:</w:t>
      </w:r>
    </w:p>
    <w:p w14:paraId="6E496864" w14:textId="07CD19F2" w:rsidR="00712E99" w:rsidRPr="00B25A10" w:rsidRDefault="00712E99" w:rsidP="002B0551">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1)</w:t>
      </w:r>
      <w:r w:rsidRPr="00B25A10">
        <w:rPr>
          <w:rFonts w:ascii="Times New Roman" w:hAnsi="Times New Roman" w:cs="Times New Roman"/>
          <w:sz w:val="24"/>
          <w:szCs w:val="24"/>
        </w:rPr>
        <w:tab/>
        <w:t>w odniesieniu do podmiotów, o których mowa wart. 321c ust. 1 pkt 1 i 3</w:t>
      </w:r>
      <w:r w:rsidR="000B5D14">
        <w:rPr>
          <w:rFonts w:ascii="Times New Roman" w:hAnsi="Times New Roman" w:cs="Times New Roman"/>
          <w:sz w:val="24"/>
          <w:szCs w:val="24"/>
        </w:rPr>
        <w:t>,</w:t>
      </w:r>
      <w:r w:rsidRPr="00B25A10">
        <w:rPr>
          <w:rFonts w:ascii="Times New Roman" w:hAnsi="Times New Roman" w:cs="Times New Roman"/>
          <w:sz w:val="24"/>
          <w:szCs w:val="24"/>
        </w:rPr>
        <w:t xml:space="preserve"> oraz podmiotu, o którym mowa w ust. 1 pkt 4, jeżeli podmiot ten podlega na podstawie przepisów o podatku akcyzowym obowiązkowi podatkowemu w zakresie podatku </w:t>
      </w:r>
      <w:r w:rsidRPr="00B25A10">
        <w:rPr>
          <w:rFonts w:ascii="Times New Roman" w:hAnsi="Times New Roman" w:cs="Times New Roman"/>
          <w:sz w:val="24"/>
          <w:szCs w:val="24"/>
        </w:rPr>
        <w:lastRenderedPageBreak/>
        <w:t>akcyzowego od paliw silnikowych z innego tytułu niż import, organem właściwym był naczelnik urzędu skarbowego, zaś</w:t>
      </w:r>
    </w:p>
    <w:p w14:paraId="1136A7FC" w14:textId="5AC78614" w:rsidR="00712E99" w:rsidRPr="00B25A10" w:rsidRDefault="00712E99" w:rsidP="002B0551">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2)</w:t>
      </w:r>
      <w:r w:rsidRPr="00B25A10">
        <w:rPr>
          <w:rFonts w:ascii="Times New Roman" w:hAnsi="Times New Roman" w:cs="Times New Roman"/>
          <w:sz w:val="24"/>
          <w:szCs w:val="24"/>
        </w:rPr>
        <w:tab/>
        <w:t>w odniesieniu do podmiotu, o którym mowa w art. 321c ust. 1 pkt 2</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oraz podmiotu, o którym mowa w art. 321c ust. 1 pkt 4, jeżeli podlega on na podstawie przepisów o podatku akcyzowym obowiązkowi podatkowemu w zakresie podatku akcyzowego od paliw silnikowych z tytułu importu, właściwy był naczelnik urzędu celno-skarbowego. </w:t>
      </w:r>
    </w:p>
    <w:p w14:paraId="78D7387F"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Organami właściwymi miejscowo w sprawach opłaty emisyjnej będą odpowiednio:</w:t>
      </w:r>
    </w:p>
    <w:p w14:paraId="739F6B0D" w14:textId="0E6C3DCA" w:rsidR="00712E99" w:rsidRPr="00B25A10" w:rsidRDefault="00712E99" w:rsidP="002B0551">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1)</w:t>
      </w:r>
      <w:r w:rsidRPr="00B25A10">
        <w:rPr>
          <w:rFonts w:ascii="Times New Roman" w:hAnsi="Times New Roman" w:cs="Times New Roman"/>
          <w:sz w:val="24"/>
          <w:szCs w:val="24"/>
        </w:rPr>
        <w:tab/>
        <w:t xml:space="preserve">naczelnik urzędu skarbowego właściwy miejscowo w sprawach podatku akcyzowego oraz dyrektor izby administracji skarbowej właściwy dla tego naczelnika </w:t>
      </w:r>
      <w:r w:rsidR="00AF1302" w:rsidRPr="00B25A10">
        <w:rPr>
          <w:rFonts w:ascii="Times New Roman" w:hAnsi="Times New Roman" w:cs="Times New Roman"/>
          <w:sz w:val="24"/>
          <w:szCs w:val="24"/>
        </w:rPr>
        <w:t>–</w:t>
      </w:r>
      <w:r w:rsidRPr="00B25A10">
        <w:rPr>
          <w:rFonts w:ascii="Times New Roman" w:hAnsi="Times New Roman" w:cs="Times New Roman"/>
          <w:sz w:val="24"/>
          <w:szCs w:val="24"/>
        </w:rPr>
        <w:t xml:space="preserve"> w przypadkach, w których obowiązanymi do zapłaty opłaty emisyjnej są podmioty, o których mowa w art. 321c ust. 1 pkt 1 i 3</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oraz podmiot, o którym mowa w ust. 1 pkt  4, jeżeli podlega on na podstawie przepisów o podatku akcyzowym obowiązkowi podatkowemu w zakresie podatku akcyzowego od paliw silnikowych z innego tytułu niż import;</w:t>
      </w:r>
    </w:p>
    <w:p w14:paraId="45DAC8EF" w14:textId="698B17D1" w:rsidR="00712E99" w:rsidRPr="00B25A10" w:rsidRDefault="00712E99" w:rsidP="002B0551">
      <w:pPr>
        <w:spacing w:before="120" w:after="0" w:line="360" w:lineRule="auto"/>
        <w:ind w:left="705" w:hanging="705"/>
        <w:jc w:val="both"/>
        <w:rPr>
          <w:rFonts w:ascii="Times New Roman" w:hAnsi="Times New Roman" w:cs="Times New Roman"/>
          <w:sz w:val="24"/>
          <w:szCs w:val="24"/>
        </w:rPr>
      </w:pPr>
      <w:r w:rsidRPr="00B25A10">
        <w:rPr>
          <w:rFonts w:ascii="Times New Roman" w:hAnsi="Times New Roman" w:cs="Times New Roman"/>
          <w:sz w:val="24"/>
          <w:szCs w:val="24"/>
        </w:rPr>
        <w:t>2)</w:t>
      </w:r>
      <w:r w:rsidRPr="00B25A10">
        <w:rPr>
          <w:rFonts w:ascii="Times New Roman" w:hAnsi="Times New Roman" w:cs="Times New Roman"/>
          <w:sz w:val="24"/>
          <w:szCs w:val="24"/>
        </w:rPr>
        <w:tab/>
        <w:t xml:space="preserve">naczelnik urzędu celno-skarbowego właściwy ze względu na miejsce powstania długu celnego oraz dyrektor izby administracji skarbowej właściwy dla tego naczelnika </w:t>
      </w:r>
      <w:r w:rsidR="00AF1302" w:rsidRPr="00B25A10">
        <w:rPr>
          <w:rFonts w:ascii="Times New Roman" w:hAnsi="Times New Roman" w:cs="Times New Roman"/>
          <w:sz w:val="24"/>
          <w:szCs w:val="24"/>
        </w:rPr>
        <w:t>–</w:t>
      </w:r>
      <w:r w:rsidRPr="00B25A10">
        <w:rPr>
          <w:rFonts w:ascii="Times New Roman" w:hAnsi="Times New Roman" w:cs="Times New Roman"/>
          <w:sz w:val="24"/>
          <w:szCs w:val="24"/>
        </w:rPr>
        <w:t xml:space="preserve"> w przypadku, w którym obowiązanym do zapłaty opłaty emisyjnej jest podmiot, o którym mowa w art. 321c ust. 1 pkt 2</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oraz podmiot, o którym mowa w ust. 1 pkt 4, jeżeli podmiot ten podlega na podstawie przepisów o podatku akcyzowym obowiązkowi podatkowemu w zakresie podatku akcyzowego od paliw silnikowych tytułu importu.</w:t>
      </w:r>
    </w:p>
    <w:p w14:paraId="755B525C"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 xml:space="preserve">zmiana art. 321h </w:t>
      </w:r>
    </w:p>
    <w:p w14:paraId="4B7395F2"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W art. 321h </w:t>
      </w:r>
      <w:r w:rsidR="008B3D35" w:rsidRPr="00B25A10">
        <w:rPr>
          <w:rFonts w:ascii="Times New Roman" w:hAnsi="Times New Roman" w:cs="Times New Roman"/>
          <w:sz w:val="24"/>
          <w:szCs w:val="24"/>
        </w:rPr>
        <w:t xml:space="preserve">w </w:t>
      </w:r>
      <w:r w:rsidRPr="00B25A10">
        <w:rPr>
          <w:rFonts w:ascii="Times New Roman" w:hAnsi="Times New Roman" w:cs="Times New Roman"/>
          <w:sz w:val="24"/>
          <w:szCs w:val="24"/>
        </w:rPr>
        <w:t xml:space="preserve">ust. 1 ustawy </w:t>
      </w:r>
      <w:r w:rsidR="008B3D35" w:rsidRPr="00B25A10">
        <w:rPr>
          <w:rFonts w:ascii="Times New Roman" w:hAnsi="Times New Roman" w:cs="Times New Roman"/>
          <w:sz w:val="24"/>
          <w:szCs w:val="24"/>
        </w:rPr>
        <w:t xml:space="preserve">z dnia 27 kwietnia 2001 r. </w:t>
      </w:r>
      <w:r w:rsidRPr="00B25A10">
        <w:rPr>
          <w:rFonts w:ascii="Times New Roman" w:hAnsi="Times New Roman" w:cs="Times New Roman"/>
          <w:sz w:val="24"/>
          <w:szCs w:val="24"/>
        </w:rPr>
        <w:t xml:space="preserve">– Prawo ochrony środowiska proponuje się wprowadzenie zmiany polegającej na zobowiązaniu importerów oraz niebędących importerami podmiotów podlegających na podstawie przepisów o podatku akcyzowym obowiązkowi podatkowemu z tytułu importu w zakresie akcyzy od paliw silnikowych, o którym mowa w art. 321c ust. 1 pkt 4 ustawy </w:t>
      </w:r>
      <w:r w:rsidR="008B3D35" w:rsidRPr="00B25A10">
        <w:rPr>
          <w:rFonts w:ascii="Times New Roman" w:hAnsi="Times New Roman" w:cs="Times New Roman"/>
          <w:sz w:val="24"/>
          <w:szCs w:val="24"/>
        </w:rPr>
        <w:t xml:space="preserve">z dnia 27 kwietnia 2001 r. </w:t>
      </w:r>
      <w:r w:rsidRPr="00B25A10">
        <w:rPr>
          <w:rFonts w:ascii="Times New Roman" w:hAnsi="Times New Roman" w:cs="Times New Roman"/>
          <w:sz w:val="24"/>
          <w:szCs w:val="24"/>
        </w:rPr>
        <w:t>- Prawo ochrony środowiska, do składania informacji o opłacie emisyjnej właściwemu naczelnikowi urzędu celno-skarbowego, a nie jak dotychczas właściwemu naczelnikowi urzędu skarbowego.</w:t>
      </w:r>
    </w:p>
    <w:p w14:paraId="2C4C4EF0" w14:textId="181D97ED"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 xml:space="preserve">Obecnie art. 321h ust. 1 ustawy </w:t>
      </w:r>
      <w:r w:rsidR="00AF1302" w:rsidRPr="00B25A10">
        <w:rPr>
          <w:rFonts w:ascii="Times New Roman" w:hAnsi="Times New Roman" w:cs="Times New Roman"/>
          <w:sz w:val="24"/>
          <w:szCs w:val="24"/>
        </w:rPr>
        <w:t>–</w:t>
      </w:r>
      <w:r w:rsidRPr="00B25A10">
        <w:rPr>
          <w:rFonts w:ascii="Times New Roman" w:hAnsi="Times New Roman" w:cs="Times New Roman"/>
          <w:sz w:val="24"/>
          <w:szCs w:val="24"/>
        </w:rPr>
        <w:t xml:space="preserve"> Prawo ochrony środowiska przewiduje dla wszystkich podmiotów zobowiązanych do zapłaty opłaty emisyjnej obowiązek złożenia informacji o tej opłacie właściwemu naczelnikowi urzędu skarbowego. </w:t>
      </w:r>
    </w:p>
    <w:p w14:paraId="067D27DB" w14:textId="425A2142"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Przedmiotowa zmiana umożliwi importerom i innym podmiotom podlegającym obowiązkowi podatkowemu z tytułu importu paliw silnikowych w zakresie akcyzy złożenie zgłoszenia celnego paliw silnikowych przywiezionych spoza Unii Europejskiej i informacji o opłacie emisyjnej jednemu organowi, tj. naczelnikowi urzędu celno-skarbowego. Obecnie podmioty te składają zgłoszenie celne naczelnikowi urzędu celno-skarbowego, zaś informację w sprawie opłaty emisyjnej (dotyczącej towarów objętych zgłoszeniem celnym) naczelnikowi urzędu skarbowego. Taka dwoistość organów utrudnia kontrolę w zakresie przedmiotowej opłaty.</w:t>
      </w:r>
    </w:p>
    <w:p w14:paraId="0A6EA7CC"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Zaproponowane rozwiązanie jest analogiczne do funkcjonującego już obecnie w przypadku podobnie skonstruowanej opłaty paliwowej, przewidzianej w ustawie </w:t>
      </w:r>
      <w:r w:rsidR="008B3D35" w:rsidRPr="00B25A10">
        <w:rPr>
          <w:rFonts w:ascii="Times New Roman" w:hAnsi="Times New Roman" w:cs="Times New Roman"/>
          <w:sz w:val="24"/>
          <w:szCs w:val="24"/>
        </w:rPr>
        <w:t xml:space="preserve">z dnia 27 października 1994 r. </w:t>
      </w:r>
      <w:r w:rsidRPr="00B25A10">
        <w:rPr>
          <w:rFonts w:ascii="Times New Roman" w:hAnsi="Times New Roman" w:cs="Times New Roman"/>
          <w:sz w:val="24"/>
          <w:szCs w:val="24"/>
        </w:rPr>
        <w:t xml:space="preserve">o autostradach płatnych oraz o Krajowym Funduszu Drogowym. </w:t>
      </w:r>
    </w:p>
    <w:p w14:paraId="5227E92B"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art. 321j</w:t>
      </w:r>
    </w:p>
    <w:p w14:paraId="6028E8F7" w14:textId="16BAC9BB"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Proponuje się zmianę w art. 321j ustawy </w:t>
      </w:r>
      <w:r w:rsidR="008B3D35" w:rsidRPr="00B25A10">
        <w:rPr>
          <w:rFonts w:ascii="Times New Roman" w:hAnsi="Times New Roman" w:cs="Times New Roman"/>
          <w:sz w:val="24"/>
          <w:szCs w:val="24"/>
        </w:rPr>
        <w:t xml:space="preserve">z dnia 27 kwietnia 2001 r. </w:t>
      </w:r>
      <w:r w:rsidR="00AF1302" w:rsidRPr="00B25A10">
        <w:rPr>
          <w:rFonts w:ascii="Times New Roman" w:hAnsi="Times New Roman" w:cs="Times New Roman"/>
          <w:sz w:val="24"/>
          <w:szCs w:val="24"/>
        </w:rPr>
        <w:t>–</w:t>
      </w:r>
      <w:r w:rsidRPr="00B25A10">
        <w:rPr>
          <w:rFonts w:ascii="Times New Roman" w:hAnsi="Times New Roman" w:cs="Times New Roman"/>
          <w:sz w:val="24"/>
          <w:szCs w:val="24"/>
        </w:rPr>
        <w:t xml:space="preserve"> Prawo ochrony środowiska, zgodnie z którą do postępowania w sprawach określania opłaty emisyjnej ciążącej na podmiocie, </w:t>
      </w:r>
      <w:r w:rsidRPr="00B25A10">
        <w:rPr>
          <w:rFonts w:ascii="Times New Roman" w:hAnsi="Times New Roman" w:cs="Times New Roman"/>
          <w:bCs/>
          <w:sz w:val="24"/>
          <w:szCs w:val="24"/>
        </w:rPr>
        <w:t>o którym mowa w art. 321j ust. 1 pkt 2</w:t>
      </w:r>
      <w:r w:rsidR="00AF1302">
        <w:rPr>
          <w:rFonts w:ascii="Times New Roman" w:hAnsi="Times New Roman" w:cs="Times New Roman"/>
          <w:bCs/>
          <w:sz w:val="24"/>
          <w:szCs w:val="24"/>
        </w:rPr>
        <w:t>,</w:t>
      </w:r>
      <w:r w:rsidRPr="00B25A10">
        <w:rPr>
          <w:rFonts w:ascii="Times New Roman" w:hAnsi="Times New Roman" w:cs="Times New Roman"/>
          <w:bCs/>
          <w:sz w:val="24"/>
          <w:szCs w:val="24"/>
        </w:rPr>
        <w:t xml:space="preserve"> oraz podmiocie, o którym mowa w ust. 1 pkt 4, jeżeli podmiot ten podlega na podstawie przepisów o podatku akcyzowym obowiązkowi podatkowemu w zakresie podatku akcyzowego od paliw silnikowych z tytułu importu, odpowiednie zastosowanie będą miały przepisy unijnego i krajowego prawa celnego oraz Ordynacji podatkowej. </w:t>
      </w:r>
    </w:p>
    <w:p w14:paraId="1C7E3D79" w14:textId="632FCD76"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Proponowana zmiana ma celu umożliwienie prowadzenia jednego postępowania w sprawie określania należności celnych i podatkowych oraz opłaty paliwowej i opłaty emisyjnej,  należnych z tytułu importu towarów</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oraz wydawanie w tym zakresie jednej decyzji. </w:t>
      </w:r>
    </w:p>
    <w:p w14:paraId="32091A75"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Uzasadnienie zmiany analogiczne jak do zmiany art. </w:t>
      </w:r>
      <w:r w:rsidR="008B3D35" w:rsidRPr="00B25A10">
        <w:rPr>
          <w:rFonts w:ascii="Times New Roman" w:hAnsi="Times New Roman" w:cs="Times New Roman"/>
          <w:sz w:val="24"/>
          <w:szCs w:val="24"/>
        </w:rPr>
        <w:t>3</w:t>
      </w:r>
      <w:r w:rsidRPr="00B25A10">
        <w:rPr>
          <w:rFonts w:ascii="Times New Roman" w:hAnsi="Times New Roman" w:cs="Times New Roman"/>
          <w:sz w:val="24"/>
          <w:szCs w:val="24"/>
        </w:rPr>
        <w:t xml:space="preserve">4 </w:t>
      </w:r>
      <w:r w:rsidR="008B3D35" w:rsidRPr="00B25A10">
        <w:rPr>
          <w:rFonts w:ascii="Times New Roman" w:hAnsi="Times New Roman" w:cs="Times New Roman"/>
          <w:sz w:val="24"/>
          <w:szCs w:val="24"/>
        </w:rPr>
        <w:t xml:space="preserve">ust. 4 i 5 </w:t>
      </w:r>
      <w:r w:rsidRPr="00B25A10">
        <w:rPr>
          <w:rFonts w:ascii="Times New Roman" w:hAnsi="Times New Roman" w:cs="Times New Roman"/>
          <w:sz w:val="24"/>
          <w:szCs w:val="24"/>
        </w:rPr>
        <w:t xml:space="preserve">ustawy o podatku od towarów i usług.  </w:t>
      </w:r>
    </w:p>
    <w:p w14:paraId="2248C9A1" w14:textId="77777777" w:rsidR="00712E99" w:rsidRPr="00B25A10" w:rsidRDefault="00712E99" w:rsidP="00AF1302">
      <w:pPr>
        <w:spacing w:before="360"/>
        <w:jc w:val="both"/>
        <w:rPr>
          <w:rFonts w:ascii="Times New Roman" w:hAnsi="Times New Roman" w:cs="Times New Roman"/>
          <w:b/>
          <w:sz w:val="24"/>
          <w:szCs w:val="24"/>
          <w:u w:val="single"/>
        </w:rPr>
      </w:pPr>
      <w:r w:rsidRPr="00B25A10">
        <w:rPr>
          <w:rFonts w:ascii="Times New Roman" w:hAnsi="Times New Roman" w:cs="Times New Roman"/>
          <w:b/>
          <w:sz w:val="24"/>
          <w:szCs w:val="24"/>
          <w:u w:val="single"/>
        </w:rPr>
        <w:t xml:space="preserve">Zmiana ustawy </w:t>
      </w:r>
      <w:r w:rsidR="001F730F" w:rsidRPr="00B25A10">
        <w:rPr>
          <w:rFonts w:ascii="Times New Roman" w:hAnsi="Times New Roman" w:cs="Times New Roman"/>
          <w:b/>
          <w:sz w:val="24"/>
          <w:szCs w:val="24"/>
          <w:u w:val="single"/>
        </w:rPr>
        <w:t xml:space="preserve">z dnia 11 marca 2004 r. </w:t>
      </w:r>
      <w:r w:rsidRPr="00B25A10">
        <w:rPr>
          <w:rFonts w:ascii="Times New Roman" w:hAnsi="Times New Roman" w:cs="Times New Roman"/>
          <w:b/>
          <w:sz w:val="24"/>
          <w:szCs w:val="24"/>
          <w:u w:val="single"/>
        </w:rPr>
        <w:t xml:space="preserve">o podatku od towarów i usług </w:t>
      </w:r>
    </w:p>
    <w:p w14:paraId="5D6BF822"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Zmiany zawarte w art. 33 ustawy </w:t>
      </w:r>
      <w:r w:rsidR="001F730F" w:rsidRPr="00B25A10">
        <w:rPr>
          <w:rFonts w:ascii="Times New Roman" w:hAnsi="Times New Roman" w:cs="Times New Roman"/>
          <w:sz w:val="24"/>
          <w:szCs w:val="24"/>
        </w:rPr>
        <w:t xml:space="preserve">z dnia 11 marca 2011 r. </w:t>
      </w:r>
      <w:r w:rsidRPr="00B25A10">
        <w:rPr>
          <w:rFonts w:ascii="Times New Roman" w:hAnsi="Times New Roman" w:cs="Times New Roman"/>
          <w:sz w:val="24"/>
          <w:szCs w:val="24"/>
        </w:rPr>
        <w:t xml:space="preserve">o podatku od towarów i usług są konsekwencją decyzji dotyczącej ujednolicenia postępowania w sprawie należności celnych i podatkowych.  </w:t>
      </w:r>
    </w:p>
    <w:p w14:paraId="121B179B" w14:textId="77777777" w:rsidR="00712E99" w:rsidRPr="00B25A10" w:rsidRDefault="00712E99" w:rsidP="002B0551">
      <w:pPr>
        <w:spacing w:before="120" w:after="0" w:line="360" w:lineRule="auto"/>
        <w:jc w:val="both"/>
        <w:rPr>
          <w:rFonts w:ascii="Times New Roman" w:hAnsi="Times New Roman" w:cs="Times New Roman"/>
          <w:sz w:val="24"/>
          <w:szCs w:val="24"/>
          <w:u w:val="single"/>
        </w:rPr>
      </w:pPr>
      <w:r w:rsidRPr="00B25A10">
        <w:rPr>
          <w:rFonts w:ascii="Times New Roman" w:hAnsi="Times New Roman" w:cs="Times New Roman"/>
          <w:sz w:val="24"/>
          <w:szCs w:val="24"/>
        </w:rPr>
        <w:lastRenderedPageBreak/>
        <w:t xml:space="preserve">Przepisy prawa celnego charakteryzują się pewną odrębnością w zakresie wydawania decyzji opisaną poniżej. </w:t>
      </w:r>
    </w:p>
    <w:p w14:paraId="34655453" w14:textId="77777777" w:rsidR="00712E99" w:rsidRPr="00B25A10" w:rsidRDefault="00712E99" w:rsidP="002B0551">
      <w:pPr>
        <w:spacing w:before="120" w:after="0" w:line="360" w:lineRule="auto"/>
        <w:jc w:val="both"/>
        <w:rPr>
          <w:rFonts w:ascii="Times New Roman" w:hAnsi="Times New Roman" w:cs="Times New Roman"/>
          <w:sz w:val="24"/>
          <w:szCs w:val="24"/>
          <w:u w:val="single"/>
        </w:rPr>
      </w:pPr>
      <w:r w:rsidRPr="00B25A10">
        <w:rPr>
          <w:rFonts w:ascii="Times New Roman" w:hAnsi="Times New Roman" w:cs="Times New Roman"/>
          <w:sz w:val="24"/>
          <w:szCs w:val="24"/>
          <w:u w:val="single"/>
        </w:rPr>
        <w:t>Określanie należności celnych</w:t>
      </w:r>
    </w:p>
    <w:p w14:paraId="2E60C4C7" w14:textId="11CF876D"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Zgodnie z art. 105 ust. 3 i 4 UKC, jeżeli dług celny wynika z innej okoliczności niż przyjęcie zgłoszenia celnego, zaksięgowanie wymaganej kwoty należności celnych odbywa się w terminie 14 dni od dnia, w którym organy celne są w stanie określić kwotę tych należności celnych i wydać decyzję. Przepis ten stosuje się w odniesieniu do kwoty należności, która ma być pokryta lub pozostaje do pokrycia, w przypadku gdy wymagana kwota należności nie została zaksięgowana lub została określona i zaksięgowana w kwocie niższej niż kwota wymagana. </w:t>
      </w:r>
    </w:p>
    <w:p w14:paraId="5169CADA" w14:textId="5228CFA0"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Przepis ten daje możliwość organom celnym zaksięgowania kwoty wynikającej z długu celnego przez wydanie dwu</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a nawet więcej kolejnych decyzji „</w:t>
      </w:r>
      <w:proofErr w:type="spellStart"/>
      <w:r w:rsidRPr="00B25A10">
        <w:rPr>
          <w:rFonts w:ascii="Times New Roman" w:hAnsi="Times New Roman" w:cs="Times New Roman"/>
          <w:sz w:val="24"/>
          <w:szCs w:val="24"/>
        </w:rPr>
        <w:t>pierwszoinstancyjnych</w:t>
      </w:r>
      <w:proofErr w:type="spellEnd"/>
      <w:r w:rsidRPr="00B25A10">
        <w:rPr>
          <w:rFonts w:ascii="Times New Roman" w:hAnsi="Times New Roman" w:cs="Times New Roman"/>
          <w:sz w:val="24"/>
          <w:szCs w:val="24"/>
        </w:rPr>
        <w:t xml:space="preserve">” bez konieczności wzruszenia pierwszej decyzji określającej tę kwotę. Prawidłowość takiego działania została potwierdzona przez polskie sądy administracyjne. Orzecznictwo sądowe odnosi się co prawda nie do art. 105 ust. 4 UKC, bo przepis ten stosowany jest dopiero niewiele ponad 2 lata, ale do odpowiadającemu mu art. 220 ust.1 </w:t>
      </w:r>
      <w:r w:rsidR="001F730F" w:rsidRPr="00B25A10">
        <w:rPr>
          <w:rFonts w:ascii="Times New Roman" w:hAnsi="Times New Roman" w:cs="Times New Roman"/>
          <w:sz w:val="24"/>
          <w:szCs w:val="24"/>
        </w:rPr>
        <w:t xml:space="preserve">rozporządzenia Rady (EWG) nr 2913/92 z dnia 12 października 1992 r. ustanawiającego Wspólnotowy Kodeks </w:t>
      </w:r>
      <w:r w:rsidR="001F730F" w:rsidRPr="00B25A10">
        <w:rPr>
          <w:rFonts w:ascii="Times New Roman" w:hAnsi="Times New Roman" w:cs="Times New Roman"/>
          <w:iCs/>
          <w:sz w:val="24"/>
          <w:szCs w:val="24"/>
        </w:rPr>
        <w:t>Celny</w:t>
      </w:r>
      <w:r w:rsidR="001F730F" w:rsidRPr="00B25A10">
        <w:rPr>
          <w:rFonts w:ascii="Times New Roman" w:hAnsi="Times New Roman" w:cs="Times New Roman"/>
          <w:sz w:val="24"/>
          <w:szCs w:val="24"/>
        </w:rPr>
        <w:t xml:space="preserve"> (Dz. Urz. WE L 302 z 19.10.1992, </w:t>
      </w:r>
      <w:r w:rsidR="00C93AE1" w:rsidRPr="00B25A10">
        <w:rPr>
          <w:rFonts w:ascii="Times New Roman" w:hAnsi="Times New Roman" w:cs="Times New Roman"/>
          <w:sz w:val="24"/>
          <w:szCs w:val="24"/>
        </w:rPr>
        <w:t xml:space="preserve">str. 1., </w:t>
      </w:r>
      <w:r w:rsidR="001F730F" w:rsidRPr="00B25A10">
        <w:rPr>
          <w:rFonts w:ascii="Times New Roman" w:hAnsi="Times New Roman" w:cs="Times New Roman"/>
          <w:sz w:val="24"/>
          <w:szCs w:val="24"/>
        </w:rPr>
        <w:t>z późn. zm.</w:t>
      </w:r>
      <w:r w:rsidR="00A902E4">
        <w:rPr>
          <w:rFonts w:ascii="Times New Roman" w:hAnsi="Times New Roman" w:cs="Times New Roman"/>
          <w:sz w:val="24"/>
          <w:szCs w:val="24"/>
        </w:rPr>
        <w:t>; Dz. Urz. UE Polskie wydanie specjalne, rozdz. 2, t. 4, str. 307</w:t>
      </w:r>
      <w:r w:rsidR="001F730F" w:rsidRPr="00B25A10">
        <w:rPr>
          <w:rFonts w:ascii="Times New Roman" w:hAnsi="Times New Roman" w:cs="Times New Roman"/>
          <w:sz w:val="24"/>
          <w:szCs w:val="24"/>
        </w:rPr>
        <w:t>)</w:t>
      </w:r>
      <w:r w:rsidR="00C93AE1" w:rsidRPr="00B25A10">
        <w:rPr>
          <w:rFonts w:ascii="Times New Roman" w:hAnsi="Times New Roman" w:cs="Times New Roman"/>
          <w:sz w:val="24"/>
          <w:szCs w:val="24"/>
        </w:rPr>
        <w:t xml:space="preserve"> (WKC)</w:t>
      </w:r>
      <w:r w:rsidR="001F730F" w:rsidRPr="00B25A10">
        <w:rPr>
          <w:rFonts w:ascii="Times New Roman" w:hAnsi="Times New Roman" w:cs="Times New Roman"/>
          <w:sz w:val="24"/>
          <w:szCs w:val="24"/>
        </w:rPr>
        <w:t xml:space="preserve">, </w:t>
      </w:r>
      <w:r w:rsidRPr="00B25A10">
        <w:rPr>
          <w:rFonts w:ascii="Times New Roman" w:hAnsi="Times New Roman" w:cs="Times New Roman"/>
          <w:sz w:val="24"/>
          <w:szCs w:val="24"/>
        </w:rPr>
        <w:t>stosowanego do 1 maja 2016 r., tj. do czasu wdrożenia UKC. Na podstawie tabeli korelacji stanowiącej załącznik do UKC można odnieść przepisy UKC do wcześniej obowiązującego prawa. To odniesienie jest o tyle skomplikowane, że tabela załączona do UKC porównuje przepisy UKC i rozporządzenia Parlamentu Europejskiego i Rady (WE) nr 450/2008 z dnia 23 kwietnia 2008 r. ustanawiającego wspólnotowy kodeks celny (zmodernizowany kodeks celny)</w:t>
      </w:r>
      <w:r w:rsidR="001F730F" w:rsidRPr="00B25A10">
        <w:rPr>
          <w:rFonts w:ascii="Times New Roman" w:hAnsi="Times New Roman" w:cs="Times New Roman"/>
          <w:sz w:val="24"/>
          <w:szCs w:val="24"/>
        </w:rPr>
        <w:t xml:space="preserve"> (Dz. Urz.</w:t>
      </w:r>
      <w:r w:rsidR="00C93AE1" w:rsidRPr="00B25A10">
        <w:rPr>
          <w:rFonts w:ascii="Times New Roman" w:hAnsi="Times New Roman" w:cs="Times New Roman"/>
          <w:sz w:val="24"/>
          <w:szCs w:val="24"/>
        </w:rPr>
        <w:t xml:space="preserve"> UE L 145 z 04.06.2008, str. 1)</w:t>
      </w:r>
      <w:r w:rsidRPr="00B25A10">
        <w:rPr>
          <w:rFonts w:ascii="Times New Roman" w:hAnsi="Times New Roman" w:cs="Times New Roman"/>
          <w:sz w:val="24"/>
          <w:szCs w:val="24"/>
        </w:rPr>
        <w:t>. Rozporządzenie to jednak, poza jego art. 30, nie było stosowane, ze względu na brak przepisów wykonawczych. W 2011 r. zapadła decyzja o przekształceniu zmodernizowanego kodeksu celnego w UKC ze względu na konieczność implementacji zmian wynikających z Traktatu Lizbońskiego. UKC został ustanowiony w 2013 r. i wdrożony do stosowania z dniem 1 maja 2016 r. Wracając zatem do tabeli korelacji załączonej do UKC</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odnosi ona art. 105 ust. 4 UKC do art. 70 zmodernizowanego kodeksu celnego, którego z kolei załącznikiem jest tabela zbieżności odnosząca art. 70 właśnie do art. 220 WKC. </w:t>
      </w:r>
    </w:p>
    <w:p w14:paraId="6297EEC0" w14:textId="3A08D83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W UKC zrezygnowano z pojęcia retrospektywnego zaksięgowania, przez które prawodawca wspólnotowy rozumiał zaksięgowanie kwot wcześniej niezaksięgowanych na podstawie </w:t>
      </w:r>
      <w:r w:rsidRPr="00B25A10">
        <w:rPr>
          <w:rFonts w:ascii="Times New Roman" w:hAnsi="Times New Roman" w:cs="Times New Roman"/>
          <w:sz w:val="24"/>
          <w:szCs w:val="24"/>
        </w:rPr>
        <w:lastRenderedPageBreak/>
        <w:t>art.</w:t>
      </w:r>
      <w:r w:rsidR="00AF1302">
        <w:rPr>
          <w:rFonts w:ascii="Times New Roman" w:hAnsi="Times New Roman" w:cs="Times New Roman"/>
          <w:sz w:val="24"/>
          <w:szCs w:val="24"/>
        </w:rPr>
        <w:t> </w:t>
      </w:r>
      <w:r w:rsidRPr="00B25A10">
        <w:rPr>
          <w:rFonts w:ascii="Times New Roman" w:hAnsi="Times New Roman" w:cs="Times New Roman"/>
          <w:sz w:val="24"/>
          <w:szCs w:val="24"/>
        </w:rPr>
        <w:t>218 i art. 219 lub zaksięgowanych w kwocie niższej od prawnie należnej. Nie oznacza to jednak, że kwoty takie nie będą mogły być zaksięgowane. W myśl bowiem art. 105 ust. 4 UKC postanowienia ust. 3 tego artykułu (wydanie decyzji w sprawie określenia długu celnego) stosuje się do kwot, która ma być pokryta lub pozostaje do pokrycia</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w przypadku gdy wymagana kwota należności nie została zaksięgowana zgodnie z ust. 1</w:t>
      </w:r>
      <w:r w:rsidR="00AF1302" w:rsidRPr="00B25A10">
        <w:rPr>
          <w:rFonts w:ascii="Times New Roman" w:hAnsi="Times New Roman" w:cs="Times New Roman"/>
          <w:sz w:val="24"/>
          <w:szCs w:val="24"/>
        </w:rPr>
        <w:t>–</w:t>
      </w:r>
      <w:r w:rsidRPr="00B25A10">
        <w:rPr>
          <w:rFonts w:ascii="Times New Roman" w:hAnsi="Times New Roman" w:cs="Times New Roman"/>
          <w:sz w:val="24"/>
          <w:szCs w:val="24"/>
        </w:rPr>
        <w:t xml:space="preserve">3 lub została określona i zaksięgowana w kwocie niższej niż kwota wymagana. Tym samym określeniu w decyzji może podlegać „niedobór należności”. </w:t>
      </w:r>
    </w:p>
    <w:p w14:paraId="79AF289E" w14:textId="539D6ACC"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W wyroku z 24.06.2014 r. (I GSK 1024/13) NSA</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odnosząc się do art. 220 ust. 1 WKC</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stwierdził: „Odczytując powyższy przepis należy mieć na uwadze cel instytucji retrospektywnego zaksięgowania należności celnych, którym jest osiągnięcie stanu zgodności w zakresie wysokości należności celnych, które obiektywnie wynikają z obowiązujących przepisów z tymi, które zaksięgowane są należne do uiszczenia przez podmiot do tego zobowiązany. Retrospektywne zaksięgowanie odnosi się zawsze do różnicy pomiędzy kwotą zaksięgowaną na podstawie art. 218 Wspólnotowego Kodeksu Celnego a kwotą, która jest należna na podstawie obowiązujących przepisów. W tym znaczeniu retrospektywne zaksięgowanie należności celnych nie odnosi się do całej kwoty, która wynika z długu celnego, lecz wyłącznie różnicy, która dotąd nie została uwzględniona. Takie rozwiązanie daje organom celnym podstawę do wydawania decyzji w przedmiocie retrospektywnego zaksięgowania bez konieczności eliminowania decyzji, która wydana została wcześniej, ponieważ kolejna decyzji nie orzeka w tym samym przedmiocie. Przedmiotowe decyzje dopiero łącznie orzekają o całości kwoty wynikającej z długu celnego powstałego w związku ze zgłoszeniem celnym. Nie stanowią przy tym jednocześnie rozstrzygnięcia tej samej sprawy administracyjnej, albowiem miały rozbieżny zakres przedmiotowy.</w:t>
      </w:r>
    </w:p>
    <w:p w14:paraId="4FB632AE" w14:textId="5154C850"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3. Na tożsamość sprawy administracyjnej składają się elementy podmiotowe i przedmiotowe. Ustalenie tożsamości sprawy administracyjnej pod względem podmiotowym sprowadza się do stwierdzenia identyczności stron w danym postępowaniu administracyjnym. Pod względem przedmiotowym natomiast na sprawę administracyjną składa się treść żądania strony (jej uprawnienia) lub treść obowiązku, podstawa prawna oraz stan faktyczny. Identyczność wskazanych elementów przesądza o tożsamości sprawy. Przy spełnieniu powyższych warunków tożsamości sprawy dochodzi do sytuacji, gdy na skutek wydania decyzji jej adresata obciążają obowiązki, co do których już wcześniej wydano rozstrzygnięcie.”</w:t>
      </w:r>
      <w:r w:rsidR="00AF1302">
        <w:rPr>
          <w:rFonts w:ascii="Times New Roman" w:hAnsi="Times New Roman" w:cs="Times New Roman"/>
          <w:sz w:val="24"/>
          <w:szCs w:val="24"/>
        </w:rPr>
        <w:t>.</w:t>
      </w:r>
    </w:p>
    <w:p w14:paraId="1BC30BAA"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I dalej NSA stwierdza:</w:t>
      </w:r>
    </w:p>
    <w:p w14:paraId="24A3330E"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„Przedstawione wyżej stanowisko Sądu pierwszej instancji na gruncie procedury mającej zastosowanie w sprawie, nie miało uzasadnienia. Po pierwsze ocena, że oba postępowania miały tożsamy charakter wynika z nieusprawiedliwionego uznania, że tożsamość przedmiotowa w sprawie wyznaczona jest przez zakres zobowiązań, które mogą powstać na tle tego samego zgłoszenia. Takie stanowisko sugeruje ocenę, że wszelkie postępowania na tle weryfikacji warunków przedmiotowego zgłoszenia celnego (przy założeniu tożsamości podmiotowej, która nie jest sporna w sprawie) mają charakter tożsamy przedmiotowo i każdorazowo dochodzi do oceny całego zgłoszenia celnego pod kątem zobowiązań celnych, stąd próby kolejnej weryfikacji muszą uwzględnić konieczność wyeliminowania z obrotu prawnego wcześniejszego rozstrzygnięcia w tym przedmiocie. Stanowisko takie nawiązuje do rozwiązań w zakresie określania zobowiązań podatkowych na podstawie art. 21 § 3 Ordynacji podatkowej, gdzie wydana decyzja musi zawierać całościowe rozliczenie zobowiązania podatkowego a kolejne postępowanie w tym zakresie rzeczywiście odbywa się w przewidzianych do tego celu, wskazanych także w zaskarżonym wyroku przez Sąd pierwszej instancji, trybach nadzwyczajnych uregulowanych w Ordynacji podatkowej. Stanowisko takie nie ma jednak uzasadnienia w przepisach, mających zastosowanie w sprawie. (…). W ocenie NSA „przedmiotowe decyzje dopiero łącznie orzekały o całości kwoty wynikającej z długu celnego powstałego w związku z przedmiotowym zgłoszeniem celnym. Nie stanowiły przy tym jednocześnie rozstrzygnięcia tej samej sprawy albowiem miały rozbieżny charakter przedmiotowy.”.</w:t>
      </w:r>
    </w:p>
    <w:p w14:paraId="23EA5FB4" w14:textId="77777777" w:rsidR="00712E99" w:rsidRPr="00B25A10" w:rsidRDefault="00712E99" w:rsidP="00B25A10">
      <w:pPr>
        <w:spacing w:before="120"/>
        <w:jc w:val="both"/>
        <w:rPr>
          <w:rFonts w:ascii="Times New Roman" w:hAnsi="Times New Roman" w:cs="Times New Roman"/>
          <w:sz w:val="24"/>
          <w:szCs w:val="24"/>
          <w:u w:val="single"/>
        </w:rPr>
      </w:pPr>
      <w:r w:rsidRPr="00B25A10">
        <w:rPr>
          <w:rFonts w:ascii="Times New Roman" w:hAnsi="Times New Roman" w:cs="Times New Roman"/>
          <w:sz w:val="24"/>
          <w:szCs w:val="24"/>
          <w:u w:val="single"/>
        </w:rPr>
        <w:t>Określenie należności podatkowych</w:t>
      </w:r>
    </w:p>
    <w:p w14:paraId="71663808"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W powyższym wyroku NSA wskazał już na różnicę w określeniu należności celnych i podatkowych. Podczas gdy do jednego zgłoszenia celnego może być wydanych kilka decyzji „</w:t>
      </w:r>
      <w:proofErr w:type="spellStart"/>
      <w:r w:rsidRPr="00B25A10">
        <w:rPr>
          <w:rFonts w:ascii="Times New Roman" w:hAnsi="Times New Roman" w:cs="Times New Roman"/>
          <w:sz w:val="24"/>
          <w:szCs w:val="24"/>
        </w:rPr>
        <w:t>pierwszoinstancyjnych</w:t>
      </w:r>
      <w:proofErr w:type="spellEnd"/>
      <w:r w:rsidRPr="00B25A10">
        <w:rPr>
          <w:rFonts w:ascii="Times New Roman" w:hAnsi="Times New Roman" w:cs="Times New Roman"/>
          <w:sz w:val="24"/>
          <w:szCs w:val="24"/>
        </w:rPr>
        <w:t>” określających należności celne, bez konieczności wzruszania poprzednich, należne podatki określane są na nowo w całości, co wiąże się z koniecznością wyeliminowania wcześniejszej decyzji, o ile taka decyzja była wydana, stosując ordynacyjne tryby nadzwyczajne.</w:t>
      </w:r>
    </w:p>
    <w:p w14:paraId="79807B38"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Biorąc pod uwagę, że należne cło wchodzi do podstawy opodatkowania podatkami importowymi, powstaje taka oto sytuacja, że wydanie decyzji domierzającej należności celne powoduje w obecnym stanie prawnym konieczność wydania decyzji określającej podatki w pełnej wysokości, a jeżeli w odniesieniu do należności celnych wydawana jest kolejna decyzja domierzająca, konieczne jest wzruszenia decyzji podatkowej i określenie na nowo należności podatkowych w pełnej wysokości. </w:t>
      </w:r>
    </w:p>
    <w:p w14:paraId="51041E56" w14:textId="005B8209"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Przy założeniu jednego postępowania i wydawania jednej decyzji w sprawie należności celnych i podatkowych, utrzymanie opisanej sytuacji prawnej wymagałoby wzruszenia decyzji celno</w:t>
      </w:r>
      <w:r w:rsidR="00AF1302">
        <w:rPr>
          <w:rFonts w:ascii="Times New Roman" w:hAnsi="Times New Roman" w:cs="Times New Roman"/>
          <w:sz w:val="24"/>
          <w:szCs w:val="24"/>
        </w:rPr>
        <w:noBreakHyphen/>
      </w:r>
      <w:r w:rsidRPr="00B25A10">
        <w:rPr>
          <w:rFonts w:ascii="Times New Roman" w:hAnsi="Times New Roman" w:cs="Times New Roman"/>
          <w:sz w:val="24"/>
          <w:szCs w:val="24"/>
        </w:rPr>
        <w:t>podatkowej w zakresie dotyczącym podatku, jeżeli kwota podatku należnego określona w tej decyzji wymagałaby określenia jej na nowo, w związku np. ze zmianą podstawy opodatkowania bądź stawki podatkowej.</w:t>
      </w:r>
    </w:p>
    <w:p w14:paraId="260CA0FC" w14:textId="6BAA724E"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Aby uniknąć takiej sytuacji i uprościć postępowanie, projektuje się zmiany w art. 33 i </w:t>
      </w:r>
      <w:r w:rsidR="00E608C8">
        <w:rPr>
          <w:rFonts w:ascii="Times New Roman" w:hAnsi="Times New Roman" w:cs="Times New Roman"/>
          <w:sz w:val="24"/>
          <w:szCs w:val="24"/>
        </w:rPr>
        <w:t xml:space="preserve">art. </w:t>
      </w:r>
      <w:r w:rsidRPr="00B25A10">
        <w:rPr>
          <w:rFonts w:ascii="Times New Roman" w:hAnsi="Times New Roman" w:cs="Times New Roman"/>
          <w:sz w:val="24"/>
          <w:szCs w:val="24"/>
        </w:rPr>
        <w:t xml:space="preserve">34 ustawy </w:t>
      </w:r>
      <w:r w:rsidR="00B814D0" w:rsidRPr="00B25A10">
        <w:rPr>
          <w:rFonts w:ascii="Times New Roman" w:hAnsi="Times New Roman" w:cs="Times New Roman"/>
          <w:sz w:val="24"/>
          <w:szCs w:val="24"/>
        </w:rPr>
        <w:t xml:space="preserve">z dnia 11 marca 2004 r. </w:t>
      </w:r>
      <w:r w:rsidRPr="00B25A10">
        <w:rPr>
          <w:rFonts w:ascii="Times New Roman" w:hAnsi="Times New Roman" w:cs="Times New Roman"/>
          <w:sz w:val="24"/>
          <w:szCs w:val="24"/>
        </w:rPr>
        <w:t xml:space="preserve">o podatku od towarów i usług oraz w art. 27 ustawy </w:t>
      </w:r>
      <w:r w:rsidR="00B814D0" w:rsidRPr="00B25A10">
        <w:rPr>
          <w:rFonts w:ascii="Times New Roman" w:hAnsi="Times New Roman" w:cs="Times New Roman"/>
          <w:sz w:val="24"/>
          <w:szCs w:val="24"/>
        </w:rPr>
        <w:t>z dnia 6</w:t>
      </w:r>
      <w:r w:rsidR="00AF1302">
        <w:rPr>
          <w:rFonts w:ascii="Times New Roman" w:hAnsi="Times New Roman" w:cs="Times New Roman"/>
          <w:sz w:val="24"/>
          <w:szCs w:val="24"/>
        </w:rPr>
        <w:t> </w:t>
      </w:r>
      <w:r w:rsidR="00B814D0" w:rsidRPr="00B25A10">
        <w:rPr>
          <w:rFonts w:ascii="Times New Roman" w:hAnsi="Times New Roman" w:cs="Times New Roman"/>
          <w:sz w:val="24"/>
          <w:szCs w:val="24"/>
        </w:rPr>
        <w:t xml:space="preserve">grudnia 2008 r. </w:t>
      </w:r>
      <w:r w:rsidRPr="00B25A10">
        <w:rPr>
          <w:rFonts w:ascii="Times New Roman" w:hAnsi="Times New Roman" w:cs="Times New Roman"/>
          <w:sz w:val="24"/>
          <w:szCs w:val="24"/>
        </w:rPr>
        <w:t>o podatku akcyzowym, pozwalające na domierzanie niepobranych należności podatkowych, analogicznie jak w przypadku należności celnych</w:t>
      </w:r>
      <w:r w:rsidR="00AF1302">
        <w:rPr>
          <w:rFonts w:ascii="Times New Roman" w:hAnsi="Times New Roman" w:cs="Times New Roman"/>
          <w:sz w:val="24"/>
          <w:szCs w:val="24"/>
        </w:rPr>
        <w:t>,</w:t>
      </w:r>
      <w:r w:rsidRPr="00B25A10">
        <w:rPr>
          <w:rFonts w:ascii="Times New Roman" w:hAnsi="Times New Roman" w:cs="Times New Roman"/>
          <w:sz w:val="24"/>
          <w:szCs w:val="24"/>
        </w:rPr>
        <w:t xml:space="preserve"> lub określenie nadpłaconej kwoty podatku, w przypadku decyzji orzekającej o zwrocie należności celnych (ewentualny zwrot podatku może być orzeczony w drodze odrębnej decyzji na podstawie Ordynacji podatkowej)</w:t>
      </w:r>
    </w:p>
    <w:p w14:paraId="4D88B1EC" w14:textId="77777777" w:rsidR="00712E99" w:rsidRPr="00B25A10" w:rsidRDefault="00712E99" w:rsidP="00B25A10">
      <w:pPr>
        <w:spacing w:before="120"/>
        <w:jc w:val="both"/>
        <w:rPr>
          <w:rFonts w:ascii="Times New Roman" w:hAnsi="Times New Roman" w:cs="Times New Roman"/>
          <w:b/>
          <w:sz w:val="24"/>
          <w:szCs w:val="24"/>
        </w:rPr>
      </w:pPr>
      <w:r w:rsidRPr="00B25A10">
        <w:rPr>
          <w:rFonts w:ascii="Times New Roman" w:hAnsi="Times New Roman" w:cs="Times New Roman"/>
          <w:b/>
          <w:sz w:val="24"/>
          <w:szCs w:val="24"/>
        </w:rPr>
        <w:t>zmiana art. 33 ust. 2</w:t>
      </w:r>
    </w:p>
    <w:p w14:paraId="101E846D" w14:textId="00D378A9"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Obecnie obowiązujący art. 33 ust. 2 ustawy </w:t>
      </w:r>
      <w:r w:rsidR="00B814D0" w:rsidRPr="00B25A10">
        <w:rPr>
          <w:rFonts w:ascii="Times New Roman" w:hAnsi="Times New Roman" w:cs="Times New Roman"/>
          <w:sz w:val="24"/>
          <w:szCs w:val="24"/>
        </w:rPr>
        <w:t xml:space="preserve">z dnia 11 marca 2004 r. </w:t>
      </w:r>
      <w:r w:rsidRPr="00B25A10">
        <w:rPr>
          <w:rFonts w:ascii="Times New Roman" w:hAnsi="Times New Roman" w:cs="Times New Roman"/>
          <w:sz w:val="24"/>
          <w:szCs w:val="24"/>
        </w:rPr>
        <w:t>o podatku od towarów</w:t>
      </w:r>
      <w:r w:rsidR="00773FC6" w:rsidRPr="00B25A10">
        <w:rPr>
          <w:rFonts w:ascii="Times New Roman" w:hAnsi="Times New Roman" w:cs="Times New Roman"/>
          <w:sz w:val="24"/>
          <w:szCs w:val="24"/>
        </w:rPr>
        <w:t xml:space="preserve"> </w:t>
      </w:r>
      <w:r w:rsidRPr="00B25A10">
        <w:rPr>
          <w:rFonts w:ascii="Times New Roman" w:hAnsi="Times New Roman" w:cs="Times New Roman"/>
          <w:sz w:val="24"/>
          <w:szCs w:val="24"/>
        </w:rPr>
        <w:t xml:space="preserve">i usług (oraz art. 27 ust. 4 ustawy </w:t>
      </w:r>
      <w:r w:rsidR="00B814D0" w:rsidRPr="00B25A10">
        <w:rPr>
          <w:rFonts w:ascii="Times New Roman" w:hAnsi="Times New Roman" w:cs="Times New Roman"/>
          <w:sz w:val="24"/>
          <w:szCs w:val="24"/>
        </w:rPr>
        <w:t xml:space="preserve">z dnia 6 grudnia 2008 r. </w:t>
      </w:r>
      <w:r w:rsidRPr="00B25A10">
        <w:rPr>
          <w:rFonts w:ascii="Times New Roman" w:hAnsi="Times New Roman" w:cs="Times New Roman"/>
          <w:sz w:val="24"/>
          <w:szCs w:val="24"/>
        </w:rPr>
        <w:t xml:space="preserve">o podatku akcyzowym) stanowi, że jeżeli naczelnik urzędu celno-skarbowego stwierdzi, że w zgłoszeniu celnym kwota podatku została wykazana nieprawidłowo, wydaje decyzję określającą podatek w prawidłowej wysokości. </w:t>
      </w:r>
    </w:p>
    <w:p w14:paraId="7DCB0D54"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Zgodnie z propozycją zawartą w niniejszej ustawie przepis ten zostanie rozbity na dwa ustępy w celu dostosowania do regulacji celnych, tj. stwierdzeniem nieprawidłowości w zgłoszeniu celnym przed zwolnieniem towarów i po ich zwolnieniu.  </w:t>
      </w:r>
    </w:p>
    <w:p w14:paraId="71CB5782" w14:textId="519854C2" w:rsidR="00712E99" w:rsidRPr="00B25A10" w:rsidRDefault="00712E99"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Zgodnie ze zmodyfikowanym ust. 2</w:t>
      </w:r>
      <w:r w:rsidR="00B814D0" w:rsidRPr="00B25A10">
        <w:rPr>
          <w:rFonts w:ascii="Times New Roman" w:hAnsi="Times New Roman" w:cs="Times New Roman"/>
          <w:bCs/>
          <w:sz w:val="24"/>
          <w:szCs w:val="24"/>
        </w:rPr>
        <w:t xml:space="preserve"> zawartym w art. 33</w:t>
      </w:r>
      <w:r w:rsidRPr="00B25A10">
        <w:rPr>
          <w:rFonts w:ascii="Times New Roman" w:hAnsi="Times New Roman" w:cs="Times New Roman"/>
          <w:bCs/>
          <w:sz w:val="24"/>
          <w:szCs w:val="24"/>
        </w:rPr>
        <w:t>, jeżeli naczelnik urzędu celno</w:t>
      </w:r>
      <w:r w:rsidR="00D77D97">
        <w:rPr>
          <w:rFonts w:ascii="Times New Roman" w:hAnsi="Times New Roman" w:cs="Times New Roman"/>
          <w:bCs/>
          <w:sz w:val="24"/>
          <w:szCs w:val="24"/>
        </w:rPr>
        <w:noBreakHyphen/>
      </w:r>
      <w:r w:rsidRPr="00B25A10">
        <w:rPr>
          <w:rFonts w:ascii="Times New Roman" w:hAnsi="Times New Roman" w:cs="Times New Roman"/>
          <w:bCs/>
          <w:sz w:val="24"/>
          <w:szCs w:val="24"/>
        </w:rPr>
        <w:t>skarbowego stwierdzi przed zwolnieniem towaru, o którym mowa w art. 194 UKC, że w zgłoszeniu celnym kwota podatku została wykazana nieprawidłowo:</w:t>
      </w:r>
    </w:p>
    <w:p w14:paraId="20E90A25" w14:textId="77777777" w:rsidR="00712E99" w:rsidRPr="00B25A10" w:rsidRDefault="00712E99" w:rsidP="002B0551">
      <w:pPr>
        <w:spacing w:before="120" w:after="0" w:line="360" w:lineRule="auto"/>
        <w:ind w:left="705" w:hanging="705"/>
        <w:jc w:val="both"/>
        <w:rPr>
          <w:rFonts w:ascii="Times New Roman" w:hAnsi="Times New Roman" w:cs="Times New Roman"/>
          <w:bCs/>
          <w:sz w:val="24"/>
          <w:szCs w:val="24"/>
        </w:rPr>
      </w:pPr>
      <w:r w:rsidRPr="00B25A10">
        <w:rPr>
          <w:rFonts w:ascii="Times New Roman" w:hAnsi="Times New Roman" w:cs="Times New Roman"/>
          <w:bCs/>
          <w:sz w:val="24"/>
          <w:szCs w:val="24"/>
        </w:rPr>
        <w:t>1)</w:t>
      </w:r>
      <w:r w:rsidRPr="00B25A10">
        <w:rPr>
          <w:rFonts w:ascii="Times New Roman" w:hAnsi="Times New Roman" w:cs="Times New Roman"/>
          <w:bCs/>
          <w:sz w:val="24"/>
          <w:szCs w:val="24"/>
        </w:rPr>
        <w:tab/>
        <w:t>wyda decyzję przed zwolnieniem towaru, w której określi podatek w prawidłowej wysokości, albo</w:t>
      </w:r>
    </w:p>
    <w:p w14:paraId="2736E0EB" w14:textId="77777777" w:rsidR="00712E99" w:rsidRPr="00B25A10" w:rsidRDefault="00712E99" w:rsidP="002B0551">
      <w:pPr>
        <w:spacing w:before="120" w:after="0" w:line="360" w:lineRule="auto"/>
        <w:ind w:left="705" w:hanging="705"/>
        <w:jc w:val="both"/>
        <w:rPr>
          <w:rFonts w:ascii="Times New Roman" w:hAnsi="Times New Roman" w:cs="Times New Roman"/>
          <w:bCs/>
          <w:sz w:val="24"/>
          <w:szCs w:val="24"/>
        </w:rPr>
      </w:pPr>
      <w:r w:rsidRPr="00B25A10">
        <w:rPr>
          <w:rFonts w:ascii="Times New Roman" w:hAnsi="Times New Roman" w:cs="Times New Roman"/>
          <w:bCs/>
          <w:sz w:val="24"/>
          <w:szCs w:val="24"/>
        </w:rPr>
        <w:t>2)</w:t>
      </w:r>
      <w:r w:rsidRPr="00B25A10">
        <w:rPr>
          <w:rFonts w:ascii="Times New Roman" w:hAnsi="Times New Roman" w:cs="Times New Roman"/>
          <w:bCs/>
          <w:sz w:val="24"/>
          <w:szCs w:val="24"/>
        </w:rPr>
        <w:tab/>
        <w:t xml:space="preserve">wyda decyzję po zwolnieniu towarów, w której określi różnicę między kwotą podatku w prawidłowej wysokości a kwotą podatku już wykazaną.  </w:t>
      </w:r>
    </w:p>
    <w:p w14:paraId="7F5F690A" w14:textId="6388D5CE"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W przypadku importu towarów podstawowym źródłem danych pozwalającym na określenie należności zarówno celnych</w:t>
      </w:r>
      <w:r w:rsidR="00D77D97">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jak i podatkowych jest zgłoszenie celne. W zgłoszeniu tym  zgłaszający/podatnik deklaruje wysokość należnego cła, podatków, tj. VAT i akcyzy (jeżeli </w:t>
      </w:r>
      <w:r w:rsidRPr="00B25A10">
        <w:rPr>
          <w:rFonts w:ascii="Times New Roman" w:eastAsia="Calibri" w:hAnsi="Times New Roman" w:cs="Times New Roman"/>
          <w:sz w:val="24"/>
          <w:szCs w:val="24"/>
        </w:rPr>
        <w:lastRenderedPageBreak/>
        <w:t>towary są wyrobami akcyzowymi) oraz innych należnych opłat. Po przyjęciu zgłoszenia celnego organ celny może zweryfikować prawidłowość danych zawartych w przyjętym zgłoszeniu celnym albo odstąpić od weryfikacji. Jeżeli organ celny odstąpi od weryfikacji zgłoszenia lub wynik weryfikacji jest pozytywny</w:t>
      </w:r>
      <w:r w:rsidR="00D77D97">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zgłaszający/podatnik zostaje poinformowany o kwocie należności podatkowych do zapłaty (tożsamej z kwotą zadeklarowaną wykazaną w zgłoszeniu). Od daty otrzymania tego powiadomienia biegnie termin 10 dni na zapłatę należności. Po zapłacie lub zabezpieczeniu należności towar jest zwalniany. </w:t>
      </w:r>
    </w:p>
    <w:p w14:paraId="0A4DA464" w14:textId="6EAC3573"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Jeżeli po przyjęciu zgłoszenia</w:t>
      </w:r>
      <w:r w:rsidR="00D77D97">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a przed zwolnieniem towaru organ celny stwierdzi, na podstawie wyników weryfikacji zgłoszenia celnego, że kwota należności może być wyższa niż zadeklarowana w zgłoszeniu celnym, wówczas możliwe będą dwie możliwości:</w:t>
      </w:r>
    </w:p>
    <w:p w14:paraId="5FA83843" w14:textId="77777777" w:rsidR="00712E99" w:rsidRPr="00B25A10" w:rsidRDefault="00712E99" w:rsidP="002B0551">
      <w:pPr>
        <w:spacing w:before="120" w:after="0" w:line="360" w:lineRule="auto"/>
        <w:ind w:left="708" w:hanging="663"/>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w:t>
      </w:r>
      <w:r w:rsidRPr="00B25A10">
        <w:rPr>
          <w:rFonts w:ascii="Times New Roman" w:eastAsia="Calibri" w:hAnsi="Times New Roman" w:cs="Times New Roman"/>
          <w:sz w:val="24"/>
          <w:szCs w:val="24"/>
        </w:rPr>
        <w:tab/>
        <w:t xml:space="preserve">organ celny może wydać decyzję przed zwolnieniem towaru, w której określi wysokość należności w prawidłowej (pełnej) wysokości (np. w zgłoszeniu było deklarowane 100, a po weryfikacji wychodzi 105 – decyzja jest na 105); jeżeli jest wydana taka decyzja, to towar będzie zwolniony na podstawie tej decyzji po zapłacie lub zabezpieczeniu należności określonych w decyzji, tj. 105. </w:t>
      </w:r>
    </w:p>
    <w:p w14:paraId="53835B6C" w14:textId="35700278" w:rsidR="00712E99" w:rsidRPr="00B25A10" w:rsidRDefault="00712E99" w:rsidP="002B0551">
      <w:pPr>
        <w:spacing w:before="120" w:after="0" w:line="360" w:lineRule="auto"/>
        <w:ind w:left="708" w:hanging="663"/>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ab/>
        <w:t xml:space="preserve">Opisany powyżej przypadek odpowiada projektowanemu art. 33 ust. 2 pkt 1 ustawy </w:t>
      </w:r>
      <w:r w:rsidR="00B814D0"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w:t>
      </w:r>
    </w:p>
    <w:p w14:paraId="71572C74" w14:textId="5BF866E0" w:rsidR="00712E99" w:rsidRPr="00B25A10" w:rsidRDefault="00D77D97" w:rsidP="002B0551">
      <w:pPr>
        <w:spacing w:before="120" w:after="0" w:line="360" w:lineRule="auto"/>
        <w:ind w:left="708" w:hanging="663"/>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organ celny może zwolnić towary po uiszczeniu lub zabezpieczeniu należności zadeklarowanych w zgłoszeniu celnym i dodatkowo po złożeniu zabezpieczenia wystarczającego na pokrycie różnicy mi</w:t>
      </w:r>
      <w:r>
        <w:rPr>
          <w:rFonts w:ascii="Times New Roman" w:eastAsia="Calibri" w:hAnsi="Times New Roman" w:cs="Times New Roman"/>
          <w:sz w:val="24"/>
          <w:szCs w:val="24"/>
        </w:rPr>
        <w:t>ę</w:t>
      </w:r>
      <w:r w:rsidR="00712E99" w:rsidRPr="00B25A10">
        <w:rPr>
          <w:rFonts w:ascii="Times New Roman" w:eastAsia="Calibri" w:hAnsi="Times New Roman" w:cs="Times New Roman"/>
          <w:sz w:val="24"/>
          <w:szCs w:val="24"/>
        </w:rPr>
        <w:t>dzy kwotą podatku wynikającą ze zgłoszenia celnego a kwotą, która może być określona za te towary na podstawie wyników weryfikacji. W takim przypadku towar jest zwalniany po zapłacie lub zabezpieczeniu zadeklarowanej w zgłoszeniu kwoty podatku (100), a po zwolnieniu wydawana jest decyzja określająca różnicę między kwotą podatku w prawidłowej wysokości a kwotą wykazaną w zgłoszeniu celnym (tj. na 5). Do czasu zapłaty tych dodatkowych należności (tj. 5) są one zabezpieczone.</w:t>
      </w:r>
    </w:p>
    <w:p w14:paraId="38513F66" w14:textId="77777777" w:rsidR="00712E99" w:rsidRPr="00B25A10" w:rsidRDefault="00712E99" w:rsidP="002B0551">
      <w:pPr>
        <w:spacing w:before="120" w:after="0" w:line="360" w:lineRule="auto"/>
        <w:ind w:left="708"/>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Opisany powyżej przypadek odpowiada projektowanemu art. 33 ust. 2 pkt 2 ustawy </w:t>
      </w:r>
      <w:r w:rsidR="00B814D0"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w:t>
      </w:r>
    </w:p>
    <w:p w14:paraId="1FF9FD34" w14:textId="0E9A4984"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Po zwolnieniu towarów organy celne również mogą, na podstawie art. 48 UKC, weryfikować prawidłowość i kompletność informacji podanych w zgłoszeniu celnym. Jeżeli w wyniku takiej kontroli okaże się, że kwota należności przywozowych </w:t>
      </w:r>
      <w:r w:rsidR="00773FC6" w:rsidRPr="00B25A10">
        <w:rPr>
          <w:rFonts w:ascii="Times New Roman" w:eastAsia="Calibri" w:hAnsi="Times New Roman" w:cs="Times New Roman"/>
          <w:sz w:val="24"/>
          <w:szCs w:val="24"/>
        </w:rPr>
        <w:t xml:space="preserve">wykazana </w:t>
      </w:r>
      <w:r w:rsidRPr="00B25A10">
        <w:rPr>
          <w:rFonts w:ascii="Times New Roman" w:eastAsia="Calibri" w:hAnsi="Times New Roman" w:cs="Times New Roman"/>
          <w:sz w:val="24"/>
          <w:szCs w:val="24"/>
        </w:rPr>
        <w:t>w zgłoszeniu celnym</w:t>
      </w:r>
      <w:r w:rsidR="00773FC6" w:rsidRPr="00B25A10">
        <w:rPr>
          <w:rFonts w:ascii="Times New Roman" w:eastAsia="Calibri" w:hAnsi="Times New Roman" w:cs="Times New Roman"/>
          <w:sz w:val="24"/>
          <w:szCs w:val="24"/>
        </w:rPr>
        <w:t xml:space="preserve"> </w:t>
      </w:r>
      <w:r w:rsidR="00773FC6" w:rsidRPr="00B25A10">
        <w:rPr>
          <w:rFonts w:ascii="Times New Roman" w:eastAsia="Calibri" w:hAnsi="Times New Roman" w:cs="Times New Roman"/>
          <w:sz w:val="24"/>
          <w:szCs w:val="24"/>
        </w:rPr>
        <w:lastRenderedPageBreak/>
        <w:t xml:space="preserve">lub rozliczeniu zamknięcia albo </w:t>
      </w:r>
      <w:r w:rsidRPr="00B25A10">
        <w:rPr>
          <w:rFonts w:ascii="Times New Roman" w:eastAsia="Calibri" w:hAnsi="Times New Roman" w:cs="Times New Roman"/>
          <w:sz w:val="24"/>
          <w:szCs w:val="24"/>
        </w:rPr>
        <w:t>określona w decyzji jest nieprawidłowa (np. wskutek ujawnienia dodatkowej faktury na transport, którego koszt powinien być doliczony do wartości celnej)</w:t>
      </w:r>
      <w:r w:rsidR="00D77D97">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naczelnik urzędu celnego wyda decyzję określającą różnicę między kwotą podatku w prawidłowej wysokości a kwotą już wykazaną w zgłoszeniu celnym lub </w:t>
      </w:r>
      <w:r w:rsidR="00773FC6" w:rsidRPr="00B25A10">
        <w:rPr>
          <w:rFonts w:ascii="Times New Roman" w:eastAsia="Calibri" w:hAnsi="Times New Roman" w:cs="Times New Roman"/>
          <w:sz w:val="24"/>
          <w:szCs w:val="24"/>
        </w:rPr>
        <w:t xml:space="preserve">rozliczeniu zamknięcia albo </w:t>
      </w:r>
      <w:r w:rsidRPr="00B25A10">
        <w:rPr>
          <w:rFonts w:ascii="Times New Roman" w:eastAsia="Calibri" w:hAnsi="Times New Roman" w:cs="Times New Roman"/>
          <w:sz w:val="24"/>
          <w:szCs w:val="24"/>
        </w:rPr>
        <w:t>określoną w decyzji. Obecnie taką decyzję (na różnicę) wyda naczelnika urzędu celnego tylko do określenia należności celnych, zaś podatki i opłaty, do których zastosowanie mają przepisy Ordynacji podatkowej</w:t>
      </w:r>
      <w:r w:rsidR="00D77D97">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określone zostaną w prawidłowej (pełnej wysokości). </w:t>
      </w:r>
    </w:p>
    <w:p w14:paraId="547382DD"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W przypadku ujawnienia kolejnych nieprawidłowości mających wpływ na wysokość należnej kwoty podatku (np. w wyniku weryfikacji świadectwa pochodzenia) lub na wniosek osoby naczelnik urzędu celno-skarbowego wyda kolejną decyzję określającą różnicę między kwotą podatku w prawidłowej wysokości a kwotą podatku już wykazaną lub określoną, bez wzruszania poprzedniej decyzji określającej ten podatek. </w:t>
      </w:r>
    </w:p>
    <w:p w14:paraId="6E70435B" w14:textId="0764A921"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Opisany powyżej przypadek odpowiada projektowanemu art. 33 ust. 2a ustawy </w:t>
      </w:r>
      <w:r w:rsidR="00773FC6"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w:t>
      </w:r>
    </w:p>
    <w:p w14:paraId="63D4E98D" w14:textId="77777777" w:rsidR="00712E99" w:rsidRPr="00B25A10" w:rsidRDefault="00712E99" w:rsidP="00B25A10">
      <w:pPr>
        <w:spacing w:before="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 33 ust. 3</w:t>
      </w:r>
    </w:p>
    <w:p w14:paraId="7A10AAD9" w14:textId="638F83C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Modyfikacja </w:t>
      </w:r>
      <w:r w:rsidR="00773FC6" w:rsidRPr="00B25A10">
        <w:rPr>
          <w:rFonts w:ascii="Times New Roman" w:eastAsia="Calibri" w:hAnsi="Times New Roman" w:cs="Times New Roman"/>
          <w:sz w:val="24"/>
          <w:szCs w:val="24"/>
        </w:rPr>
        <w:t xml:space="preserve">w </w:t>
      </w:r>
      <w:r w:rsidRPr="00B25A10">
        <w:rPr>
          <w:rFonts w:ascii="Times New Roman" w:eastAsia="Calibri" w:hAnsi="Times New Roman" w:cs="Times New Roman"/>
          <w:sz w:val="24"/>
          <w:szCs w:val="24"/>
        </w:rPr>
        <w:t xml:space="preserve">art. 33 ust. 2 i dodanie nowego ust. 2a ustawy </w:t>
      </w:r>
      <w:r w:rsidR="00773FC6"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 wymusza również zmianę art. 33 ust. 3 tej ustawy, który w obecnym brzmieniu daje prawo podatnikowi do wystąpienia, po przyjęciu zgłoszenia celnego</w:t>
      </w:r>
      <w:r w:rsidR="003E0F02" w:rsidRPr="00B25A10">
        <w:rPr>
          <w:rFonts w:ascii="Times New Roman" w:eastAsia="Calibri" w:hAnsi="Times New Roman" w:cs="Times New Roman"/>
          <w:sz w:val="24"/>
          <w:szCs w:val="24"/>
        </w:rPr>
        <w:t xml:space="preserve"> lub po przedstawieniu rozliczenia zamknięcia</w:t>
      </w:r>
      <w:r w:rsidRPr="00B25A10">
        <w:rPr>
          <w:rFonts w:ascii="Times New Roman" w:eastAsia="Calibri" w:hAnsi="Times New Roman" w:cs="Times New Roman"/>
          <w:sz w:val="24"/>
          <w:szCs w:val="24"/>
        </w:rPr>
        <w:t>, do naczelnika urzędu celno-skarbowego o wydanie decyzji określającej podatek w prawidłowej (pełnej) wysokości. Po dokonaniu zmiany przepisu podatnik w dalszym ciągu będzie miał prawo do złożenia wniosku o wydanie decyzji określającej różnicę mi</w:t>
      </w:r>
      <w:r w:rsidR="00B858EA">
        <w:rPr>
          <w:rFonts w:ascii="Times New Roman" w:eastAsia="Calibri" w:hAnsi="Times New Roman" w:cs="Times New Roman"/>
          <w:sz w:val="24"/>
          <w:szCs w:val="24"/>
        </w:rPr>
        <w:t>ę</w:t>
      </w:r>
      <w:r w:rsidRPr="00B25A10">
        <w:rPr>
          <w:rFonts w:ascii="Times New Roman" w:eastAsia="Calibri" w:hAnsi="Times New Roman" w:cs="Times New Roman"/>
          <w:sz w:val="24"/>
          <w:szCs w:val="24"/>
        </w:rPr>
        <w:t>dzy kwotą podatku w prawidłowej wysokości a kwotą podatku już wykazaną albo określoną  (zarówno w tej określającej podatek w prawidłowej wysokości</w:t>
      </w:r>
      <w:r w:rsidR="00B858EA">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jak i określającej różnicę). </w:t>
      </w:r>
    </w:p>
    <w:p w14:paraId="6C7744DC" w14:textId="4D74E47B"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Decyzja na wniosek, o którym mowa w art. 33 ust. 3 ustawy </w:t>
      </w:r>
      <w:r w:rsidR="00A55099"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  może być wydana po zwolnieniu towarów, zatem dotyczyć może różnicy między kwotą podatku w prawidłowej wysokości a kwotą podatku wykazaną w zgłoszeniu celnym</w:t>
      </w:r>
      <w:r w:rsidR="00A55099" w:rsidRPr="00B25A10">
        <w:rPr>
          <w:rFonts w:ascii="Times New Roman" w:eastAsia="Calibri" w:hAnsi="Times New Roman" w:cs="Times New Roman"/>
          <w:sz w:val="24"/>
          <w:szCs w:val="24"/>
        </w:rPr>
        <w:t xml:space="preserve"> lub rozliczeniu zamknięcia</w:t>
      </w:r>
      <w:r w:rsidRPr="00B25A10">
        <w:rPr>
          <w:rFonts w:ascii="Times New Roman" w:eastAsia="Calibri" w:hAnsi="Times New Roman" w:cs="Times New Roman"/>
          <w:sz w:val="24"/>
          <w:szCs w:val="24"/>
        </w:rPr>
        <w:t xml:space="preserve">, o której zgłaszający/podatnik został już powiadomiony i która została już uiszczona lub zabezpieczona, co stanowi warunek zwolnienia towarów. </w:t>
      </w:r>
    </w:p>
    <w:p w14:paraId="369999D8" w14:textId="77777777" w:rsidR="00712E99" w:rsidRPr="00B25A10" w:rsidRDefault="00712E99" w:rsidP="00B25A10">
      <w:pPr>
        <w:spacing w:before="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 33 ust. 7a pkt 1</w:t>
      </w:r>
    </w:p>
    <w:p w14:paraId="3DAFB8EE"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lastRenderedPageBreak/>
        <w:t xml:space="preserve">Zmiana w art. 33 ust. 7a pkt 1 ustawy </w:t>
      </w:r>
      <w:r w:rsidR="00A55099"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 xml:space="preserve">o podatku od towarów i usług wynika z wykreślenia w tym przepisie pełnego powołania nazwy rozporządzenia ustanawiającego UKC. Rozporządzenie to po raz pierwszy zostało wskazane w zmodyfikowanym art. 33 ust. 2 ustawy </w:t>
      </w:r>
      <w:r w:rsidR="00A55099"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 i tam też zamieszczono jego pełną nazwę wraz ze stosowaną w dalszej części ustawy nazwą skrótową.</w:t>
      </w:r>
    </w:p>
    <w:p w14:paraId="1956448D" w14:textId="77777777" w:rsidR="00CA1283" w:rsidRPr="00B25A10" w:rsidRDefault="00CA1283" w:rsidP="00B25A10">
      <w:pPr>
        <w:spacing w:before="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w:t>
      </w:r>
      <w:r w:rsidR="008C5736" w:rsidRPr="00B25A10">
        <w:rPr>
          <w:rFonts w:ascii="Times New Roman" w:eastAsia="Calibri" w:hAnsi="Times New Roman" w:cs="Times New Roman"/>
          <w:b/>
          <w:sz w:val="24"/>
          <w:szCs w:val="24"/>
        </w:rPr>
        <w:t xml:space="preserve"> </w:t>
      </w:r>
      <w:r w:rsidRPr="00B25A10">
        <w:rPr>
          <w:rFonts w:ascii="Times New Roman" w:eastAsia="Calibri" w:hAnsi="Times New Roman" w:cs="Times New Roman"/>
          <w:b/>
          <w:sz w:val="24"/>
          <w:szCs w:val="24"/>
        </w:rPr>
        <w:t>33b ust. 4</w:t>
      </w:r>
    </w:p>
    <w:p w14:paraId="1D9090A5" w14:textId="77777777" w:rsidR="00CA1283" w:rsidRPr="00B25A10" w:rsidRDefault="008C5736"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Zmiana w art. 33b w ust. 4 ustawy </w:t>
      </w:r>
      <w:r w:rsidR="00A55099"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 ma charakter dostosowujący do projektowanych zmian w art. 33 tej ustawy.</w:t>
      </w:r>
    </w:p>
    <w:p w14:paraId="4E09BEFD" w14:textId="77777777" w:rsidR="00712E99" w:rsidRPr="00B25A10" w:rsidRDefault="00712E99" w:rsidP="00B25A10">
      <w:pPr>
        <w:spacing w:before="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dodanie w art. 34 ust. 1a</w:t>
      </w:r>
    </w:p>
    <w:p w14:paraId="66F0E0D3" w14:textId="13BF526C"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Przepis art. 34 ust. 1 ustawy </w:t>
      </w:r>
      <w:r w:rsidR="007903FC"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 stanowi, że w przypadkach innych niż określone w art. 33 ust. 1</w:t>
      </w:r>
      <w:r w:rsidR="002C234D" w:rsidRPr="00B25A10">
        <w:rPr>
          <w:rFonts w:ascii="Times New Roman" w:hAnsi="Times New Roman" w:cs="Times New Roman"/>
          <w:sz w:val="24"/>
          <w:szCs w:val="24"/>
        </w:rPr>
        <w:t>–</w:t>
      </w:r>
      <w:r w:rsidRPr="00B25A10">
        <w:rPr>
          <w:rFonts w:ascii="Times New Roman" w:eastAsia="Calibri" w:hAnsi="Times New Roman" w:cs="Times New Roman"/>
          <w:sz w:val="24"/>
          <w:szCs w:val="24"/>
        </w:rPr>
        <w:t xml:space="preserve">3 tej ustawy, kwotę podatku należnego z tytułu importu towarów określa naczelnik urzędu celno-skarbowego w drodze decyzji (np. w przypadku niezłożenia zgłoszenia celnego). </w:t>
      </w:r>
    </w:p>
    <w:p w14:paraId="41EDF497" w14:textId="2C0ABE44"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W art. 34 ustawy dodaje się ust. 1a stanowiący, że w przypadku gdy w decyzji, o której mowa w ust. 1a, kwota podatku nie zostanie określona w prawidłowej wysokości, naczelnik urzędu celno-skarbowego wyda decyzję określającą różnicę mi</w:t>
      </w:r>
      <w:r w:rsidR="002C234D">
        <w:rPr>
          <w:rFonts w:ascii="Times New Roman" w:eastAsia="Calibri" w:hAnsi="Times New Roman" w:cs="Times New Roman"/>
          <w:sz w:val="24"/>
          <w:szCs w:val="24"/>
        </w:rPr>
        <w:t>ę</w:t>
      </w:r>
      <w:r w:rsidRPr="00B25A10">
        <w:rPr>
          <w:rFonts w:ascii="Times New Roman" w:eastAsia="Calibri" w:hAnsi="Times New Roman" w:cs="Times New Roman"/>
          <w:sz w:val="24"/>
          <w:szCs w:val="24"/>
        </w:rPr>
        <w:t>dzy kwotą podatku w prawidłowej wysokości a kwotą podatku już określoną. Dodanie ust. 1a jest kontynuacją zmian wprowadzonych w art. 33 ust. 2</w:t>
      </w:r>
      <w:r w:rsidR="002C234D" w:rsidRPr="00B25A10">
        <w:rPr>
          <w:rFonts w:ascii="Times New Roman" w:hAnsi="Times New Roman" w:cs="Times New Roman"/>
          <w:sz w:val="24"/>
          <w:szCs w:val="24"/>
        </w:rPr>
        <w:t>–</w:t>
      </w:r>
      <w:r w:rsidRPr="00B25A10">
        <w:rPr>
          <w:rFonts w:ascii="Times New Roman" w:eastAsia="Calibri" w:hAnsi="Times New Roman" w:cs="Times New Roman"/>
          <w:sz w:val="24"/>
          <w:szCs w:val="24"/>
        </w:rPr>
        <w:t xml:space="preserve">3 i tam uzasadnionych. </w:t>
      </w:r>
    </w:p>
    <w:p w14:paraId="60CD1AF2" w14:textId="77777777" w:rsidR="00712E99" w:rsidRPr="00B25A10" w:rsidRDefault="00712E99" w:rsidP="00B25A10">
      <w:pPr>
        <w:spacing w:before="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 34 ust. 3</w:t>
      </w:r>
    </w:p>
    <w:p w14:paraId="378FAACE"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Zmiana w art. 34 ust. 3 ustawy </w:t>
      </w:r>
      <w:r w:rsidR="00A55099"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 xml:space="preserve">o podatku od towarów i usług wynika z dodania w art. 33 ust. 2a i w art. 34 ust. 1a. Tak jak dotychczas odwołanie od decyzji wydanej przez naczelnika urzędu celno-skarbowego w sprawach dotyczących określenia podatku należnego z tytułu importu towarów składane będzie do dyrektora izby administracji skarbowej, za pośrednictwem naczelnika urzędu celno-skarbowego, który wydał decyzję.  </w:t>
      </w:r>
    </w:p>
    <w:p w14:paraId="1D98621A" w14:textId="77777777" w:rsidR="00712E99" w:rsidRPr="00B25A10" w:rsidRDefault="00712E99" w:rsidP="00B25A10">
      <w:pPr>
        <w:spacing w:before="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 xml:space="preserve">zmiana art. 34 ust. 4 </w:t>
      </w:r>
    </w:p>
    <w:p w14:paraId="79F83AEF"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Zmiana art. 34 ust. 4 ustawy</w:t>
      </w:r>
      <w:r w:rsidR="00A55099" w:rsidRPr="00B25A10">
        <w:rPr>
          <w:rFonts w:ascii="Times New Roman" w:eastAsia="Calibri" w:hAnsi="Times New Roman" w:cs="Times New Roman"/>
          <w:sz w:val="24"/>
          <w:szCs w:val="24"/>
        </w:rPr>
        <w:t xml:space="preserve"> z dnia 11 marca 2004 r. </w:t>
      </w:r>
      <w:r w:rsidRPr="00B25A10">
        <w:rPr>
          <w:rFonts w:ascii="Times New Roman" w:eastAsia="Calibri" w:hAnsi="Times New Roman" w:cs="Times New Roman"/>
          <w:sz w:val="24"/>
          <w:szCs w:val="24"/>
        </w:rPr>
        <w:t xml:space="preserve">o podatku od towarów i usług ma podstawowe znaczenie dla wdrożenia koncepcji tzw. jednego postępowania. </w:t>
      </w:r>
    </w:p>
    <w:p w14:paraId="42F9EB92" w14:textId="333204A1"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Zgodnie z obecnie obowiązującymi regulacjami prawnymi, do postępowań w sprawie określenia podatku należnego z tytułu importu towarów zastosowanie mają przepisy Ordynacji podatkowej. Po wprowadzeniu zmian do tych postepowań będą mieć zastosowanie </w:t>
      </w:r>
      <w:r w:rsidRPr="00B25A10">
        <w:rPr>
          <w:rFonts w:ascii="Times New Roman" w:eastAsia="Calibri" w:hAnsi="Times New Roman" w:cs="Times New Roman"/>
          <w:sz w:val="24"/>
          <w:szCs w:val="24"/>
        </w:rPr>
        <w:lastRenderedPageBreak/>
        <w:t>wskazane przepisy prawa celnego, zarówno unijnego</w:t>
      </w:r>
      <w:r w:rsidR="00001F11">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jak i krajowego, oraz te przepisy Ordynacji podatkowej, które mają zastosowanie do postępowania w sprawach celnych, wskazane w art. 73 ust. 1 Prawa celnego. </w:t>
      </w:r>
      <w:r w:rsidRPr="00B25A10">
        <w:rPr>
          <w:rFonts w:ascii="Times New Roman" w:eastAsia="Calibri" w:hAnsi="Times New Roman" w:cs="Times New Roman"/>
          <w:i/>
          <w:sz w:val="24"/>
          <w:szCs w:val="24"/>
        </w:rPr>
        <w:t>A contrario</w:t>
      </w:r>
      <w:r w:rsidRPr="00B25A10">
        <w:rPr>
          <w:rFonts w:ascii="Times New Roman" w:eastAsia="Calibri" w:hAnsi="Times New Roman" w:cs="Times New Roman"/>
          <w:sz w:val="24"/>
          <w:szCs w:val="24"/>
        </w:rPr>
        <w:t xml:space="preserve">, przepisy Ordynacji podatkowej niepowołane w art. 34 ust. 4 pkt 3 ustawy o podatku od towarów i usług nie będą miały zastosowania do postępowania dotyczącego określenia podatku z tytułu importu, z wyjątkiem przepisów dotyczących wykonania decyzji (rozdział 16a działu IV Ordynacji podatkowej). </w:t>
      </w:r>
    </w:p>
    <w:p w14:paraId="08CF068D" w14:textId="1FBE989F"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Należy podkreślić, że art. 34 ust. 4 ustawy </w:t>
      </w:r>
      <w:r w:rsidR="0027495F"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 nie wyłącza stosowania do podatków należnych z tytułu importu towarów całej Ordynacji podatkowej</w:t>
      </w:r>
      <w:r w:rsidR="00001F11">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a tylko niektóre przepisy dotyczące postępowania podatkowego zawarte w dziale IV Ordynacji podatkowej. Oznacza to, że wszystkie inne przepis</w:t>
      </w:r>
      <w:r w:rsidR="0027495F" w:rsidRPr="00B25A10">
        <w:rPr>
          <w:rFonts w:ascii="Times New Roman" w:eastAsia="Calibri" w:hAnsi="Times New Roman" w:cs="Times New Roman"/>
          <w:sz w:val="24"/>
          <w:szCs w:val="24"/>
        </w:rPr>
        <w:t>y</w:t>
      </w:r>
      <w:r w:rsidRPr="00B25A10">
        <w:rPr>
          <w:rFonts w:ascii="Times New Roman" w:eastAsia="Calibri" w:hAnsi="Times New Roman" w:cs="Times New Roman"/>
          <w:sz w:val="24"/>
          <w:szCs w:val="24"/>
        </w:rPr>
        <w:t xml:space="preserve"> Ordynacji podatkowej umiejscowione poza działem IV Ordynacji podatkowej będą do tych podatków stosowane, w szczególności zaś dział III dotyczący zobowiązań podatkowych.  </w:t>
      </w:r>
    </w:p>
    <w:p w14:paraId="093AFFC8" w14:textId="77777777" w:rsidR="00712E99" w:rsidRPr="00B25A10" w:rsidRDefault="003854A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Oznacza to, że p</w:t>
      </w:r>
      <w:r w:rsidR="00712E99" w:rsidRPr="00B25A10">
        <w:rPr>
          <w:rFonts w:ascii="Times New Roman" w:eastAsia="Calibri" w:hAnsi="Times New Roman" w:cs="Times New Roman"/>
          <w:sz w:val="24"/>
          <w:szCs w:val="24"/>
        </w:rPr>
        <w:t xml:space="preserve">rzepisy prawa celnego stosowane będą tylko do postępowań w sprawie określenia kwoty należnych podatków, a zatem tylko do ich wymierzenia w pierwszej i drugiej instancji oraz w tzw. trybach nadzwyczajnych. Nie będą miałby zaś już zastosowania do wykonania decyzji, przedawnienia czy </w:t>
      </w:r>
      <w:r w:rsidR="0027495F" w:rsidRPr="00B25A10">
        <w:rPr>
          <w:rFonts w:ascii="Times New Roman" w:eastAsia="Calibri" w:hAnsi="Times New Roman" w:cs="Times New Roman"/>
          <w:sz w:val="24"/>
          <w:szCs w:val="24"/>
        </w:rPr>
        <w:t>zwrotów</w:t>
      </w:r>
      <w:r w:rsidR="00712E99" w:rsidRPr="00B25A10">
        <w:rPr>
          <w:rFonts w:ascii="Times New Roman" w:eastAsia="Calibri" w:hAnsi="Times New Roman" w:cs="Times New Roman"/>
          <w:sz w:val="24"/>
          <w:szCs w:val="24"/>
        </w:rPr>
        <w:t>.</w:t>
      </w:r>
    </w:p>
    <w:p w14:paraId="377343BE" w14:textId="77777777" w:rsidR="00712E99" w:rsidRPr="00B25A10" w:rsidRDefault="00712E99" w:rsidP="00B25A10">
      <w:pPr>
        <w:spacing w:before="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 xml:space="preserve">Zakres ujednolicenia </w:t>
      </w:r>
    </w:p>
    <w:p w14:paraId="5BFAB0AE" w14:textId="0D536808"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Ujednolicenie postępowania dotyczyć będzie tylko </w:t>
      </w:r>
      <w:r w:rsidRPr="00B25A10">
        <w:rPr>
          <w:rFonts w:ascii="Times New Roman" w:eastAsia="Calibri" w:hAnsi="Times New Roman" w:cs="Times New Roman"/>
          <w:b/>
          <w:sz w:val="24"/>
          <w:szCs w:val="24"/>
        </w:rPr>
        <w:t xml:space="preserve">określenia </w:t>
      </w:r>
      <w:r w:rsidRPr="00B25A10">
        <w:rPr>
          <w:rFonts w:ascii="Times New Roman" w:eastAsia="Calibri" w:hAnsi="Times New Roman" w:cs="Times New Roman"/>
          <w:sz w:val="24"/>
          <w:szCs w:val="24"/>
        </w:rPr>
        <w:t>w decyzji podatków w prawidłowej wysokości. Do określenia tych podatków stosowane będą unijne i krajowe przepisy celne dotyczące postępowania (procedury), tj.:</w:t>
      </w:r>
    </w:p>
    <w:p w14:paraId="3B58E930" w14:textId="20E86ABC" w:rsidR="00712E99" w:rsidRPr="00B25A10" w:rsidRDefault="00712E99" w:rsidP="002B0551">
      <w:pPr>
        <w:spacing w:before="120" w:after="0" w:line="360" w:lineRule="auto"/>
        <w:ind w:left="705" w:hanging="705"/>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1)</w:t>
      </w:r>
      <w:r w:rsidRPr="00B25A10">
        <w:rPr>
          <w:rFonts w:ascii="Times New Roman" w:eastAsia="Calibri" w:hAnsi="Times New Roman" w:cs="Times New Roman"/>
          <w:sz w:val="24"/>
          <w:szCs w:val="24"/>
        </w:rPr>
        <w:tab/>
      </w:r>
      <w:r w:rsidRPr="00B25A10">
        <w:rPr>
          <w:rFonts w:ascii="Times New Roman" w:eastAsia="Calibri" w:hAnsi="Times New Roman" w:cs="Times New Roman"/>
          <w:b/>
          <w:sz w:val="24"/>
          <w:szCs w:val="24"/>
        </w:rPr>
        <w:t xml:space="preserve">art. 5 </w:t>
      </w:r>
      <w:r w:rsidRPr="00B25A10">
        <w:rPr>
          <w:rFonts w:ascii="Times New Roman" w:eastAsia="Calibri" w:hAnsi="Times New Roman" w:cs="Times New Roman"/>
          <w:sz w:val="24"/>
          <w:szCs w:val="24"/>
        </w:rPr>
        <w:t>UKC</w:t>
      </w:r>
    </w:p>
    <w:p w14:paraId="5CF6B871" w14:textId="0F536466" w:rsidR="00712E99" w:rsidRPr="00B25A10" w:rsidRDefault="00690525" w:rsidP="002B0551">
      <w:pPr>
        <w:spacing w:before="120" w:after="0" w:line="360" w:lineRule="auto"/>
        <w:ind w:left="705"/>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Przepis art. 5 UKC definiuje podstawowe i najważniejsze terminy stosowane w </w:t>
      </w:r>
      <w:r w:rsidR="0027495F" w:rsidRPr="00B25A10">
        <w:rPr>
          <w:rFonts w:ascii="Times New Roman" w:eastAsia="Calibri" w:hAnsi="Times New Roman" w:cs="Times New Roman"/>
          <w:sz w:val="24"/>
          <w:szCs w:val="24"/>
        </w:rPr>
        <w:t>przepisach celnych</w:t>
      </w:r>
      <w:r w:rsidRPr="00B25A10">
        <w:rPr>
          <w:rFonts w:ascii="Times New Roman" w:eastAsia="Calibri" w:hAnsi="Times New Roman" w:cs="Times New Roman"/>
          <w:sz w:val="24"/>
          <w:szCs w:val="24"/>
        </w:rPr>
        <w:t xml:space="preserve">. Część z tych definicji będzie miało odpowiednie zastosowanie do </w:t>
      </w:r>
      <w:r w:rsidR="004E662D" w:rsidRPr="00B25A10">
        <w:rPr>
          <w:rFonts w:ascii="Times New Roman" w:eastAsia="Calibri" w:hAnsi="Times New Roman" w:cs="Times New Roman"/>
          <w:sz w:val="24"/>
          <w:szCs w:val="24"/>
        </w:rPr>
        <w:t>właściwego odczytania przepisów regulujących postępowanie w sprawie określenia</w:t>
      </w:r>
      <w:r w:rsidRPr="00B25A10">
        <w:rPr>
          <w:rFonts w:ascii="Times New Roman" w:eastAsia="Calibri" w:hAnsi="Times New Roman" w:cs="Times New Roman"/>
          <w:sz w:val="24"/>
          <w:szCs w:val="24"/>
        </w:rPr>
        <w:t xml:space="preserve"> </w:t>
      </w:r>
      <w:r w:rsidR="004E662D" w:rsidRPr="00B25A10">
        <w:rPr>
          <w:rFonts w:ascii="Times New Roman" w:eastAsia="Calibri" w:hAnsi="Times New Roman" w:cs="Times New Roman"/>
          <w:sz w:val="24"/>
          <w:szCs w:val="24"/>
        </w:rPr>
        <w:t xml:space="preserve">kwoty </w:t>
      </w:r>
      <w:r w:rsidRPr="00B25A10">
        <w:rPr>
          <w:rFonts w:ascii="Times New Roman" w:eastAsia="Calibri" w:hAnsi="Times New Roman" w:cs="Times New Roman"/>
          <w:sz w:val="24"/>
          <w:szCs w:val="24"/>
        </w:rPr>
        <w:t>podatków i opłat należnych z tytułu importu</w:t>
      </w:r>
      <w:r w:rsidR="004E662D" w:rsidRPr="00B25A10">
        <w:rPr>
          <w:rFonts w:ascii="Times New Roman" w:eastAsia="Calibri" w:hAnsi="Times New Roman" w:cs="Times New Roman"/>
          <w:sz w:val="24"/>
          <w:szCs w:val="24"/>
        </w:rPr>
        <w:t xml:space="preserve"> towarów</w:t>
      </w:r>
      <w:r w:rsidRPr="00B25A10">
        <w:rPr>
          <w:rFonts w:ascii="Times New Roman" w:eastAsia="Calibri" w:hAnsi="Times New Roman" w:cs="Times New Roman"/>
          <w:sz w:val="24"/>
          <w:szCs w:val="24"/>
        </w:rPr>
        <w:t xml:space="preserve">. </w:t>
      </w:r>
      <w:r w:rsidR="004E662D" w:rsidRPr="00B25A10">
        <w:rPr>
          <w:rFonts w:ascii="Times New Roman" w:eastAsia="Calibri" w:hAnsi="Times New Roman" w:cs="Times New Roman"/>
          <w:sz w:val="24"/>
          <w:szCs w:val="24"/>
        </w:rPr>
        <w:t>Jedną z najważniejszych z nich będzie definicja decyzji</w:t>
      </w:r>
      <w:r w:rsidR="00712E99" w:rsidRPr="00B25A10">
        <w:rPr>
          <w:rFonts w:ascii="Times New Roman" w:eastAsia="Calibri" w:hAnsi="Times New Roman" w:cs="Times New Roman"/>
          <w:sz w:val="24"/>
          <w:szCs w:val="24"/>
        </w:rPr>
        <w:t xml:space="preserve"> wprowadza w art. 5 pkt 39 </w:t>
      </w:r>
      <w:r w:rsidR="004E662D" w:rsidRPr="00B25A10">
        <w:rPr>
          <w:rFonts w:ascii="Times New Roman" w:eastAsia="Calibri" w:hAnsi="Times New Roman" w:cs="Times New Roman"/>
          <w:sz w:val="24"/>
          <w:szCs w:val="24"/>
        </w:rPr>
        <w:t>UKC</w:t>
      </w:r>
      <w:r w:rsidR="00712E99" w:rsidRPr="00B25A10">
        <w:rPr>
          <w:rFonts w:ascii="Times New Roman" w:eastAsia="Calibri" w:hAnsi="Times New Roman" w:cs="Times New Roman"/>
          <w:sz w:val="24"/>
          <w:szCs w:val="24"/>
        </w:rPr>
        <w:t xml:space="preserve">, zgodnie z którą decyzją jest każdy akt wydany przez organy celne odnoszący się do przepisów prawa celnego zawierający orzeczenie w konkretnej sprawie, który pociąga za sobą skutki prawne dla zainteresowanej osoby lub zainteresowanych osób. Termin „decyzja” w UKC używany jest w szerszym znaczeniu niż w Ordynacji podatkowej. Na gruncie Ordynacji podatkowej aktami administracyjnymi wydawanymi przez organy </w:t>
      </w:r>
      <w:r w:rsidR="00712E99" w:rsidRPr="00B25A10">
        <w:rPr>
          <w:rFonts w:ascii="Times New Roman" w:eastAsia="Calibri" w:hAnsi="Times New Roman" w:cs="Times New Roman"/>
          <w:sz w:val="24"/>
          <w:szCs w:val="24"/>
        </w:rPr>
        <w:lastRenderedPageBreak/>
        <w:t>podatkowe są decyzje i postanowienia, zaś w rozumienia „decyzji”</w:t>
      </w:r>
      <w:r w:rsidR="00001F11">
        <w:rPr>
          <w:rFonts w:ascii="Times New Roman" w:eastAsia="Calibri" w:hAnsi="Times New Roman" w:cs="Times New Roman"/>
          <w:sz w:val="24"/>
          <w:szCs w:val="24"/>
        </w:rPr>
        <w:t>,</w:t>
      </w:r>
      <w:r w:rsidR="00712E99" w:rsidRPr="00B25A10">
        <w:rPr>
          <w:rFonts w:ascii="Times New Roman" w:eastAsia="Calibri" w:hAnsi="Times New Roman" w:cs="Times New Roman"/>
          <w:sz w:val="24"/>
          <w:szCs w:val="24"/>
        </w:rPr>
        <w:t xml:space="preserve"> jaki przyjęto w UKC</w:t>
      </w:r>
      <w:r w:rsidR="00001F11">
        <w:rPr>
          <w:rFonts w:ascii="Times New Roman" w:eastAsia="Calibri" w:hAnsi="Times New Roman" w:cs="Times New Roman"/>
          <w:sz w:val="24"/>
          <w:szCs w:val="24"/>
        </w:rPr>
        <w:t>,</w:t>
      </w:r>
      <w:r w:rsidR="00712E99" w:rsidRPr="00B25A10">
        <w:rPr>
          <w:rFonts w:ascii="Times New Roman" w:eastAsia="Calibri" w:hAnsi="Times New Roman" w:cs="Times New Roman"/>
          <w:sz w:val="24"/>
          <w:szCs w:val="24"/>
        </w:rPr>
        <w:t xml:space="preserve"> mieszczą się także postanowienia. </w:t>
      </w:r>
    </w:p>
    <w:p w14:paraId="000EB75F" w14:textId="487D0BC9" w:rsidR="004E662D" w:rsidRPr="00B25A10" w:rsidRDefault="004E662D" w:rsidP="002B0551">
      <w:pPr>
        <w:spacing w:before="120" w:after="0" w:line="360" w:lineRule="auto"/>
        <w:ind w:left="705"/>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Oprócz definicji decyzji odpowiednie zastosowanie znajdą jeszcze inne definicje, jak np. definicja przedstawiciela celnego, osoby, długu celnego czy zwolnienia towarów. </w:t>
      </w:r>
      <w:r w:rsidR="005B1435" w:rsidRPr="00B25A10">
        <w:rPr>
          <w:rFonts w:ascii="Times New Roman" w:eastAsia="Calibri" w:hAnsi="Times New Roman" w:cs="Times New Roman"/>
          <w:sz w:val="24"/>
          <w:szCs w:val="24"/>
        </w:rPr>
        <w:t>Odwołanie do całego art.5 UKC</w:t>
      </w:r>
      <w:r w:rsidR="00001F11">
        <w:rPr>
          <w:rFonts w:ascii="Times New Roman" w:eastAsia="Calibri" w:hAnsi="Times New Roman" w:cs="Times New Roman"/>
          <w:sz w:val="24"/>
          <w:szCs w:val="24"/>
        </w:rPr>
        <w:t>,</w:t>
      </w:r>
      <w:r w:rsidR="005B1435" w:rsidRPr="00B25A10">
        <w:rPr>
          <w:rFonts w:ascii="Times New Roman" w:eastAsia="Calibri" w:hAnsi="Times New Roman" w:cs="Times New Roman"/>
          <w:sz w:val="24"/>
          <w:szCs w:val="24"/>
        </w:rPr>
        <w:t xml:space="preserve"> a nie do poszczególnych jego punktów</w:t>
      </w:r>
      <w:r w:rsidR="00001F11">
        <w:rPr>
          <w:rFonts w:ascii="Times New Roman" w:eastAsia="Calibri" w:hAnsi="Times New Roman" w:cs="Times New Roman"/>
          <w:sz w:val="24"/>
          <w:szCs w:val="24"/>
        </w:rPr>
        <w:t>,</w:t>
      </w:r>
      <w:r w:rsidR="005B1435" w:rsidRPr="00B25A10">
        <w:rPr>
          <w:rFonts w:ascii="Times New Roman" w:eastAsia="Calibri" w:hAnsi="Times New Roman" w:cs="Times New Roman"/>
          <w:sz w:val="24"/>
          <w:szCs w:val="24"/>
        </w:rPr>
        <w:t xml:space="preserve"> eliminuje ryzyko pominięcia terminu, którego użycie może stać się pomocne, z drugiej zaś strony nie powinno stwarzać problemów interpretacyjnych. </w:t>
      </w:r>
    </w:p>
    <w:p w14:paraId="4F9D75B4" w14:textId="18D1CB91" w:rsidR="00712E99" w:rsidRPr="00B25A10" w:rsidRDefault="00712E99" w:rsidP="002B0551">
      <w:pPr>
        <w:spacing w:before="120" w:after="0" w:line="360" w:lineRule="auto"/>
        <w:ind w:left="705" w:hanging="705"/>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2)</w:t>
      </w:r>
      <w:r w:rsidRPr="00B25A10">
        <w:rPr>
          <w:rFonts w:ascii="Times New Roman" w:eastAsia="Calibri" w:hAnsi="Times New Roman" w:cs="Times New Roman"/>
          <w:sz w:val="24"/>
          <w:szCs w:val="24"/>
        </w:rPr>
        <w:tab/>
      </w:r>
      <w:r w:rsidRPr="00B25A10">
        <w:rPr>
          <w:rFonts w:ascii="Times New Roman" w:eastAsia="Calibri" w:hAnsi="Times New Roman" w:cs="Times New Roman"/>
          <w:b/>
          <w:sz w:val="24"/>
          <w:szCs w:val="24"/>
        </w:rPr>
        <w:t>art. 18–21</w:t>
      </w:r>
      <w:r w:rsidRPr="00B25A10">
        <w:rPr>
          <w:rFonts w:ascii="Times New Roman" w:eastAsia="Calibri" w:hAnsi="Times New Roman" w:cs="Times New Roman"/>
          <w:sz w:val="24"/>
          <w:szCs w:val="24"/>
        </w:rPr>
        <w:t xml:space="preserve"> UKC (</w:t>
      </w:r>
      <w:r w:rsidR="00237F70" w:rsidRPr="00B25A10">
        <w:rPr>
          <w:rFonts w:ascii="Times New Roman" w:eastAsia="Calibri" w:hAnsi="Times New Roman" w:cs="Times New Roman"/>
          <w:sz w:val="24"/>
          <w:szCs w:val="24"/>
        </w:rPr>
        <w:t xml:space="preserve">w </w:t>
      </w:r>
      <w:r w:rsidRPr="00B25A10">
        <w:rPr>
          <w:rFonts w:ascii="Times New Roman" w:eastAsia="Calibri" w:hAnsi="Times New Roman" w:cs="Times New Roman"/>
          <w:sz w:val="24"/>
          <w:szCs w:val="24"/>
        </w:rPr>
        <w:t xml:space="preserve">art. 20 i </w:t>
      </w:r>
      <w:r w:rsidR="00E608C8">
        <w:rPr>
          <w:rFonts w:ascii="Times New Roman" w:eastAsia="Calibri" w:hAnsi="Times New Roman" w:cs="Times New Roman"/>
          <w:sz w:val="24"/>
          <w:szCs w:val="24"/>
        </w:rPr>
        <w:t xml:space="preserve">art. </w:t>
      </w:r>
      <w:r w:rsidRPr="00B25A10">
        <w:rPr>
          <w:rFonts w:ascii="Times New Roman" w:eastAsia="Calibri" w:hAnsi="Times New Roman" w:cs="Times New Roman"/>
          <w:sz w:val="24"/>
          <w:szCs w:val="24"/>
        </w:rPr>
        <w:t>21 UKC zawarte są przepisy upoważniające Komisję Europejską do wydawania przepisów wykonawczych i delegowanych we wskazanych tam zakresach</w:t>
      </w:r>
      <w:r w:rsidR="00C53D30" w:rsidRPr="00B25A10">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w:t>
      </w:r>
      <w:r w:rsidR="00C53D30" w:rsidRPr="00B25A10">
        <w:rPr>
          <w:rFonts w:ascii="Times New Roman" w:eastAsia="Calibri" w:hAnsi="Times New Roman" w:cs="Times New Roman"/>
          <w:sz w:val="24"/>
          <w:szCs w:val="24"/>
        </w:rPr>
        <w:t>p</w:t>
      </w:r>
      <w:r w:rsidR="00A16016" w:rsidRPr="00B25A10">
        <w:rPr>
          <w:rFonts w:ascii="Times New Roman" w:eastAsia="Calibri" w:hAnsi="Times New Roman" w:cs="Times New Roman"/>
          <w:sz w:val="24"/>
          <w:szCs w:val="24"/>
        </w:rPr>
        <w:t>rzepisy wydane na podstawie tych upoważnień również będą mi</w:t>
      </w:r>
      <w:r w:rsidR="00C53D30" w:rsidRPr="00B25A10">
        <w:rPr>
          <w:rFonts w:ascii="Times New Roman" w:eastAsia="Calibri" w:hAnsi="Times New Roman" w:cs="Times New Roman"/>
          <w:sz w:val="24"/>
          <w:szCs w:val="24"/>
        </w:rPr>
        <w:t>ały</w:t>
      </w:r>
      <w:r w:rsidR="00A16016" w:rsidRPr="00B25A10">
        <w:rPr>
          <w:rFonts w:ascii="Times New Roman" w:eastAsia="Calibri" w:hAnsi="Times New Roman" w:cs="Times New Roman"/>
          <w:sz w:val="24"/>
          <w:szCs w:val="24"/>
        </w:rPr>
        <w:t xml:space="preserve"> zastosowanie</w:t>
      </w:r>
      <w:r w:rsidR="00C53D30" w:rsidRPr="00B25A10">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oraz </w:t>
      </w:r>
      <w:r w:rsidRPr="00B25A10">
        <w:rPr>
          <w:rFonts w:ascii="Times New Roman" w:eastAsia="Calibri" w:hAnsi="Times New Roman" w:cs="Times New Roman"/>
          <w:b/>
          <w:sz w:val="24"/>
          <w:szCs w:val="24"/>
        </w:rPr>
        <w:t xml:space="preserve">art. 76 i </w:t>
      </w:r>
      <w:r w:rsidR="00E608C8">
        <w:rPr>
          <w:rFonts w:ascii="Times New Roman" w:eastAsia="Calibri" w:hAnsi="Times New Roman" w:cs="Times New Roman"/>
          <w:b/>
          <w:sz w:val="24"/>
          <w:szCs w:val="24"/>
        </w:rPr>
        <w:t xml:space="preserve">art. </w:t>
      </w:r>
      <w:r w:rsidRPr="00B25A10">
        <w:rPr>
          <w:rFonts w:ascii="Times New Roman" w:eastAsia="Calibri" w:hAnsi="Times New Roman" w:cs="Times New Roman"/>
          <w:b/>
          <w:sz w:val="24"/>
          <w:szCs w:val="24"/>
        </w:rPr>
        <w:t xml:space="preserve">77 </w:t>
      </w:r>
      <w:r w:rsidRPr="00B25A10">
        <w:rPr>
          <w:rFonts w:ascii="Times New Roman" w:eastAsia="Calibri" w:hAnsi="Times New Roman" w:cs="Times New Roman"/>
          <w:sz w:val="24"/>
          <w:szCs w:val="24"/>
        </w:rPr>
        <w:t>Prawa celnego</w:t>
      </w:r>
    </w:p>
    <w:p w14:paraId="66B94B16" w14:textId="437B3D43" w:rsidR="00712E99" w:rsidRPr="00B25A10" w:rsidRDefault="00712E99" w:rsidP="002B0551">
      <w:pPr>
        <w:spacing w:before="120" w:after="0" w:line="360" w:lineRule="auto"/>
        <w:ind w:left="708"/>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Biorąc pod uwagę występujące różnice między przedstawicielstwem celnym a pełnomocnictwem podatkowym należy stwierdzić, że prowadzenie jednego postępowania w sprawie należności importowych nie może nastąpić z zastosowaniem obu tych regulacji. Wybór jest uwarunkowany faktem, że przedstawicielstwo celne regulowane jest przez rozporządzenie unijne. Zastosowanie celnych przepisów dotyczących przedstawicielstwa celnego do podatków z tytułu importu towarów wyłącza ten zakres spraw z regulacji dotyczących pełnomocnictwa „ordynacyjnego”.  </w:t>
      </w:r>
    </w:p>
    <w:p w14:paraId="6D828A85" w14:textId="521CB9FD" w:rsidR="00712E99" w:rsidRPr="00B25A10" w:rsidRDefault="00712E99" w:rsidP="002B0551">
      <w:pPr>
        <w:spacing w:before="120" w:after="0" w:line="360" w:lineRule="auto"/>
        <w:ind w:left="708"/>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Przedstawicielstwo celne, uregulowane w art. 18</w:t>
      </w:r>
      <w:r w:rsidR="00001F11" w:rsidRPr="00B25A10">
        <w:rPr>
          <w:rFonts w:ascii="Times New Roman" w:hAnsi="Times New Roman" w:cs="Times New Roman"/>
          <w:sz w:val="24"/>
          <w:szCs w:val="24"/>
        </w:rPr>
        <w:t>–</w:t>
      </w:r>
      <w:r w:rsidRPr="00B25A10">
        <w:rPr>
          <w:rFonts w:ascii="Times New Roman" w:eastAsia="Calibri" w:hAnsi="Times New Roman" w:cs="Times New Roman"/>
          <w:sz w:val="24"/>
          <w:szCs w:val="24"/>
        </w:rPr>
        <w:t>21 UKC, jest zasadniczo różne od pełnomocnictwa podatkowego:</w:t>
      </w:r>
    </w:p>
    <w:p w14:paraId="4408F000" w14:textId="5064E847" w:rsidR="00712E99" w:rsidRPr="00B25A10" w:rsidRDefault="00001F11" w:rsidP="002B0551">
      <w:pPr>
        <w:spacing w:before="120" w:after="0" w:line="360" w:lineRule="auto"/>
        <w:ind w:left="1413" w:hanging="705"/>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po pierwsze przedstawicielstwo celne nie odnosi się tylko do postępowania administracyjnego</w:t>
      </w:r>
      <w:r>
        <w:rPr>
          <w:rFonts w:ascii="Times New Roman" w:eastAsia="Calibri" w:hAnsi="Times New Roman" w:cs="Times New Roman"/>
          <w:sz w:val="24"/>
          <w:szCs w:val="24"/>
        </w:rPr>
        <w:t>,</w:t>
      </w:r>
      <w:r w:rsidR="00712E99" w:rsidRPr="00B25A10">
        <w:rPr>
          <w:rFonts w:ascii="Times New Roman" w:eastAsia="Calibri" w:hAnsi="Times New Roman" w:cs="Times New Roman"/>
          <w:sz w:val="24"/>
          <w:szCs w:val="24"/>
        </w:rPr>
        <w:t xml:space="preserve"> a do prowadzenia czynności i załatwiania formalności wymaganych przepisami prawa celnego przed organami celnymi (art. 5 pkt 6 UKC), przy czym formalności celne oznaczają wszystkie operacje, które muszą zostać załatwione przez daną osobę i przez organy celne w celu zapewnienia zgodności z przepisami prawa celnego (art. 5 pkt 8 UKC),</w:t>
      </w:r>
    </w:p>
    <w:p w14:paraId="25EC0831" w14:textId="2D26113D" w:rsidR="00712E99" w:rsidRPr="00B25A10" w:rsidRDefault="00001F11" w:rsidP="002B0551">
      <w:pPr>
        <w:spacing w:before="120" w:after="0" w:line="360" w:lineRule="auto"/>
        <w:ind w:left="1413" w:hanging="705"/>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UKC wprowadza podział na przedstawicielstwo bezpośrednie i pośrednie. W przypadku przedstawicielstwa bezpośredniego przedstawiciel celny działa w imieniu i na rzecz innej osoby, zaś w przedstawicielstwie pośrednim – przedstawiciel działa w imieniu własnym, lecz na rzecz innej osoby (art. 18 ust. 1 UKC); odpowiednik przedstawiciela pośredniego nie występuje w Ordynacji </w:t>
      </w:r>
      <w:r w:rsidR="00712E99" w:rsidRPr="00B25A10">
        <w:rPr>
          <w:rFonts w:ascii="Times New Roman" w:eastAsia="Calibri" w:hAnsi="Times New Roman" w:cs="Times New Roman"/>
          <w:sz w:val="24"/>
          <w:szCs w:val="24"/>
        </w:rPr>
        <w:lastRenderedPageBreak/>
        <w:t>podatkowej, ponadto przedstawiciel pośredni, jako zgłaszający, jest również dłużnikiem w rozumieniu prawa celnego.</w:t>
      </w:r>
    </w:p>
    <w:p w14:paraId="6B03119F" w14:textId="3317F0F5" w:rsidR="00712E99" w:rsidRPr="00B25A10" w:rsidRDefault="00712E99" w:rsidP="002B0551">
      <w:pPr>
        <w:spacing w:before="120" w:after="0" w:line="360" w:lineRule="auto"/>
        <w:ind w:left="1410"/>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Rodzaj przedstawicielstwa ma zatem istotne znaczenie przy składaniu zgłoszenia celnego, z uwagi na fakt, iż wpływa na określenie kręgu potencjalnych dłużników. Rodzaj przedstawicielstwa wskazany w pełnomocnictwie złożonym do sprawy na etapie po przyjęciu zgłoszenia celnego pozostaje natomiast bez wpływu na krąg dłużników (a tym samym na krąg osób zainteresowanych), w odniesieniu do których</w:t>
      </w:r>
      <w:r w:rsidR="009A4ADE" w:rsidRPr="00B25A10">
        <w:rPr>
          <w:rFonts w:ascii="Times New Roman" w:eastAsia="Calibri" w:hAnsi="Times New Roman" w:cs="Times New Roman"/>
          <w:sz w:val="24"/>
          <w:szCs w:val="24"/>
        </w:rPr>
        <w:t xml:space="preserve"> będzie prowadzone postępowanie</w:t>
      </w:r>
      <w:r w:rsidRPr="00B25A10">
        <w:rPr>
          <w:rFonts w:ascii="Times New Roman" w:eastAsia="Calibri" w:hAnsi="Times New Roman" w:cs="Times New Roman"/>
          <w:sz w:val="24"/>
          <w:szCs w:val="24"/>
        </w:rPr>
        <w:t xml:space="preserve">, </w:t>
      </w:r>
    </w:p>
    <w:p w14:paraId="6FC7E816" w14:textId="43405A82" w:rsidR="00712E99" w:rsidRPr="00B25A10" w:rsidRDefault="00001F11" w:rsidP="002B0551">
      <w:pPr>
        <w:spacing w:before="120" w:after="0" w:line="360" w:lineRule="auto"/>
        <w:ind w:left="1410" w:hanging="702"/>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przedstawicielem celnym może być każda osoba ustanowiona przez inną osobę (art. 5 pkt 6 UKC), przy czym „osoba” oznacza osobę fizyczną, osobę prawną lub jednostkę organizacyjną nieposiadającą osobowości prawnej, ale uznaną – na mocy prawa unijnego lub krajowego – za mającą zdolność do czynności prawnych; pełnomocnikiem „ordynacyjnym” może być tylko osoba fizyczna mająca pełną zdolność do czynności prawnych (art. 138b Ordynacji podatkowej). </w:t>
      </w:r>
    </w:p>
    <w:p w14:paraId="631F8069" w14:textId="3883BCDF" w:rsidR="00712E99" w:rsidRPr="00B25A10" w:rsidRDefault="00712E99" w:rsidP="002B0551">
      <w:pPr>
        <w:spacing w:before="120" w:after="0" w:line="360" w:lineRule="auto"/>
        <w:ind w:left="1410"/>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Ta odmienność przedstawiciela celnego i pełnomocnika ustanowionego na podstawie Ordynacji podatkowej ma duże znaczenie dla prowadzenia postępowań administracyjnych, gdyż w większości przedstawicielami celnymi są agencje celne i jako takie nie mogą zostać ustanowione jako pełnomocnicy w sprawach podatkowych. Jest to często niezrozumiałe dla mocodawców, od których wymaga się ustanowienia przedstawiciela celnego dla załatwienia spraw celnych i dodatkowo pełnomocnika do prowadzenia postępowań podatkowych z tytułu importu tych samych towarów, </w:t>
      </w:r>
    </w:p>
    <w:p w14:paraId="4A8E360D" w14:textId="327BD286" w:rsidR="00712E99" w:rsidRPr="00B25A10" w:rsidRDefault="00001F11" w:rsidP="002B0551">
      <w:pPr>
        <w:spacing w:before="120" w:after="0" w:line="360" w:lineRule="auto"/>
        <w:ind w:left="1410" w:hanging="702"/>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podczas kontaktu z organami celnymi przedstawiciel celny zgłasza fakt wykonywania czynności na rzecz osoby reprezentowanej; organy celne mogą  zażądać od osoby deklarującej, że działa w charakterze przedstawiciela celnego dostarczenia dowodu potwierdzającego udzielenie pełnomocnictwa przez osobę reprezentowaną; pełnomocnik podatkowy nie może działać bez przedstawienia pełnomocnictwa  organowi podatkowemu. </w:t>
      </w:r>
    </w:p>
    <w:p w14:paraId="4CBC7EDE" w14:textId="30F196FF" w:rsidR="00712E99" w:rsidRPr="00B25A10" w:rsidRDefault="00712E99" w:rsidP="002B0551">
      <w:pPr>
        <w:spacing w:before="120" w:after="0" w:line="360" w:lineRule="auto"/>
        <w:ind w:left="708"/>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lastRenderedPageBreak/>
        <w:t xml:space="preserve">Różnice między przedstawicielstwem celnym a pełnomocnictwem podatkowym są obecnie przyczyną wielu problemów związanych przede wszystkim z wydawaniem decyzji podatkowych z tytułu importu. </w:t>
      </w:r>
    </w:p>
    <w:p w14:paraId="765BE4EF" w14:textId="42A42513" w:rsidR="005B1435" w:rsidRPr="00B25A10" w:rsidRDefault="00A16016" w:rsidP="002B0551">
      <w:pPr>
        <w:spacing w:before="120" w:after="0" w:line="360" w:lineRule="auto"/>
        <w:ind w:left="705"/>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Po dokonaniu zmiany przepisów, tj. po wprowadzeniu regulacji</w:t>
      </w:r>
      <w:r w:rsidR="00237F70" w:rsidRPr="00B25A10">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zgodnie z którą do postępowania w sprawach określenia podatku VAT, podatku akcyzowego, opłaty paliwowej i opłaty emisyjnej, należnych z tytułu importu towarów</w:t>
      </w:r>
      <w:r w:rsidR="00001F11">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zastosowanie będą miały przepisy dotyczące przedstawicielstwa celnego, możliwe będzie złożenie jednego pełnomocnictwa do postępowania określającego te należności</w:t>
      </w:r>
      <w:r w:rsidR="002E51B1">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w:t>
      </w:r>
    </w:p>
    <w:p w14:paraId="3E6AA04E" w14:textId="124C9528" w:rsidR="00712E99" w:rsidRPr="00B25A10" w:rsidRDefault="00712E99" w:rsidP="002B0551">
      <w:pPr>
        <w:spacing w:before="120" w:after="0" w:line="360" w:lineRule="auto"/>
        <w:ind w:left="705" w:hanging="705"/>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3)</w:t>
      </w:r>
      <w:r w:rsidRPr="00B25A10">
        <w:rPr>
          <w:rFonts w:ascii="Times New Roman" w:eastAsia="Calibri" w:hAnsi="Times New Roman" w:cs="Times New Roman"/>
          <w:sz w:val="24"/>
          <w:szCs w:val="24"/>
        </w:rPr>
        <w:tab/>
      </w:r>
      <w:r w:rsidRPr="00B25A10">
        <w:rPr>
          <w:rFonts w:ascii="Times New Roman" w:eastAsia="Calibri" w:hAnsi="Times New Roman" w:cs="Times New Roman"/>
          <w:b/>
          <w:sz w:val="24"/>
          <w:szCs w:val="24"/>
        </w:rPr>
        <w:t>art. 22 UKC</w:t>
      </w:r>
      <w:r w:rsidRPr="00B25A10">
        <w:rPr>
          <w:rFonts w:ascii="Times New Roman" w:eastAsia="Calibri" w:hAnsi="Times New Roman" w:cs="Times New Roman"/>
          <w:sz w:val="24"/>
          <w:szCs w:val="24"/>
        </w:rPr>
        <w:t xml:space="preserve"> ust. 1 zdanie pierwsze i drugie, ust. 2, 3, ust. 4 zdanie pierwsze, ust. 6 i 7</w:t>
      </w:r>
    </w:p>
    <w:p w14:paraId="1B94B75D" w14:textId="671B4791" w:rsidR="00712E99" w:rsidRPr="00B25A10" w:rsidRDefault="00712E99" w:rsidP="002B0551">
      <w:pPr>
        <w:spacing w:before="120" w:after="0" w:line="360" w:lineRule="auto"/>
        <w:ind w:left="705"/>
        <w:jc w:val="both"/>
        <w:rPr>
          <w:rFonts w:ascii="Times New Roman" w:eastAsia="Calibri" w:hAnsi="Times New Roman" w:cs="Times New Roman"/>
          <w:iCs/>
          <w:sz w:val="24"/>
          <w:szCs w:val="24"/>
        </w:rPr>
      </w:pPr>
      <w:r w:rsidRPr="00B25A10">
        <w:rPr>
          <w:rFonts w:ascii="Times New Roman" w:eastAsia="Calibri" w:hAnsi="Times New Roman" w:cs="Times New Roman"/>
          <w:bCs/>
          <w:iCs/>
          <w:sz w:val="24"/>
          <w:szCs w:val="24"/>
        </w:rPr>
        <w:t>UKC dzielą decyzje na decyzje wydawane na wniosek oraz na decyzje wydawane bez uprzedniego wniosku (tzw. decyzje z urzędu), przy czym zarówno jedne</w:t>
      </w:r>
      <w:r w:rsidR="00387C3B">
        <w:rPr>
          <w:rFonts w:ascii="Times New Roman" w:eastAsia="Calibri" w:hAnsi="Times New Roman" w:cs="Times New Roman"/>
          <w:bCs/>
          <w:iCs/>
          <w:sz w:val="24"/>
          <w:szCs w:val="24"/>
        </w:rPr>
        <w:t>,</w:t>
      </w:r>
      <w:r w:rsidRPr="00B25A10">
        <w:rPr>
          <w:rFonts w:ascii="Times New Roman" w:eastAsia="Calibri" w:hAnsi="Times New Roman" w:cs="Times New Roman"/>
          <w:bCs/>
          <w:iCs/>
          <w:sz w:val="24"/>
          <w:szCs w:val="24"/>
        </w:rPr>
        <w:t xml:space="preserve"> jak i drugie mogą być decyzjami korzystnymi albo niekorzystnymi dla osoby. </w:t>
      </w:r>
      <w:r w:rsidRPr="00B25A10">
        <w:rPr>
          <w:rFonts w:ascii="Times New Roman" w:eastAsia="Calibri" w:hAnsi="Times New Roman" w:cs="Times New Roman"/>
          <w:iCs/>
          <w:sz w:val="24"/>
          <w:szCs w:val="24"/>
        </w:rPr>
        <w:t>Unijne przepisy celne nie zawierają definicji decyzji korzystnych i niekorzystnych, przyjmuje się jednak, że decyzjami korzystnymi wydawanymi na wiosek osoby są decyzje w pełni uwzględniające wniosek. W przeciwnym przypadku decyzje traktowane są jako niekorzystne. Decyzje wydawane z</w:t>
      </w:r>
      <w:r w:rsidRPr="00B25A10">
        <w:rPr>
          <w:rFonts w:ascii="Times New Roman" w:eastAsia="Calibri" w:hAnsi="Times New Roman" w:cs="Times New Roman"/>
          <w:bCs/>
          <w:iCs/>
          <w:sz w:val="24"/>
          <w:szCs w:val="24"/>
        </w:rPr>
        <w:t xml:space="preserve"> urzędu to zazwyczaj decyzje niekorzystne, możliwe są jednak również decyzje korzystne wydawane z urzędu, np. w sprawach </w:t>
      </w:r>
      <w:r w:rsidRPr="00B25A10">
        <w:rPr>
          <w:rFonts w:ascii="Times New Roman" w:eastAsia="Calibri" w:hAnsi="Times New Roman" w:cs="Times New Roman"/>
          <w:iCs/>
          <w:sz w:val="24"/>
          <w:szCs w:val="24"/>
        </w:rPr>
        <w:t xml:space="preserve">zwrotu lub umorzenia należności celnych. </w:t>
      </w:r>
    </w:p>
    <w:p w14:paraId="334B3B42" w14:textId="17BA68F3" w:rsidR="00712E99" w:rsidRPr="00B25A10" w:rsidRDefault="00712E99" w:rsidP="002B0551">
      <w:pPr>
        <w:spacing w:before="120" w:after="0" w:line="360" w:lineRule="auto"/>
        <w:ind w:left="703"/>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 xml:space="preserve">Podział decyzji na korzystne i niekorzystne ma w unijnych przepisach celnych znaczenie, gdyż tylko z decyzją niekorzystną unijne przepisy celne wiążą tzw. prawo do bycia wysłuchanym. W ramach tego prawa przed wydaniem decyzji niekorzystnej organy celne powiadamiają zainteresowaną osobę o podstawach, na których zamierzają oprzeć decyzję, dając możliwość tej osobie przedstawienia swojego stanowiska w sprawie. Dlatego w </w:t>
      </w:r>
      <w:r w:rsidR="00387C3B">
        <w:rPr>
          <w:rFonts w:ascii="Times New Roman" w:eastAsia="Calibri" w:hAnsi="Times New Roman" w:cs="Times New Roman"/>
          <w:iCs/>
          <w:sz w:val="24"/>
          <w:szCs w:val="24"/>
        </w:rPr>
        <w:t>prz</w:t>
      </w:r>
      <w:r w:rsidRPr="00B25A10">
        <w:rPr>
          <w:rFonts w:ascii="Times New Roman" w:eastAsia="Calibri" w:hAnsi="Times New Roman" w:cs="Times New Roman"/>
          <w:iCs/>
          <w:sz w:val="24"/>
          <w:szCs w:val="24"/>
        </w:rPr>
        <w:t>ypadku wątpliwości, czy decyzja, którą zamierza wydać organ celny</w:t>
      </w:r>
      <w:r w:rsidR="00387C3B">
        <w:rPr>
          <w:rFonts w:ascii="Times New Roman" w:eastAsia="Calibri" w:hAnsi="Times New Roman" w:cs="Times New Roman"/>
          <w:iCs/>
          <w:sz w:val="24"/>
          <w:szCs w:val="24"/>
        </w:rPr>
        <w:t>,</w:t>
      </w:r>
      <w:r w:rsidRPr="00B25A10">
        <w:rPr>
          <w:rFonts w:ascii="Times New Roman" w:eastAsia="Calibri" w:hAnsi="Times New Roman" w:cs="Times New Roman"/>
          <w:iCs/>
          <w:sz w:val="24"/>
          <w:szCs w:val="24"/>
        </w:rPr>
        <w:t xml:space="preserve"> jest czy nie jest korzystna dla osoby, przyjmuje się tryb właściwy do wydania decyzji niekorzystnej, aby nie pozbawić osoby prawa „do obrony”. Regulacje unijne przewiduje również wyjątki od prawa do wysłuchania, co daje prawo organom celnym wydania decyzji niekorzystnej bez zastosowania tego prawa. Ma to miejsce głównie zazwyczaj w przypadkach poważnego naruszenia prawa. </w:t>
      </w:r>
    </w:p>
    <w:p w14:paraId="682D2FF6" w14:textId="77777777" w:rsidR="00712E99" w:rsidRPr="00B25A10" w:rsidRDefault="00712E99" w:rsidP="00B25A10">
      <w:pPr>
        <w:spacing w:before="120"/>
        <w:ind w:left="705"/>
        <w:jc w:val="both"/>
        <w:rPr>
          <w:rFonts w:ascii="Times New Roman" w:eastAsia="Calibri" w:hAnsi="Times New Roman" w:cs="Times New Roman"/>
          <w:iCs/>
          <w:sz w:val="24"/>
          <w:szCs w:val="24"/>
        </w:rPr>
      </w:pPr>
      <w:r w:rsidRPr="00B25A10">
        <w:rPr>
          <w:rFonts w:ascii="Times New Roman" w:eastAsia="Calibri" w:hAnsi="Times New Roman" w:cs="Times New Roman"/>
          <w:b/>
          <w:iCs/>
          <w:sz w:val="24"/>
          <w:szCs w:val="24"/>
        </w:rPr>
        <w:t xml:space="preserve">Tryb wydania decyzji na wniosek </w:t>
      </w:r>
      <w:r w:rsidRPr="00B25A10">
        <w:rPr>
          <w:rFonts w:ascii="Times New Roman" w:eastAsia="Calibri" w:hAnsi="Times New Roman" w:cs="Times New Roman"/>
          <w:iCs/>
          <w:sz w:val="24"/>
          <w:szCs w:val="24"/>
        </w:rPr>
        <w:t>(art. 22 UKC)</w:t>
      </w:r>
    </w:p>
    <w:p w14:paraId="2895DA2B" w14:textId="44E4364D" w:rsidR="00712E99" w:rsidRPr="00B25A10" w:rsidRDefault="00712E99" w:rsidP="002B0551">
      <w:pPr>
        <w:numPr>
          <w:ilvl w:val="0"/>
          <w:numId w:val="7"/>
        </w:numPr>
        <w:spacing w:before="120" w:after="0" w:line="360" w:lineRule="auto"/>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złożenie wniosku – składając wniosek</w:t>
      </w:r>
      <w:r w:rsidR="00D5040E">
        <w:rPr>
          <w:rFonts w:ascii="Times New Roman" w:eastAsia="Calibri" w:hAnsi="Times New Roman" w:cs="Times New Roman"/>
          <w:iCs/>
          <w:sz w:val="24"/>
          <w:szCs w:val="24"/>
        </w:rPr>
        <w:t>,</w:t>
      </w:r>
      <w:r w:rsidRPr="00B25A10">
        <w:rPr>
          <w:rFonts w:ascii="Times New Roman" w:eastAsia="Calibri" w:hAnsi="Times New Roman" w:cs="Times New Roman"/>
          <w:iCs/>
          <w:sz w:val="24"/>
          <w:szCs w:val="24"/>
        </w:rPr>
        <w:t xml:space="preserve"> osoba powinna dostarczyć wszystkie niezbędne informacje do wydania decyzji;</w:t>
      </w:r>
    </w:p>
    <w:p w14:paraId="17DF6962" w14:textId="77777777" w:rsidR="00712E99" w:rsidRPr="00B25A10" w:rsidRDefault="00712E99" w:rsidP="002B0551">
      <w:pPr>
        <w:numPr>
          <w:ilvl w:val="0"/>
          <w:numId w:val="7"/>
        </w:numPr>
        <w:spacing w:before="120" w:after="0" w:line="360" w:lineRule="auto"/>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lastRenderedPageBreak/>
        <w:t xml:space="preserve">naczelnik urzędu celno-skarbowego niezwłocznie i nie później niż w terminie 30 dni od otrzymania wniosku sprawdza </w:t>
      </w:r>
      <w:r w:rsidRPr="00B25A10">
        <w:rPr>
          <w:rFonts w:ascii="Times New Roman" w:eastAsia="Calibri" w:hAnsi="Times New Roman" w:cs="Times New Roman"/>
          <w:iCs/>
          <w:sz w:val="24"/>
          <w:szCs w:val="24"/>
          <w:u w:val="single"/>
        </w:rPr>
        <w:t>warunki przyjęcia wniosku</w:t>
      </w:r>
      <w:r w:rsidRPr="00B25A10">
        <w:rPr>
          <w:rFonts w:ascii="Times New Roman" w:eastAsia="Calibri" w:hAnsi="Times New Roman" w:cs="Times New Roman"/>
          <w:iCs/>
          <w:sz w:val="24"/>
          <w:szCs w:val="24"/>
        </w:rPr>
        <w:t xml:space="preserve"> (art. 22 ust. 2 UKC):</w:t>
      </w:r>
    </w:p>
    <w:p w14:paraId="70DA8C32" w14:textId="18726201" w:rsidR="00712E99" w:rsidRPr="00B25A10" w:rsidRDefault="00D5040E" w:rsidP="00D5040E">
      <w:pPr>
        <w:spacing w:before="120" w:after="0" w:line="360" w:lineRule="auto"/>
        <w:ind w:left="1701" w:hanging="567"/>
        <w:jc w:val="both"/>
        <w:rPr>
          <w:rFonts w:ascii="Times New Roman" w:eastAsia="Calibri" w:hAnsi="Times New Roman" w:cs="Times New Roman"/>
          <w:iCs/>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rPr>
        <w:tab/>
      </w:r>
      <w:r w:rsidR="00712E99" w:rsidRPr="00B25A10">
        <w:rPr>
          <w:rFonts w:ascii="Times New Roman" w:eastAsia="Calibri" w:hAnsi="Times New Roman" w:cs="Times New Roman"/>
          <w:iCs/>
          <w:sz w:val="24"/>
          <w:szCs w:val="24"/>
          <w:u w:val="single"/>
        </w:rPr>
        <w:t>wniosek spełnia warunki</w:t>
      </w:r>
      <w:r w:rsidR="00712E99" w:rsidRPr="00B25A10">
        <w:rPr>
          <w:rFonts w:ascii="Times New Roman" w:eastAsia="Calibri" w:hAnsi="Times New Roman" w:cs="Times New Roman"/>
          <w:iCs/>
          <w:sz w:val="24"/>
          <w:szCs w:val="24"/>
        </w:rPr>
        <w:t xml:space="preserve"> – powiadomienie wnioskodawcy, w terminie 30 dni od daty otrzymania wniosku, o przyjęciu wniosku (art. 22 ust. 2 akapit drugi kodeksu</w:t>
      </w:r>
      <w:r>
        <w:rPr>
          <w:rFonts w:ascii="Times New Roman" w:eastAsia="Calibri" w:hAnsi="Times New Roman" w:cs="Times New Roman"/>
          <w:iCs/>
          <w:sz w:val="24"/>
          <w:szCs w:val="24"/>
        </w:rPr>
        <w:t>)</w:t>
      </w:r>
      <w:r w:rsidR="00712E99" w:rsidRPr="00B25A10">
        <w:rPr>
          <w:rFonts w:ascii="Times New Roman" w:eastAsia="Calibri" w:hAnsi="Times New Roman" w:cs="Times New Roman"/>
          <w:iCs/>
          <w:sz w:val="24"/>
          <w:szCs w:val="24"/>
        </w:rPr>
        <w:t>; datą przyjęcia wniosku jest data otrzymania wniosku (art. 12 ust. 1 rozporządzenia wykonawczego Komisji (UE) 2015/2447 z dnia 24 listopada 2015 r. ustanawiającego szczegółowe zasady wykonania niektórych przepisów rozporządzenia Parlamentu Europejskiego i Rady (UE) nr 952/2013 ustanawiającego unijny kodeks celny (Dz. Urz. UE L 343 z 29.12.2015, str. 558, z późn. zm.), zwane</w:t>
      </w:r>
      <w:r w:rsidR="00AF1C2C">
        <w:rPr>
          <w:rFonts w:ascii="Times New Roman" w:eastAsia="Calibri" w:hAnsi="Times New Roman" w:cs="Times New Roman"/>
          <w:iCs/>
          <w:sz w:val="24"/>
          <w:szCs w:val="24"/>
        </w:rPr>
        <w:t>go</w:t>
      </w:r>
      <w:r w:rsidR="00712E99" w:rsidRPr="00B25A10">
        <w:rPr>
          <w:rFonts w:ascii="Times New Roman" w:eastAsia="Calibri" w:hAnsi="Times New Roman" w:cs="Times New Roman"/>
          <w:iCs/>
          <w:sz w:val="24"/>
          <w:szCs w:val="24"/>
        </w:rPr>
        <w:t xml:space="preserve"> dalej „rozporządzeniem wykonawczym”</w:t>
      </w:r>
      <w:r w:rsidR="00AF1C2C">
        <w:rPr>
          <w:rFonts w:ascii="Times New Roman" w:eastAsia="Calibri" w:hAnsi="Times New Roman" w:cs="Times New Roman"/>
          <w:iCs/>
          <w:sz w:val="24"/>
          <w:szCs w:val="24"/>
        </w:rPr>
        <w:t>)</w:t>
      </w:r>
      <w:r w:rsidR="00712E99" w:rsidRPr="00B25A10">
        <w:rPr>
          <w:rFonts w:ascii="Times New Roman" w:eastAsia="Calibri" w:hAnsi="Times New Roman" w:cs="Times New Roman"/>
          <w:iCs/>
          <w:sz w:val="24"/>
          <w:szCs w:val="24"/>
        </w:rPr>
        <w:t>,</w:t>
      </w:r>
    </w:p>
    <w:p w14:paraId="0B4151D4" w14:textId="6558FE1A" w:rsidR="00712E99" w:rsidRPr="00B25A10" w:rsidRDefault="00D5040E" w:rsidP="00D5040E">
      <w:pPr>
        <w:spacing w:before="120" w:after="0" w:line="360" w:lineRule="auto"/>
        <w:ind w:left="1701" w:hanging="567"/>
        <w:jc w:val="both"/>
        <w:rPr>
          <w:rFonts w:ascii="Times New Roman" w:eastAsia="Calibri" w:hAnsi="Times New Roman" w:cs="Times New Roman"/>
          <w:iCs/>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rPr>
        <w:tab/>
      </w:r>
      <w:r w:rsidR="00712E99" w:rsidRPr="00B25A10">
        <w:rPr>
          <w:rFonts w:ascii="Times New Roman" w:eastAsia="Calibri" w:hAnsi="Times New Roman" w:cs="Times New Roman"/>
          <w:iCs/>
          <w:sz w:val="24"/>
          <w:szCs w:val="24"/>
          <w:u w:val="single"/>
        </w:rPr>
        <w:t>wniosek nie zawiera wszystkich wymaganych informacji</w:t>
      </w:r>
      <w:r w:rsidR="00712E99" w:rsidRPr="00B25A10">
        <w:rPr>
          <w:rFonts w:ascii="Times New Roman" w:eastAsia="Calibri" w:hAnsi="Times New Roman" w:cs="Times New Roman"/>
          <w:iCs/>
          <w:sz w:val="24"/>
          <w:szCs w:val="24"/>
        </w:rPr>
        <w:t xml:space="preserve"> – naczelnik urzędu celno-skarbowego żąda od wnioskodawcy uzupełnienia informacji w rozsądnym terminie </w:t>
      </w:r>
      <w:r w:rsidR="00AF1C2C"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rPr>
        <w:t xml:space="preserve"> max 30 dni (art. 12 ust. 2 rozporządzenia wykonawczego).</w:t>
      </w:r>
    </w:p>
    <w:p w14:paraId="63ECE8A3" w14:textId="77777777" w:rsidR="00712E99" w:rsidRPr="00B25A10" w:rsidRDefault="00712E99" w:rsidP="00D5040E">
      <w:pPr>
        <w:spacing w:before="120" w:after="0" w:line="360" w:lineRule="auto"/>
        <w:ind w:left="1134"/>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 xml:space="preserve">Jeżeli wnioskodawca uzupełni wniosek, następuje przyjęcie wniosku z datą otrzymania przez naczelnika urzędu celno-skarbowego wymaganych informacji; naczelnik urzędu celno-skarbowego powiadamia wnioskodawcę o przyjęciu wniosku (art. 12 ust. 1 rozporządzenia wykonawczego).  </w:t>
      </w:r>
    </w:p>
    <w:p w14:paraId="12A59F04" w14:textId="2993B584" w:rsidR="00712E99" w:rsidRPr="00B25A10" w:rsidRDefault="00712E99" w:rsidP="00D5040E">
      <w:pPr>
        <w:spacing w:before="120" w:after="0" w:line="360" w:lineRule="auto"/>
        <w:ind w:left="1134"/>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 xml:space="preserve">Jeżeli wnioskodawca nie uzupełni wniosku w określonym terminie, wniosek nie zostaje przyjęty. </w:t>
      </w:r>
      <w:r w:rsidRPr="00B25A10">
        <w:rPr>
          <w:rFonts w:ascii="Times New Roman" w:eastAsia="Calibri" w:hAnsi="Times New Roman" w:cs="Times New Roman"/>
          <w:iCs/>
          <w:sz w:val="24"/>
          <w:szCs w:val="24"/>
          <w:u w:val="single"/>
        </w:rPr>
        <w:t>Odmowa przyjęcia wniosku</w:t>
      </w:r>
      <w:r w:rsidRPr="00B25A10">
        <w:rPr>
          <w:rFonts w:ascii="Times New Roman" w:eastAsia="Calibri" w:hAnsi="Times New Roman" w:cs="Times New Roman"/>
          <w:iCs/>
          <w:sz w:val="24"/>
          <w:szCs w:val="24"/>
        </w:rPr>
        <w:t xml:space="preserve"> jest decyzją niekorzystną dla wnioskodawcy, bez prawa do wypowiedzenia (art. 10 lit. a rozporządzenia</w:t>
      </w:r>
      <w:r w:rsidRPr="00B25A10">
        <w:rPr>
          <w:rFonts w:ascii="Times New Roman" w:hAnsi="Times New Roman" w:cs="Times New Roman"/>
          <w:sz w:val="24"/>
          <w:szCs w:val="24"/>
        </w:rPr>
        <w:t xml:space="preserve"> </w:t>
      </w:r>
      <w:r w:rsidRPr="00B25A10">
        <w:rPr>
          <w:rFonts w:ascii="Times New Roman" w:eastAsia="Calibri" w:hAnsi="Times New Roman" w:cs="Times New Roman"/>
          <w:iCs/>
          <w:sz w:val="24"/>
          <w:szCs w:val="24"/>
        </w:rPr>
        <w:t>delegowanego Komisji (UE) 2015/2446 z dnia 28 lipca 2015 r. uzupełniającego rozporządzenie Parlamentu Europejskiego i Rady (UE) nr 952/2013 w odniesieniu do szczegółowych zasad dotyczących niektórych przepisów unijnego kodeksu celnego (Dz. Urz. UE L 343 z 29.12.2015, str. 1, z późn. zm.), zwane</w:t>
      </w:r>
      <w:r w:rsidR="00AF1C2C">
        <w:rPr>
          <w:rFonts w:ascii="Times New Roman" w:eastAsia="Calibri" w:hAnsi="Times New Roman" w:cs="Times New Roman"/>
          <w:iCs/>
          <w:sz w:val="24"/>
          <w:szCs w:val="24"/>
        </w:rPr>
        <w:t>go</w:t>
      </w:r>
      <w:r w:rsidRPr="00B25A10">
        <w:rPr>
          <w:rFonts w:ascii="Times New Roman" w:eastAsia="Calibri" w:hAnsi="Times New Roman" w:cs="Times New Roman"/>
          <w:iCs/>
          <w:sz w:val="24"/>
          <w:szCs w:val="24"/>
        </w:rPr>
        <w:t xml:space="preserve"> dalej „rozporządzeniem delegowanym”).</w:t>
      </w:r>
    </w:p>
    <w:p w14:paraId="76D22235" w14:textId="77777777" w:rsidR="00712E99" w:rsidRPr="00B25A10" w:rsidRDefault="00712E99" w:rsidP="00D5040E">
      <w:pPr>
        <w:spacing w:before="120" w:after="0" w:line="360" w:lineRule="auto"/>
        <w:ind w:left="1134"/>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 xml:space="preserve">Naczelnik urzędu celno-skarbowego powiadamia wnioskodawcę o odmowie przyjęcia wniosku (art. 12 ust. 2 zdanie drugie rozporządzenia wykonawczego).  </w:t>
      </w:r>
    </w:p>
    <w:p w14:paraId="76774F93" w14:textId="221924C2" w:rsidR="00712E99" w:rsidRPr="00B25A10" w:rsidRDefault="00712E99" w:rsidP="00D5040E">
      <w:pPr>
        <w:spacing w:before="120" w:after="0" w:line="360" w:lineRule="auto"/>
        <w:ind w:left="1134"/>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lastRenderedPageBreak/>
        <w:t>Brak informacji o przyjęciu lub odrzuceniu wniosku równa się uznaniu, że wniosek został przyjęty z datą złożenia lub datą przekazania ostatniej żądanej informacji (art. 12 ust. 3 rozporządzenia wykonawczego)</w:t>
      </w:r>
      <w:r w:rsidR="00A706EC">
        <w:rPr>
          <w:rFonts w:ascii="Times New Roman" w:eastAsia="Calibri" w:hAnsi="Times New Roman" w:cs="Times New Roman"/>
          <w:iCs/>
          <w:sz w:val="24"/>
          <w:szCs w:val="24"/>
        </w:rPr>
        <w:t>;</w:t>
      </w:r>
      <w:r w:rsidRPr="00B25A10">
        <w:rPr>
          <w:rFonts w:ascii="Times New Roman" w:eastAsia="Calibri" w:hAnsi="Times New Roman" w:cs="Times New Roman"/>
          <w:iCs/>
          <w:sz w:val="24"/>
          <w:szCs w:val="24"/>
        </w:rPr>
        <w:t xml:space="preserve"> </w:t>
      </w:r>
    </w:p>
    <w:p w14:paraId="5A34B236" w14:textId="39A3DCE0" w:rsidR="00712E99" w:rsidRPr="00B25A10" w:rsidRDefault="00712E99" w:rsidP="00D5040E">
      <w:pPr>
        <w:spacing w:before="120" w:after="0" w:line="360" w:lineRule="auto"/>
        <w:ind w:left="1134" w:hanging="425"/>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3)</w:t>
      </w:r>
      <w:r w:rsidRPr="00B25A10">
        <w:rPr>
          <w:rFonts w:ascii="Times New Roman" w:eastAsia="Calibri" w:hAnsi="Times New Roman" w:cs="Times New Roman"/>
          <w:iCs/>
          <w:sz w:val="24"/>
          <w:szCs w:val="24"/>
        </w:rPr>
        <w:tab/>
      </w:r>
      <w:r w:rsidRPr="00B25A10">
        <w:rPr>
          <w:rFonts w:ascii="Times New Roman" w:eastAsia="Calibri" w:hAnsi="Times New Roman" w:cs="Times New Roman"/>
          <w:iCs/>
          <w:sz w:val="24"/>
          <w:szCs w:val="24"/>
          <w:u w:val="single"/>
        </w:rPr>
        <w:t>po przyjęciu wniosku</w:t>
      </w:r>
      <w:r w:rsidRPr="00B25A10">
        <w:rPr>
          <w:rFonts w:ascii="Times New Roman" w:eastAsia="Calibri" w:hAnsi="Times New Roman" w:cs="Times New Roman"/>
          <w:iCs/>
          <w:sz w:val="24"/>
          <w:szCs w:val="24"/>
        </w:rPr>
        <w:t xml:space="preserve"> organ celny może zwrócić się </w:t>
      </w:r>
      <w:r w:rsidRPr="00B25A10">
        <w:rPr>
          <w:rFonts w:ascii="Times New Roman" w:eastAsia="Calibri" w:hAnsi="Times New Roman" w:cs="Times New Roman"/>
          <w:iCs/>
          <w:sz w:val="24"/>
          <w:szCs w:val="24"/>
          <w:u w:val="single"/>
        </w:rPr>
        <w:t>o dostarczenie dodatkowych informacji</w:t>
      </w:r>
      <w:r w:rsidRPr="00B25A10">
        <w:rPr>
          <w:rFonts w:ascii="Times New Roman" w:eastAsia="Calibri" w:hAnsi="Times New Roman" w:cs="Times New Roman"/>
          <w:iCs/>
          <w:sz w:val="24"/>
          <w:szCs w:val="24"/>
        </w:rPr>
        <w:t xml:space="preserve"> w terminie max 30 dni – termin na wydanie decyzji przedłuża się o ten okres (art. 13 ust. 1 rozporządzenia delegowanego); naczelnik urzędu celno</w:t>
      </w:r>
      <w:r w:rsidR="00AF1C2C">
        <w:rPr>
          <w:rFonts w:ascii="Times New Roman" w:eastAsia="Calibri" w:hAnsi="Times New Roman" w:cs="Times New Roman"/>
          <w:iCs/>
          <w:sz w:val="24"/>
          <w:szCs w:val="24"/>
        </w:rPr>
        <w:noBreakHyphen/>
      </w:r>
      <w:r w:rsidRPr="00B25A10">
        <w:rPr>
          <w:rFonts w:ascii="Times New Roman" w:eastAsia="Calibri" w:hAnsi="Times New Roman" w:cs="Times New Roman"/>
          <w:iCs/>
          <w:sz w:val="24"/>
          <w:szCs w:val="24"/>
        </w:rPr>
        <w:t xml:space="preserve">skarbowego informuje wnioskodawcę o przedłużeniu terminu; </w:t>
      </w:r>
    </w:p>
    <w:p w14:paraId="32A5AC8A" w14:textId="5E5D5244" w:rsidR="00712E99" w:rsidRPr="00B25A10" w:rsidRDefault="00712E99" w:rsidP="00D5040E">
      <w:pPr>
        <w:spacing w:before="120" w:after="0" w:line="360" w:lineRule="auto"/>
        <w:ind w:left="1134" w:hanging="425"/>
        <w:jc w:val="both"/>
        <w:rPr>
          <w:rFonts w:ascii="Times New Roman" w:eastAsia="Calibri" w:hAnsi="Times New Roman" w:cs="Times New Roman"/>
          <w:i/>
          <w:iCs/>
          <w:sz w:val="24"/>
          <w:szCs w:val="24"/>
        </w:rPr>
      </w:pPr>
      <w:r w:rsidRPr="00B25A10">
        <w:rPr>
          <w:rFonts w:ascii="Times New Roman" w:eastAsia="Calibri" w:hAnsi="Times New Roman" w:cs="Times New Roman"/>
          <w:iCs/>
          <w:sz w:val="24"/>
          <w:szCs w:val="24"/>
        </w:rPr>
        <w:t>4)</w:t>
      </w:r>
      <w:r w:rsidRPr="00B25A10">
        <w:rPr>
          <w:rFonts w:ascii="Times New Roman" w:eastAsia="Calibri" w:hAnsi="Times New Roman" w:cs="Times New Roman"/>
          <w:iCs/>
          <w:sz w:val="24"/>
          <w:szCs w:val="24"/>
        </w:rPr>
        <w:tab/>
        <w:t xml:space="preserve">przed wydaniem decyzji </w:t>
      </w:r>
      <w:r w:rsidRPr="00B25A10">
        <w:rPr>
          <w:rFonts w:ascii="Times New Roman" w:eastAsia="Calibri" w:hAnsi="Times New Roman" w:cs="Times New Roman"/>
          <w:iCs/>
          <w:sz w:val="24"/>
          <w:szCs w:val="24"/>
          <w:u w:val="single"/>
        </w:rPr>
        <w:t>niekorzystnej</w:t>
      </w:r>
      <w:r w:rsidRPr="00B25A10">
        <w:rPr>
          <w:rFonts w:ascii="Times New Roman" w:eastAsia="Calibri" w:hAnsi="Times New Roman" w:cs="Times New Roman"/>
          <w:iCs/>
          <w:sz w:val="24"/>
          <w:szCs w:val="24"/>
        </w:rPr>
        <w:t xml:space="preserve"> dla wnioskodawcy naczelnik urzędu celno</w:t>
      </w:r>
      <w:r w:rsidR="00AF1C2C">
        <w:rPr>
          <w:rFonts w:ascii="Times New Roman" w:eastAsia="Calibri" w:hAnsi="Times New Roman" w:cs="Times New Roman"/>
          <w:iCs/>
          <w:sz w:val="24"/>
          <w:szCs w:val="24"/>
        </w:rPr>
        <w:noBreakHyphen/>
      </w:r>
      <w:r w:rsidRPr="00B25A10">
        <w:rPr>
          <w:rFonts w:ascii="Times New Roman" w:eastAsia="Calibri" w:hAnsi="Times New Roman" w:cs="Times New Roman"/>
          <w:iCs/>
          <w:sz w:val="24"/>
          <w:szCs w:val="24"/>
        </w:rPr>
        <w:t xml:space="preserve">skarbowego: </w:t>
      </w:r>
    </w:p>
    <w:p w14:paraId="18D90BB1" w14:textId="6F033B59" w:rsidR="00712E99" w:rsidRPr="00B25A10" w:rsidRDefault="00D5040E" w:rsidP="00AF1C2C">
      <w:pPr>
        <w:spacing w:before="120" w:after="0" w:line="360" w:lineRule="auto"/>
        <w:ind w:left="1843" w:hanging="708"/>
        <w:jc w:val="both"/>
        <w:rPr>
          <w:rFonts w:ascii="Times New Roman" w:eastAsia="Calibri" w:hAnsi="Times New Roman" w:cs="Times New Roman"/>
          <w:iCs/>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rPr>
        <w:tab/>
        <w:t>powiadamia wnioskodawcę o podstawach, na których zamierza oprzeć decyzję,</w:t>
      </w:r>
    </w:p>
    <w:p w14:paraId="59A24BCF" w14:textId="3D29F330" w:rsidR="00712E99" w:rsidRPr="00B25A10" w:rsidRDefault="00D5040E" w:rsidP="00AF1C2C">
      <w:pPr>
        <w:spacing w:before="120" w:after="0" w:line="360" w:lineRule="auto"/>
        <w:ind w:left="1843" w:hanging="708"/>
        <w:jc w:val="both"/>
        <w:rPr>
          <w:rFonts w:ascii="Times New Roman" w:eastAsia="Calibri" w:hAnsi="Times New Roman" w:cs="Times New Roman"/>
          <w:iCs/>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rPr>
        <w:tab/>
        <w:t xml:space="preserve">daje </w:t>
      </w:r>
      <w:r w:rsidR="00712E99" w:rsidRPr="00B25A10">
        <w:rPr>
          <w:rFonts w:ascii="Times New Roman" w:eastAsia="Calibri" w:hAnsi="Times New Roman" w:cs="Times New Roman"/>
          <w:iCs/>
          <w:sz w:val="24"/>
          <w:szCs w:val="24"/>
          <w:u w:val="single"/>
        </w:rPr>
        <w:t>możliwość przedstawienia stanowiska (prawo do bycia wysłuchanym)</w:t>
      </w:r>
      <w:r w:rsidR="00712E99" w:rsidRPr="00B25A10">
        <w:rPr>
          <w:rFonts w:ascii="Times New Roman" w:eastAsia="Calibri" w:hAnsi="Times New Roman" w:cs="Times New Roman"/>
          <w:iCs/>
          <w:sz w:val="24"/>
          <w:szCs w:val="24"/>
        </w:rPr>
        <w:t xml:space="preserve"> w terminie, co do zasady, 30 dni (art. 8 ust. 1 rozporządzenia delegowanego) rozpoczynającym swój bieg z dniem doręczenia powiadomienia lub z dniem uznania go za doręczone (art. 22 ust. 6 UKC). Od zasady 30-dniowego terminu są wyjątki określone w art. 8 ust. 2 rozporządzenia delegowanego (24 godziny) i w art. 9 rozporządzenia wykonawczego (niezwłocznie).</w:t>
      </w:r>
    </w:p>
    <w:p w14:paraId="42431B1E" w14:textId="31890D3C" w:rsidR="00712E99" w:rsidRPr="00B25A10" w:rsidRDefault="00712E99" w:rsidP="00AF1C2C">
      <w:pPr>
        <w:spacing w:before="120" w:after="0" w:line="360" w:lineRule="auto"/>
        <w:ind w:left="1843"/>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Od prawa do bycia wysłuchanym są również wyjątki określone w art. 22 ust. 6 akapit drugi UKC i art. 10 rozporządzeni</w:t>
      </w:r>
      <w:r w:rsidR="00E608C8">
        <w:rPr>
          <w:rFonts w:ascii="Times New Roman" w:eastAsia="Calibri" w:hAnsi="Times New Roman" w:cs="Times New Roman"/>
          <w:iCs/>
          <w:sz w:val="24"/>
          <w:szCs w:val="24"/>
        </w:rPr>
        <w:t>a</w:t>
      </w:r>
      <w:r w:rsidRPr="00B25A10">
        <w:rPr>
          <w:rFonts w:ascii="Times New Roman" w:eastAsia="Calibri" w:hAnsi="Times New Roman" w:cs="Times New Roman"/>
          <w:iCs/>
          <w:sz w:val="24"/>
          <w:szCs w:val="24"/>
        </w:rPr>
        <w:t xml:space="preserve"> delegowanego. </w:t>
      </w:r>
    </w:p>
    <w:p w14:paraId="23741C5A" w14:textId="77777777" w:rsidR="00712E99" w:rsidRPr="00B25A10" w:rsidRDefault="00712E99" w:rsidP="00AF1C2C">
      <w:pPr>
        <w:spacing w:before="120" w:after="0" w:line="360" w:lineRule="auto"/>
        <w:ind w:left="1843"/>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Jeżeli stosowane jest prawo do wysłuchania, o którym mowa w art. 8 ust. 1 rozporządzenia delegowanego, termin na wydanie decyzji przedłuża się o 30 dni, o czym organ celny powinien poinformować wnioskodawcę (art. 13 ust. 2 rozporządzenia delegowanego),</w:t>
      </w:r>
    </w:p>
    <w:p w14:paraId="387062FE" w14:textId="0D635547" w:rsidR="00712E99" w:rsidRPr="00B25A10" w:rsidRDefault="00D5040E" w:rsidP="00AF1C2C">
      <w:pPr>
        <w:spacing w:before="120" w:after="0" w:line="360" w:lineRule="auto"/>
        <w:ind w:left="1843" w:hanging="708"/>
        <w:jc w:val="both"/>
        <w:rPr>
          <w:rFonts w:ascii="Times New Roman" w:eastAsia="Calibri" w:hAnsi="Times New Roman" w:cs="Times New Roman"/>
          <w:iCs/>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rPr>
        <w:tab/>
        <w:t>po upływie tego terminu wnioskodawca jest powiadomiony w odpowiedniej formie o wydanej decyzji (art. 22 ust. 6 UKC)</w:t>
      </w:r>
      <w:r w:rsidR="00AF1C2C">
        <w:rPr>
          <w:rFonts w:ascii="Times New Roman" w:eastAsia="Calibri" w:hAnsi="Times New Roman" w:cs="Times New Roman"/>
          <w:iCs/>
          <w:sz w:val="24"/>
          <w:szCs w:val="24"/>
        </w:rPr>
        <w:t>;</w:t>
      </w:r>
      <w:r w:rsidR="00712E99" w:rsidRPr="00B25A10">
        <w:rPr>
          <w:rFonts w:ascii="Times New Roman" w:eastAsia="Calibri" w:hAnsi="Times New Roman" w:cs="Times New Roman"/>
          <w:iCs/>
          <w:sz w:val="24"/>
          <w:szCs w:val="24"/>
        </w:rPr>
        <w:t xml:space="preserve"> </w:t>
      </w:r>
    </w:p>
    <w:p w14:paraId="4A9269E3" w14:textId="77777777" w:rsidR="00712E99" w:rsidRPr="00B25A10" w:rsidRDefault="00712E99" w:rsidP="00D5040E">
      <w:pPr>
        <w:spacing w:before="120" w:after="0" w:line="360" w:lineRule="auto"/>
        <w:ind w:left="1134" w:hanging="425"/>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5)</w:t>
      </w:r>
      <w:r w:rsidRPr="00B25A10">
        <w:rPr>
          <w:rFonts w:ascii="Times New Roman" w:eastAsia="Calibri" w:hAnsi="Times New Roman" w:cs="Times New Roman"/>
          <w:iCs/>
          <w:sz w:val="24"/>
          <w:szCs w:val="24"/>
        </w:rPr>
        <w:tab/>
        <w:t>organ celny wydaje decyzję i powiadamia o niej niezwłocznie i nie później niż w terminie 120 dni od daty przyjęcia wniosku (art. 22 ust. 3 UKC), jeśli w przepisach szczególnych nie przewidziano inaczej (np. pozwolenie na procedurę uszlachetniania czynnego i biernego 30 dni);</w:t>
      </w:r>
    </w:p>
    <w:p w14:paraId="6DF50B78" w14:textId="77777777" w:rsidR="00712E99" w:rsidRPr="00B25A10" w:rsidRDefault="00712E99" w:rsidP="00D5040E">
      <w:pPr>
        <w:spacing w:before="120" w:after="0" w:line="360" w:lineRule="auto"/>
        <w:ind w:left="1134" w:hanging="425"/>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lastRenderedPageBreak/>
        <w:t>6)</w:t>
      </w:r>
      <w:r w:rsidRPr="00B25A10">
        <w:rPr>
          <w:rFonts w:ascii="Times New Roman" w:eastAsia="Calibri" w:hAnsi="Times New Roman" w:cs="Times New Roman"/>
          <w:iCs/>
          <w:sz w:val="24"/>
          <w:szCs w:val="24"/>
        </w:rPr>
        <w:tab/>
        <w:t>termin na wydanie decyzji może być przedłużony w przypadkach określonych w przepisach prawa (np. art. 22 ust. 3 UKC).</w:t>
      </w:r>
    </w:p>
    <w:p w14:paraId="6CC5EAE9" w14:textId="37F4094E" w:rsidR="00712E99" w:rsidRPr="00B25A10" w:rsidRDefault="00712E99" w:rsidP="002B0551">
      <w:pPr>
        <w:spacing w:before="120" w:after="0" w:line="360" w:lineRule="auto"/>
        <w:ind w:left="708"/>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Decyzją korzystną dla wnioskodawcy może być wydanie pozwolenia, adnotacja czy zgoda na wniosku albo odrębna decyzja załatwiająca wniosek.</w:t>
      </w:r>
    </w:p>
    <w:p w14:paraId="7FD1D145" w14:textId="479F7730" w:rsidR="00712E99" w:rsidRPr="00B25A10" w:rsidRDefault="00712E99" w:rsidP="002B0551">
      <w:pPr>
        <w:spacing w:before="120" w:after="0" w:line="360" w:lineRule="auto"/>
        <w:ind w:left="708"/>
        <w:jc w:val="both"/>
        <w:rPr>
          <w:rFonts w:ascii="Times New Roman" w:eastAsia="Calibri" w:hAnsi="Times New Roman" w:cs="Times New Roman"/>
          <w:iCs/>
          <w:sz w:val="24"/>
          <w:szCs w:val="24"/>
        </w:rPr>
      </w:pPr>
      <w:r w:rsidRPr="00B25A10">
        <w:rPr>
          <w:rFonts w:ascii="Times New Roman" w:eastAsia="Calibri" w:hAnsi="Times New Roman" w:cs="Times New Roman"/>
          <w:iCs/>
          <w:sz w:val="24"/>
          <w:szCs w:val="24"/>
        </w:rPr>
        <w:t>Decyzja niekorzystna dla wnioskodawcy określa podstawy, na których ją oparto</w:t>
      </w:r>
      <w:r w:rsidR="00AF1C2C">
        <w:rPr>
          <w:rFonts w:ascii="Times New Roman" w:eastAsia="Calibri" w:hAnsi="Times New Roman" w:cs="Times New Roman"/>
          <w:iCs/>
          <w:sz w:val="24"/>
          <w:szCs w:val="24"/>
        </w:rPr>
        <w:t>,</w:t>
      </w:r>
      <w:r w:rsidRPr="00B25A10">
        <w:rPr>
          <w:rFonts w:ascii="Times New Roman" w:eastAsia="Calibri" w:hAnsi="Times New Roman" w:cs="Times New Roman"/>
          <w:iCs/>
          <w:sz w:val="24"/>
          <w:szCs w:val="24"/>
        </w:rPr>
        <w:t xml:space="preserve"> i zawiera pouczenie o prawie do wniesienia odwołania (art. 22 ust. 7 UKC). Może być wydana w postaci elektronicznej  lub papierowej.</w:t>
      </w:r>
    </w:p>
    <w:p w14:paraId="2F56422C" w14:textId="77777777" w:rsidR="001C22BA" w:rsidRPr="00B25A10" w:rsidRDefault="001C22BA" w:rsidP="002B0551">
      <w:pPr>
        <w:spacing w:before="120" w:after="0" w:line="360" w:lineRule="auto"/>
        <w:ind w:left="708"/>
        <w:jc w:val="both"/>
        <w:rPr>
          <w:rFonts w:ascii="Times New Roman" w:eastAsia="Calibri" w:hAnsi="Times New Roman" w:cs="Times New Roman"/>
          <w:iCs/>
          <w:sz w:val="24"/>
          <w:szCs w:val="24"/>
          <w:u w:val="single"/>
          <w:lang w:bidi="pl-PL"/>
        </w:rPr>
      </w:pPr>
      <w:r w:rsidRPr="00B25A10">
        <w:rPr>
          <w:rFonts w:ascii="Times New Roman" w:eastAsia="Calibri" w:hAnsi="Times New Roman" w:cs="Times New Roman"/>
          <w:iCs/>
          <w:sz w:val="24"/>
          <w:szCs w:val="24"/>
          <w:lang w:bidi="pl-PL"/>
        </w:rPr>
        <w:t xml:space="preserve">Do postępowania w sprawie określenia podatków z tytułu importu </w:t>
      </w:r>
      <w:r w:rsidRPr="00B25A10">
        <w:rPr>
          <w:rFonts w:ascii="Times New Roman" w:eastAsia="Calibri" w:hAnsi="Times New Roman" w:cs="Times New Roman"/>
          <w:iCs/>
          <w:sz w:val="24"/>
          <w:szCs w:val="24"/>
          <w:u w:val="single"/>
          <w:lang w:bidi="pl-PL"/>
        </w:rPr>
        <w:t>nie będą miały zastosowania:</w:t>
      </w:r>
    </w:p>
    <w:p w14:paraId="1B356070" w14:textId="15C76780" w:rsidR="001C22BA" w:rsidRPr="00B25A10" w:rsidRDefault="00D5040E" w:rsidP="002B0551">
      <w:pPr>
        <w:spacing w:before="120" w:after="0" w:line="360" w:lineRule="auto"/>
        <w:ind w:left="1413" w:hanging="705"/>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1C22BA" w:rsidRPr="00B25A10">
        <w:rPr>
          <w:rFonts w:ascii="Times New Roman" w:eastAsia="Calibri" w:hAnsi="Times New Roman" w:cs="Times New Roman"/>
          <w:iCs/>
          <w:sz w:val="24"/>
          <w:szCs w:val="24"/>
          <w:lang w:bidi="pl-PL"/>
        </w:rPr>
        <w:tab/>
        <w:t>art. 22 ust. 1 zdanie trzecie UKC – właściwość organów w sprawie określenia podatku z tytułu importu towarów określają przepisy ustawy o podatku od towarów i usług oraz Ordynacja podatkowa. Właściwość ta już obecnie jest dostosowana do właściwości organów celnych i nie wymaga zmian,</w:t>
      </w:r>
    </w:p>
    <w:p w14:paraId="69C162FB" w14:textId="74354EDF" w:rsidR="001C22BA" w:rsidRPr="00B25A10" w:rsidRDefault="00D5040E" w:rsidP="002B0551">
      <w:pPr>
        <w:spacing w:before="120" w:after="0" w:line="360" w:lineRule="auto"/>
        <w:ind w:left="1413" w:hanging="705"/>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1C22BA" w:rsidRPr="00B25A10">
        <w:rPr>
          <w:rFonts w:ascii="Times New Roman" w:eastAsia="Calibri" w:hAnsi="Times New Roman" w:cs="Times New Roman"/>
          <w:iCs/>
          <w:sz w:val="24"/>
          <w:szCs w:val="24"/>
          <w:lang w:bidi="pl-PL"/>
        </w:rPr>
        <w:tab/>
        <w:t xml:space="preserve">art. 22 ust. 4 zdanie drugie UKC – zdanie drugie odnosi się do art. 45 UKC dotyczącego wykonalności decyzji; w tym zakresie postępowanie celne i podatkowe nie podlega ujednoliceniu,  </w:t>
      </w:r>
    </w:p>
    <w:p w14:paraId="3AFF1D29" w14:textId="36CB3A4B" w:rsidR="001C22BA" w:rsidRPr="00B25A10" w:rsidRDefault="00D5040E" w:rsidP="002B0551">
      <w:pPr>
        <w:spacing w:before="120" w:after="0" w:line="360" w:lineRule="auto"/>
        <w:ind w:left="1413" w:hanging="705"/>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1C22BA" w:rsidRPr="00B25A10">
        <w:rPr>
          <w:rFonts w:ascii="Times New Roman" w:eastAsia="Calibri" w:hAnsi="Times New Roman" w:cs="Times New Roman"/>
          <w:iCs/>
          <w:sz w:val="24"/>
          <w:szCs w:val="24"/>
          <w:lang w:bidi="pl-PL"/>
        </w:rPr>
        <w:tab/>
        <w:t>art. 22 ust. 5 UKC – przepis zawarty w ust. 2, dotyczący ważności decyzji, odnosi się w szczególności do licznych pozwoleń wydawanych na podstawie przepisów celnych, nie odnosi się zaś do decyzji wymiarowych</w:t>
      </w:r>
      <w:r w:rsidR="00A706EC">
        <w:rPr>
          <w:rFonts w:ascii="Times New Roman" w:eastAsia="Calibri" w:hAnsi="Times New Roman" w:cs="Times New Roman"/>
          <w:iCs/>
          <w:sz w:val="24"/>
          <w:szCs w:val="24"/>
          <w:lang w:bidi="pl-PL"/>
        </w:rPr>
        <w:t>.</w:t>
      </w:r>
    </w:p>
    <w:p w14:paraId="680E8FE6" w14:textId="59D6D719" w:rsidR="00712E99" w:rsidRPr="00B25A10" w:rsidRDefault="00712E99" w:rsidP="002B0551">
      <w:pPr>
        <w:spacing w:before="120" w:after="0" w:line="360" w:lineRule="auto"/>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4)</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art. 23 ust. 1</w:t>
      </w:r>
      <w:r w:rsidR="00AF1C2C" w:rsidRPr="00B25A10">
        <w:rPr>
          <w:rFonts w:ascii="Times New Roman" w:hAnsi="Times New Roman" w:cs="Times New Roman"/>
          <w:sz w:val="24"/>
          <w:szCs w:val="24"/>
        </w:rPr>
        <w:t>–</w:t>
      </w:r>
      <w:r w:rsidRPr="00B25A10">
        <w:rPr>
          <w:rFonts w:ascii="Times New Roman" w:eastAsia="Calibri" w:hAnsi="Times New Roman" w:cs="Times New Roman"/>
          <w:b/>
          <w:iCs/>
          <w:sz w:val="24"/>
          <w:szCs w:val="24"/>
          <w:lang w:bidi="pl-PL"/>
        </w:rPr>
        <w:t>3</w:t>
      </w:r>
      <w:r w:rsidRPr="00B25A10">
        <w:rPr>
          <w:rFonts w:ascii="Times New Roman" w:eastAsia="Calibri" w:hAnsi="Times New Roman" w:cs="Times New Roman"/>
          <w:iCs/>
          <w:sz w:val="24"/>
          <w:szCs w:val="24"/>
          <w:lang w:bidi="pl-PL"/>
        </w:rPr>
        <w:t xml:space="preserve"> UKC</w:t>
      </w:r>
    </w:p>
    <w:p w14:paraId="11B35AE0" w14:textId="77777777"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 xml:space="preserve">Zgodnie z art. 23 ust. 1 UKC posiadacz decyzji wypełnia wynikające z niej obowiązki, zaś zgodnie z ust. 2 jest zobowiązany do informowania organu o wszelkich okolicznościach zaistniałych po wydaniu decyzji, a mogących wpływać na jej dalsze obowiązywanie lub na jej treść. </w:t>
      </w:r>
    </w:p>
    <w:p w14:paraId="28B20191" w14:textId="77777777"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 xml:space="preserve">Zgodnie z art. 23 ust. 3 UKC organy celne (odpowiednio organy podatkowe), które wydały daną decyzję, mogą w każdej chwili ją unieważnić, zmienić lub cofnąć, jeżeli nie jest ona zgodna z przepisami prawa celnego. </w:t>
      </w:r>
    </w:p>
    <w:p w14:paraId="4FF2E85F" w14:textId="77777777"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Art. 23 ust. 4 i 5 odnosi się do pozwoleń i nie będzie stosowany do decyzji określa</w:t>
      </w:r>
      <w:r w:rsidR="00CE0AA2" w:rsidRPr="00B25A10">
        <w:rPr>
          <w:rFonts w:ascii="Times New Roman" w:eastAsia="Calibri" w:hAnsi="Times New Roman" w:cs="Times New Roman"/>
          <w:iCs/>
          <w:sz w:val="24"/>
          <w:szCs w:val="24"/>
          <w:lang w:bidi="pl-PL"/>
        </w:rPr>
        <w:t>jących podatki z tytułu importu.</w:t>
      </w:r>
    </w:p>
    <w:p w14:paraId="34C97667" w14:textId="3B80C75C" w:rsidR="00CE0AA2" w:rsidRPr="00B25A10" w:rsidRDefault="001C22BA"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lastRenderedPageBreak/>
        <w:t>Wskazane p</w:t>
      </w:r>
      <w:r w:rsidR="00CE0AA2" w:rsidRPr="00B25A10">
        <w:rPr>
          <w:rFonts w:ascii="Times New Roman" w:eastAsia="Calibri" w:hAnsi="Times New Roman" w:cs="Times New Roman"/>
          <w:iCs/>
          <w:sz w:val="24"/>
          <w:szCs w:val="24"/>
          <w:lang w:bidi="pl-PL"/>
        </w:rPr>
        <w:t xml:space="preserve">rzepisy art. 23 i kolejne </w:t>
      </w:r>
      <w:r w:rsidR="00AF1C2C" w:rsidRPr="00B25A10">
        <w:rPr>
          <w:rFonts w:ascii="Times New Roman" w:hAnsi="Times New Roman" w:cs="Times New Roman"/>
          <w:sz w:val="24"/>
          <w:szCs w:val="24"/>
        </w:rPr>
        <w:t>–</w:t>
      </w:r>
      <w:r w:rsidR="00CE0AA2" w:rsidRPr="00B25A10">
        <w:rPr>
          <w:rFonts w:ascii="Times New Roman" w:eastAsia="Calibri" w:hAnsi="Times New Roman" w:cs="Times New Roman"/>
          <w:iCs/>
          <w:sz w:val="24"/>
          <w:szCs w:val="24"/>
          <w:lang w:bidi="pl-PL"/>
        </w:rPr>
        <w:t xml:space="preserve"> do art. 28 UKC </w:t>
      </w:r>
      <w:r w:rsidR="00AF1C2C" w:rsidRPr="00B25A10">
        <w:rPr>
          <w:rFonts w:ascii="Times New Roman" w:hAnsi="Times New Roman" w:cs="Times New Roman"/>
          <w:sz w:val="24"/>
          <w:szCs w:val="24"/>
        </w:rPr>
        <w:t>–</w:t>
      </w:r>
      <w:r w:rsidR="00CE0AA2" w:rsidRPr="00B25A10">
        <w:rPr>
          <w:rFonts w:ascii="Times New Roman" w:eastAsia="Calibri" w:hAnsi="Times New Roman" w:cs="Times New Roman"/>
          <w:iCs/>
          <w:sz w:val="24"/>
          <w:szCs w:val="24"/>
          <w:lang w:bidi="pl-PL"/>
        </w:rPr>
        <w:t xml:space="preserve"> są odpowiednikami ordynacyjnych trybów nadzwyczajnych (ordynacyjne tryby nadzwyczajne nie będą miały zastosowania do postępowań określających importowe należności przywozowe). Przyjęcie takiego rozwiązania z jednej strony wynika z wprowadzenia jednego postępowania w sprawie określania wskazanych należności, z drugiej zaś </w:t>
      </w:r>
      <w:r w:rsidR="00AF1C2C" w:rsidRPr="00B25A10">
        <w:rPr>
          <w:rFonts w:ascii="Times New Roman" w:hAnsi="Times New Roman" w:cs="Times New Roman"/>
          <w:sz w:val="24"/>
          <w:szCs w:val="24"/>
        </w:rPr>
        <w:t>–</w:t>
      </w:r>
      <w:r w:rsidR="00CE0AA2" w:rsidRPr="00B25A10">
        <w:rPr>
          <w:rFonts w:ascii="Times New Roman" w:eastAsia="Calibri" w:hAnsi="Times New Roman" w:cs="Times New Roman"/>
          <w:iCs/>
          <w:sz w:val="24"/>
          <w:szCs w:val="24"/>
          <w:lang w:bidi="pl-PL"/>
        </w:rPr>
        <w:t xml:space="preserve"> z wprowadzenia przepisów dających możliwość określania w decyzji różnicy między kwotą podatku w prawidłowej wysokości a kwotą podatku już wykazaną lub określoną. Określanie w decyzji tej różnicy bez eliminowania z obrotu prawnego wcześniejszej decyzji podatkowej i konieczności określania na nowo należności podatkowych w pełnej wysokości powoduje, że stosowanie ordynacyjnych trybów nadzwyczajnych w takich przypadkach byłoby bardzo karkołomne.</w:t>
      </w:r>
    </w:p>
    <w:p w14:paraId="2FD02ADB" w14:textId="7CAEF81C" w:rsidR="00CE0AA2" w:rsidRPr="00B25A10" w:rsidRDefault="00CE0AA2"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 xml:space="preserve">Ponadto zastosowanie rozwiązania, zgodnie z którym do decyzji w zakresie należności celnych zastosowanie miałby art. 23 ust. 3 UKC, a w zakresie określonych w tej samej decyzji podatków i opłat – tryby nadzwyczajne określone w Ordynacji podatkowej, w opinii projektodawcy jest nieuzasadnione i </w:t>
      </w:r>
      <w:proofErr w:type="spellStart"/>
      <w:r w:rsidRPr="00B25A10">
        <w:rPr>
          <w:rFonts w:ascii="Times New Roman" w:eastAsia="Calibri" w:hAnsi="Times New Roman" w:cs="Times New Roman"/>
          <w:iCs/>
          <w:sz w:val="24"/>
          <w:szCs w:val="24"/>
          <w:lang w:bidi="pl-PL"/>
        </w:rPr>
        <w:t>przeciwskuteczne</w:t>
      </w:r>
      <w:proofErr w:type="spellEnd"/>
      <w:r w:rsidRPr="00B25A10">
        <w:rPr>
          <w:rFonts w:ascii="Times New Roman" w:eastAsia="Calibri" w:hAnsi="Times New Roman" w:cs="Times New Roman"/>
          <w:iCs/>
          <w:sz w:val="24"/>
          <w:szCs w:val="24"/>
          <w:lang w:bidi="pl-PL"/>
        </w:rPr>
        <w:t xml:space="preserve">. W zdecydowanej większości przypadków należności podatkowe określane są w następstwie zmian wprowadzonych w decyzji celnej, w związku z czym należności celne i podatkowe powinny być traktowane w podobny sposób. </w:t>
      </w:r>
    </w:p>
    <w:p w14:paraId="6008DA70" w14:textId="566CDB3A" w:rsidR="00712E99" w:rsidRPr="00B25A10" w:rsidRDefault="00712E99" w:rsidP="00FD72EE">
      <w:pPr>
        <w:spacing w:before="200" w:after="0" w:line="360" w:lineRule="auto"/>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5)</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 xml:space="preserve">art. 24 i </w:t>
      </w:r>
      <w:r w:rsidR="00023E6E">
        <w:rPr>
          <w:rFonts w:ascii="Times New Roman" w:eastAsia="Calibri" w:hAnsi="Times New Roman" w:cs="Times New Roman"/>
          <w:b/>
          <w:iCs/>
          <w:sz w:val="24"/>
          <w:szCs w:val="24"/>
          <w:lang w:bidi="pl-PL"/>
        </w:rPr>
        <w:t xml:space="preserve">art. </w:t>
      </w:r>
      <w:r w:rsidRPr="00B25A10">
        <w:rPr>
          <w:rFonts w:ascii="Times New Roman" w:eastAsia="Calibri" w:hAnsi="Times New Roman" w:cs="Times New Roman"/>
          <w:b/>
          <w:iCs/>
          <w:sz w:val="24"/>
          <w:szCs w:val="24"/>
          <w:lang w:bidi="pl-PL"/>
        </w:rPr>
        <w:t>25</w:t>
      </w:r>
      <w:r w:rsidRPr="00B25A10">
        <w:rPr>
          <w:rFonts w:ascii="Times New Roman" w:eastAsia="Calibri" w:hAnsi="Times New Roman" w:cs="Times New Roman"/>
          <w:iCs/>
          <w:sz w:val="24"/>
          <w:szCs w:val="24"/>
          <w:lang w:bidi="pl-PL"/>
        </w:rPr>
        <w:t xml:space="preserve"> UKC</w:t>
      </w:r>
    </w:p>
    <w:p w14:paraId="4EB0F472" w14:textId="292332DD"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Przepisy delegowane i wykonawcze wydane na podstawie delegacji zawartych w</w:t>
      </w:r>
      <w:r w:rsidR="00FD72EE">
        <w:rPr>
          <w:rFonts w:ascii="Times New Roman" w:eastAsia="Calibri" w:hAnsi="Times New Roman" w:cs="Times New Roman"/>
          <w:iCs/>
          <w:sz w:val="24"/>
          <w:szCs w:val="24"/>
          <w:lang w:bidi="pl-PL"/>
        </w:rPr>
        <w:t> </w:t>
      </w:r>
      <w:r w:rsidRPr="00B25A10">
        <w:rPr>
          <w:rFonts w:ascii="Times New Roman" w:eastAsia="Calibri" w:hAnsi="Times New Roman" w:cs="Times New Roman"/>
          <w:iCs/>
          <w:sz w:val="24"/>
          <w:szCs w:val="24"/>
          <w:lang w:bidi="pl-PL"/>
        </w:rPr>
        <w:t>art.</w:t>
      </w:r>
      <w:r w:rsidR="00FD72EE">
        <w:rPr>
          <w:rFonts w:ascii="Times New Roman" w:eastAsia="Calibri" w:hAnsi="Times New Roman" w:cs="Times New Roman"/>
          <w:iCs/>
          <w:sz w:val="24"/>
          <w:szCs w:val="24"/>
          <w:lang w:bidi="pl-PL"/>
        </w:rPr>
        <w:t> </w:t>
      </w:r>
      <w:r w:rsidRPr="00B25A10">
        <w:rPr>
          <w:rFonts w:ascii="Times New Roman" w:eastAsia="Calibri" w:hAnsi="Times New Roman" w:cs="Times New Roman"/>
          <w:iCs/>
          <w:sz w:val="24"/>
          <w:szCs w:val="24"/>
          <w:lang w:bidi="pl-PL"/>
        </w:rPr>
        <w:t xml:space="preserve">24 i </w:t>
      </w:r>
      <w:r w:rsidR="00023E6E">
        <w:rPr>
          <w:rFonts w:ascii="Times New Roman" w:eastAsia="Calibri" w:hAnsi="Times New Roman" w:cs="Times New Roman"/>
          <w:iCs/>
          <w:sz w:val="24"/>
          <w:szCs w:val="24"/>
          <w:lang w:bidi="pl-PL"/>
        </w:rPr>
        <w:t xml:space="preserve">art. </w:t>
      </w:r>
      <w:r w:rsidRPr="00B25A10">
        <w:rPr>
          <w:rFonts w:ascii="Times New Roman" w:eastAsia="Calibri" w:hAnsi="Times New Roman" w:cs="Times New Roman"/>
          <w:iCs/>
          <w:sz w:val="24"/>
          <w:szCs w:val="24"/>
          <w:lang w:bidi="pl-PL"/>
        </w:rPr>
        <w:t>25 UKC będą miały odpowiednie zastosowanie do postępowań w sprawach określenia podatków z tytułu importu</w:t>
      </w:r>
      <w:r w:rsidR="00A706EC">
        <w:rPr>
          <w:rFonts w:ascii="Times New Roman" w:eastAsia="Calibri" w:hAnsi="Times New Roman" w:cs="Times New Roman"/>
          <w:iCs/>
          <w:sz w:val="24"/>
          <w:szCs w:val="24"/>
          <w:lang w:bidi="pl-PL"/>
        </w:rPr>
        <w:t>.</w:t>
      </w:r>
      <w:r w:rsidRPr="00B25A10">
        <w:rPr>
          <w:rFonts w:ascii="Times New Roman" w:eastAsia="Calibri" w:hAnsi="Times New Roman" w:cs="Times New Roman"/>
          <w:iCs/>
          <w:sz w:val="24"/>
          <w:szCs w:val="24"/>
          <w:lang w:bidi="pl-PL"/>
        </w:rPr>
        <w:t xml:space="preserve"> </w:t>
      </w:r>
    </w:p>
    <w:p w14:paraId="759E999E" w14:textId="5FF3A768" w:rsidR="00712E99" w:rsidRPr="00B25A10" w:rsidRDefault="00712E99" w:rsidP="00FD72EE">
      <w:pPr>
        <w:spacing w:before="200" w:after="0" w:line="360" w:lineRule="auto"/>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6)</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 xml:space="preserve">art. 27 i </w:t>
      </w:r>
      <w:r w:rsidR="00023E6E">
        <w:rPr>
          <w:rFonts w:ascii="Times New Roman" w:eastAsia="Calibri" w:hAnsi="Times New Roman" w:cs="Times New Roman"/>
          <w:b/>
          <w:iCs/>
          <w:sz w:val="24"/>
          <w:szCs w:val="24"/>
          <w:lang w:bidi="pl-PL"/>
        </w:rPr>
        <w:t xml:space="preserve">art. </w:t>
      </w:r>
      <w:r w:rsidRPr="00B25A10">
        <w:rPr>
          <w:rFonts w:ascii="Times New Roman" w:eastAsia="Calibri" w:hAnsi="Times New Roman" w:cs="Times New Roman"/>
          <w:b/>
          <w:iCs/>
          <w:sz w:val="24"/>
          <w:szCs w:val="24"/>
          <w:lang w:bidi="pl-PL"/>
        </w:rPr>
        <w:t>28 ust. 1</w:t>
      </w:r>
      <w:r w:rsidR="00FD72EE" w:rsidRPr="00B25A10">
        <w:rPr>
          <w:rFonts w:ascii="Times New Roman" w:hAnsi="Times New Roman" w:cs="Times New Roman"/>
          <w:sz w:val="24"/>
          <w:szCs w:val="24"/>
        </w:rPr>
        <w:t>–</w:t>
      </w:r>
      <w:r w:rsidRPr="00B25A10">
        <w:rPr>
          <w:rFonts w:ascii="Times New Roman" w:eastAsia="Calibri" w:hAnsi="Times New Roman" w:cs="Times New Roman"/>
          <w:b/>
          <w:iCs/>
          <w:sz w:val="24"/>
          <w:szCs w:val="24"/>
          <w:lang w:bidi="pl-PL"/>
        </w:rPr>
        <w:t>3 i ust. 4</w:t>
      </w:r>
      <w:r w:rsidRPr="00B25A10">
        <w:rPr>
          <w:rFonts w:ascii="Times New Roman" w:eastAsia="Calibri" w:hAnsi="Times New Roman" w:cs="Times New Roman"/>
          <w:iCs/>
          <w:sz w:val="24"/>
          <w:szCs w:val="24"/>
          <w:lang w:bidi="pl-PL"/>
        </w:rPr>
        <w:t xml:space="preserve"> zdanie pierwsze UKC</w:t>
      </w:r>
    </w:p>
    <w:p w14:paraId="60784B4A" w14:textId="77777777"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Powołane przepisy dotyczą unieważnienia oraz cofnięcia i zmiany korzystnych decyzji.</w:t>
      </w:r>
    </w:p>
    <w:p w14:paraId="01ED50B2" w14:textId="77777777"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Niezależnie od przepisu art. 23 ust. 3 UKC, organy celne unieważniają decyzję korzystną dla posiadacza tychże, jeżeli spełnione są łącznie następujące warunki:</w:t>
      </w:r>
    </w:p>
    <w:p w14:paraId="083D64FB" w14:textId="794A7E29" w:rsidR="00712E99" w:rsidRPr="00B25A10" w:rsidRDefault="00FD72EE" w:rsidP="002B0551">
      <w:pPr>
        <w:spacing w:before="120" w:after="0" w:line="360" w:lineRule="auto"/>
        <w:ind w:left="1410" w:hanging="705"/>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lang w:bidi="pl-PL"/>
        </w:rPr>
        <w:tab/>
        <w:t>decyzja została podjęta na podstawie nieprawidłowych lub niekompletnych informacji,</w:t>
      </w:r>
    </w:p>
    <w:p w14:paraId="36579A06" w14:textId="7BF2C386" w:rsidR="00712E99" w:rsidRPr="00B25A10" w:rsidRDefault="00FD72EE" w:rsidP="002B0551">
      <w:pPr>
        <w:spacing w:before="120" w:after="0" w:line="360" w:lineRule="auto"/>
        <w:ind w:left="1410" w:hanging="705"/>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lang w:bidi="pl-PL"/>
        </w:rPr>
        <w:tab/>
        <w:t xml:space="preserve">posiadacz decyzji wiedział lub powinien był wiedzieć, że informacje są nieprawidłowe lub niekompletne, </w:t>
      </w:r>
    </w:p>
    <w:p w14:paraId="59BCA26C" w14:textId="121D9805" w:rsidR="00712E99" w:rsidRPr="00B25A10" w:rsidRDefault="00FD72EE" w:rsidP="002B0551">
      <w:pPr>
        <w:spacing w:before="120" w:after="0" w:line="360" w:lineRule="auto"/>
        <w:ind w:left="1410" w:hanging="705"/>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lastRenderedPageBreak/>
        <w:t>–</w:t>
      </w:r>
      <w:r w:rsidR="00712E99" w:rsidRPr="00B25A10">
        <w:rPr>
          <w:rFonts w:ascii="Times New Roman" w:eastAsia="Calibri" w:hAnsi="Times New Roman" w:cs="Times New Roman"/>
          <w:iCs/>
          <w:sz w:val="24"/>
          <w:szCs w:val="24"/>
          <w:lang w:bidi="pl-PL"/>
        </w:rPr>
        <w:tab/>
        <w:t>decyzja byłaby inna, gdyby informacje były prawidłowe i kompletne.</w:t>
      </w:r>
    </w:p>
    <w:p w14:paraId="34AFFA61" w14:textId="77777777" w:rsidR="00712E99" w:rsidRPr="00B25A10" w:rsidRDefault="00712E99" w:rsidP="002B0551">
      <w:pPr>
        <w:spacing w:before="120" w:after="0" w:line="360" w:lineRule="auto"/>
        <w:ind w:left="709" w:hanging="4"/>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Korzystna decyzja zostaje zmieniona lub cofnięta w przypadkach innych niż określone w art. 27 UKC:</w:t>
      </w:r>
    </w:p>
    <w:p w14:paraId="5E25195A" w14:textId="216A18AD" w:rsidR="00712E99" w:rsidRPr="00B25A10" w:rsidRDefault="00FD72EE" w:rsidP="002B0551">
      <w:pPr>
        <w:spacing w:before="120" w:after="0" w:line="360" w:lineRule="auto"/>
        <w:ind w:left="1410" w:hanging="705"/>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lang w:bidi="pl-PL"/>
        </w:rPr>
        <w:tab/>
        <w:t>jeżeli jeden lub kilka warunków wymaganych do jej wydania nie zostało spełnionych lub przestało być spełnionych lub</w:t>
      </w:r>
    </w:p>
    <w:p w14:paraId="504A81CA" w14:textId="6C27C49C" w:rsidR="00A16016" w:rsidRPr="00B25A10" w:rsidRDefault="00FD72EE" w:rsidP="002B0551">
      <w:pPr>
        <w:spacing w:before="120" w:after="0" w:line="360" w:lineRule="auto"/>
        <w:ind w:left="1410" w:hanging="705"/>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lang w:bidi="pl-PL"/>
        </w:rPr>
        <w:tab/>
        <w:t xml:space="preserve">na wniosek posiadacza decyzji. </w:t>
      </w:r>
    </w:p>
    <w:p w14:paraId="5561F208" w14:textId="7E415ACB" w:rsidR="00712E99" w:rsidRPr="00B25A10" w:rsidRDefault="00712E99" w:rsidP="00FD72EE">
      <w:pPr>
        <w:spacing w:before="200" w:after="0" w:line="360" w:lineRule="auto"/>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7)</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art. 29</w:t>
      </w:r>
      <w:r w:rsidRPr="00B25A10">
        <w:rPr>
          <w:rFonts w:ascii="Times New Roman" w:eastAsia="Calibri" w:hAnsi="Times New Roman" w:cs="Times New Roman"/>
          <w:iCs/>
          <w:sz w:val="24"/>
          <w:szCs w:val="24"/>
          <w:lang w:bidi="pl-PL"/>
        </w:rPr>
        <w:t xml:space="preserve"> UKC</w:t>
      </w:r>
    </w:p>
    <w:p w14:paraId="298EF9F8" w14:textId="003189BD"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Art. 29 UKC stanowi podstawę dla organu celnego (odpowiednio organu podatkowego) do wydawania decyzji bez uprzedniego wniosku, tj. decyzji z urzędu</w:t>
      </w:r>
      <w:r w:rsidR="00FD72EE">
        <w:rPr>
          <w:rFonts w:ascii="Times New Roman" w:eastAsia="Calibri" w:hAnsi="Times New Roman" w:cs="Times New Roman"/>
          <w:iCs/>
          <w:sz w:val="24"/>
          <w:szCs w:val="24"/>
          <w:lang w:bidi="pl-PL"/>
        </w:rPr>
        <w:t>,</w:t>
      </w:r>
      <w:r w:rsidRPr="00B25A10">
        <w:rPr>
          <w:rFonts w:ascii="Times New Roman" w:eastAsia="Calibri" w:hAnsi="Times New Roman" w:cs="Times New Roman"/>
          <w:iCs/>
          <w:sz w:val="24"/>
          <w:szCs w:val="24"/>
          <w:lang w:bidi="pl-PL"/>
        </w:rPr>
        <w:t xml:space="preserve"> i wskazuje, które przepisy UKC mają zastosowanie do tych decyzji (tj. art. 22 ust. 4, 5, 6 i 7, art. 23 ust.</w:t>
      </w:r>
      <w:r w:rsidR="00FD72EE">
        <w:rPr>
          <w:rFonts w:ascii="Times New Roman" w:eastAsia="Calibri" w:hAnsi="Times New Roman" w:cs="Times New Roman"/>
          <w:iCs/>
          <w:sz w:val="24"/>
          <w:szCs w:val="24"/>
          <w:lang w:bidi="pl-PL"/>
        </w:rPr>
        <w:t> </w:t>
      </w:r>
      <w:r w:rsidRPr="00B25A10">
        <w:rPr>
          <w:rFonts w:ascii="Times New Roman" w:eastAsia="Calibri" w:hAnsi="Times New Roman" w:cs="Times New Roman"/>
          <w:iCs/>
          <w:sz w:val="24"/>
          <w:szCs w:val="24"/>
          <w:lang w:bidi="pl-PL"/>
        </w:rPr>
        <w:t xml:space="preserve">3 oraz art. 26, </w:t>
      </w:r>
      <w:r w:rsidR="00023E6E">
        <w:rPr>
          <w:rFonts w:ascii="Times New Roman" w:eastAsia="Calibri" w:hAnsi="Times New Roman" w:cs="Times New Roman"/>
          <w:iCs/>
          <w:sz w:val="24"/>
          <w:szCs w:val="24"/>
          <w:lang w:bidi="pl-PL"/>
        </w:rPr>
        <w:t xml:space="preserve">art. </w:t>
      </w:r>
      <w:r w:rsidRPr="00B25A10">
        <w:rPr>
          <w:rFonts w:ascii="Times New Roman" w:eastAsia="Calibri" w:hAnsi="Times New Roman" w:cs="Times New Roman"/>
          <w:iCs/>
          <w:sz w:val="24"/>
          <w:szCs w:val="24"/>
          <w:lang w:bidi="pl-PL"/>
        </w:rPr>
        <w:t xml:space="preserve">27 i </w:t>
      </w:r>
      <w:r w:rsidR="00023E6E">
        <w:rPr>
          <w:rFonts w:ascii="Times New Roman" w:eastAsia="Calibri" w:hAnsi="Times New Roman" w:cs="Times New Roman"/>
          <w:iCs/>
          <w:sz w:val="24"/>
          <w:szCs w:val="24"/>
          <w:lang w:bidi="pl-PL"/>
        </w:rPr>
        <w:t xml:space="preserve">art. </w:t>
      </w:r>
      <w:r w:rsidRPr="00B25A10">
        <w:rPr>
          <w:rFonts w:ascii="Times New Roman" w:eastAsia="Calibri" w:hAnsi="Times New Roman" w:cs="Times New Roman"/>
          <w:iCs/>
          <w:sz w:val="24"/>
          <w:szCs w:val="24"/>
          <w:lang w:bidi="pl-PL"/>
        </w:rPr>
        <w:t xml:space="preserve">28 UKC).  </w:t>
      </w:r>
    </w:p>
    <w:p w14:paraId="6D18697F" w14:textId="77777777" w:rsidR="00CE0AA2" w:rsidRPr="00B25A10" w:rsidRDefault="00CE0AA2" w:rsidP="00FD72EE">
      <w:pPr>
        <w:spacing w:before="480" w:after="0" w:line="360" w:lineRule="auto"/>
        <w:ind w:left="703"/>
        <w:jc w:val="both"/>
        <w:rPr>
          <w:rFonts w:ascii="Times New Roman" w:eastAsia="Calibri" w:hAnsi="Times New Roman" w:cs="Times New Roman"/>
          <w:iCs/>
          <w:sz w:val="24"/>
          <w:szCs w:val="24"/>
          <w:lang w:bidi="pl-PL"/>
        </w:rPr>
      </w:pPr>
      <w:r w:rsidRPr="00B25A10">
        <w:rPr>
          <w:rFonts w:ascii="Times New Roman" w:eastAsia="Calibri" w:hAnsi="Times New Roman" w:cs="Times New Roman"/>
          <w:b/>
          <w:iCs/>
          <w:sz w:val="24"/>
          <w:szCs w:val="24"/>
          <w:lang w:bidi="pl-PL"/>
        </w:rPr>
        <w:t xml:space="preserve">Tryb wydania decyzji z urzędu </w:t>
      </w:r>
      <w:r w:rsidRPr="00B25A10">
        <w:rPr>
          <w:rFonts w:ascii="Times New Roman" w:eastAsia="Calibri" w:hAnsi="Times New Roman" w:cs="Times New Roman"/>
          <w:iCs/>
          <w:sz w:val="24"/>
          <w:szCs w:val="24"/>
          <w:lang w:bidi="pl-PL"/>
        </w:rPr>
        <w:t>(art. 29 UKC)</w:t>
      </w:r>
    </w:p>
    <w:p w14:paraId="5C941523" w14:textId="6DA2593F" w:rsidR="00CE0AA2" w:rsidRPr="00B25A10" w:rsidRDefault="00CE0AA2"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Biorąc pod uwagę przepisy dotyczące prawa do bycia wysłuchanym (art. 22 ust. 6 UKC)</w:t>
      </w:r>
      <w:r w:rsidR="00FD72EE">
        <w:rPr>
          <w:rFonts w:ascii="Times New Roman" w:eastAsia="Calibri" w:hAnsi="Times New Roman" w:cs="Times New Roman"/>
          <w:iCs/>
          <w:sz w:val="24"/>
          <w:szCs w:val="24"/>
          <w:lang w:bidi="pl-PL"/>
        </w:rPr>
        <w:t>,</w:t>
      </w:r>
      <w:r w:rsidRPr="00B25A10">
        <w:rPr>
          <w:rFonts w:ascii="Times New Roman" w:eastAsia="Calibri" w:hAnsi="Times New Roman" w:cs="Times New Roman"/>
          <w:iCs/>
          <w:sz w:val="24"/>
          <w:szCs w:val="24"/>
          <w:lang w:bidi="pl-PL"/>
        </w:rPr>
        <w:t xml:space="preserve"> szczególnie zaś, co do zasady, 30-dniowy termin na przedstawienie stanowiska, stosuje się następujący tryb wydawania decyzji niekorzystnych z urzędu:</w:t>
      </w:r>
    </w:p>
    <w:p w14:paraId="37FBBE0D" w14:textId="7158D382" w:rsidR="00CE0AA2" w:rsidRPr="00B25A10" w:rsidRDefault="00CE0AA2" w:rsidP="002B0551">
      <w:pPr>
        <w:spacing w:before="120" w:after="0" w:line="360" w:lineRule="auto"/>
        <w:ind w:left="1410"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 xml:space="preserve">1) </w:t>
      </w:r>
      <w:r w:rsidRPr="00B25A10">
        <w:rPr>
          <w:rFonts w:ascii="Times New Roman" w:eastAsia="Calibri" w:hAnsi="Times New Roman" w:cs="Times New Roman"/>
          <w:iCs/>
          <w:sz w:val="24"/>
          <w:szCs w:val="24"/>
          <w:lang w:bidi="pl-PL"/>
        </w:rPr>
        <w:tab/>
        <w:t xml:space="preserve">pierwszą informacją dla osoby o możliwości wydania decyzji dla niej niekorzystnej może być powiadomienie, o którym mowa w art. 22 ust. 6 UKC (w ramach prawa do bycia wysłuchanym) </w:t>
      </w:r>
      <w:r w:rsidR="00FD72EE" w:rsidRPr="00B25A10">
        <w:rPr>
          <w:rFonts w:ascii="Times New Roman" w:hAnsi="Times New Roman" w:cs="Times New Roman"/>
          <w:sz w:val="24"/>
          <w:szCs w:val="24"/>
        </w:rPr>
        <w:t>–</w:t>
      </w:r>
      <w:r w:rsidRPr="00B25A10">
        <w:rPr>
          <w:rFonts w:ascii="Times New Roman" w:eastAsia="Calibri" w:hAnsi="Times New Roman" w:cs="Times New Roman"/>
          <w:iCs/>
          <w:sz w:val="24"/>
          <w:szCs w:val="24"/>
          <w:lang w:bidi="pl-PL"/>
        </w:rPr>
        <w:t xml:space="preserve"> bez postanowienia o wszczęciu postępowania z Ordynacji podatkowej</w:t>
      </w:r>
      <w:r w:rsidR="00FD72EE">
        <w:rPr>
          <w:rFonts w:ascii="Times New Roman" w:eastAsia="Calibri" w:hAnsi="Times New Roman" w:cs="Times New Roman"/>
          <w:iCs/>
          <w:sz w:val="24"/>
          <w:szCs w:val="24"/>
          <w:lang w:bidi="pl-PL"/>
        </w:rPr>
        <w:t>;</w:t>
      </w:r>
    </w:p>
    <w:p w14:paraId="4FB6C67F" w14:textId="77B703C8" w:rsidR="00CE0AA2" w:rsidRPr="00B25A10" w:rsidRDefault="00CE0AA2" w:rsidP="002B0551">
      <w:pPr>
        <w:spacing w:before="120" w:after="0" w:line="360" w:lineRule="auto"/>
        <w:ind w:left="1410"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 xml:space="preserve">2) </w:t>
      </w:r>
      <w:r w:rsidRPr="00B25A10">
        <w:rPr>
          <w:rFonts w:ascii="Times New Roman" w:eastAsia="Calibri" w:hAnsi="Times New Roman" w:cs="Times New Roman"/>
          <w:iCs/>
          <w:sz w:val="24"/>
          <w:szCs w:val="24"/>
          <w:lang w:bidi="pl-PL"/>
        </w:rPr>
        <w:tab/>
        <w:t>po upływie wyznaczonego terminu na przedstawienie stanowiska (wyjątek art. 8 ust. 2  przepisów wykonawczych) osoba jest powiadamiana w odpowiedniej formie o wydanej decyzji.</w:t>
      </w:r>
    </w:p>
    <w:p w14:paraId="31E9E4CF" w14:textId="0EA1D289" w:rsidR="00CE0AA2" w:rsidRPr="00B25A10" w:rsidRDefault="00CE0AA2"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Tak jak w przypadku decyzji niekorzystnej wydawanej na wniosek, decyzja niekorzystna wydawana z urzędu określa podstawy, na których ją oparto</w:t>
      </w:r>
      <w:r w:rsidR="00FD72EE">
        <w:rPr>
          <w:rFonts w:ascii="Times New Roman" w:eastAsia="Calibri" w:hAnsi="Times New Roman" w:cs="Times New Roman"/>
          <w:iCs/>
          <w:sz w:val="24"/>
          <w:szCs w:val="24"/>
          <w:lang w:bidi="pl-PL"/>
        </w:rPr>
        <w:t>,</w:t>
      </w:r>
      <w:r w:rsidRPr="00B25A10">
        <w:rPr>
          <w:rFonts w:ascii="Times New Roman" w:eastAsia="Calibri" w:hAnsi="Times New Roman" w:cs="Times New Roman"/>
          <w:iCs/>
          <w:sz w:val="24"/>
          <w:szCs w:val="24"/>
          <w:lang w:bidi="pl-PL"/>
        </w:rPr>
        <w:t xml:space="preserve"> i zawiera pouczenie o prawie do wniesienia odwołania. </w:t>
      </w:r>
    </w:p>
    <w:p w14:paraId="74FB9789" w14:textId="4318FCAD" w:rsidR="00712E99" w:rsidRPr="00B25A10" w:rsidRDefault="00712E99" w:rsidP="002B0551">
      <w:pPr>
        <w:spacing w:before="120" w:after="0" w:line="360" w:lineRule="auto"/>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8)</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 xml:space="preserve">art. 31 i </w:t>
      </w:r>
      <w:r w:rsidR="00023E6E">
        <w:rPr>
          <w:rFonts w:ascii="Times New Roman" w:eastAsia="Calibri" w:hAnsi="Times New Roman" w:cs="Times New Roman"/>
          <w:b/>
          <w:iCs/>
          <w:sz w:val="24"/>
          <w:szCs w:val="24"/>
          <w:lang w:bidi="pl-PL"/>
        </w:rPr>
        <w:t xml:space="preserve">art. </w:t>
      </w:r>
      <w:r w:rsidRPr="00B25A10">
        <w:rPr>
          <w:rFonts w:ascii="Times New Roman" w:eastAsia="Calibri" w:hAnsi="Times New Roman" w:cs="Times New Roman"/>
          <w:b/>
          <w:iCs/>
          <w:sz w:val="24"/>
          <w:szCs w:val="24"/>
          <w:lang w:bidi="pl-PL"/>
        </w:rPr>
        <w:t>32</w:t>
      </w:r>
      <w:r w:rsidRPr="00B25A10">
        <w:rPr>
          <w:rFonts w:ascii="Times New Roman" w:eastAsia="Calibri" w:hAnsi="Times New Roman" w:cs="Times New Roman"/>
          <w:iCs/>
          <w:sz w:val="24"/>
          <w:szCs w:val="24"/>
          <w:lang w:bidi="pl-PL"/>
        </w:rPr>
        <w:t xml:space="preserve"> UKC</w:t>
      </w:r>
    </w:p>
    <w:p w14:paraId="72F167C4" w14:textId="30A25DC7"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Przepisy delegowane i wykonawcze wydane na podstawie delegacji zawartych w</w:t>
      </w:r>
      <w:r w:rsidR="00FD72EE">
        <w:rPr>
          <w:rFonts w:ascii="Times New Roman" w:eastAsia="Calibri" w:hAnsi="Times New Roman" w:cs="Times New Roman"/>
          <w:iCs/>
          <w:sz w:val="24"/>
          <w:szCs w:val="24"/>
          <w:lang w:bidi="pl-PL"/>
        </w:rPr>
        <w:t> </w:t>
      </w:r>
      <w:r w:rsidRPr="00B25A10">
        <w:rPr>
          <w:rFonts w:ascii="Times New Roman" w:eastAsia="Calibri" w:hAnsi="Times New Roman" w:cs="Times New Roman"/>
          <w:iCs/>
          <w:sz w:val="24"/>
          <w:szCs w:val="24"/>
          <w:lang w:bidi="pl-PL"/>
        </w:rPr>
        <w:t>art.</w:t>
      </w:r>
      <w:r w:rsidR="00FD72EE">
        <w:t> </w:t>
      </w:r>
      <w:r w:rsidRPr="00B25A10">
        <w:rPr>
          <w:rFonts w:ascii="Times New Roman" w:eastAsia="Calibri" w:hAnsi="Times New Roman" w:cs="Times New Roman"/>
          <w:iCs/>
          <w:sz w:val="24"/>
          <w:szCs w:val="24"/>
          <w:lang w:bidi="pl-PL"/>
        </w:rPr>
        <w:t xml:space="preserve">31 i </w:t>
      </w:r>
      <w:r w:rsidR="00023E6E">
        <w:rPr>
          <w:rFonts w:ascii="Times New Roman" w:eastAsia="Calibri" w:hAnsi="Times New Roman" w:cs="Times New Roman"/>
          <w:iCs/>
          <w:sz w:val="24"/>
          <w:szCs w:val="24"/>
          <w:lang w:bidi="pl-PL"/>
        </w:rPr>
        <w:t xml:space="preserve">art. </w:t>
      </w:r>
      <w:r w:rsidRPr="00B25A10">
        <w:rPr>
          <w:rFonts w:ascii="Times New Roman" w:eastAsia="Calibri" w:hAnsi="Times New Roman" w:cs="Times New Roman"/>
          <w:iCs/>
          <w:sz w:val="24"/>
          <w:szCs w:val="24"/>
          <w:lang w:bidi="pl-PL"/>
        </w:rPr>
        <w:t>32 UKC będą miały odpowiednie zastosowanie do postępowań w sprawach określenia podatków z tytułu importu</w:t>
      </w:r>
      <w:r w:rsidR="00A706EC">
        <w:rPr>
          <w:rFonts w:ascii="Times New Roman" w:eastAsia="Calibri" w:hAnsi="Times New Roman" w:cs="Times New Roman"/>
          <w:iCs/>
          <w:sz w:val="24"/>
          <w:szCs w:val="24"/>
          <w:lang w:bidi="pl-PL"/>
        </w:rPr>
        <w:t>.</w:t>
      </w:r>
      <w:r w:rsidRPr="00B25A10">
        <w:rPr>
          <w:rFonts w:ascii="Times New Roman" w:eastAsia="Calibri" w:hAnsi="Times New Roman" w:cs="Times New Roman"/>
          <w:iCs/>
          <w:sz w:val="24"/>
          <w:szCs w:val="24"/>
          <w:lang w:bidi="pl-PL"/>
        </w:rPr>
        <w:t xml:space="preserve"> </w:t>
      </w:r>
    </w:p>
    <w:p w14:paraId="3226B3EE" w14:textId="3E58A0E1" w:rsidR="00712E99" w:rsidRPr="00B25A10" w:rsidRDefault="00712E99" w:rsidP="002B0551">
      <w:pPr>
        <w:spacing w:before="120" w:after="0" w:line="360" w:lineRule="auto"/>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lastRenderedPageBreak/>
        <w:t>9)</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 xml:space="preserve">art. 44 </w:t>
      </w:r>
      <w:r w:rsidRPr="00B25A10">
        <w:rPr>
          <w:rFonts w:ascii="Times New Roman" w:eastAsia="Calibri" w:hAnsi="Times New Roman" w:cs="Times New Roman"/>
          <w:iCs/>
          <w:sz w:val="24"/>
          <w:szCs w:val="24"/>
          <w:lang w:bidi="pl-PL"/>
        </w:rPr>
        <w:t>UKC oraz art. 90b</w:t>
      </w:r>
      <w:r w:rsidR="00FD72EE" w:rsidRPr="00B25A10">
        <w:rPr>
          <w:rFonts w:ascii="Times New Roman" w:hAnsi="Times New Roman" w:cs="Times New Roman"/>
          <w:sz w:val="24"/>
          <w:szCs w:val="24"/>
        </w:rPr>
        <w:t>–</w:t>
      </w:r>
      <w:r w:rsidRPr="00B25A10">
        <w:rPr>
          <w:rFonts w:ascii="Times New Roman" w:eastAsia="Calibri" w:hAnsi="Times New Roman" w:cs="Times New Roman"/>
          <w:iCs/>
          <w:sz w:val="24"/>
          <w:szCs w:val="24"/>
          <w:lang w:bidi="pl-PL"/>
        </w:rPr>
        <w:t>90e Prawa celnego</w:t>
      </w:r>
    </w:p>
    <w:p w14:paraId="11D17054" w14:textId="77777777" w:rsidR="00712E99" w:rsidRPr="00B25A10" w:rsidRDefault="00712E99" w:rsidP="002B0551">
      <w:pPr>
        <w:spacing w:before="120" w:after="0" w:line="360" w:lineRule="auto"/>
        <w:ind w:left="708"/>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 xml:space="preserve">Zgodnie z art. 44 ust. 1 UKC, każda osoba ma prawo do odwołania się od wydanej przez organy celne decyzji w zakresie stosowania przepisów prawa celnego, dotyczącej jej bezpośrednio i indywidualnie. Prawo do wniesienia odwołania ma również osoba, która wystąpiła do organów celnych z wnioskiem o wydanie decyzji i której nie wydano decyzji na podstawie tego wniosku w terminie. </w:t>
      </w:r>
    </w:p>
    <w:p w14:paraId="2ACF0934" w14:textId="2AD152A1" w:rsidR="00712E99" w:rsidRPr="00B25A10" w:rsidRDefault="00712E99" w:rsidP="002B0551">
      <w:pPr>
        <w:spacing w:before="120" w:after="0" w:line="360" w:lineRule="auto"/>
        <w:ind w:left="708"/>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Odwołanie składa się w państwie członkowskim, w którym decyzja została wydana lub w którym złożono wniosek o jej wydanie.</w:t>
      </w:r>
    </w:p>
    <w:p w14:paraId="63A0DCB1" w14:textId="77777777" w:rsidR="00712E99" w:rsidRPr="00B25A10" w:rsidRDefault="00712E99" w:rsidP="002B0551">
      <w:pPr>
        <w:spacing w:before="120" w:after="0" w:line="360" w:lineRule="auto"/>
        <w:ind w:left="708"/>
        <w:jc w:val="both"/>
        <w:rPr>
          <w:rFonts w:ascii="Times New Roman" w:eastAsia="Calibri" w:hAnsi="Times New Roman" w:cs="Times New Roman"/>
          <w:bCs/>
          <w:sz w:val="24"/>
          <w:szCs w:val="24"/>
        </w:rPr>
      </w:pPr>
      <w:r w:rsidRPr="00B25A10">
        <w:rPr>
          <w:rFonts w:ascii="Times New Roman" w:eastAsia="Calibri" w:hAnsi="Times New Roman" w:cs="Times New Roman"/>
          <w:bCs/>
          <w:sz w:val="24"/>
          <w:szCs w:val="24"/>
        </w:rPr>
        <w:t xml:space="preserve">UKC nie normują procedury odwoławczej, pozostawiając ten obszar do uregulowania przez państwa członkowskie. W art. 44 ust. 4 UKC wskazana została jedynie wytyczna dla państw członkowskich, zgodnie z którą procedura odwoławcza powinna umożliwiać szybkie potwierdzenie lub skorygowanie decyzji wydanych przez organy celne w pierwszej instancji. </w:t>
      </w:r>
    </w:p>
    <w:p w14:paraId="2D3F531C" w14:textId="2C4B324B" w:rsidR="00712E99" w:rsidRPr="00B25A10" w:rsidRDefault="00712E99" w:rsidP="002B0551">
      <w:pPr>
        <w:spacing w:before="120" w:after="0" w:line="360" w:lineRule="auto"/>
        <w:ind w:left="708"/>
        <w:jc w:val="both"/>
        <w:rPr>
          <w:rFonts w:ascii="Times New Roman" w:eastAsia="Calibri" w:hAnsi="Times New Roman" w:cs="Times New Roman"/>
          <w:iCs/>
          <w:sz w:val="24"/>
          <w:szCs w:val="24"/>
          <w:lang w:bidi="pl-PL"/>
        </w:rPr>
      </w:pPr>
      <w:r w:rsidRPr="00B25A10">
        <w:rPr>
          <w:rFonts w:ascii="Times New Roman" w:eastAsia="Calibri" w:hAnsi="Times New Roman" w:cs="Times New Roman"/>
          <w:sz w:val="24"/>
          <w:szCs w:val="24"/>
        </w:rPr>
        <w:t>W Polsce procedura odwoławcza w postępowaniu celnym określona została w Prawie celnym przez odesłania zawarte w art. 73 tej ustawy do odpowiednich przepisów Ordynacji podatkowej (wskazanych poniżej), z uwzględnieniem niewielkich zmian określonych w art. 90b–90e Prawa celnego. Można zatem uznać, że postępowanie odwoławcze w sprawach celnych jest uregulowane analogicznie do procedury odwoławczej w sprawach podatkowych</w:t>
      </w:r>
      <w:r w:rsidR="00A706EC">
        <w:rPr>
          <w:rFonts w:ascii="Times New Roman" w:eastAsia="Calibri" w:hAnsi="Times New Roman" w:cs="Times New Roman"/>
          <w:sz w:val="24"/>
          <w:szCs w:val="24"/>
        </w:rPr>
        <w:t>.</w:t>
      </w:r>
    </w:p>
    <w:p w14:paraId="716426B8" w14:textId="5BD53E76"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10)</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 xml:space="preserve">art. 55 </w:t>
      </w:r>
      <w:r w:rsidRPr="00B25A10">
        <w:rPr>
          <w:rFonts w:ascii="Times New Roman" w:eastAsia="Calibri" w:hAnsi="Times New Roman" w:cs="Times New Roman"/>
          <w:iCs/>
          <w:sz w:val="24"/>
          <w:szCs w:val="24"/>
          <w:lang w:bidi="pl-PL"/>
        </w:rPr>
        <w:t>UKC</w:t>
      </w:r>
    </w:p>
    <w:p w14:paraId="2A2E60F9" w14:textId="1ECA1F31"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b/>
        <w:t>Zgodnie z art. 55 UKC, je</w:t>
      </w:r>
      <w:r w:rsidR="00FD72EE">
        <w:rPr>
          <w:rFonts w:ascii="Times New Roman" w:eastAsia="Calibri" w:hAnsi="Times New Roman" w:cs="Times New Roman"/>
          <w:iCs/>
          <w:sz w:val="24"/>
          <w:szCs w:val="24"/>
          <w:lang w:bidi="pl-PL"/>
        </w:rPr>
        <w:t>że</w:t>
      </w:r>
      <w:r w:rsidRPr="00B25A10">
        <w:rPr>
          <w:rFonts w:ascii="Times New Roman" w:eastAsia="Calibri" w:hAnsi="Times New Roman" w:cs="Times New Roman"/>
          <w:iCs/>
          <w:sz w:val="24"/>
          <w:szCs w:val="24"/>
          <w:lang w:bidi="pl-PL"/>
        </w:rPr>
        <w:t>li przepis szczególny nie stanowi inaczej i okres, data lub termin są określone w przepisach prawa celnego, okres nie może zostać przedłużony lub skrócony, a data lub termin – odroczone lub przyspieszone</w:t>
      </w:r>
      <w:r w:rsidR="00A706EC">
        <w:rPr>
          <w:rFonts w:ascii="Times New Roman" w:eastAsia="Calibri" w:hAnsi="Times New Roman" w:cs="Times New Roman"/>
          <w:iCs/>
          <w:sz w:val="24"/>
          <w:szCs w:val="24"/>
          <w:lang w:bidi="pl-PL"/>
        </w:rPr>
        <w:t>.</w:t>
      </w:r>
    </w:p>
    <w:p w14:paraId="504AFB4F" w14:textId="4B1B6AF9"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11)</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art. 10a i art. 10b</w:t>
      </w:r>
      <w:r w:rsidRPr="00B25A10">
        <w:rPr>
          <w:rFonts w:ascii="Times New Roman" w:eastAsia="Calibri" w:hAnsi="Times New Roman" w:cs="Times New Roman"/>
          <w:iCs/>
          <w:sz w:val="24"/>
          <w:szCs w:val="24"/>
          <w:lang w:bidi="pl-PL"/>
        </w:rPr>
        <w:t xml:space="preserve"> Prawa celnego</w:t>
      </w:r>
    </w:p>
    <w:p w14:paraId="6797F125" w14:textId="77777777"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Zgodnie z art. 10a Prawa celnego, wymiana informacji z organami celnymi drogą elektroniczną, w szczególności deklaracji lub zgłoszeń, jest dokonywana przez Platformę Usług Elektronicznych Skarbowo-Celnych, zwaną dalej „PUESC”. Przez tę platformę może następować również doręczanie pism.</w:t>
      </w:r>
    </w:p>
    <w:p w14:paraId="4B0B046A" w14:textId="77777777"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 xml:space="preserve"> </w:t>
      </w:r>
      <w:r w:rsidRPr="00B25A10">
        <w:rPr>
          <w:rFonts w:ascii="Times New Roman" w:eastAsia="Calibri" w:hAnsi="Times New Roman" w:cs="Times New Roman"/>
          <w:iCs/>
          <w:sz w:val="24"/>
          <w:szCs w:val="24"/>
          <w:lang w:bidi="pl-PL"/>
        </w:rPr>
        <w:tab/>
        <w:t xml:space="preserve">Zgodnie z art. 10b. Prawa celnego, dokumenty elektroniczne przesyłane organom celnym podpisuje się kwalifikowanym podpisem elektronicznym, podpisem zaufanym, podpisem osobistym lub zaawansowanym podpisem elektronicznym </w:t>
      </w:r>
      <w:r w:rsidRPr="00B25A10">
        <w:rPr>
          <w:rFonts w:ascii="Times New Roman" w:eastAsia="Calibri" w:hAnsi="Times New Roman" w:cs="Times New Roman"/>
          <w:iCs/>
          <w:sz w:val="24"/>
          <w:szCs w:val="24"/>
          <w:lang w:bidi="pl-PL"/>
        </w:rPr>
        <w:lastRenderedPageBreak/>
        <w:t xml:space="preserve">weryfikowanym za pomocą certyfikatu celnego albo zapewnia się w inny sposób możliwość potwierdzenia pochodzenia oraz integralności przesłanych danych w postaci elektronicznej, jeżeli w przepisach wydanych na podstawie art. 3b § 2 Ordynacji podatkowej minister właściwy do spraw finansów publicznych umożliwił podpisywanie określonych dokumentów w taki sposób. </w:t>
      </w:r>
    </w:p>
    <w:p w14:paraId="00B52689" w14:textId="77777777" w:rsidR="00712E99" w:rsidRPr="00B25A10" w:rsidRDefault="00712E99" w:rsidP="002B0551">
      <w:pPr>
        <w:spacing w:before="120" w:after="0" w:line="360" w:lineRule="auto"/>
        <w:ind w:left="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 xml:space="preserve">Decyzje i inne dokumenty wydawane przez organ celny w postaci elektronicznej podpisuje się kwalifikowanym podpisem elektronicznym, podpisem zaufanym, podpisem osobistym lub zaawansowanym podpisem elektronicznym weryfikowanym za pomocą certyfikatu celnego. </w:t>
      </w:r>
    </w:p>
    <w:p w14:paraId="409408F2" w14:textId="75E3B9EE"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12)</w:t>
      </w:r>
      <w:r w:rsidRPr="00B25A10">
        <w:rPr>
          <w:rFonts w:ascii="Times New Roman" w:eastAsia="Calibri" w:hAnsi="Times New Roman" w:cs="Times New Roman"/>
          <w:b/>
          <w:iCs/>
          <w:sz w:val="24"/>
          <w:szCs w:val="24"/>
          <w:lang w:bidi="pl-PL"/>
        </w:rPr>
        <w:tab/>
        <w:t xml:space="preserve">art. 73c </w:t>
      </w:r>
      <w:r w:rsidRPr="00B25A10">
        <w:rPr>
          <w:rFonts w:ascii="Times New Roman" w:eastAsia="Calibri" w:hAnsi="Times New Roman" w:cs="Times New Roman"/>
          <w:iCs/>
          <w:sz w:val="24"/>
          <w:szCs w:val="24"/>
          <w:lang w:bidi="pl-PL"/>
        </w:rPr>
        <w:t>Prawa celnego</w:t>
      </w:r>
    </w:p>
    <w:p w14:paraId="0A280815" w14:textId="77777777"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b/>
        <w:t xml:space="preserve">Zgodnie z powołanym przepisem, na potrzeby przepisów prawa celnego za osobę uznaje się również spółkę cywilną. </w:t>
      </w:r>
    </w:p>
    <w:p w14:paraId="3CCAB63E" w14:textId="77777777" w:rsidR="00A16016" w:rsidRPr="00B25A10" w:rsidRDefault="00A16016"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b/>
        <w:t xml:space="preserve">Art. 73c Prawa celnego uznaje spółkę cywilną za osobę w rozumieniu art. 5 pkt 4 UKC. Biorąc pod uwagę wprowadzenie regulacji dotyczących prowadzenia jednego postępowania w sprawie należności celnych przywozowych, podatku od towarów i usług, podatku akcyzowego, a także opłaty paliwowej i opłaty emisyjnej z tytułu importu towarów (w szczególności art. 73d Prawa celnego), zasadne jest stosowanie tego przepisu również do określania tych należności i opłat. Ma to znacznie nie tylko w kontekście określenia adresatów decyzji, ale również np. w kwestii uznania spółki cywilnej za przedstawiciela celnego.   </w:t>
      </w:r>
    </w:p>
    <w:p w14:paraId="47BE2D3C" w14:textId="258310DB" w:rsidR="001C22BA" w:rsidRPr="00B25A10" w:rsidRDefault="00A16016"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b/>
        <w:t>Na podstawie ustawy o podatku od towarów i usług oraz ustawy o podatku akcyzowym spółka cywilna jest podatnikiem i w kontekście adresata decyzji nie będzie tu zmiany. Regulacji takiej nie ma dotychczas w ustawach stanowiących o opłacie paliwowej i opłacie emisyjnej, nie mniej jednak biorąc pod uwagę ścisłe powiązanie tych opłat ze zobowiązaniem podatkowym w podatku akcyzowym, zasadne jest zachowanie spójności w tym zakresie.</w:t>
      </w:r>
    </w:p>
    <w:p w14:paraId="65DA1FED" w14:textId="3C60D9BF"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13)</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 xml:space="preserve">art. 83 i </w:t>
      </w:r>
      <w:r w:rsidR="00023E6E">
        <w:rPr>
          <w:rFonts w:ascii="Times New Roman" w:eastAsia="Calibri" w:hAnsi="Times New Roman" w:cs="Times New Roman"/>
          <w:b/>
          <w:iCs/>
          <w:sz w:val="24"/>
          <w:szCs w:val="24"/>
          <w:lang w:bidi="pl-PL"/>
        </w:rPr>
        <w:t xml:space="preserve">art. </w:t>
      </w:r>
      <w:r w:rsidRPr="00B25A10">
        <w:rPr>
          <w:rFonts w:ascii="Times New Roman" w:eastAsia="Calibri" w:hAnsi="Times New Roman" w:cs="Times New Roman"/>
          <w:b/>
          <w:iCs/>
          <w:sz w:val="24"/>
          <w:szCs w:val="24"/>
          <w:lang w:bidi="pl-PL"/>
        </w:rPr>
        <w:t>84</w:t>
      </w:r>
      <w:r w:rsidRPr="00B25A10">
        <w:rPr>
          <w:rFonts w:ascii="Times New Roman" w:eastAsia="Calibri" w:hAnsi="Times New Roman" w:cs="Times New Roman"/>
          <w:iCs/>
          <w:sz w:val="24"/>
          <w:szCs w:val="24"/>
          <w:lang w:bidi="pl-PL"/>
        </w:rPr>
        <w:t xml:space="preserve"> Prawa celnego</w:t>
      </w:r>
    </w:p>
    <w:p w14:paraId="7C07ABB9" w14:textId="6A8E38A5" w:rsidR="00A272AE"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b/>
        <w:t xml:space="preserve">Przepisy art. 83 i </w:t>
      </w:r>
      <w:r w:rsidR="00023E6E">
        <w:rPr>
          <w:rFonts w:ascii="Times New Roman" w:eastAsia="Calibri" w:hAnsi="Times New Roman" w:cs="Times New Roman"/>
          <w:iCs/>
          <w:sz w:val="24"/>
          <w:szCs w:val="24"/>
          <w:lang w:bidi="pl-PL"/>
        </w:rPr>
        <w:t xml:space="preserve">art. </w:t>
      </w:r>
      <w:r w:rsidRPr="00B25A10">
        <w:rPr>
          <w:rFonts w:ascii="Times New Roman" w:eastAsia="Calibri" w:hAnsi="Times New Roman" w:cs="Times New Roman"/>
          <w:iCs/>
          <w:sz w:val="24"/>
          <w:szCs w:val="24"/>
          <w:lang w:bidi="pl-PL"/>
        </w:rPr>
        <w:t>84 Prawa celnego są już obecnie stosowane w postępowaniu podatkowym w sprawach dotyczących podatków importowych, na podstawie art. 147a Ordynacji podatkowej. Przepis ten jest uchylany niniejszą ustawą, dlatego należy powołać te przepisy wprost w ustawie o podatku od towarów i usług</w:t>
      </w:r>
      <w:r w:rsidR="00A706EC">
        <w:rPr>
          <w:rFonts w:ascii="Times New Roman" w:eastAsia="Calibri" w:hAnsi="Times New Roman" w:cs="Times New Roman"/>
          <w:iCs/>
          <w:sz w:val="24"/>
          <w:szCs w:val="24"/>
          <w:lang w:bidi="pl-PL"/>
        </w:rPr>
        <w:t>.</w:t>
      </w:r>
    </w:p>
    <w:p w14:paraId="4D53D63C" w14:textId="6D1FFDFC"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lastRenderedPageBreak/>
        <w:t>14)</w:t>
      </w:r>
      <w:r w:rsidRPr="00B25A10">
        <w:rPr>
          <w:rFonts w:ascii="Times New Roman" w:eastAsia="Calibri" w:hAnsi="Times New Roman" w:cs="Times New Roman"/>
          <w:iCs/>
          <w:sz w:val="24"/>
          <w:szCs w:val="24"/>
          <w:lang w:bidi="pl-PL"/>
        </w:rPr>
        <w:tab/>
      </w:r>
      <w:r w:rsidRPr="00B25A10">
        <w:rPr>
          <w:rFonts w:ascii="Times New Roman" w:eastAsia="Calibri" w:hAnsi="Times New Roman" w:cs="Times New Roman"/>
          <w:b/>
          <w:iCs/>
          <w:sz w:val="24"/>
          <w:szCs w:val="24"/>
          <w:lang w:bidi="pl-PL"/>
        </w:rPr>
        <w:t>art. 86</w:t>
      </w:r>
      <w:r w:rsidRPr="00B25A10">
        <w:rPr>
          <w:rFonts w:ascii="Times New Roman" w:eastAsia="Calibri" w:hAnsi="Times New Roman" w:cs="Times New Roman"/>
          <w:iCs/>
          <w:sz w:val="24"/>
          <w:szCs w:val="24"/>
          <w:lang w:bidi="pl-PL"/>
        </w:rPr>
        <w:t xml:space="preserve"> Prawa celnego</w:t>
      </w:r>
    </w:p>
    <w:p w14:paraId="244EA9B8" w14:textId="7F5FA9E6"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b/>
        <w:t>Zgodnie z art. 86 Prawa celnego, organ celny (odpowiednio organ podatkowy) może przyjąć jako dowód w postępowaniu dokumenty sporządzone przez organy celne państwa obcego lub inne uprawione podmioty państwa obcego. Może również zażądać od strony postępowania urzędowego tłumaczenia na język polski dokumentów sporządzonych w języku obcym lub przedłożenia zalegalizowanych dokumentów zagranicznych</w:t>
      </w:r>
      <w:r w:rsidR="00A706EC">
        <w:rPr>
          <w:rFonts w:ascii="Times New Roman" w:eastAsia="Calibri" w:hAnsi="Times New Roman" w:cs="Times New Roman"/>
          <w:iCs/>
          <w:sz w:val="24"/>
          <w:szCs w:val="24"/>
          <w:lang w:bidi="pl-PL"/>
        </w:rPr>
        <w:t>.</w:t>
      </w:r>
    </w:p>
    <w:p w14:paraId="78D1BD39" w14:textId="3F4C17B9"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15)</w:t>
      </w:r>
      <w:r w:rsidRPr="00B25A10">
        <w:rPr>
          <w:rFonts w:ascii="Times New Roman" w:eastAsia="Calibri" w:hAnsi="Times New Roman" w:cs="Times New Roman"/>
          <w:iCs/>
          <w:sz w:val="24"/>
          <w:szCs w:val="24"/>
          <w:lang w:bidi="pl-PL"/>
        </w:rPr>
        <w:tab/>
        <w:t>art</w:t>
      </w:r>
      <w:r w:rsidRPr="00B25A10">
        <w:rPr>
          <w:rFonts w:ascii="Times New Roman" w:eastAsia="Calibri" w:hAnsi="Times New Roman" w:cs="Times New Roman"/>
          <w:b/>
          <w:iCs/>
          <w:sz w:val="24"/>
          <w:szCs w:val="24"/>
          <w:lang w:bidi="pl-PL"/>
        </w:rPr>
        <w:t>. 88</w:t>
      </w:r>
      <w:r w:rsidR="00A706EC" w:rsidRPr="00A706EC">
        <w:rPr>
          <w:rFonts w:ascii="Times New Roman" w:hAnsi="Times New Roman" w:cs="Times New Roman"/>
          <w:b/>
          <w:sz w:val="24"/>
          <w:szCs w:val="24"/>
        </w:rPr>
        <w:t>–</w:t>
      </w:r>
      <w:r w:rsidRPr="00B25A10">
        <w:rPr>
          <w:rFonts w:ascii="Times New Roman" w:eastAsia="Calibri" w:hAnsi="Times New Roman" w:cs="Times New Roman"/>
          <w:b/>
          <w:iCs/>
          <w:sz w:val="24"/>
          <w:szCs w:val="24"/>
          <w:lang w:bidi="pl-PL"/>
        </w:rPr>
        <w:t>90</w:t>
      </w:r>
      <w:r w:rsidRPr="00B25A10">
        <w:rPr>
          <w:rFonts w:ascii="Times New Roman" w:eastAsia="Calibri" w:hAnsi="Times New Roman" w:cs="Times New Roman"/>
          <w:iCs/>
          <w:sz w:val="24"/>
          <w:szCs w:val="24"/>
          <w:lang w:bidi="pl-PL"/>
        </w:rPr>
        <w:t xml:space="preserve"> Prawa celnego</w:t>
      </w:r>
    </w:p>
    <w:p w14:paraId="21553B8E" w14:textId="77777777"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b/>
        <w:t>Zgodnie z art. 88 Prawa celnego, prowadzenie postępowania w sprawie o przestępstwo skarbowe, wykrocznie skarbowe lub postępowania karnego nie stanowi przeszkody do prowadzenia postępowania w sprawie celnej (odpowiednio podatkowej).</w:t>
      </w:r>
    </w:p>
    <w:p w14:paraId="5DDA7633" w14:textId="77777777" w:rsidR="00712E99" w:rsidRPr="00B25A10" w:rsidRDefault="00712E99" w:rsidP="002B0551">
      <w:pPr>
        <w:spacing w:before="120" w:after="0" w:line="360" w:lineRule="auto"/>
        <w:ind w:left="705" w:hanging="705"/>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ab/>
        <w:t xml:space="preserve">Przepis art. 89 Prawa celnego stanowi o możliwości złożenia oświadczenia zamiast zaświadczenia, pod określonymi warunkami, zaś art. 90 o możliwości połączenia odrębnych spraw, jeżeli dotyczą tej samej osoby i będących ze sobą w związku.  </w:t>
      </w:r>
    </w:p>
    <w:p w14:paraId="20F56489" w14:textId="6536FD68" w:rsidR="00712E99" w:rsidRPr="00B25A10" w:rsidRDefault="00712E99" w:rsidP="002B0551">
      <w:pPr>
        <w:spacing w:before="120" w:after="0" w:line="360" w:lineRule="auto"/>
        <w:ind w:left="705" w:hanging="705"/>
        <w:jc w:val="both"/>
        <w:rPr>
          <w:rFonts w:ascii="Times New Roman" w:eastAsia="Calibri" w:hAnsi="Times New Roman" w:cs="Times New Roman"/>
          <w:b/>
          <w:iCs/>
          <w:sz w:val="24"/>
          <w:szCs w:val="24"/>
          <w:lang w:bidi="pl-PL"/>
        </w:rPr>
      </w:pPr>
      <w:r w:rsidRPr="00B25A10">
        <w:rPr>
          <w:rFonts w:ascii="Times New Roman" w:eastAsia="Calibri" w:hAnsi="Times New Roman" w:cs="Times New Roman"/>
          <w:iCs/>
          <w:sz w:val="24"/>
          <w:szCs w:val="24"/>
          <w:lang w:bidi="pl-PL"/>
        </w:rPr>
        <w:t>16)</w:t>
      </w:r>
      <w:r w:rsidRPr="00B25A10">
        <w:rPr>
          <w:rFonts w:ascii="Times New Roman" w:eastAsia="Calibri" w:hAnsi="Times New Roman" w:cs="Times New Roman"/>
          <w:b/>
          <w:iCs/>
          <w:sz w:val="24"/>
          <w:szCs w:val="24"/>
          <w:lang w:bidi="pl-PL"/>
        </w:rPr>
        <w:t xml:space="preserve"> </w:t>
      </w:r>
      <w:r w:rsidRPr="00B25A10">
        <w:rPr>
          <w:rFonts w:ascii="Times New Roman" w:eastAsia="Calibri" w:hAnsi="Times New Roman" w:cs="Times New Roman"/>
          <w:b/>
          <w:iCs/>
          <w:sz w:val="24"/>
          <w:szCs w:val="24"/>
          <w:lang w:bidi="pl-PL"/>
        </w:rPr>
        <w:tab/>
      </w:r>
      <w:r w:rsidRPr="00B25A10">
        <w:rPr>
          <w:rFonts w:ascii="Times New Roman" w:eastAsia="Calibri" w:hAnsi="Times New Roman" w:cs="Times New Roman"/>
          <w:iCs/>
          <w:sz w:val="24"/>
          <w:szCs w:val="24"/>
          <w:lang w:bidi="pl-PL"/>
        </w:rPr>
        <w:t>zastosowanie przepisów</w:t>
      </w:r>
      <w:r w:rsidRPr="00B25A10">
        <w:rPr>
          <w:rFonts w:ascii="Times New Roman" w:eastAsia="Calibri" w:hAnsi="Times New Roman" w:cs="Times New Roman"/>
          <w:b/>
          <w:iCs/>
          <w:sz w:val="24"/>
          <w:szCs w:val="24"/>
          <w:lang w:bidi="pl-PL"/>
        </w:rPr>
        <w:t xml:space="preserve"> Ordynacji podatkowej</w:t>
      </w:r>
    </w:p>
    <w:p w14:paraId="011EA5BA" w14:textId="22397B67" w:rsidR="00712E99" w:rsidRPr="00B25A10" w:rsidRDefault="00712E99" w:rsidP="002B0551">
      <w:pPr>
        <w:spacing w:before="120" w:after="0" w:line="360" w:lineRule="auto"/>
        <w:ind w:left="705"/>
        <w:jc w:val="both"/>
        <w:rPr>
          <w:rFonts w:ascii="Times New Roman" w:eastAsia="Calibri" w:hAnsi="Times New Roman" w:cs="Times New Roman"/>
          <w:sz w:val="24"/>
          <w:szCs w:val="24"/>
        </w:rPr>
      </w:pPr>
      <w:r w:rsidRPr="00B25A10">
        <w:rPr>
          <w:rFonts w:ascii="Times New Roman" w:eastAsia="Calibri" w:hAnsi="Times New Roman" w:cs="Times New Roman"/>
          <w:iCs/>
          <w:sz w:val="24"/>
          <w:szCs w:val="24"/>
          <w:lang w:bidi="pl-PL"/>
        </w:rPr>
        <w:t>Do post</w:t>
      </w:r>
      <w:r w:rsidR="00A706EC">
        <w:rPr>
          <w:rFonts w:ascii="Times New Roman" w:eastAsia="Calibri" w:hAnsi="Times New Roman" w:cs="Times New Roman"/>
          <w:iCs/>
          <w:sz w:val="24"/>
          <w:szCs w:val="24"/>
          <w:lang w:bidi="pl-PL"/>
        </w:rPr>
        <w:t>ę</w:t>
      </w:r>
      <w:r w:rsidRPr="00B25A10">
        <w:rPr>
          <w:rFonts w:ascii="Times New Roman" w:eastAsia="Calibri" w:hAnsi="Times New Roman" w:cs="Times New Roman"/>
          <w:iCs/>
          <w:sz w:val="24"/>
          <w:szCs w:val="24"/>
          <w:lang w:bidi="pl-PL"/>
        </w:rPr>
        <w:t xml:space="preserve">powań w sprawach określenia podatków z tytułu importu towarów, oprócz ww. przepisów celnych, stosowane będą wskazane w art. 34 ust. 4 tej ustawy następujące przepisy </w:t>
      </w:r>
      <w:r w:rsidR="00A706EC">
        <w:rPr>
          <w:rFonts w:ascii="Times New Roman" w:eastAsia="Calibri" w:hAnsi="Times New Roman" w:cs="Times New Roman"/>
          <w:iCs/>
          <w:sz w:val="24"/>
          <w:szCs w:val="24"/>
          <w:lang w:bidi="pl-PL"/>
        </w:rPr>
        <w:t>d</w:t>
      </w:r>
      <w:r w:rsidRPr="00B25A10">
        <w:rPr>
          <w:rFonts w:ascii="Times New Roman" w:eastAsia="Calibri" w:hAnsi="Times New Roman" w:cs="Times New Roman"/>
          <w:iCs/>
          <w:sz w:val="24"/>
          <w:szCs w:val="24"/>
          <w:lang w:bidi="pl-PL"/>
        </w:rPr>
        <w:t xml:space="preserve">ziału IV Ordynacji podatkowej (inne </w:t>
      </w:r>
      <w:r w:rsidR="00A706EC">
        <w:rPr>
          <w:rFonts w:ascii="Times New Roman" w:eastAsia="Calibri" w:hAnsi="Times New Roman" w:cs="Times New Roman"/>
          <w:iCs/>
          <w:sz w:val="24"/>
          <w:szCs w:val="24"/>
          <w:lang w:bidi="pl-PL"/>
        </w:rPr>
        <w:t>d</w:t>
      </w:r>
      <w:r w:rsidRPr="00B25A10">
        <w:rPr>
          <w:rFonts w:ascii="Times New Roman" w:eastAsia="Calibri" w:hAnsi="Times New Roman" w:cs="Times New Roman"/>
          <w:iCs/>
          <w:sz w:val="24"/>
          <w:szCs w:val="24"/>
          <w:lang w:bidi="pl-PL"/>
        </w:rPr>
        <w:t>ziały Ordynacji podatkowej będą miały również zastosowanie do podatków z tytułu importu):</w:t>
      </w:r>
    </w:p>
    <w:p w14:paraId="0FC88EC4" w14:textId="41891952" w:rsidR="00712E99" w:rsidRPr="00B25A10" w:rsidRDefault="00A706EC" w:rsidP="002B0551">
      <w:pPr>
        <w:spacing w:before="120" w:after="0" w:line="360" w:lineRule="auto"/>
        <w:ind w:left="1410" w:hanging="705"/>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art. 138a § 4 dotyczący uwierzytelnienia udzielonego pełnomocnictwa przez adwokata, radcę pr</w:t>
      </w:r>
      <w:r>
        <w:rPr>
          <w:rFonts w:ascii="Times New Roman" w:eastAsia="Calibri" w:hAnsi="Times New Roman" w:cs="Times New Roman"/>
          <w:sz w:val="24"/>
          <w:szCs w:val="24"/>
        </w:rPr>
        <w:t>awnego lub doradcę podatkowego,</w:t>
      </w:r>
    </w:p>
    <w:p w14:paraId="1C199F8B" w14:textId="63BEB478" w:rsidR="00712E99" w:rsidRPr="00B25A10" w:rsidRDefault="00A706EC" w:rsidP="002B0551">
      <w:pPr>
        <w:spacing w:before="120" w:after="0" w:line="360" w:lineRule="auto"/>
        <w:ind w:left="1410" w:hanging="702"/>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art. 141 i </w:t>
      </w:r>
      <w:r w:rsidR="00023E6E">
        <w:rPr>
          <w:rFonts w:ascii="Times New Roman" w:eastAsia="Calibri" w:hAnsi="Times New Roman" w:cs="Times New Roman"/>
          <w:sz w:val="24"/>
          <w:szCs w:val="24"/>
        </w:rPr>
        <w:t xml:space="preserve">art. </w:t>
      </w:r>
      <w:r w:rsidR="00712E99" w:rsidRPr="00B25A10">
        <w:rPr>
          <w:rFonts w:ascii="Times New Roman" w:eastAsia="Calibri" w:hAnsi="Times New Roman" w:cs="Times New Roman"/>
          <w:sz w:val="24"/>
          <w:szCs w:val="24"/>
        </w:rPr>
        <w:t xml:space="preserve">142 dotyczące ponaglenia na niezałatwienie sprawy w terminie i odpowiedzialności pracownika za niezałatwienie sprawy w terminie, </w:t>
      </w:r>
    </w:p>
    <w:p w14:paraId="1E0A482A" w14:textId="35D86174" w:rsidR="00712E99" w:rsidRPr="00B25A10" w:rsidRDefault="00A706EC" w:rsidP="002B0551">
      <w:pPr>
        <w:spacing w:before="120" w:after="0" w:line="360" w:lineRule="auto"/>
        <w:ind w:left="1410" w:hanging="702"/>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art. 143 dotyczący upoważnienia pracownika do załatwiania spraw w imieniu organu,</w:t>
      </w:r>
    </w:p>
    <w:p w14:paraId="0B7F38FB" w14:textId="771B76E1"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art. 168 dotyczący treści i formy podania,</w:t>
      </w:r>
    </w:p>
    <w:p w14:paraId="2AB9BC7B" w14:textId="1A0E5BFF"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art. 170 dotyczący przekazania podania do właściwego organu, </w:t>
      </w:r>
    </w:p>
    <w:p w14:paraId="32807ADC" w14:textId="267FD6F8" w:rsidR="00712E99" w:rsidRPr="00B25A10" w:rsidRDefault="00A706EC" w:rsidP="002B0551">
      <w:pPr>
        <w:spacing w:before="120" w:after="0" w:line="360" w:lineRule="auto"/>
        <w:ind w:left="1413" w:hanging="705"/>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art. 215 § 1 dotyczący prostowania błędów rachunkowych oraz innych oczywistych omyłek,</w:t>
      </w:r>
    </w:p>
    <w:p w14:paraId="05F626A6" w14:textId="77777777" w:rsidR="00712E99" w:rsidRPr="00B25A10" w:rsidRDefault="00712E99"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oraz z działu IV:</w:t>
      </w:r>
    </w:p>
    <w:p w14:paraId="4F356C88" w14:textId="0AEFCF02" w:rsidR="00712E99" w:rsidRPr="00B25A10" w:rsidRDefault="00A706EC" w:rsidP="002B0551">
      <w:pPr>
        <w:spacing w:before="120" w:after="0" w:line="360" w:lineRule="auto"/>
        <w:ind w:left="1413" w:hanging="705"/>
        <w:jc w:val="both"/>
        <w:rPr>
          <w:rFonts w:ascii="Times New Roman" w:eastAsia="Calibri" w:hAnsi="Times New Roman" w:cs="Times New Roman"/>
          <w:sz w:val="24"/>
          <w:szCs w:val="24"/>
        </w:rPr>
      </w:pPr>
      <w:r w:rsidRPr="00B25A10">
        <w:rPr>
          <w:rFonts w:ascii="Times New Roman" w:hAnsi="Times New Roman" w:cs="Times New Roman"/>
          <w:sz w:val="24"/>
          <w:szCs w:val="24"/>
        </w:rPr>
        <w:lastRenderedPageBreak/>
        <w:t>–</w:t>
      </w:r>
      <w:r w:rsidR="00712E99" w:rsidRPr="00B25A10">
        <w:rPr>
          <w:rFonts w:ascii="Times New Roman" w:eastAsia="Calibri" w:hAnsi="Times New Roman" w:cs="Times New Roman"/>
          <w:sz w:val="24"/>
          <w:szCs w:val="24"/>
        </w:rPr>
        <w:tab/>
        <w:t>rozdział 2 „Wyłączenie pracownika organu podatkowego oraz organu podatkowego”,</w:t>
      </w:r>
    </w:p>
    <w:p w14:paraId="4F9184C5" w14:textId="4DC39147"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5 „Doręczenia”,</w:t>
      </w:r>
    </w:p>
    <w:p w14:paraId="1C9F562E" w14:textId="226A0F46"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6 „Wezwania”,</w:t>
      </w:r>
    </w:p>
    <w:p w14:paraId="27B9E9AB" w14:textId="5FD71EB1"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9 „Metryki, protokoły, adnotacje”,</w:t>
      </w:r>
    </w:p>
    <w:p w14:paraId="22461F7D" w14:textId="73744D28"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10 „Udostępnianie akt”,</w:t>
      </w:r>
    </w:p>
    <w:p w14:paraId="7732B421" w14:textId="6835DE72"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rozdział 11 „Dowody” </w:t>
      </w:r>
      <w:r w:rsidR="00A406F6"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 xml:space="preserve"> z wyłączeniem art. 200, </w:t>
      </w:r>
    </w:p>
    <w:p w14:paraId="6F355F41" w14:textId="123FF125"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16A „Wykonanie decyzji”</w:t>
      </w:r>
      <w:r>
        <w:rPr>
          <w:rFonts w:ascii="Times New Roman" w:eastAsia="Calibri" w:hAnsi="Times New Roman" w:cs="Times New Roman"/>
          <w:sz w:val="24"/>
          <w:szCs w:val="24"/>
        </w:rPr>
        <w:t>.</w:t>
      </w:r>
    </w:p>
    <w:p w14:paraId="6D9437D2" w14:textId="77777777" w:rsidR="00712E99" w:rsidRPr="00B25A10" w:rsidRDefault="00712E99" w:rsidP="002B0551">
      <w:pPr>
        <w:spacing w:before="120" w:after="0" w:line="360" w:lineRule="auto"/>
        <w:ind w:left="1413"/>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W przypadku przepisów dotyczących wykonania decyzji projekt ustawy zakłada zachowanie dotychczasowej odmienności postępowania celnego i podatkowego.</w:t>
      </w:r>
    </w:p>
    <w:p w14:paraId="6A2E7330" w14:textId="77777777" w:rsidR="00712E99" w:rsidRPr="00B25A10" w:rsidRDefault="00712E99" w:rsidP="002B0551">
      <w:pPr>
        <w:spacing w:before="120" w:after="0" w:line="360" w:lineRule="auto"/>
        <w:ind w:left="1413"/>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Zgodnie z art. 45 UKC wniesienie odwołania, co do zasady, nie powoduje wstrzymania wykonania zaskarżonej decyzji. Organy celne mają jednak możliwość wstrzymania wykonania takiej decyzji, jeżeli spełnione są określone w powołanym przepisie przesłanki, tj. istnieje prawdopodobieństwo, że decyzja może być sprzeczna z przepisami prawa celnego lub istnieje obawa spowodowania nieodwracalnej szkody dla osoby zainteresowanej. </w:t>
      </w:r>
    </w:p>
    <w:p w14:paraId="1305FB0A" w14:textId="77777777" w:rsidR="00712E99" w:rsidRPr="00B25A10" w:rsidRDefault="00712E99" w:rsidP="002B0551">
      <w:pPr>
        <w:spacing w:before="120" w:after="0" w:line="360" w:lineRule="auto"/>
        <w:ind w:left="1413"/>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Ordynacja podatkowa prezentuje odwrotne podejście. Zgodnie z rozdziałem 16A Ordynacji podatkowej, decyzja nieostateczna nie podlega wykonaniu, chyba że decyzji nadano rygor natychmiastowej wykonalności. </w:t>
      </w:r>
    </w:p>
    <w:p w14:paraId="677C791C" w14:textId="77777777" w:rsidR="00712E99" w:rsidRPr="00B25A10" w:rsidRDefault="00712E99" w:rsidP="002B0551">
      <w:pPr>
        <w:spacing w:before="120" w:after="0" w:line="360" w:lineRule="auto"/>
        <w:ind w:left="1413" w:firstLine="3"/>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Podsumowując: w  przypadku należności celnych i podatkowych określonych w jednej decyzji, co do zasady, zaskarżenie tej decyzji w zakresie należności celnych nie zwolni dłużnika z ich uiszczenia, zaś zaskarżenie decyzji w zakresie określenia podatków wstrzyma ich płatność. </w:t>
      </w:r>
    </w:p>
    <w:p w14:paraId="2D3F1624" w14:textId="06FF085A"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21 „Odpowiedzialność odszkodowawcza”,</w:t>
      </w:r>
    </w:p>
    <w:p w14:paraId="68413D4A" w14:textId="69B795DA"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22 „Kary porządkowe”,</w:t>
      </w:r>
    </w:p>
    <w:p w14:paraId="29D93466" w14:textId="2B0B731D"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23 „Koszty postepowania”.</w:t>
      </w:r>
    </w:p>
    <w:p w14:paraId="0CBBF1D8" w14:textId="77777777" w:rsidR="00712E99" w:rsidRPr="00B25A10" w:rsidRDefault="00712E99"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Do odwołań stosowane będą także następujące przepisy Ordynacji podatkowej:</w:t>
      </w:r>
    </w:p>
    <w:p w14:paraId="21399535" w14:textId="14905A17"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art. 140 § 1 dotyczący niezałatwienia sprawy we właściwym terminie, </w:t>
      </w:r>
    </w:p>
    <w:p w14:paraId="391DCC66" w14:textId="3A12C570"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lastRenderedPageBreak/>
        <w:t>–</w:t>
      </w:r>
      <w:r w:rsidR="00712E99" w:rsidRPr="00B25A10">
        <w:rPr>
          <w:rFonts w:ascii="Times New Roman" w:eastAsia="Calibri" w:hAnsi="Times New Roman" w:cs="Times New Roman"/>
          <w:sz w:val="24"/>
          <w:szCs w:val="24"/>
        </w:rPr>
        <w:tab/>
        <w:t>art. 162 § 1</w:t>
      </w:r>
      <w:r w:rsidR="00A406F6"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 xml:space="preserve">3 oraz art. 163 § 2 dotyczące przywrócenia terminu,  </w:t>
      </w:r>
    </w:p>
    <w:p w14:paraId="47373D18" w14:textId="59C9EBFD" w:rsidR="00712E99" w:rsidRPr="00B25A10" w:rsidRDefault="00712E99"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w:t>
      </w:r>
      <w:r w:rsidRPr="00B25A10">
        <w:rPr>
          <w:rFonts w:ascii="Times New Roman" w:eastAsia="Calibri" w:hAnsi="Times New Roman" w:cs="Times New Roman"/>
          <w:sz w:val="24"/>
          <w:szCs w:val="24"/>
        </w:rPr>
        <w:tab/>
        <w:t>art. 169 dotycząc</w:t>
      </w:r>
      <w:r w:rsidR="00023E6E">
        <w:rPr>
          <w:rFonts w:ascii="Times New Roman" w:eastAsia="Calibri" w:hAnsi="Times New Roman" w:cs="Times New Roman"/>
          <w:sz w:val="24"/>
          <w:szCs w:val="24"/>
        </w:rPr>
        <w:t>y</w:t>
      </w:r>
      <w:r w:rsidRPr="00B25A10">
        <w:rPr>
          <w:rFonts w:ascii="Times New Roman" w:eastAsia="Calibri" w:hAnsi="Times New Roman" w:cs="Times New Roman"/>
          <w:sz w:val="24"/>
          <w:szCs w:val="24"/>
        </w:rPr>
        <w:t xml:space="preserve"> wezwania do usunięcia braków odwołania, </w:t>
      </w:r>
    </w:p>
    <w:p w14:paraId="2D2FABF8" w14:textId="55251216" w:rsidR="00712E99" w:rsidRPr="00B25A10" w:rsidRDefault="00A706EC" w:rsidP="002B0551">
      <w:pPr>
        <w:spacing w:before="120" w:after="0" w:line="360" w:lineRule="auto"/>
        <w:ind w:firstLine="705"/>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art. 208 dotyczący umorzenia postępowania,</w:t>
      </w:r>
    </w:p>
    <w:p w14:paraId="18E5124D" w14:textId="614145DD" w:rsidR="00712E99" w:rsidRPr="00B25A10" w:rsidRDefault="00A706EC" w:rsidP="002B0551">
      <w:pPr>
        <w:spacing w:before="120" w:after="0" w:line="360" w:lineRule="auto"/>
        <w:ind w:firstLine="705"/>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art. 210 § 1 pkt 1</w:t>
      </w:r>
      <w:r w:rsidR="00A406F6"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 xml:space="preserve">6 i 8 oraz § 2 dotyczące treści decyzji, </w:t>
      </w:r>
    </w:p>
    <w:p w14:paraId="26FBD935" w14:textId="579661D6" w:rsidR="00712E99" w:rsidRPr="00B25A10" w:rsidRDefault="00A706EC" w:rsidP="002B0551">
      <w:pPr>
        <w:spacing w:before="120" w:after="0" w:line="360" w:lineRule="auto"/>
        <w:ind w:left="1410" w:hanging="705"/>
        <w:jc w:val="both"/>
        <w:rPr>
          <w:rFonts w:ascii="Times New Roman" w:eastAsia="Calibri" w:hAnsi="Times New Roman" w:cs="Times New Roman"/>
          <w:sz w:val="24"/>
          <w:szCs w:val="24"/>
          <w:lang w:val="en-US"/>
        </w:rPr>
      </w:pPr>
      <w:r w:rsidRPr="00030901">
        <w:rPr>
          <w:rFonts w:ascii="Times New Roman" w:hAnsi="Times New Roman" w:cs="Times New Roman"/>
          <w:sz w:val="24"/>
          <w:szCs w:val="24"/>
          <w:lang w:val="en-US"/>
        </w:rPr>
        <w:t>–</w:t>
      </w:r>
      <w:r w:rsidR="00712E99" w:rsidRPr="00B25A10">
        <w:rPr>
          <w:rFonts w:ascii="Times New Roman" w:eastAsia="Calibri" w:hAnsi="Times New Roman" w:cs="Times New Roman"/>
          <w:sz w:val="24"/>
          <w:szCs w:val="24"/>
          <w:lang w:val="en-US"/>
        </w:rPr>
        <w:tab/>
        <w:t>art. 220, art. 221, art. 222, art. 223, art. 226</w:t>
      </w:r>
      <w:r w:rsidR="00A406F6" w:rsidRPr="00030901">
        <w:rPr>
          <w:rFonts w:ascii="Times New Roman" w:hAnsi="Times New Roman" w:cs="Times New Roman"/>
          <w:sz w:val="24"/>
          <w:szCs w:val="24"/>
          <w:lang w:val="en-US"/>
        </w:rPr>
        <w:t>–</w:t>
      </w:r>
      <w:r w:rsidR="00712E99" w:rsidRPr="00B25A10">
        <w:rPr>
          <w:rFonts w:ascii="Times New Roman" w:eastAsia="Calibri" w:hAnsi="Times New Roman" w:cs="Times New Roman"/>
          <w:sz w:val="24"/>
          <w:szCs w:val="24"/>
          <w:lang w:val="en-US"/>
        </w:rPr>
        <w:t xml:space="preserve">229, art. 232, art. 233 § </w:t>
      </w:r>
      <w:r w:rsidR="00510FB0" w:rsidRPr="00B25A10">
        <w:rPr>
          <w:rFonts w:ascii="Times New Roman" w:eastAsia="Calibri" w:hAnsi="Times New Roman" w:cs="Times New Roman"/>
          <w:sz w:val="24"/>
          <w:szCs w:val="24"/>
          <w:lang w:val="en-US"/>
        </w:rPr>
        <w:t xml:space="preserve">1 </w:t>
      </w:r>
      <w:proofErr w:type="spellStart"/>
      <w:r w:rsidR="00510FB0" w:rsidRPr="00B25A10">
        <w:rPr>
          <w:rFonts w:ascii="Times New Roman" w:eastAsia="Calibri" w:hAnsi="Times New Roman" w:cs="Times New Roman"/>
          <w:sz w:val="24"/>
          <w:szCs w:val="24"/>
          <w:lang w:val="en-US"/>
        </w:rPr>
        <w:t>i</w:t>
      </w:r>
      <w:proofErr w:type="spellEnd"/>
      <w:r w:rsidR="00510FB0" w:rsidRPr="00B25A10">
        <w:rPr>
          <w:rFonts w:ascii="Times New Roman" w:eastAsia="Calibri" w:hAnsi="Times New Roman" w:cs="Times New Roman"/>
          <w:sz w:val="24"/>
          <w:szCs w:val="24"/>
          <w:lang w:val="en-US"/>
        </w:rPr>
        <w:t xml:space="preserve"> 2, art.</w:t>
      </w:r>
      <w:r w:rsidR="00A406F6">
        <w:rPr>
          <w:rFonts w:ascii="Times New Roman" w:eastAsia="Calibri" w:hAnsi="Times New Roman" w:cs="Times New Roman"/>
          <w:sz w:val="24"/>
          <w:szCs w:val="24"/>
          <w:lang w:val="en-US"/>
        </w:rPr>
        <w:t> </w:t>
      </w:r>
      <w:r w:rsidR="00510FB0" w:rsidRPr="00B25A10">
        <w:rPr>
          <w:rFonts w:ascii="Times New Roman" w:eastAsia="Calibri" w:hAnsi="Times New Roman" w:cs="Times New Roman"/>
          <w:sz w:val="24"/>
          <w:szCs w:val="24"/>
          <w:lang w:val="en-US"/>
        </w:rPr>
        <w:t xml:space="preserve">234 </w:t>
      </w:r>
      <w:proofErr w:type="spellStart"/>
      <w:r w:rsidR="00510FB0" w:rsidRPr="00B25A10">
        <w:rPr>
          <w:rFonts w:ascii="Times New Roman" w:eastAsia="Calibri" w:hAnsi="Times New Roman" w:cs="Times New Roman"/>
          <w:sz w:val="24"/>
          <w:szCs w:val="24"/>
          <w:lang w:val="en-US"/>
        </w:rPr>
        <w:t>oraz</w:t>
      </w:r>
      <w:proofErr w:type="spellEnd"/>
      <w:r w:rsidR="00510FB0" w:rsidRPr="00B25A10">
        <w:rPr>
          <w:rFonts w:ascii="Times New Roman" w:eastAsia="Calibri" w:hAnsi="Times New Roman" w:cs="Times New Roman"/>
          <w:sz w:val="24"/>
          <w:szCs w:val="24"/>
          <w:lang w:val="en-US"/>
        </w:rPr>
        <w:t xml:space="preserve"> art. 234a.</w:t>
      </w:r>
    </w:p>
    <w:p w14:paraId="26C899CD" w14:textId="77777777" w:rsidR="00712E99" w:rsidRPr="00B25A10" w:rsidRDefault="00712E99" w:rsidP="002B0551">
      <w:pPr>
        <w:spacing w:before="120" w:after="0" w:line="360" w:lineRule="auto"/>
        <w:ind w:left="705"/>
        <w:jc w:val="both"/>
        <w:rPr>
          <w:rFonts w:ascii="Times New Roman" w:eastAsia="Calibri" w:hAnsi="Times New Roman" w:cs="Times New Roman"/>
          <w:b/>
          <w:sz w:val="24"/>
          <w:szCs w:val="24"/>
        </w:rPr>
      </w:pPr>
      <w:r w:rsidRPr="00B25A10">
        <w:rPr>
          <w:rFonts w:ascii="Times New Roman" w:eastAsia="Calibri" w:hAnsi="Times New Roman" w:cs="Times New Roman"/>
          <w:iCs/>
          <w:sz w:val="24"/>
          <w:szCs w:val="24"/>
          <w:lang w:bidi="pl-PL"/>
        </w:rPr>
        <w:t>D</w:t>
      </w:r>
      <w:r w:rsidRPr="00B25A10">
        <w:rPr>
          <w:rFonts w:ascii="Times New Roman" w:eastAsia="Calibri" w:hAnsi="Times New Roman" w:cs="Times New Roman"/>
          <w:sz w:val="24"/>
          <w:szCs w:val="24"/>
        </w:rPr>
        <w:t xml:space="preserve">o postępowań w sprawach celnych </w:t>
      </w:r>
      <w:r w:rsidRPr="00B25A10">
        <w:rPr>
          <w:rFonts w:ascii="Times New Roman" w:eastAsia="Calibri" w:hAnsi="Times New Roman" w:cs="Times New Roman"/>
          <w:b/>
          <w:sz w:val="24"/>
          <w:szCs w:val="24"/>
        </w:rPr>
        <w:t>nie są stosowane następujące przepisy Ordynacji podatkowej:</w:t>
      </w:r>
    </w:p>
    <w:p w14:paraId="78C11540" w14:textId="70C9C510" w:rsidR="00712E99" w:rsidRPr="00B25A10" w:rsidRDefault="00A706EC" w:rsidP="002B0551">
      <w:pPr>
        <w:spacing w:before="120" w:after="0" w:line="360" w:lineRule="auto"/>
        <w:ind w:firstLine="705"/>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1 „Zasady ogólne”</w:t>
      </w:r>
    </w:p>
    <w:p w14:paraId="225938E7" w14:textId="1BC3E46C" w:rsidR="00712E99" w:rsidRPr="00B25A10" w:rsidRDefault="00712E99" w:rsidP="002B0551">
      <w:pPr>
        <w:spacing w:before="120" w:after="0" w:line="360" w:lineRule="auto"/>
        <w:ind w:left="1413"/>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Zasady i filozofia UKC zostały opisane w preambule do tego kodeksu. W</w:t>
      </w:r>
      <w:r w:rsidR="0075115B">
        <w:rPr>
          <w:rFonts w:ascii="Times New Roman" w:eastAsia="Calibri" w:hAnsi="Times New Roman" w:cs="Times New Roman"/>
          <w:iCs/>
          <w:sz w:val="24"/>
          <w:szCs w:val="24"/>
          <w:lang w:bidi="pl-PL"/>
        </w:rPr>
        <w:t> </w:t>
      </w:r>
      <w:r w:rsidRPr="00B25A10">
        <w:rPr>
          <w:rFonts w:ascii="Times New Roman" w:eastAsia="Calibri" w:hAnsi="Times New Roman" w:cs="Times New Roman"/>
          <w:iCs/>
          <w:sz w:val="24"/>
          <w:szCs w:val="24"/>
          <w:lang w:bidi="pl-PL"/>
        </w:rPr>
        <w:t xml:space="preserve">przypadku zasad rządzących procedurą wydawania decyzji, w szczególności zostały one pomieszczone w pkt 15, 21, 22, 26 i 27. </w:t>
      </w:r>
    </w:p>
    <w:p w14:paraId="53E8CB1C" w14:textId="4F2B0C1E" w:rsidR="00712E99" w:rsidRPr="00B25A10" w:rsidRDefault="00712E99" w:rsidP="002B0551">
      <w:pPr>
        <w:spacing w:before="120" w:after="0" w:line="360" w:lineRule="auto"/>
        <w:ind w:left="1413"/>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 xml:space="preserve">Preambuła w UKC pełni tę samą funkcję w odniesieniu do postępowania celnego co zasady ogólne określone w rozdziale 1 </w:t>
      </w:r>
      <w:r w:rsidR="0075115B">
        <w:rPr>
          <w:rFonts w:ascii="Times New Roman" w:eastAsia="Calibri" w:hAnsi="Times New Roman" w:cs="Times New Roman"/>
          <w:iCs/>
          <w:sz w:val="24"/>
          <w:szCs w:val="24"/>
          <w:lang w:bidi="pl-PL"/>
        </w:rPr>
        <w:t>d</w:t>
      </w:r>
      <w:r w:rsidRPr="00B25A10">
        <w:rPr>
          <w:rFonts w:ascii="Times New Roman" w:eastAsia="Calibri" w:hAnsi="Times New Roman" w:cs="Times New Roman"/>
          <w:iCs/>
          <w:sz w:val="24"/>
          <w:szCs w:val="24"/>
          <w:lang w:bidi="pl-PL"/>
        </w:rPr>
        <w:t xml:space="preserve">ziału IV Ordynacji podatkowej w odniesieniu do postępowania podatkowego. </w:t>
      </w:r>
    </w:p>
    <w:p w14:paraId="24C4DF2B" w14:textId="77777777" w:rsidR="00712E99" w:rsidRPr="00B25A10" w:rsidRDefault="00712E99" w:rsidP="002B0551">
      <w:pPr>
        <w:spacing w:before="120" w:after="0" w:line="360" w:lineRule="auto"/>
        <w:ind w:left="1413"/>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Przykładowo:</w:t>
      </w:r>
    </w:p>
    <w:p w14:paraId="2FB240F9" w14:textId="419F664A" w:rsidR="00712E99" w:rsidRPr="00B25A10" w:rsidRDefault="00A706EC" w:rsidP="002B0551">
      <w:pPr>
        <w:spacing w:before="120" w:after="0" w:line="360" w:lineRule="auto"/>
        <w:ind w:left="2124" w:hanging="711"/>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lang w:bidi="pl-PL"/>
        </w:rPr>
        <w:tab/>
        <w:t>pkt 15 preambuły stanowi, że aby ułatwić legalną wymianę handlową oraz zwalczanie nadużyć</w:t>
      </w:r>
      <w:r w:rsidR="0075115B">
        <w:rPr>
          <w:rFonts w:ascii="Times New Roman" w:eastAsia="Calibri" w:hAnsi="Times New Roman" w:cs="Times New Roman"/>
          <w:iCs/>
          <w:sz w:val="24"/>
          <w:szCs w:val="24"/>
          <w:lang w:bidi="pl-PL"/>
        </w:rPr>
        <w:t>,</w:t>
      </w:r>
      <w:r w:rsidR="00712E99" w:rsidRPr="00B25A10">
        <w:rPr>
          <w:rFonts w:ascii="Times New Roman" w:eastAsia="Calibri" w:hAnsi="Times New Roman" w:cs="Times New Roman"/>
          <w:iCs/>
          <w:sz w:val="24"/>
          <w:szCs w:val="24"/>
          <w:lang w:bidi="pl-PL"/>
        </w:rPr>
        <w:t xml:space="preserve"> konieczne są proste, szybkie i ujednolicone procedury i postępowanie celne, </w:t>
      </w:r>
    </w:p>
    <w:p w14:paraId="64736DD1" w14:textId="42C46B64" w:rsidR="00712E99" w:rsidRPr="00B25A10" w:rsidRDefault="00A706EC" w:rsidP="002B0551">
      <w:pPr>
        <w:spacing w:before="120" w:after="0" w:line="360" w:lineRule="auto"/>
        <w:ind w:left="2124" w:hanging="711"/>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lang w:bidi="pl-PL"/>
        </w:rPr>
        <w:tab/>
        <w:t xml:space="preserve">pkt 22 </w:t>
      </w:r>
      <w:r w:rsidR="0075115B"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lang w:bidi="pl-PL"/>
        </w:rPr>
        <w:t xml:space="preserve"> w odniesieniu do decyzji dotyczących stosowania przepisów prawa celnego powinno się stosować te same zasady,</w:t>
      </w:r>
    </w:p>
    <w:p w14:paraId="3B48D134" w14:textId="26FF6085" w:rsidR="00712E99" w:rsidRPr="00B25A10" w:rsidRDefault="00A706EC" w:rsidP="002B0551">
      <w:pPr>
        <w:spacing w:before="120" w:after="0" w:line="360" w:lineRule="auto"/>
        <w:ind w:left="2124" w:hanging="711"/>
        <w:jc w:val="both"/>
        <w:rPr>
          <w:rFonts w:ascii="Times New Roman" w:eastAsia="Calibri" w:hAnsi="Times New Roman" w:cs="Times New Roman"/>
          <w:iCs/>
          <w:sz w:val="24"/>
          <w:szCs w:val="24"/>
          <w:lang w:bidi="pl-PL"/>
        </w:rPr>
      </w:pPr>
      <w:r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lang w:bidi="pl-PL"/>
        </w:rPr>
        <w:tab/>
        <w:t xml:space="preserve">pkt 27 </w:t>
      </w:r>
      <w:r w:rsidR="0075115B" w:rsidRPr="00B25A10">
        <w:rPr>
          <w:rFonts w:ascii="Times New Roman" w:hAnsi="Times New Roman" w:cs="Times New Roman"/>
          <w:sz w:val="24"/>
          <w:szCs w:val="24"/>
        </w:rPr>
        <w:t>–</w:t>
      </w:r>
      <w:r w:rsidR="00712E99" w:rsidRPr="00B25A10">
        <w:rPr>
          <w:rFonts w:ascii="Times New Roman" w:eastAsia="Calibri" w:hAnsi="Times New Roman" w:cs="Times New Roman"/>
          <w:iCs/>
          <w:sz w:val="24"/>
          <w:szCs w:val="24"/>
          <w:lang w:bidi="pl-PL"/>
        </w:rPr>
        <w:t xml:space="preserve"> prawo do odwołania od decyzji oraz do prawo osoby do złożenia wyjaśnień przed podjęciem przez organ celny decyzji niekorzystnej. </w:t>
      </w:r>
    </w:p>
    <w:p w14:paraId="738E8F67" w14:textId="417CCB71" w:rsidR="00712E99" w:rsidRPr="00B25A10" w:rsidRDefault="00712E99" w:rsidP="002B0551">
      <w:pPr>
        <w:spacing w:before="120" w:after="0" w:line="360" w:lineRule="auto"/>
        <w:ind w:left="1416"/>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Ordynacyjne zasady ogólne nie są stosowane do postępowania w sprawach celnych, zatem nie mogą też być stosowane</w:t>
      </w:r>
      <w:r w:rsidR="00510FB0" w:rsidRPr="00B25A10">
        <w:rPr>
          <w:rFonts w:ascii="Times New Roman" w:eastAsia="Calibri" w:hAnsi="Times New Roman" w:cs="Times New Roman"/>
          <w:iCs/>
          <w:sz w:val="24"/>
          <w:szCs w:val="24"/>
          <w:lang w:bidi="pl-PL"/>
        </w:rPr>
        <w:t xml:space="preserve"> </w:t>
      </w:r>
      <w:r w:rsidRPr="00B25A10">
        <w:rPr>
          <w:rFonts w:ascii="Times New Roman" w:eastAsia="Calibri" w:hAnsi="Times New Roman" w:cs="Times New Roman"/>
          <w:iCs/>
          <w:sz w:val="24"/>
          <w:szCs w:val="24"/>
          <w:lang w:bidi="pl-PL"/>
        </w:rPr>
        <w:t xml:space="preserve">w przypadku prowadzenia jednego postępowania, w sprawach określenia należności celnych i podatkowych oraz opłat (paliwowej i emisyjnej) z tytułu importu towarów. W ich miejsce stosowana będzie preambuła UKC. Co prawda nie zawiera ona norm prawnych w ścisłym tego słowa znaczeniu, zważywszy jednak, że jest ona stosowana do </w:t>
      </w:r>
      <w:r w:rsidRPr="00B25A10">
        <w:rPr>
          <w:rFonts w:ascii="Times New Roman" w:eastAsia="Calibri" w:hAnsi="Times New Roman" w:cs="Times New Roman"/>
          <w:iCs/>
          <w:sz w:val="24"/>
          <w:szCs w:val="24"/>
          <w:lang w:bidi="pl-PL"/>
        </w:rPr>
        <w:lastRenderedPageBreak/>
        <w:t>postępowania celnego</w:t>
      </w:r>
      <w:r w:rsidR="0075115B">
        <w:rPr>
          <w:rFonts w:ascii="Times New Roman" w:eastAsia="Calibri" w:hAnsi="Times New Roman" w:cs="Times New Roman"/>
          <w:iCs/>
          <w:sz w:val="24"/>
          <w:szCs w:val="24"/>
          <w:lang w:bidi="pl-PL"/>
        </w:rPr>
        <w:t>,</w:t>
      </w:r>
      <w:r w:rsidRPr="00B25A10">
        <w:rPr>
          <w:rFonts w:ascii="Times New Roman" w:eastAsia="Calibri" w:hAnsi="Times New Roman" w:cs="Times New Roman"/>
          <w:iCs/>
          <w:sz w:val="24"/>
          <w:szCs w:val="24"/>
          <w:lang w:bidi="pl-PL"/>
        </w:rPr>
        <w:t xml:space="preserve"> będzie ona miała pośrednio zastosowanie również do postępowania w sprawie podatków i opłat importowych.  </w:t>
      </w:r>
    </w:p>
    <w:p w14:paraId="3F20689D" w14:textId="0C949F12"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3 „Strona”</w:t>
      </w:r>
    </w:p>
    <w:p w14:paraId="595A3529" w14:textId="77777777"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UKC posługuje się zdefiniowanymi pojęciami „osoba”, „przedsiębiorca”, „zgłaszający” czy „dłużnik”. </w:t>
      </w:r>
    </w:p>
    <w:p w14:paraId="74B655D6" w14:textId="43325667" w:rsidR="00712E99" w:rsidRPr="00B25A10" w:rsidRDefault="00A706EC" w:rsidP="002B0551">
      <w:pPr>
        <w:spacing w:before="120" w:after="0" w:line="360" w:lineRule="auto"/>
        <w:ind w:firstLine="708"/>
        <w:jc w:val="both"/>
        <w:rPr>
          <w:rFonts w:ascii="Times New Roman" w:eastAsia="Calibri" w:hAnsi="Times New Roman" w:cs="Times New Roman"/>
          <w:b/>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3A „Pełnomocnictwo”, poza art. 138a § 4</w:t>
      </w:r>
    </w:p>
    <w:p w14:paraId="1207DAD2" w14:textId="45EA58BB"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UKC odmiennie niż Ordynacja podatkowa reguluje sprawę pełnomocnictwa, inaczej je też nazywa </w:t>
      </w:r>
      <w:r w:rsidR="0075115B" w:rsidRPr="00B25A10">
        <w:rPr>
          <w:rFonts w:ascii="Times New Roman" w:hAnsi="Times New Roman" w:cs="Times New Roman"/>
          <w:sz w:val="24"/>
          <w:szCs w:val="24"/>
        </w:rPr>
        <w:t>–</w:t>
      </w:r>
      <w:r w:rsidRPr="00B25A10">
        <w:rPr>
          <w:rFonts w:ascii="Times New Roman" w:eastAsia="Calibri" w:hAnsi="Times New Roman" w:cs="Times New Roman"/>
          <w:sz w:val="24"/>
          <w:szCs w:val="24"/>
        </w:rPr>
        <w:t xml:space="preserve"> przedstawicielstwo celne. Regulacje w tym zakresie zawarte są w art.18</w:t>
      </w:r>
      <w:r w:rsidR="0075115B" w:rsidRPr="00B25A10">
        <w:rPr>
          <w:rFonts w:ascii="Times New Roman" w:hAnsi="Times New Roman" w:cs="Times New Roman"/>
          <w:sz w:val="24"/>
          <w:szCs w:val="24"/>
        </w:rPr>
        <w:t>–</w:t>
      </w:r>
      <w:r w:rsidRPr="00B25A10">
        <w:rPr>
          <w:rFonts w:ascii="Times New Roman" w:eastAsia="Calibri" w:hAnsi="Times New Roman" w:cs="Times New Roman"/>
          <w:sz w:val="24"/>
          <w:szCs w:val="24"/>
        </w:rPr>
        <w:t>21 UKC.</w:t>
      </w:r>
    </w:p>
    <w:p w14:paraId="5262694E" w14:textId="1F65E4C8"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art. 139 i art. 140 dotyczące terminów załatwienia spraw</w:t>
      </w:r>
    </w:p>
    <w:p w14:paraId="246EA5F6" w14:textId="26E7DB5B"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Zgodnie z art. 22 ust. 3 UKC, organy celne wydają decyzję na wniosek osoby niezwłocznie i nie później niż w terminie 120 dni od daty przyjęcia wniosku. Jeżeli organy celne nie mogą dotrzymać tego terminu, mają obowiązek poinformowania o tym wnioskodawc</w:t>
      </w:r>
      <w:bookmarkStart w:id="0" w:name="_GoBack"/>
      <w:bookmarkEnd w:id="0"/>
      <w:r w:rsidRPr="00B25A10">
        <w:rPr>
          <w:rFonts w:ascii="Times New Roman" w:eastAsia="Calibri" w:hAnsi="Times New Roman" w:cs="Times New Roman"/>
          <w:sz w:val="24"/>
          <w:szCs w:val="24"/>
        </w:rPr>
        <w:t>y wskazując jednocześnie dodatkowy okres niezbędny do wydania decyzji. Maksymalny termin na załatwienie wniosku określony w przepisach unijnych wydaje się być długi, szczególnie w odniesieniu do miesięcznego (lub w skomplikowanych przypadkach dwumiesięcznego) terminu wynikającego z Ordynacji podatkowej. Należy jednak zauważyć, że jest on w szczególności dostosowany do procedury wydawania licznych pozwoleń, o których mowa w przepisach celnych. Pozwolenia te mogą obowiązywać nie tylko na obszarze Polski</w:t>
      </w:r>
      <w:r w:rsidR="0075115B">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ale często dwu lub kilku państw członkowskich UE, co wymaga konsultacji między tymi państw</w:t>
      </w:r>
      <w:r w:rsidR="0075115B">
        <w:rPr>
          <w:rFonts w:ascii="Times New Roman" w:eastAsia="Calibri" w:hAnsi="Times New Roman" w:cs="Times New Roman"/>
          <w:sz w:val="24"/>
          <w:szCs w:val="24"/>
        </w:rPr>
        <w:t>ami, a to z kolei wymaga czasu.</w:t>
      </w:r>
    </w:p>
    <w:p w14:paraId="43E192ED" w14:textId="4A5AD0CE"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W przypadku decyzji z urzędu termin na wydanie decyzji nie jest wprost określony. Niemniej jednak decyzje z urzędu w ich zdecydowanej większości to decyzje określające należności celne od przywożonych na obszar celny UE towarów. Kwoty tych należności są określane, zgodnie z art. 101 ust. 1 UKC, niezwłocznie po uzyskaniu przez organy celne niezbędnych informacji. </w:t>
      </w:r>
    </w:p>
    <w:p w14:paraId="3FCE6FA8" w14:textId="3CFC5A71" w:rsidR="00712E99" w:rsidRPr="00B25A10" w:rsidRDefault="00A706EC" w:rsidP="002B0551">
      <w:pPr>
        <w:spacing w:before="120" w:after="0" w:line="360" w:lineRule="auto"/>
        <w:ind w:firstLine="708"/>
        <w:jc w:val="both"/>
        <w:rPr>
          <w:rFonts w:ascii="Times New Roman" w:eastAsia="Calibri" w:hAnsi="Times New Roman" w:cs="Times New Roman"/>
          <w:b/>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7 „Przywrócenie terminu</w:t>
      </w:r>
      <w:r w:rsidR="00712E99" w:rsidRPr="00B540EC">
        <w:rPr>
          <w:rFonts w:ascii="Times New Roman" w:eastAsia="Calibri" w:hAnsi="Times New Roman" w:cs="Times New Roman"/>
          <w:sz w:val="24"/>
          <w:szCs w:val="24"/>
        </w:rPr>
        <w:t>”</w:t>
      </w:r>
    </w:p>
    <w:p w14:paraId="6D9E4689" w14:textId="190944A2"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Zgodnie z art. 55 UKC, je</w:t>
      </w:r>
      <w:r w:rsidR="0075115B">
        <w:rPr>
          <w:rFonts w:ascii="Times New Roman" w:eastAsia="Calibri" w:hAnsi="Times New Roman" w:cs="Times New Roman"/>
          <w:sz w:val="24"/>
          <w:szCs w:val="24"/>
        </w:rPr>
        <w:t>że</w:t>
      </w:r>
      <w:r w:rsidRPr="00B25A10">
        <w:rPr>
          <w:rFonts w:ascii="Times New Roman" w:eastAsia="Calibri" w:hAnsi="Times New Roman" w:cs="Times New Roman"/>
          <w:sz w:val="24"/>
          <w:szCs w:val="24"/>
        </w:rPr>
        <w:t xml:space="preserve">li przepis szczególny nie stanowi inaczej i okres, data lub termin są określone w przepisach prawa celnego, okres nie może </w:t>
      </w:r>
      <w:r w:rsidRPr="00B25A10">
        <w:rPr>
          <w:rFonts w:ascii="Times New Roman" w:eastAsia="Calibri" w:hAnsi="Times New Roman" w:cs="Times New Roman"/>
          <w:sz w:val="24"/>
          <w:szCs w:val="24"/>
        </w:rPr>
        <w:lastRenderedPageBreak/>
        <w:t xml:space="preserve">zostać przedłużony lub skrócony, a data lub termin – odroczone lub przyspieszone. </w:t>
      </w:r>
    </w:p>
    <w:p w14:paraId="6C04F30C" w14:textId="549FB895"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rozdział 8 „Wszczęcie postępowania” </w:t>
      </w:r>
    </w:p>
    <w:p w14:paraId="14ED082D" w14:textId="2FFEFF9D"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Oznacza to, że wniosek złożony do organu celnego w sprawie celnej formalnie nie wszczyna postępowania, chociaż oczywiście rozpoczyna postępowanie mające na celu wydanie decyzji. W przypadku wydania decyzji bez uprzedniego wniosku, tzw. „decyzji z urzędu”</w:t>
      </w:r>
      <w:r w:rsidR="0075115B">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również nie następuje formalne wszczęcie postępowania przez wydanie postanowienia o wszczęciu postępowania</w:t>
      </w:r>
      <w:r w:rsidR="00B540EC">
        <w:rPr>
          <w:rFonts w:ascii="Times New Roman" w:eastAsia="Calibri" w:hAnsi="Times New Roman" w:cs="Times New Roman"/>
          <w:sz w:val="24"/>
          <w:szCs w:val="24"/>
        </w:rPr>
        <w:t>.</w:t>
      </w:r>
    </w:p>
    <w:p w14:paraId="645F60B7" w14:textId="0A83ADA0"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11A „Rozprawa”</w:t>
      </w:r>
    </w:p>
    <w:p w14:paraId="3A0E396D" w14:textId="7AAA7491"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rozdział 12 „Zawieszenie postępowania” </w:t>
      </w:r>
    </w:p>
    <w:p w14:paraId="4EBDE87B" w14:textId="77777777"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Unijne przepisy celne posługują się terminem „przedłużenie terminu na wydanie decyzji”. Przykładowo stanowi o tym art. 22 ust. 3 akapit trzeci UKC czy art.13 rozporządzenia delegowanego.</w:t>
      </w:r>
    </w:p>
    <w:p w14:paraId="668CA760" w14:textId="592EBF55"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12 „Decyzje”</w:t>
      </w:r>
    </w:p>
    <w:p w14:paraId="3CFDEEE8" w14:textId="7CF0B940"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Art. 22 ust. 7 UKC stanowi, że decyzja niekorzystna powinna określać podstawy, na których ją oparto</w:t>
      </w:r>
      <w:r w:rsidR="0075115B">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i pouczenie o prawie do wniesienia odwołania. Ponadto dla decyzji, które są pozwoleniami</w:t>
      </w:r>
      <w:r w:rsidR="00CF0DB6">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wymagane dane są określone w załączniku A do rozporządzenia delegowanego. </w:t>
      </w:r>
    </w:p>
    <w:p w14:paraId="74C31CBC" w14:textId="4941ECDF" w:rsidR="00712E99" w:rsidRPr="00B25A10" w:rsidRDefault="00A706EC" w:rsidP="002B0551">
      <w:pPr>
        <w:spacing w:before="120" w:after="0" w:line="360" w:lineRule="auto"/>
        <w:ind w:firstLine="708"/>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rozdział 14 „Postanowienia” i rozdział 16 „Zażalenia”</w:t>
      </w:r>
    </w:p>
    <w:p w14:paraId="7C324C0F" w14:textId="0B58D104"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UKC wprowadza w art. 5 pkt 39 definicję decyzji, zgodnie z którą decyzją jest każdy akt wydany przez organy celne odnoszący się do przepisów prawa celnego zawierający orzeczenie w konkretnej sprawie, który pociąga za sobą skutki prawne dla zainteresowanej osoby lub zainteresowanych osób. Termin „decyzja” w UKC używany jest w szerszym znaczeniu niż w Ordynacji podatkowej. Na gruncie Ordynacji podatkowej aktami administracyjnymi wydawanymi przez organy podatkowe są decyzje i postanowienia, zaś w rozumieni</w:t>
      </w:r>
      <w:r w:rsidR="00CF0DB6">
        <w:rPr>
          <w:rFonts w:ascii="Times New Roman" w:eastAsia="Calibri" w:hAnsi="Times New Roman" w:cs="Times New Roman"/>
          <w:sz w:val="24"/>
          <w:szCs w:val="24"/>
        </w:rPr>
        <w:t>u</w:t>
      </w:r>
      <w:r w:rsidRPr="00B25A10">
        <w:rPr>
          <w:rFonts w:ascii="Times New Roman" w:eastAsia="Calibri" w:hAnsi="Times New Roman" w:cs="Times New Roman"/>
          <w:sz w:val="24"/>
          <w:szCs w:val="24"/>
        </w:rPr>
        <w:t xml:space="preserve"> „decyzji”</w:t>
      </w:r>
      <w:r w:rsidR="00CF0DB6">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jaki</w:t>
      </w:r>
      <w:r w:rsidR="00CF0DB6">
        <w:rPr>
          <w:rFonts w:ascii="Times New Roman" w:eastAsia="Calibri" w:hAnsi="Times New Roman" w:cs="Times New Roman"/>
          <w:sz w:val="24"/>
          <w:szCs w:val="24"/>
        </w:rPr>
        <w:t>e</w:t>
      </w:r>
      <w:r w:rsidRPr="00B25A10">
        <w:rPr>
          <w:rFonts w:ascii="Times New Roman" w:eastAsia="Calibri" w:hAnsi="Times New Roman" w:cs="Times New Roman"/>
          <w:sz w:val="24"/>
          <w:szCs w:val="24"/>
        </w:rPr>
        <w:t xml:space="preserve"> przyjęto w UKC</w:t>
      </w:r>
      <w:r w:rsidR="00CF0DB6">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mieszczą się także postanowienia.</w:t>
      </w:r>
    </w:p>
    <w:p w14:paraId="309CCDB7" w14:textId="69572C37" w:rsidR="00712E99" w:rsidRPr="00B25A10" w:rsidRDefault="00712E99" w:rsidP="002B0551">
      <w:pPr>
        <w:spacing w:before="120" w:after="0" w:line="360" w:lineRule="auto"/>
        <w:ind w:left="1416"/>
        <w:jc w:val="both"/>
        <w:rPr>
          <w:rFonts w:ascii="Times New Roman" w:eastAsia="Calibri" w:hAnsi="Times New Roman" w:cs="Times New Roman"/>
          <w:i/>
          <w:sz w:val="24"/>
          <w:szCs w:val="24"/>
        </w:rPr>
      </w:pPr>
      <w:r w:rsidRPr="00B25A10">
        <w:rPr>
          <w:rFonts w:ascii="Times New Roman" w:eastAsia="Calibri" w:hAnsi="Times New Roman" w:cs="Times New Roman"/>
          <w:sz w:val="24"/>
          <w:szCs w:val="24"/>
        </w:rPr>
        <w:t xml:space="preserve">Niektóre z powołanych w art. 73 ust. 1 Prawa celnego przepisów Ordynacji podatkowej mających zastosowanie do postępowania celnego stanowią o </w:t>
      </w:r>
      <w:r w:rsidRPr="00B25A10">
        <w:rPr>
          <w:rFonts w:ascii="Times New Roman" w:eastAsia="Calibri" w:hAnsi="Times New Roman" w:cs="Times New Roman"/>
          <w:sz w:val="24"/>
          <w:szCs w:val="24"/>
        </w:rPr>
        <w:lastRenderedPageBreak/>
        <w:t>konieczności wydania postanowienia. Na podstawie art. 73 ust. 2 Prawa celnego czynności takie, tj. podjęte w sprawach celnych na podstawie tych przepisów Ordynacji podatkowej (z wyjątkiem wymienionych rozstrzygnięć mających na podstawie Ordynacji podatkowej formę postanowień, na które służy zażalenie)</w:t>
      </w:r>
      <w:r w:rsidR="00CF0DB6">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nie są uznawane za decyzje w rozumieniu przepisów prawa celnego i są zaskarżalne tylko w odwołaniu od decyzji. </w:t>
      </w:r>
    </w:p>
    <w:p w14:paraId="0A8CBF79" w14:textId="331C4D09" w:rsidR="00712E99" w:rsidRPr="00B25A10" w:rsidRDefault="00A706EC" w:rsidP="002B0551">
      <w:pPr>
        <w:spacing w:before="120" w:after="0" w:line="360" w:lineRule="auto"/>
        <w:ind w:left="1413" w:hanging="705"/>
        <w:jc w:val="both"/>
        <w:rPr>
          <w:rFonts w:ascii="Times New Roman" w:eastAsia="Calibri" w:hAnsi="Times New Roman" w:cs="Times New Roman"/>
          <w:sz w:val="24"/>
          <w:szCs w:val="24"/>
        </w:rPr>
      </w:pPr>
      <w:r w:rsidRPr="00B25A10">
        <w:rPr>
          <w:rFonts w:ascii="Times New Roman" w:hAnsi="Times New Roman" w:cs="Times New Roman"/>
          <w:sz w:val="24"/>
          <w:szCs w:val="24"/>
        </w:rPr>
        <w:t>–</w:t>
      </w:r>
      <w:r w:rsidR="00712E99" w:rsidRPr="00B25A10">
        <w:rPr>
          <w:rFonts w:ascii="Times New Roman" w:eastAsia="Calibri" w:hAnsi="Times New Roman" w:cs="Times New Roman"/>
          <w:sz w:val="24"/>
          <w:szCs w:val="24"/>
        </w:rPr>
        <w:tab/>
        <w:t xml:space="preserve">rozdział 17 „Wznowienie postępowania”, rozdział 18 „Stwierdzenie nieważności decyzji”, rozdział 19 „Uchylenia lub zmiany decyzji ostatecznej” oraz rozdział 20 „Wygaśnięcie decyzji”. </w:t>
      </w:r>
    </w:p>
    <w:p w14:paraId="549A3E34" w14:textId="77777777" w:rsidR="00712E99" w:rsidRPr="00B25A10" w:rsidRDefault="00712E99" w:rsidP="002B0551">
      <w:pPr>
        <w:spacing w:before="120" w:after="0" w:line="360" w:lineRule="auto"/>
        <w:ind w:left="1413" w:firstLine="3"/>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W postępowaniu celnym ma zastosowanie art. 23 ust. 3 UKC, zgodnie z którym organy celne, które wydały daną decyzję, mogą w każdej chwili ją unieważnić, zmienić lub cofnąć, jeżeli nie jest ona zgodna z przepisami prawa celnego. </w:t>
      </w:r>
    </w:p>
    <w:p w14:paraId="3C51220A" w14:textId="77777777" w:rsidR="00712E99" w:rsidRPr="00B25A10" w:rsidRDefault="00712E99" w:rsidP="002B0551">
      <w:pPr>
        <w:spacing w:before="120" w:after="0" w:line="360" w:lineRule="auto"/>
        <w:ind w:left="1416"/>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Dodatkowo art. 27 UKC stanowi o unieważnieniu korzystnych decyzji, zaś art. 28 o ich cofnięciu lub zmianie. </w:t>
      </w:r>
    </w:p>
    <w:p w14:paraId="0F93A89C" w14:textId="77777777" w:rsidR="00A3755C" w:rsidRPr="00B25A10" w:rsidRDefault="00A3755C" w:rsidP="009612DF">
      <w:pPr>
        <w:spacing w:before="24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Możliwość prowadzenia jednego postępowania wprowadzi ujednolicenie regulacji proceduralnych, przyczyni się do przyspieszenia prowadzenia postępowania, procedowanie będzie przy tym bardziej zrozumiałe i klarowne również dla zainteresowanych osób. </w:t>
      </w:r>
    </w:p>
    <w:p w14:paraId="2EB82D62" w14:textId="504828CC" w:rsidR="00A3755C" w:rsidRPr="00B25A10" w:rsidRDefault="00A3755C"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Prowadzenie jednego postępowania w sprawie określenia należności celnych i podatkowych w jednej decyzji nie będzie miało negatywnego skutku dla wykonania zobowiązań wynikających z rozporządzenia Rady (UE, </w:t>
      </w:r>
      <w:proofErr w:type="spellStart"/>
      <w:r w:rsidRPr="00B25A10">
        <w:rPr>
          <w:rFonts w:ascii="Times New Roman" w:eastAsia="Calibri" w:hAnsi="Times New Roman" w:cs="Times New Roman"/>
          <w:sz w:val="24"/>
          <w:szCs w:val="24"/>
        </w:rPr>
        <w:t>Euroatom</w:t>
      </w:r>
      <w:proofErr w:type="spellEnd"/>
      <w:r w:rsidRPr="00B25A10">
        <w:rPr>
          <w:rFonts w:ascii="Times New Roman" w:eastAsia="Calibri" w:hAnsi="Times New Roman" w:cs="Times New Roman"/>
          <w:sz w:val="24"/>
          <w:szCs w:val="24"/>
        </w:rPr>
        <w:t xml:space="preserve">) </w:t>
      </w:r>
      <w:r w:rsidR="000B2D14">
        <w:rPr>
          <w:rFonts w:ascii="Times New Roman" w:eastAsia="Calibri" w:hAnsi="Times New Roman" w:cs="Times New Roman"/>
          <w:sz w:val="24"/>
          <w:szCs w:val="24"/>
        </w:rPr>
        <w:t>n</w:t>
      </w:r>
      <w:r w:rsidRPr="00B25A10">
        <w:rPr>
          <w:rFonts w:ascii="Times New Roman" w:eastAsia="Calibri" w:hAnsi="Times New Roman" w:cs="Times New Roman"/>
          <w:sz w:val="24"/>
          <w:szCs w:val="24"/>
        </w:rPr>
        <w:t>r 609/2014 z dnia 26 maja 2014 r. w sprawie metod i procedury udostępniania tradycyjnych zasobów własnych opartych na DNB oraz w sprawie środków w celu zaspokojenia potrzeb gotówkowych (Dz. Urz. L 168 z 07.06.2014, str. 39), w zakresie przekazywania środków w ramach tradycyjnych zasobów własnych UE.</w:t>
      </w:r>
    </w:p>
    <w:p w14:paraId="6AB1D1BB" w14:textId="7B520CBF" w:rsidR="00A3755C" w:rsidRPr="00B25A10" w:rsidRDefault="00A3755C"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Projektowane zmiany nie wpływają również na sposób rozliczania należności między krajowe podatki i opłaty a należności celne, w przypadku dobrowolnych wpłat w wysokości niewystarczającej na pokrycie ww. należności.</w:t>
      </w:r>
    </w:p>
    <w:p w14:paraId="42C7D790" w14:textId="77777777" w:rsidR="00712E99" w:rsidRPr="00B25A10" w:rsidRDefault="00712E99" w:rsidP="009612DF">
      <w:pPr>
        <w:spacing w:before="18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 34 ust. 5</w:t>
      </w:r>
    </w:p>
    <w:p w14:paraId="07A586FB" w14:textId="3357875F" w:rsidR="00712E99" w:rsidRPr="00B25A10" w:rsidRDefault="00712E99" w:rsidP="002B0551">
      <w:pPr>
        <w:spacing w:before="120" w:after="0" w:line="360" w:lineRule="auto"/>
        <w:jc w:val="both"/>
        <w:rPr>
          <w:rFonts w:ascii="Times New Roman" w:eastAsia="Calibri" w:hAnsi="Times New Roman" w:cs="Times New Roman"/>
          <w:bCs/>
          <w:sz w:val="24"/>
          <w:szCs w:val="24"/>
        </w:rPr>
      </w:pPr>
      <w:r w:rsidRPr="00B25A10">
        <w:rPr>
          <w:rFonts w:ascii="Times New Roman" w:eastAsia="Calibri" w:hAnsi="Times New Roman" w:cs="Times New Roman"/>
          <w:sz w:val="24"/>
          <w:szCs w:val="24"/>
        </w:rPr>
        <w:t xml:space="preserve">Zgodnie z dodawanym w art. 34 ust. 5 ustawy o podatku od towarów i usług, czynności podjęte w sprawach celnych na podstawie przepisów Ordynacji podatkowej, z wyjątkiem </w:t>
      </w:r>
      <w:r w:rsidRPr="00B25A10">
        <w:rPr>
          <w:rFonts w:ascii="Times New Roman" w:eastAsia="Calibri" w:hAnsi="Times New Roman" w:cs="Times New Roman"/>
          <w:sz w:val="24"/>
          <w:szCs w:val="24"/>
        </w:rPr>
        <w:lastRenderedPageBreak/>
        <w:t>rozstrzygnięć, o których mowa w art. 163 § 2, art. 169 § 4, art. 179 § 2, art. 215 § 1, art. 228 §</w:t>
      </w:r>
      <w:r w:rsidR="009612DF">
        <w:rPr>
          <w:rFonts w:ascii="Times New Roman" w:eastAsia="Calibri" w:hAnsi="Times New Roman" w:cs="Times New Roman"/>
          <w:sz w:val="24"/>
          <w:szCs w:val="24"/>
        </w:rPr>
        <w:t> </w:t>
      </w:r>
      <w:r w:rsidRPr="00B25A10">
        <w:rPr>
          <w:rFonts w:ascii="Times New Roman" w:eastAsia="Calibri" w:hAnsi="Times New Roman" w:cs="Times New Roman"/>
          <w:sz w:val="24"/>
          <w:szCs w:val="24"/>
        </w:rPr>
        <w:t xml:space="preserve">1, art. 262 § 5, art. 263 § 1, art. 268 § 3 oraz art. 270a tej ustawy, </w:t>
      </w:r>
      <w:r w:rsidRPr="00B25A10">
        <w:rPr>
          <w:rFonts w:ascii="Times New Roman" w:eastAsia="Calibri" w:hAnsi="Times New Roman" w:cs="Times New Roman"/>
          <w:bCs/>
          <w:sz w:val="24"/>
          <w:szCs w:val="24"/>
        </w:rPr>
        <w:t xml:space="preserve">nie są uznawane za decyzje w rozumieniu przepisów prawa celnego i są zaskarżalne tylko w odwołaniu od decyzji. </w:t>
      </w:r>
      <w:r w:rsidRPr="00B25A10">
        <w:rPr>
          <w:rFonts w:ascii="Times New Roman" w:eastAsia="Calibri" w:hAnsi="Times New Roman" w:cs="Times New Roman"/>
          <w:bCs/>
          <w:i/>
          <w:sz w:val="24"/>
          <w:szCs w:val="24"/>
        </w:rPr>
        <w:t>A</w:t>
      </w:r>
      <w:r w:rsidR="009612DF">
        <w:rPr>
          <w:rFonts w:ascii="Times New Roman" w:eastAsia="Calibri" w:hAnsi="Times New Roman" w:cs="Times New Roman"/>
          <w:bCs/>
          <w:i/>
          <w:sz w:val="24"/>
          <w:szCs w:val="24"/>
        </w:rPr>
        <w:t> </w:t>
      </w:r>
      <w:r w:rsidRPr="00B25A10">
        <w:rPr>
          <w:rFonts w:ascii="Times New Roman" w:eastAsia="Calibri" w:hAnsi="Times New Roman" w:cs="Times New Roman"/>
          <w:bCs/>
          <w:i/>
          <w:sz w:val="24"/>
          <w:szCs w:val="24"/>
        </w:rPr>
        <w:t xml:space="preserve">contrario </w:t>
      </w:r>
      <w:r w:rsidRPr="00B25A10">
        <w:rPr>
          <w:rFonts w:ascii="Times New Roman" w:eastAsia="Calibri" w:hAnsi="Times New Roman" w:cs="Times New Roman"/>
          <w:bCs/>
          <w:sz w:val="24"/>
          <w:szCs w:val="24"/>
        </w:rPr>
        <w:t xml:space="preserve">rozstrzygnięcia podjęte na podstawie wymienionych przepisów Ordynacji są decyzjami celnymi. </w:t>
      </w:r>
    </w:p>
    <w:p w14:paraId="74381296" w14:textId="7E546A54" w:rsidR="00712E99" w:rsidRDefault="00712E99" w:rsidP="002B0551">
      <w:pPr>
        <w:spacing w:before="120" w:after="0" w:line="360" w:lineRule="auto"/>
        <w:jc w:val="both"/>
        <w:rPr>
          <w:rFonts w:ascii="Times New Roman" w:eastAsia="Calibri" w:hAnsi="Times New Roman" w:cs="Times New Roman"/>
          <w:iCs/>
          <w:sz w:val="24"/>
          <w:szCs w:val="24"/>
          <w:lang w:bidi="pl-PL"/>
        </w:rPr>
      </w:pPr>
      <w:r w:rsidRPr="00B25A10">
        <w:rPr>
          <w:rFonts w:ascii="Times New Roman" w:eastAsia="Calibri" w:hAnsi="Times New Roman" w:cs="Times New Roman"/>
          <w:iCs/>
          <w:sz w:val="24"/>
          <w:szCs w:val="24"/>
          <w:lang w:bidi="pl-PL"/>
        </w:rPr>
        <w:t>Powyższa regulacja jest konsekwencją innego niż w Ordynacji podatkowej zdefiniowania w UKC pojęcia „decyzji</w:t>
      </w:r>
      <w:r w:rsidR="009612DF">
        <w:rPr>
          <w:rFonts w:ascii="Times New Roman" w:eastAsia="Calibri" w:hAnsi="Times New Roman" w:cs="Times New Roman"/>
          <w:iCs/>
          <w:sz w:val="24"/>
          <w:szCs w:val="24"/>
          <w:lang w:bidi="pl-PL"/>
        </w:rPr>
        <w:t>”</w:t>
      </w:r>
      <w:r w:rsidRPr="00B25A10">
        <w:rPr>
          <w:rFonts w:ascii="Times New Roman" w:eastAsia="Calibri" w:hAnsi="Times New Roman" w:cs="Times New Roman"/>
          <w:iCs/>
          <w:sz w:val="24"/>
          <w:szCs w:val="24"/>
          <w:lang w:bidi="pl-PL"/>
        </w:rPr>
        <w:t xml:space="preserve">. Zgodnie z art. 5 pkt 39 UKC „decyzja” oznacza każdy akt wydany przez organy celne odnoszący się do przepisów prawa celnego zawierający orzeczenie w konkretnej sprawie, który pociąga za sobą skutki prawne dla zainteresowanej osoby lub zainteresowanych osób. Pojęcie tej decyzji obejmuje „ordynacyjne” pojęcia decyzji i postanowienia zaskarżalnego, natomiast postanowienia, na które nie służy zażalenie zgodnie z Ordynacją podatkową, stanowią  na gruncie prawa celnego czynności materialno-techniczne. </w:t>
      </w:r>
    </w:p>
    <w:p w14:paraId="2DC89828" w14:textId="77777777" w:rsidR="009612DF" w:rsidRPr="00B25A10" w:rsidRDefault="009612DF" w:rsidP="002B0551">
      <w:pPr>
        <w:spacing w:before="120" w:after="0" w:line="360" w:lineRule="auto"/>
        <w:jc w:val="both"/>
        <w:rPr>
          <w:rFonts w:ascii="Times New Roman" w:eastAsia="Calibri" w:hAnsi="Times New Roman" w:cs="Times New Roman"/>
          <w:iCs/>
          <w:sz w:val="24"/>
          <w:szCs w:val="24"/>
          <w:lang w:bidi="pl-PL"/>
        </w:rPr>
      </w:pPr>
    </w:p>
    <w:p w14:paraId="262E08AB" w14:textId="77777777" w:rsidR="00712E99" w:rsidRPr="00B25A10" w:rsidRDefault="00712E99" w:rsidP="009612DF">
      <w:pPr>
        <w:spacing w:before="36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 xml:space="preserve">zmiana art. 37 </w:t>
      </w:r>
    </w:p>
    <w:p w14:paraId="4F0F4B7B"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Zmiana art. 37 ust. 1 ustawy </w:t>
      </w:r>
      <w:r w:rsidR="00510FB0"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 xml:space="preserve">o podatku od towarów i usług wynika ze zmian wprowadzonych w art. 33 i </w:t>
      </w:r>
      <w:r w:rsidR="00023E6E">
        <w:rPr>
          <w:rFonts w:ascii="Times New Roman" w:eastAsia="Calibri" w:hAnsi="Times New Roman" w:cs="Times New Roman"/>
          <w:sz w:val="24"/>
          <w:szCs w:val="24"/>
        </w:rPr>
        <w:t xml:space="preserve">art. </w:t>
      </w:r>
      <w:r w:rsidRPr="00B25A10">
        <w:rPr>
          <w:rFonts w:ascii="Times New Roman" w:eastAsia="Calibri" w:hAnsi="Times New Roman" w:cs="Times New Roman"/>
          <w:sz w:val="24"/>
          <w:szCs w:val="24"/>
        </w:rPr>
        <w:t>34 tej ustawy.</w:t>
      </w:r>
    </w:p>
    <w:p w14:paraId="18CF92D7" w14:textId="77777777" w:rsidR="00712E99" w:rsidRPr="00B25A10" w:rsidRDefault="00712E99" w:rsidP="002B0551">
      <w:pPr>
        <w:autoSpaceDE w:val="0"/>
        <w:autoSpaceDN w:val="0"/>
        <w:adjustRightInd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Zmiany w art. 37 </w:t>
      </w:r>
      <w:r w:rsidR="00510FB0" w:rsidRPr="00B25A10">
        <w:rPr>
          <w:rFonts w:ascii="Times New Roman" w:hAnsi="Times New Roman" w:cs="Times New Roman"/>
          <w:sz w:val="24"/>
          <w:szCs w:val="24"/>
        </w:rPr>
        <w:t xml:space="preserve">w ust. 1a, 1aa i 1b </w:t>
      </w:r>
      <w:r w:rsidRPr="00B25A10">
        <w:rPr>
          <w:rFonts w:ascii="Times New Roman" w:hAnsi="Times New Roman" w:cs="Times New Roman"/>
          <w:sz w:val="24"/>
          <w:szCs w:val="24"/>
        </w:rPr>
        <w:t xml:space="preserve">ustawy </w:t>
      </w:r>
      <w:r w:rsidR="00510FB0" w:rsidRPr="00B25A10">
        <w:rPr>
          <w:rFonts w:ascii="Times New Roman" w:hAnsi="Times New Roman" w:cs="Times New Roman"/>
          <w:sz w:val="24"/>
          <w:szCs w:val="24"/>
        </w:rPr>
        <w:t xml:space="preserve">z dnia 11 marca 2004 r. </w:t>
      </w:r>
      <w:r w:rsidRPr="00B25A10">
        <w:rPr>
          <w:rFonts w:ascii="Times New Roman" w:hAnsi="Times New Roman" w:cs="Times New Roman"/>
          <w:sz w:val="24"/>
          <w:szCs w:val="24"/>
        </w:rPr>
        <w:t xml:space="preserve">o podatku od towarów i usług związane są z dodaniem w art. 33 nowego ust. 2a. </w:t>
      </w:r>
      <w:r w:rsidR="00A3755C" w:rsidRPr="00B25A10">
        <w:rPr>
          <w:rFonts w:ascii="Times New Roman" w:hAnsi="Times New Roman" w:cs="Times New Roman"/>
          <w:sz w:val="24"/>
          <w:szCs w:val="24"/>
        </w:rPr>
        <w:t>Z</w:t>
      </w:r>
      <w:r w:rsidRPr="00B25A10">
        <w:rPr>
          <w:rFonts w:ascii="Times New Roman" w:hAnsi="Times New Roman" w:cs="Times New Roman"/>
          <w:sz w:val="24"/>
          <w:szCs w:val="24"/>
        </w:rPr>
        <w:t>miany te są niezbędne, aby przepisy art. 37 ustawy o VAT dotyczące poboru i wysokości odsetek od podatku określonego w decyzjach naczelnika urzędu celno-skarbowego odnosiły się również do decyzji, o których mowa w projektowanym art. 33 ust. 2a ustawy o VAT.</w:t>
      </w:r>
    </w:p>
    <w:p w14:paraId="6E40FDD2" w14:textId="77777777" w:rsidR="00712E99" w:rsidRPr="00B25A10" w:rsidRDefault="00712E99" w:rsidP="00B25A10">
      <w:pPr>
        <w:spacing w:before="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dodanie art. 39a</w:t>
      </w:r>
    </w:p>
    <w:p w14:paraId="4E565893"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Proponowane dodanie art. 39a w ustawie </w:t>
      </w:r>
      <w:r w:rsidR="00A3755C"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 jest powiązane z dodaniem art. 66 ust. 1a w Prawie celnym i art. 14 ust. 3b w ustawie o podatku akcyzowym. Stanowi on, analogicznie jak we wskazanych ustawach, że organem podatkowym właściwym w sprawie orzekania o odpowiedzialności osoby trzeciej za zobowiązania w podatku z tytułu importu towarów jest naczelnik urzędu celno-skarbowego, o którym mowa w art. 66 Prawa celnego, tj. właściwy ze względu na miejsce powstania długu celnego.</w:t>
      </w:r>
    </w:p>
    <w:p w14:paraId="6190DFD5" w14:textId="77777777" w:rsidR="00712E99" w:rsidRPr="00B25A10" w:rsidRDefault="00712E99" w:rsidP="002B0551">
      <w:pPr>
        <w:spacing w:before="120" w:after="0" w:line="360" w:lineRule="auto"/>
        <w:jc w:val="both"/>
        <w:rPr>
          <w:rFonts w:ascii="Times New Roman" w:eastAsia="Calibri" w:hAnsi="Times New Roman" w:cs="Times New Roman"/>
          <w:sz w:val="24"/>
          <w:szCs w:val="24"/>
          <w:u w:val="single"/>
        </w:rPr>
      </w:pPr>
      <w:r w:rsidRPr="00B25A10">
        <w:rPr>
          <w:rFonts w:ascii="Times New Roman" w:eastAsia="Calibri" w:hAnsi="Times New Roman" w:cs="Times New Roman"/>
          <w:sz w:val="24"/>
          <w:szCs w:val="24"/>
        </w:rPr>
        <w:lastRenderedPageBreak/>
        <w:t xml:space="preserve">Dodanie tego przepisu wynika z tych samych wątpliwości interpretacyjnych, co opisane w uzasadnieniu do zmiany art. 66 Prawa celnego. Ze względu na swoją specyfikę podatek VAT z tytułu importu towarów jest bowiem ściśle powiązany z przepisami celnymi. </w:t>
      </w:r>
    </w:p>
    <w:p w14:paraId="0DE7E5D1" w14:textId="594BA6E9"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Zasady wymiaru i poboru podatku z tytułu importu towarów regulują przepisy art. 33</w:t>
      </w:r>
      <w:r w:rsidR="009612DF" w:rsidRPr="00B25A10">
        <w:rPr>
          <w:rFonts w:ascii="Times New Roman" w:hAnsi="Times New Roman" w:cs="Times New Roman"/>
          <w:sz w:val="24"/>
          <w:szCs w:val="24"/>
        </w:rPr>
        <w:t>–</w:t>
      </w:r>
      <w:r w:rsidRPr="00B25A10">
        <w:rPr>
          <w:rFonts w:ascii="Times New Roman" w:eastAsia="Calibri" w:hAnsi="Times New Roman" w:cs="Times New Roman"/>
          <w:sz w:val="24"/>
          <w:szCs w:val="24"/>
        </w:rPr>
        <w:t xml:space="preserve">40 ustawy </w:t>
      </w:r>
      <w:r w:rsidR="00A3755C"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 xml:space="preserve">o podatku od towarów i usług. Art. 38 ust. 1 </w:t>
      </w:r>
      <w:r w:rsidR="00A3755C" w:rsidRPr="00B25A10">
        <w:rPr>
          <w:rFonts w:ascii="Times New Roman" w:eastAsia="Calibri" w:hAnsi="Times New Roman" w:cs="Times New Roman"/>
          <w:sz w:val="24"/>
          <w:szCs w:val="24"/>
        </w:rPr>
        <w:t xml:space="preserve">tej </w:t>
      </w:r>
      <w:r w:rsidRPr="00B25A10">
        <w:rPr>
          <w:rFonts w:ascii="Times New Roman" w:eastAsia="Calibri" w:hAnsi="Times New Roman" w:cs="Times New Roman"/>
          <w:sz w:val="24"/>
          <w:szCs w:val="24"/>
        </w:rPr>
        <w:t>ustawy stanowi, że w zakresie nieuregulowanym w art. 17 ust. 1 i 2 oraz ust. 1b, art. 19a ust. 9</w:t>
      </w:r>
      <w:r w:rsidR="009612DF" w:rsidRPr="00B25A10">
        <w:rPr>
          <w:rFonts w:ascii="Times New Roman" w:hAnsi="Times New Roman" w:cs="Times New Roman"/>
          <w:sz w:val="24"/>
          <w:szCs w:val="24"/>
        </w:rPr>
        <w:t>–</w:t>
      </w:r>
      <w:r w:rsidRPr="00B25A10">
        <w:rPr>
          <w:rFonts w:ascii="Times New Roman" w:eastAsia="Calibri" w:hAnsi="Times New Roman" w:cs="Times New Roman"/>
          <w:sz w:val="24"/>
          <w:szCs w:val="24"/>
        </w:rPr>
        <w:t xml:space="preserve">11 oraz </w:t>
      </w:r>
      <w:r w:rsidR="009612DF">
        <w:rPr>
          <w:rFonts w:ascii="Times New Roman" w:eastAsia="Calibri" w:hAnsi="Times New Roman" w:cs="Times New Roman"/>
          <w:sz w:val="24"/>
          <w:szCs w:val="24"/>
        </w:rPr>
        <w:br/>
      </w:r>
      <w:r w:rsidRPr="00B25A10">
        <w:rPr>
          <w:rFonts w:ascii="Times New Roman" w:eastAsia="Calibri" w:hAnsi="Times New Roman" w:cs="Times New Roman"/>
          <w:sz w:val="24"/>
          <w:szCs w:val="24"/>
        </w:rPr>
        <w:t>art. 33</w:t>
      </w:r>
      <w:r w:rsidR="009612DF" w:rsidRPr="00B25A10">
        <w:rPr>
          <w:rFonts w:ascii="Times New Roman" w:hAnsi="Times New Roman" w:cs="Times New Roman"/>
          <w:sz w:val="24"/>
          <w:szCs w:val="24"/>
        </w:rPr>
        <w:t>–</w:t>
      </w:r>
      <w:r w:rsidRPr="00B25A10">
        <w:rPr>
          <w:rFonts w:ascii="Times New Roman" w:eastAsia="Calibri" w:hAnsi="Times New Roman" w:cs="Times New Roman"/>
          <w:sz w:val="24"/>
          <w:szCs w:val="24"/>
        </w:rPr>
        <w:t xml:space="preserve">37 stosuje się odpowiednio przepisy celne dotyczące poboru i wymiaru cła, z wyjątkiem przepisów dotyczących przedłużenia terminu zapłaty, odroczenia płatności oraz innych ułatwień płatniczych przewidzianych w przepisach celnych. Oznacza to, że w sprawach związanych z </w:t>
      </w:r>
      <w:r w:rsidRPr="00B25A10">
        <w:rPr>
          <w:rFonts w:ascii="Times New Roman" w:eastAsia="Calibri" w:hAnsi="Times New Roman" w:cs="Times New Roman"/>
          <w:sz w:val="24"/>
          <w:szCs w:val="24"/>
          <w:u w:val="single"/>
        </w:rPr>
        <w:t>poborem</w:t>
      </w:r>
      <w:r w:rsidRPr="00B25A10">
        <w:rPr>
          <w:rFonts w:ascii="Times New Roman" w:eastAsia="Calibri" w:hAnsi="Times New Roman" w:cs="Times New Roman"/>
          <w:sz w:val="24"/>
          <w:szCs w:val="24"/>
        </w:rPr>
        <w:t xml:space="preserve"> podatku VAT z tytułu importu towarów, nieuregulowanych w ww. przepisach ustawy o VAT, zastosowanie mają odpowiednie przepisy celne. Przepis ten ma zastosowanie także do sytuacji</w:t>
      </w:r>
      <w:r w:rsidR="009612DF">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gdy chodzi o pobór podatku VAT od osoby trzeciej jako zobowiązanej do uiszczenia należności celnych i podatkowych. Dodatkowo zauważyć należy, że stosownie do postanowień art. 33 ust. 2 i 3 oraz art. 34 ustawy </w:t>
      </w:r>
      <w:r w:rsidR="00A3755C"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decyzję określającą podatek w prawidłowej wysokości wydaje naczelnik urzędu celno</w:t>
      </w:r>
      <w:r w:rsidR="009612DF">
        <w:rPr>
          <w:rFonts w:ascii="Times New Roman" w:eastAsia="Calibri" w:hAnsi="Times New Roman" w:cs="Times New Roman"/>
          <w:sz w:val="24"/>
          <w:szCs w:val="24"/>
        </w:rPr>
        <w:noBreakHyphen/>
      </w:r>
      <w:r w:rsidRPr="00B25A10">
        <w:rPr>
          <w:rFonts w:ascii="Times New Roman" w:eastAsia="Calibri" w:hAnsi="Times New Roman" w:cs="Times New Roman"/>
          <w:sz w:val="24"/>
          <w:szCs w:val="24"/>
        </w:rPr>
        <w:t xml:space="preserve"> skarbowego. Również to organ celny jest właściwy do zabezpieczenia kwoty podatku, jeżeli podatek nie został uiszczony. Natomiast naczelnik urzędu skarbowego właściwy dla podatnika jest jedynie organem podatkowym właściwym w sprawie postępowań dotyczących ulg w spłacie zobowiązań podatkowych w podatku z tytułu importu (art.</w:t>
      </w:r>
      <w:r w:rsidR="00A3755C" w:rsidRPr="00B25A10">
        <w:rPr>
          <w:rFonts w:ascii="Times New Roman" w:eastAsia="Calibri" w:hAnsi="Times New Roman" w:cs="Times New Roman"/>
          <w:sz w:val="24"/>
          <w:szCs w:val="24"/>
        </w:rPr>
        <w:t xml:space="preserve"> </w:t>
      </w:r>
      <w:r w:rsidRPr="00B25A10">
        <w:rPr>
          <w:rFonts w:ascii="Times New Roman" w:eastAsia="Calibri" w:hAnsi="Times New Roman" w:cs="Times New Roman"/>
          <w:sz w:val="24"/>
          <w:szCs w:val="24"/>
        </w:rPr>
        <w:t xml:space="preserve">39 ustawy </w:t>
      </w:r>
      <w:r w:rsidR="00A3755C" w:rsidRPr="00B25A10">
        <w:rPr>
          <w:rFonts w:ascii="Times New Roman" w:eastAsia="Calibri" w:hAnsi="Times New Roman" w:cs="Times New Roman"/>
          <w:sz w:val="24"/>
          <w:szCs w:val="24"/>
        </w:rPr>
        <w:t>z dnia 11</w:t>
      </w:r>
      <w:r w:rsidR="009612DF">
        <w:t> </w:t>
      </w:r>
      <w:r w:rsidR="00A3755C" w:rsidRPr="00B25A10">
        <w:rPr>
          <w:rFonts w:ascii="Times New Roman" w:eastAsia="Calibri" w:hAnsi="Times New Roman" w:cs="Times New Roman"/>
          <w:sz w:val="24"/>
          <w:szCs w:val="24"/>
        </w:rPr>
        <w:t xml:space="preserve">marca 2004 r. </w:t>
      </w:r>
      <w:r w:rsidRPr="00B25A10">
        <w:rPr>
          <w:rFonts w:ascii="Times New Roman" w:eastAsia="Calibri" w:hAnsi="Times New Roman" w:cs="Times New Roman"/>
          <w:sz w:val="24"/>
          <w:szCs w:val="24"/>
        </w:rPr>
        <w:t xml:space="preserve">o </w:t>
      </w:r>
      <w:r w:rsidR="00A3755C" w:rsidRPr="00B25A10">
        <w:rPr>
          <w:rFonts w:ascii="Times New Roman" w:eastAsia="Calibri" w:hAnsi="Times New Roman" w:cs="Times New Roman"/>
          <w:sz w:val="24"/>
          <w:szCs w:val="24"/>
        </w:rPr>
        <w:t>podatku od towarów i usług</w:t>
      </w:r>
      <w:r w:rsidRPr="00B25A10">
        <w:rPr>
          <w:rFonts w:ascii="Times New Roman" w:eastAsia="Calibri" w:hAnsi="Times New Roman" w:cs="Times New Roman"/>
          <w:sz w:val="24"/>
          <w:szCs w:val="24"/>
        </w:rPr>
        <w:t>)</w:t>
      </w:r>
      <w:r w:rsidR="009612DF">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a naczelnik urzędu skarbowego właściwy do poboru kwoty należności celnych przywozowych wynikających z długu celnego jest obowiązany do poboru podatku </w:t>
      </w:r>
      <w:r w:rsidR="00A3755C" w:rsidRPr="00B25A10">
        <w:rPr>
          <w:rFonts w:ascii="Times New Roman" w:eastAsia="Calibri" w:hAnsi="Times New Roman" w:cs="Times New Roman"/>
          <w:sz w:val="24"/>
          <w:szCs w:val="24"/>
        </w:rPr>
        <w:t xml:space="preserve">od towarów i usług </w:t>
      </w:r>
      <w:r w:rsidRPr="00B25A10">
        <w:rPr>
          <w:rFonts w:ascii="Times New Roman" w:eastAsia="Calibri" w:hAnsi="Times New Roman" w:cs="Times New Roman"/>
          <w:sz w:val="24"/>
          <w:szCs w:val="24"/>
        </w:rPr>
        <w:t>z tytułu importu towarów (art. 33 ust.6 ustawy</w:t>
      </w:r>
      <w:r w:rsidR="00A3755C" w:rsidRPr="00B25A10">
        <w:rPr>
          <w:rFonts w:ascii="Times New Roman" w:eastAsia="Calibri" w:hAnsi="Times New Roman" w:cs="Times New Roman"/>
          <w:sz w:val="24"/>
          <w:szCs w:val="24"/>
        </w:rPr>
        <w:t xml:space="preserve"> z dnia 11 marca 2004 r. o podatku od towarów i usług</w:t>
      </w:r>
      <w:r w:rsidRPr="00B25A10">
        <w:rPr>
          <w:rFonts w:ascii="Times New Roman" w:eastAsia="Calibri" w:hAnsi="Times New Roman" w:cs="Times New Roman"/>
          <w:sz w:val="24"/>
          <w:szCs w:val="24"/>
        </w:rPr>
        <w:t xml:space="preserve">). W kontekście powyższego organem podatkowym właściwym do wydania decyzji o odpowiedzialności osób trzecich za zaległości w podatku VAT z tytułu importu towarów powinien być właściwy naczelnik urzędu celno-skarbowego. </w:t>
      </w:r>
    </w:p>
    <w:p w14:paraId="14684AEF" w14:textId="2BF4AC14"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W przypadku podatku VAT właściwość organów podatkowych określa się, co do zasady, na podstawie przepisów Ordynacji podatkowej i aktów wykonawczych. Zgodnie z § 9a ust. 2 rozporządzenia Ministra Finansów z dnia 22 sierpnia 2005 r. w sprawie właściwości organów podatkowych (Dz. U. z 201</w:t>
      </w:r>
      <w:r w:rsidR="00DF2601">
        <w:rPr>
          <w:rFonts w:ascii="Times New Roman" w:eastAsia="Calibri" w:hAnsi="Times New Roman" w:cs="Times New Roman"/>
          <w:sz w:val="24"/>
          <w:szCs w:val="24"/>
        </w:rPr>
        <w:t>9</w:t>
      </w:r>
      <w:r w:rsidRPr="00B25A10">
        <w:rPr>
          <w:rFonts w:ascii="Times New Roman" w:eastAsia="Calibri" w:hAnsi="Times New Roman" w:cs="Times New Roman"/>
          <w:sz w:val="24"/>
          <w:szCs w:val="24"/>
        </w:rPr>
        <w:t xml:space="preserve"> r. poz. </w:t>
      </w:r>
      <w:r w:rsidR="00DF2601">
        <w:rPr>
          <w:rFonts w:ascii="Times New Roman" w:eastAsia="Calibri" w:hAnsi="Times New Roman" w:cs="Times New Roman"/>
          <w:sz w:val="24"/>
          <w:szCs w:val="24"/>
        </w:rPr>
        <w:t>2371</w:t>
      </w:r>
      <w:r w:rsidRPr="00B25A10">
        <w:rPr>
          <w:rFonts w:ascii="Times New Roman" w:eastAsia="Calibri" w:hAnsi="Times New Roman" w:cs="Times New Roman"/>
          <w:sz w:val="24"/>
          <w:szCs w:val="24"/>
        </w:rPr>
        <w:t xml:space="preserve">), właściwość miejscową organów podatkowych w przypadkach, o których mowa w art. 33, art. 34, art. 37 ust. 1 i 3 oraz w art. 38 ustawy </w:t>
      </w:r>
      <w:r w:rsidR="00A3755C"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 xml:space="preserve">o podatku od towarów i usług, ustala się na podstawie przepisów prawa </w:t>
      </w:r>
      <w:r w:rsidRPr="00B25A10">
        <w:rPr>
          <w:rFonts w:ascii="Times New Roman" w:eastAsia="Calibri" w:hAnsi="Times New Roman" w:cs="Times New Roman"/>
          <w:sz w:val="24"/>
          <w:szCs w:val="24"/>
        </w:rPr>
        <w:lastRenderedPageBreak/>
        <w:t xml:space="preserve">celnego. Oznacza to, że w przypadku podatku VAT z tytułu importu towarów właściwość organów podatkowych ustala się na podstawie przepisów celnych. Zatem w sprawie orzeczenia o odpowiedzialności podatkowej osoby trzeciej za zaległości podatkowe w podatku VAT z tytułu importu towarów właściwym jest organ, który jest właściwy do wydania decyzji o odpowiedzialności osoby trzeciej za zaległości w należnościach celnych. </w:t>
      </w:r>
    </w:p>
    <w:p w14:paraId="000F7BA9"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Biorąc jednak pod uwagę wątpliwości interpretacyjne powstałe w zakresie organu właściwego do orzekania o odpowiedzialności osoby trzeciej za zobowiązania w podatku od towarów i usług z tytułu importu, proponuje się dodanie przepisu wprost o tym stanowiącego. </w:t>
      </w:r>
    </w:p>
    <w:p w14:paraId="6D07A4C9" w14:textId="77777777" w:rsidR="00712E99" w:rsidRPr="00B25A10" w:rsidRDefault="00712E99" w:rsidP="009612DF">
      <w:pPr>
        <w:spacing w:before="24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 xml:space="preserve">zmiana art. 86 ust. 2  </w:t>
      </w:r>
    </w:p>
    <w:p w14:paraId="59499B2C"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Zmiany zaproponowane w art. 86 ust. 2 ustawy </w:t>
      </w:r>
      <w:r w:rsidR="00A3755C"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 xml:space="preserve">o podatku od towarów i usług są wynikiem zmian wprowadzonych w art. 33, </w:t>
      </w:r>
      <w:r w:rsidR="00023E6E">
        <w:rPr>
          <w:rFonts w:ascii="Times New Roman" w:eastAsia="Calibri" w:hAnsi="Times New Roman" w:cs="Times New Roman"/>
          <w:sz w:val="24"/>
          <w:szCs w:val="24"/>
        </w:rPr>
        <w:t xml:space="preserve">art. </w:t>
      </w:r>
      <w:r w:rsidRPr="00B25A10">
        <w:rPr>
          <w:rFonts w:ascii="Times New Roman" w:eastAsia="Calibri" w:hAnsi="Times New Roman" w:cs="Times New Roman"/>
          <w:sz w:val="24"/>
          <w:szCs w:val="24"/>
        </w:rPr>
        <w:t>34 i</w:t>
      </w:r>
      <w:r w:rsidR="00023E6E">
        <w:rPr>
          <w:rFonts w:ascii="Times New Roman" w:eastAsia="Calibri" w:hAnsi="Times New Roman" w:cs="Times New Roman"/>
          <w:sz w:val="24"/>
          <w:szCs w:val="24"/>
        </w:rPr>
        <w:t xml:space="preserve"> art.</w:t>
      </w:r>
      <w:r w:rsidRPr="00B25A10">
        <w:rPr>
          <w:rFonts w:ascii="Times New Roman" w:eastAsia="Calibri" w:hAnsi="Times New Roman" w:cs="Times New Roman"/>
          <w:sz w:val="24"/>
          <w:szCs w:val="24"/>
        </w:rPr>
        <w:t xml:space="preserve"> 37 tej ustawy.</w:t>
      </w:r>
    </w:p>
    <w:p w14:paraId="77D2BAAD" w14:textId="77777777" w:rsidR="00270DE3" w:rsidRPr="00B25A10" w:rsidRDefault="00270DE3" w:rsidP="009612DF">
      <w:pPr>
        <w:suppressAutoHyphens/>
        <w:autoSpaceDE w:val="0"/>
        <w:autoSpaceDN w:val="0"/>
        <w:adjustRightInd w:val="0"/>
        <w:spacing w:before="24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 xml:space="preserve">zmiana art. </w:t>
      </w:r>
      <w:r w:rsidR="00C63BC2" w:rsidRPr="00B25A10">
        <w:rPr>
          <w:rFonts w:ascii="Times New Roman" w:eastAsia="Calibri" w:hAnsi="Times New Roman" w:cs="Times New Roman"/>
          <w:b/>
          <w:sz w:val="24"/>
          <w:szCs w:val="24"/>
        </w:rPr>
        <w:t xml:space="preserve">86 ust. 10d, art. 86a ust. 1 i </w:t>
      </w:r>
      <w:r w:rsidR="00023E6E">
        <w:rPr>
          <w:rFonts w:ascii="Times New Roman" w:eastAsia="Calibri" w:hAnsi="Times New Roman" w:cs="Times New Roman"/>
          <w:b/>
          <w:sz w:val="24"/>
          <w:szCs w:val="24"/>
        </w:rPr>
        <w:t xml:space="preserve">art. </w:t>
      </w:r>
      <w:r w:rsidRPr="00B25A10">
        <w:rPr>
          <w:rFonts w:ascii="Times New Roman" w:eastAsia="Calibri" w:hAnsi="Times New Roman" w:cs="Times New Roman"/>
          <w:b/>
          <w:sz w:val="24"/>
          <w:szCs w:val="24"/>
        </w:rPr>
        <w:t xml:space="preserve">87 ust. 6  </w:t>
      </w:r>
    </w:p>
    <w:p w14:paraId="6A507AED" w14:textId="358BC12C" w:rsidR="00A93B40" w:rsidRDefault="003854A9" w:rsidP="002B0551">
      <w:pPr>
        <w:suppressAutoHyphens/>
        <w:autoSpaceDE w:val="0"/>
        <w:autoSpaceDN w:val="0"/>
        <w:adjustRightInd w:val="0"/>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Zmian</w:t>
      </w:r>
      <w:r w:rsidR="00C63BC2" w:rsidRPr="00B25A10">
        <w:rPr>
          <w:rFonts w:ascii="Times New Roman" w:eastAsia="Calibri" w:hAnsi="Times New Roman" w:cs="Times New Roman"/>
          <w:sz w:val="24"/>
          <w:szCs w:val="24"/>
        </w:rPr>
        <w:t xml:space="preserve">y w wymienionych przepisach </w:t>
      </w:r>
      <w:r w:rsidRPr="00B25A10">
        <w:rPr>
          <w:rFonts w:ascii="Times New Roman" w:eastAsia="Calibri" w:hAnsi="Times New Roman" w:cs="Times New Roman"/>
          <w:sz w:val="24"/>
          <w:szCs w:val="24"/>
        </w:rPr>
        <w:t xml:space="preserve">ustawy </w:t>
      </w:r>
      <w:r w:rsidR="00553D73" w:rsidRPr="00B25A10">
        <w:rPr>
          <w:rFonts w:ascii="Times New Roman" w:eastAsia="Calibri" w:hAnsi="Times New Roman" w:cs="Times New Roman"/>
          <w:sz w:val="24"/>
          <w:szCs w:val="24"/>
        </w:rPr>
        <w:t xml:space="preserve">z dnia 11 marca 2004 r. </w:t>
      </w:r>
      <w:r w:rsidRPr="00B25A10">
        <w:rPr>
          <w:rFonts w:ascii="Times New Roman" w:eastAsia="Calibri" w:hAnsi="Times New Roman" w:cs="Times New Roman"/>
          <w:sz w:val="24"/>
          <w:szCs w:val="24"/>
        </w:rPr>
        <w:t>o podatku od towarów i usług związan</w:t>
      </w:r>
      <w:r w:rsidR="00C63BC2" w:rsidRPr="00B25A10">
        <w:rPr>
          <w:rFonts w:ascii="Times New Roman" w:eastAsia="Calibri" w:hAnsi="Times New Roman" w:cs="Times New Roman"/>
          <w:sz w:val="24"/>
          <w:szCs w:val="24"/>
        </w:rPr>
        <w:t>e</w:t>
      </w:r>
      <w:r w:rsidRPr="00B25A10">
        <w:rPr>
          <w:rFonts w:ascii="Times New Roman" w:eastAsia="Calibri" w:hAnsi="Times New Roman" w:cs="Times New Roman"/>
          <w:sz w:val="24"/>
          <w:szCs w:val="24"/>
        </w:rPr>
        <w:t xml:space="preserve"> </w:t>
      </w:r>
      <w:r w:rsidR="00C63BC2" w:rsidRPr="00B25A10">
        <w:rPr>
          <w:rFonts w:ascii="Times New Roman" w:eastAsia="Calibri" w:hAnsi="Times New Roman" w:cs="Times New Roman"/>
          <w:sz w:val="24"/>
          <w:szCs w:val="24"/>
        </w:rPr>
        <w:t>są</w:t>
      </w:r>
      <w:r w:rsidRPr="00B25A10">
        <w:rPr>
          <w:rFonts w:ascii="Times New Roman" w:eastAsia="Calibri" w:hAnsi="Times New Roman" w:cs="Times New Roman"/>
          <w:sz w:val="24"/>
          <w:szCs w:val="24"/>
        </w:rPr>
        <w:t xml:space="preserve"> z dodaniem w art. 33 </w:t>
      </w:r>
      <w:r w:rsidR="00553D73" w:rsidRPr="00B25A10">
        <w:rPr>
          <w:rFonts w:ascii="Times New Roman" w:eastAsia="Calibri" w:hAnsi="Times New Roman" w:cs="Times New Roman"/>
          <w:sz w:val="24"/>
          <w:szCs w:val="24"/>
        </w:rPr>
        <w:t xml:space="preserve">tej ustawy </w:t>
      </w:r>
      <w:r w:rsidRPr="00B25A10">
        <w:rPr>
          <w:rFonts w:ascii="Times New Roman" w:eastAsia="Calibri" w:hAnsi="Times New Roman" w:cs="Times New Roman"/>
          <w:sz w:val="24"/>
          <w:szCs w:val="24"/>
        </w:rPr>
        <w:t>nowego ust. 2a.</w:t>
      </w:r>
    </w:p>
    <w:p w14:paraId="2C88CE82" w14:textId="77777777" w:rsidR="00D514F8" w:rsidRPr="00B25A10" w:rsidRDefault="00D514F8" w:rsidP="009612DF">
      <w:pPr>
        <w:suppressAutoHyphens/>
        <w:autoSpaceDE w:val="0"/>
        <w:autoSpaceDN w:val="0"/>
        <w:adjustRightInd w:val="0"/>
        <w:spacing w:before="840"/>
        <w:jc w:val="both"/>
        <w:rPr>
          <w:rFonts w:ascii="Times New Roman" w:eastAsia="Times New Roman" w:hAnsi="Times New Roman" w:cs="Times New Roman"/>
          <w:b/>
          <w:sz w:val="24"/>
          <w:szCs w:val="24"/>
          <w:u w:val="single"/>
          <w:lang w:eastAsia="pl-PL"/>
        </w:rPr>
      </w:pPr>
      <w:r w:rsidRPr="00B25A10">
        <w:rPr>
          <w:rFonts w:ascii="Times New Roman" w:eastAsia="Times New Roman" w:hAnsi="Times New Roman" w:cs="Times New Roman"/>
          <w:b/>
          <w:sz w:val="24"/>
          <w:szCs w:val="24"/>
          <w:u w:val="single"/>
          <w:lang w:eastAsia="pl-PL"/>
        </w:rPr>
        <w:t>Zmiana ustawy z dnia 16 grudnia 2005 r. o Funduszu Kolejowym</w:t>
      </w:r>
    </w:p>
    <w:p w14:paraId="17672719" w14:textId="07B849C7" w:rsidR="00D514F8" w:rsidRPr="00B25A10" w:rsidRDefault="00D514F8" w:rsidP="002B0551">
      <w:pPr>
        <w:spacing w:before="120" w:after="0" w:line="360" w:lineRule="auto"/>
        <w:jc w:val="both"/>
        <w:rPr>
          <w:rFonts w:ascii="Times New Roman" w:hAnsi="Times New Roman" w:cs="Times New Roman"/>
          <w:bCs/>
          <w:sz w:val="24"/>
          <w:szCs w:val="24"/>
        </w:rPr>
      </w:pPr>
      <w:r w:rsidRPr="00B25A10">
        <w:rPr>
          <w:rFonts w:ascii="Times New Roman" w:hAnsi="Times New Roman" w:cs="Times New Roman"/>
          <w:bCs/>
          <w:sz w:val="24"/>
          <w:szCs w:val="24"/>
        </w:rPr>
        <w:t>Zmiana wprowadzona w art.</w:t>
      </w:r>
      <w:r w:rsidR="00B34DC6" w:rsidRPr="00B25A10">
        <w:rPr>
          <w:rFonts w:ascii="Times New Roman" w:hAnsi="Times New Roman" w:cs="Times New Roman"/>
          <w:bCs/>
          <w:sz w:val="24"/>
          <w:szCs w:val="24"/>
        </w:rPr>
        <w:t xml:space="preserve"> </w:t>
      </w:r>
      <w:r w:rsidR="004F5808" w:rsidRPr="00B25A10">
        <w:rPr>
          <w:rFonts w:ascii="Times New Roman" w:hAnsi="Times New Roman" w:cs="Times New Roman"/>
          <w:bCs/>
          <w:sz w:val="24"/>
          <w:szCs w:val="24"/>
        </w:rPr>
        <w:t>8</w:t>
      </w:r>
      <w:r w:rsidRPr="00B25A10">
        <w:rPr>
          <w:rFonts w:ascii="Times New Roman" w:hAnsi="Times New Roman" w:cs="Times New Roman"/>
          <w:bCs/>
          <w:sz w:val="24"/>
          <w:szCs w:val="24"/>
        </w:rPr>
        <w:t xml:space="preserve"> dotycząca uchylenia art. 12 pkt 3 ustawy z dnia 16 grudnia 2005</w:t>
      </w:r>
      <w:r w:rsidR="009612DF">
        <w:rPr>
          <w:rFonts w:ascii="Times New Roman" w:hAnsi="Times New Roman" w:cs="Times New Roman"/>
          <w:bCs/>
          <w:sz w:val="24"/>
          <w:szCs w:val="24"/>
        </w:rPr>
        <w:t> </w:t>
      </w:r>
      <w:r w:rsidRPr="00B25A10">
        <w:rPr>
          <w:rFonts w:ascii="Times New Roman" w:hAnsi="Times New Roman" w:cs="Times New Roman"/>
          <w:bCs/>
          <w:sz w:val="24"/>
          <w:szCs w:val="24"/>
        </w:rPr>
        <w:t xml:space="preserve">r. o Funduszu Kolejowym ma charakter porządkujący i jest analogiczna do zmiany wprowadzonej w art. 1 pkt 9 projektowanej ustawy, czyli uchylenia art. 39l pkt 3 w ustawie o autostradach płatnych oraz o Krajowym Funduszu Drogowym. </w:t>
      </w:r>
    </w:p>
    <w:p w14:paraId="6B53A3B3" w14:textId="77777777" w:rsidR="00712E99" w:rsidRPr="00B25A10" w:rsidRDefault="00712E99" w:rsidP="00B25A10">
      <w:pPr>
        <w:suppressAutoHyphens/>
        <w:autoSpaceDE w:val="0"/>
        <w:autoSpaceDN w:val="0"/>
        <w:adjustRightInd w:val="0"/>
        <w:spacing w:before="120"/>
        <w:jc w:val="both"/>
        <w:rPr>
          <w:rFonts w:ascii="Times New Roman" w:eastAsia="Times New Roman" w:hAnsi="Times New Roman" w:cs="Times New Roman"/>
          <w:b/>
          <w:sz w:val="24"/>
          <w:szCs w:val="24"/>
          <w:u w:val="single"/>
          <w:lang w:eastAsia="pl-PL"/>
        </w:rPr>
      </w:pPr>
      <w:r w:rsidRPr="00B25A10">
        <w:rPr>
          <w:rFonts w:ascii="Times New Roman" w:eastAsia="Times New Roman" w:hAnsi="Times New Roman" w:cs="Times New Roman"/>
          <w:b/>
          <w:sz w:val="24"/>
          <w:szCs w:val="24"/>
          <w:u w:val="single"/>
          <w:lang w:eastAsia="pl-PL"/>
        </w:rPr>
        <w:t xml:space="preserve">Zmiany ustawy </w:t>
      </w:r>
      <w:r w:rsidR="009D689B" w:rsidRPr="00B25A10">
        <w:rPr>
          <w:rFonts w:ascii="Times New Roman" w:eastAsia="Times New Roman" w:hAnsi="Times New Roman" w:cs="Times New Roman"/>
          <w:b/>
          <w:sz w:val="24"/>
          <w:szCs w:val="24"/>
          <w:u w:val="single"/>
          <w:lang w:eastAsia="pl-PL"/>
        </w:rPr>
        <w:t>z dnia 6 grudnia 2008 r.</w:t>
      </w:r>
      <w:r w:rsidR="00A93B40" w:rsidRPr="00B25A10">
        <w:rPr>
          <w:rFonts w:ascii="Times New Roman" w:eastAsia="Times New Roman" w:hAnsi="Times New Roman" w:cs="Times New Roman"/>
          <w:b/>
          <w:sz w:val="24"/>
          <w:szCs w:val="24"/>
          <w:u w:val="single"/>
          <w:lang w:eastAsia="pl-PL"/>
        </w:rPr>
        <w:t xml:space="preserve"> </w:t>
      </w:r>
      <w:r w:rsidRPr="00B25A10">
        <w:rPr>
          <w:rFonts w:ascii="Times New Roman" w:eastAsia="Times New Roman" w:hAnsi="Times New Roman" w:cs="Times New Roman"/>
          <w:b/>
          <w:sz w:val="24"/>
          <w:szCs w:val="24"/>
          <w:u w:val="single"/>
          <w:lang w:eastAsia="pl-PL"/>
        </w:rPr>
        <w:t xml:space="preserve">o podatku akcyzowym </w:t>
      </w:r>
    </w:p>
    <w:p w14:paraId="02BBFE05" w14:textId="77777777" w:rsidR="00712E99" w:rsidRPr="00B25A10" w:rsidRDefault="00712E99" w:rsidP="00B25A10">
      <w:pPr>
        <w:suppressAutoHyphens/>
        <w:autoSpaceDE w:val="0"/>
        <w:autoSpaceDN w:val="0"/>
        <w:adjustRightInd w:val="0"/>
        <w:spacing w:before="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 xml:space="preserve">zmiana art. 6 </w:t>
      </w:r>
    </w:p>
    <w:p w14:paraId="010CC031" w14:textId="77777777" w:rsidR="00FD5394" w:rsidRPr="00B25A10" w:rsidRDefault="00FD5394"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Zmiana art. 6 ustawy z dnia 6 grudnia 2008 r. o podatku akcyzowym wynika z potrzeby doprecyzowania tego przepisu.</w:t>
      </w:r>
    </w:p>
    <w:p w14:paraId="6135B805" w14:textId="77777777" w:rsidR="00FD5394" w:rsidRPr="00B25A10" w:rsidRDefault="00FD5394"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Zgodnie z obecnym brzmieniem art. 6 powołanej ustawy, do postępowań w sprawach wynikających z ustawy o podatku akcyzowym stosuje się przepisy Ordynacji podatkowej, chyba że przepisy ustawy o podatku akcyzowym stanowią inaczej. Zastosowane w przepisie sformułowanie „Do postępowań w sprawach” może być odczytywane w ten sposób, że do akcyzy mają zastosowanie jedynie te przepisy Ordynacji podatkowej, które dotyczą stricte </w:t>
      </w:r>
      <w:r w:rsidRPr="00B25A10">
        <w:rPr>
          <w:rFonts w:ascii="Times New Roman" w:eastAsia="Calibri" w:hAnsi="Times New Roman" w:cs="Times New Roman"/>
          <w:sz w:val="24"/>
          <w:szCs w:val="24"/>
        </w:rPr>
        <w:lastRenderedPageBreak/>
        <w:t>postępowania. Tymczasem w praktyce przepisy Ordynacji podatkowej stosuje się nie tylko do postępowań w sprawach wynikających z przepisów o akcyzie, ale również do innych kwestii nieuregulowanych przepisami o akcyzie, w tym do przedawnienia zobowiązań z tytułu akcyzy. W związku z tym w art. 6 ustawy o podatku akcyzowym proponuje się zastąpić wyrazy „Do postępowań w sprawach” wyrazami „W sprawach”.</w:t>
      </w:r>
    </w:p>
    <w:p w14:paraId="64E18CB2" w14:textId="77777777" w:rsidR="00FD5394" w:rsidRPr="00B25A10" w:rsidRDefault="00FD5394"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Ponadto proponuje się zastąpienie wyrazów „w sprawach wynikających z przepisów niniejszej ustawy” wyrazami „w sprawach wynikających z przepisów o akcyzie”.  Zastosowanie nowego, bardziej ogólnego określenia pozwoli na uniknięcie mogących powstać w praktyce wątpliwości co do przepisów, które powinny być stosowane w sprawach, które bezpośrednio nie wynikają z przepisów ustawy o podatku akcyzowym, ale wynikają wprost z przepisów rozporządzeń </w:t>
      </w:r>
      <w:r w:rsidR="0053087B" w:rsidRPr="00B25A10">
        <w:rPr>
          <w:rFonts w:ascii="Times New Roman" w:eastAsia="Calibri" w:hAnsi="Times New Roman" w:cs="Times New Roman"/>
          <w:sz w:val="24"/>
          <w:szCs w:val="24"/>
        </w:rPr>
        <w:t xml:space="preserve">unijnych </w:t>
      </w:r>
      <w:r w:rsidRPr="00B25A10">
        <w:rPr>
          <w:rFonts w:ascii="Times New Roman" w:eastAsia="Calibri" w:hAnsi="Times New Roman" w:cs="Times New Roman"/>
          <w:sz w:val="24"/>
          <w:szCs w:val="24"/>
        </w:rPr>
        <w:t>z zakresu akcyzy.</w:t>
      </w:r>
    </w:p>
    <w:p w14:paraId="3BDF838C" w14:textId="464F2ECE" w:rsidR="00712E99" w:rsidRPr="00B25A10" w:rsidRDefault="00060AB4" w:rsidP="00B25A10">
      <w:pPr>
        <w:suppressAutoHyphens/>
        <w:autoSpaceDE w:val="0"/>
        <w:autoSpaceDN w:val="0"/>
        <w:adjustRightInd w:val="0"/>
        <w:spacing w:before="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z</w:t>
      </w:r>
      <w:r w:rsidR="00712E99" w:rsidRPr="00B25A10">
        <w:rPr>
          <w:rFonts w:ascii="Times New Roman" w:eastAsia="Times New Roman" w:hAnsi="Times New Roman" w:cs="Times New Roman"/>
          <w:b/>
          <w:sz w:val="24"/>
          <w:szCs w:val="24"/>
          <w:lang w:eastAsia="pl-PL"/>
        </w:rPr>
        <w:t>miana art. 14 przez dodanie ust. 3</w:t>
      </w:r>
      <w:r w:rsidRPr="00B25A10">
        <w:rPr>
          <w:rFonts w:ascii="Times New Roman" w:eastAsia="Times New Roman" w:hAnsi="Times New Roman" w:cs="Times New Roman"/>
          <w:b/>
          <w:sz w:val="24"/>
          <w:szCs w:val="24"/>
          <w:lang w:eastAsia="pl-PL"/>
        </w:rPr>
        <w:t>d</w:t>
      </w:r>
      <w:r w:rsidR="00712E99" w:rsidRPr="00B25A10">
        <w:rPr>
          <w:rFonts w:ascii="Times New Roman" w:eastAsia="Times New Roman" w:hAnsi="Times New Roman" w:cs="Times New Roman"/>
          <w:b/>
          <w:sz w:val="24"/>
          <w:szCs w:val="24"/>
          <w:lang w:eastAsia="pl-PL"/>
        </w:rPr>
        <w:t xml:space="preserve"> i zmiana ust. 4a </w:t>
      </w:r>
    </w:p>
    <w:p w14:paraId="08C66782" w14:textId="66C37FD5"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Proponowane dodanie w art. 14 ust. 3</w:t>
      </w:r>
      <w:r w:rsidR="00060AB4" w:rsidRPr="00B25A10">
        <w:rPr>
          <w:rFonts w:ascii="Times New Roman" w:eastAsia="Times New Roman" w:hAnsi="Times New Roman" w:cs="Times New Roman"/>
          <w:sz w:val="24"/>
          <w:szCs w:val="24"/>
          <w:lang w:eastAsia="pl-PL"/>
        </w:rPr>
        <w:t>d</w:t>
      </w:r>
      <w:r w:rsidRPr="00B25A10">
        <w:rPr>
          <w:rFonts w:ascii="Times New Roman" w:eastAsia="Times New Roman" w:hAnsi="Times New Roman" w:cs="Times New Roman"/>
          <w:sz w:val="24"/>
          <w:szCs w:val="24"/>
          <w:lang w:eastAsia="pl-PL"/>
        </w:rPr>
        <w:t xml:space="preserve"> ustawy o podatku akcyzowym jest powiązane z dodaniem </w:t>
      </w:r>
      <w:r w:rsidR="00060AB4" w:rsidRPr="00B25A10">
        <w:rPr>
          <w:rFonts w:ascii="Times New Roman" w:eastAsia="Times New Roman" w:hAnsi="Times New Roman" w:cs="Times New Roman"/>
          <w:sz w:val="24"/>
          <w:szCs w:val="24"/>
          <w:lang w:eastAsia="pl-PL"/>
        </w:rPr>
        <w:t xml:space="preserve">w Prawie celnym w </w:t>
      </w:r>
      <w:r w:rsidRPr="00B25A10">
        <w:rPr>
          <w:rFonts w:ascii="Times New Roman" w:eastAsia="Times New Roman" w:hAnsi="Times New Roman" w:cs="Times New Roman"/>
          <w:sz w:val="24"/>
          <w:szCs w:val="24"/>
          <w:lang w:eastAsia="pl-PL"/>
        </w:rPr>
        <w:t xml:space="preserve">art. 66 ust. 1a </w:t>
      </w:r>
      <w:r w:rsidR="00060AB4" w:rsidRPr="00B25A10">
        <w:rPr>
          <w:rFonts w:ascii="Times New Roman" w:eastAsia="Times New Roman" w:hAnsi="Times New Roman" w:cs="Times New Roman"/>
          <w:sz w:val="24"/>
          <w:szCs w:val="24"/>
          <w:lang w:eastAsia="pl-PL"/>
        </w:rPr>
        <w:t xml:space="preserve">i </w:t>
      </w:r>
      <w:r w:rsidRPr="00B25A10">
        <w:rPr>
          <w:rFonts w:ascii="Times New Roman" w:eastAsia="Times New Roman" w:hAnsi="Times New Roman" w:cs="Times New Roman"/>
          <w:sz w:val="24"/>
          <w:szCs w:val="24"/>
          <w:lang w:eastAsia="pl-PL"/>
        </w:rPr>
        <w:t xml:space="preserve">w ustawie </w:t>
      </w:r>
      <w:r w:rsidR="00060AB4" w:rsidRPr="00B25A10">
        <w:rPr>
          <w:rFonts w:ascii="Times New Roman" w:eastAsia="Times New Roman" w:hAnsi="Times New Roman" w:cs="Times New Roman"/>
          <w:sz w:val="24"/>
          <w:szCs w:val="24"/>
          <w:lang w:eastAsia="pl-PL"/>
        </w:rPr>
        <w:t xml:space="preserve">z dnia 11 marca 2004 r. </w:t>
      </w:r>
      <w:r w:rsidRPr="00B25A10">
        <w:rPr>
          <w:rFonts w:ascii="Times New Roman" w:eastAsia="Times New Roman" w:hAnsi="Times New Roman" w:cs="Times New Roman"/>
          <w:sz w:val="24"/>
          <w:szCs w:val="24"/>
          <w:lang w:eastAsia="pl-PL"/>
        </w:rPr>
        <w:t>o podatku od towarów i usług</w:t>
      </w:r>
      <w:r w:rsidR="00060AB4" w:rsidRPr="00B25A10">
        <w:rPr>
          <w:rFonts w:ascii="Times New Roman" w:eastAsia="Times New Roman" w:hAnsi="Times New Roman" w:cs="Times New Roman"/>
          <w:sz w:val="24"/>
          <w:szCs w:val="24"/>
          <w:lang w:eastAsia="pl-PL"/>
        </w:rPr>
        <w:t xml:space="preserve"> art. 39a. </w:t>
      </w:r>
      <w:r w:rsidRPr="00B25A10">
        <w:rPr>
          <w:rFonts w:ascii="Times New Roman" w:eastAsia="Times New Roman" w:hAnsi="Times New Roman" w:cs="Times New Roman"/>
          <w:sz w:val="24"/>
          <w:szCs w:val="24"/>
          <w:lang w:eastAsia="pl-PL"/>
        </w:rPr>
        <w:t>Stanowi on, analogicznie jak we wskazanych ustawach, że organem podatkowym właściwym w sprawie orzekania o odpowiedzialności osoby trzeciej za zaległości podatkowe podatnika w zakresie akcyzy z tytułu importu towarów jest naczelnik urzędu celno</w:t>
      </w:r>
      <w:r w:rsidR="009612DF">
        <w:rPr>
          <w:rFonts w:ascii="Times New Roman" w:eastAsia="Times New Roman" w:hAnsi="Times New Roman" w:cs="Times New Roman"/>
          <w:sz w:val="24"/>
          <w:szCs w:val="24"/>
          <w:lang w:eastAsia="pl-PL"/>
        </w:rPr>
        <w:noBreakHyphen/>
      </w:r>
      <w:r w:rsidRPr="00B25A10">
        <w:rPr>
          <w:rFonts w:ascii="Times New Roman" w:eastAsia="Times New Roman" w:hAnsi="Times New Roman" w:cs="Times New Roman"/>
          <w:sz w:val="24"/>
          <w:szCs w:val="24"/>
          <w:lang w:eastAsia="pl-PL"/>
        </w:rPr>
        <w:t>skarbowego właściwy do obliczenia i zaksięgowania kwoty należności celnych przywozowych wynikających z długu celnego i właściwy dla tego naczelnika dyrektor izby administracji skarbowej.</w:t>
      </w:r>
    </w:p>
    <w:p w14:paraId="3E7D8AF1" w14:textId="2C0BF8B8"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Dodanie tego przepisu ma na celu usunięcie wątpliwości interpretacyjnych opisanych w uzasadnieniu do zmiany art. 66 Prawa celnego. Ze względu na swoją specyfikę podatek akcyzowy z tytułu importu towarów, tak jak podatek od towarów i usług, jest ściśle powiązany z przepisami celnymi. </w:t>
      </w:r>
    </w:p>
    <w:p w14:paraId="71481989" w14:textId="77777777"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W myśl art. 14 ust. 1b ustawy </w:t>
      </w:r>
      <w:r w:rsidR="00060AB4" w:rsidRPr="00B25A10">
        <w:rPr>
          <w:rFonts w:ascii="Times New Roman" w:eastAsia="Times New Roman" w:hAnsi="Times New Roman" w:cs="Times New Roman"/>
          <w:sz w:val="24"/>
          <w:szCs w:val="24"/>
          <w:lang w:eastAsia="pl-PL"/>
        </w:rPr>
        <w:t xml:space="preserve">z dnia 6 grudnia 2008 r. </w:t>
      </w:r>
      <w:r w:rsidRPr="00B25A10">
        <w:rPr>
          <w:rFonts w:ascii="Times New Roman" w:eastAsia="Times New Roman" w:hAnsi="Times New Roman" w:cs="Times New Roman"/>
          <w:sz w:val="24"/>
          <w:szCs w:val="24"/>
          <w:lang w:eastAsia="pl-PL"/>
        </w:rPr>
        <w:t xml:space="preserve">o podatku akcyzowym, naczelnik urzędu celno-skarbowego jest organem podatkowym właściwym w zakresie akcyzy z tytułu importu i eksportu, z wyłączeniem poboru, oraz w zakresie wydania decyzji w przypadku stwierdzenia nieprawidłowości w wyniku kontroli celno-skarbowej. </w:t>
      </w:r>
    </w:p>
    <w:p w14:paraId="7608A2BD" w14:textId="750BF6E7"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Zgodnie z przyjętą interpretacją, postępowanie dążące do wydania decyzji o odpowiedzialności osoby trzeciej za zaległości w podatku akcyzowym z tytułu importu nie stanowi czynności poboru, o których mowa w ww. przepisie. Właściwym rzeczowo do </w:t>
      </w:r>
      <w:r w:rsidRPr="00B25A10">
        <w:rPr>
          <w:rFonts w:ascii="Times New Roman" w:eastAsia="Times New Roman" w:hAnsi="Times New Roman" w:cs="Times New Roman"/>
          <w:sz w:val="24"/>
          <w:szCs w:val="24"/>
          <w:lang w:eastAsia="pl-PL"/>
        </w:rPr>
        <w:lastRenderedPageBreak/>
        <w:t>wydania decyzji o odpowiedzialności osoby trzeciej za zaległości spółki w podatku akcyzowym z tytułu importu jest zatem naczelnik urzędu celno-skarbowego.</w:t>
      </w:r>
    </w:p>
    <w:p w14:paraId="4458242C" w14:textId="2BFF2828"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Dodanie przepisu art. 14 ust. 3</w:t>
      </w:r>
      <w:r w:rsidR="00023E6E">
        <w:rPr>
          <w:rFonts w:ascii="Times New Roman" w:eastAsia="Times New Roman" w:hAnsi="Times New Roman" w:cs="Times New Roman"/>
          <w:sz w:val="24"/>
          <w:szCs w:val="24"/>
          <w:lang w:eastAsia="pl-PL"/>
        </w:rPr>
        <w:t>d</w:t>
      </w:r>
      <w:r w:rsidRPr="00B25A10">
        <w:rPr>
          <w:rFonts w:ascii="Times New Roman" w:eastAsia="Times New Roman" w:hAnsi="Times New Roman" w:cs="Times New Roman"/>
          <w:sz w:val="24"/>
          <w:szCs w:val="24"/>
          <w:lang w:eastAsia="pl-PL"/>
        </w:rPr>
        <w:t xml:space="preserve"> wyeliminuje wątpliwości interpretacyjne w zakresie orzekania o odpowiedzialności osób trzecich za zaległości w zakresie akcyzy z tytułu importu. </w:t>
      </w:r>
    </w:p>
    <w:p w14:paraId="04707B0A" w14:textId="77777777"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Natomiast zmiana ust. 4a w art. 14 ustawy, dotyczącego kwestii ustalania właściwości miejscowej organu podatkowego, w przypadku gdy czynność jest wykonywana lub stan faktyczny występuje na obszarze właściwości miejscowej więcej niż jednego organu, polega na uzupełnieniu zastrzeżenia zawartego w tym przepisie, ograniczającego możliwość dokonania przez podatnika wyboru organu podatkowego o dodany ust. 3</w:t>
      </w:r>
      <w:r w:rsidR="002F3D5C" w:rsidRPr="00B25A10">
        <w:rPr>
          <w:rFonts w:ascii="Times New Roman" w:eastAsia="Times New Roman" w:hAnsi="Times New Roman" w:cs="Times New Roman"/>
          <w:sz w:val="24"/>
          <w:szCs w:val="24"/>
          <w:lang w:eastAsia="pl-PL"/>
        </w:rPr>
        <w:t>d</w:t>
      </w:r>
      <w:r w:rsidRPr="00B25A10">
        <w:rPr>
          <w:rFonts w:ascii="Times New Roman" w:eastAsia="Times New Roman" w:hAnsi="Times New Roman" w:cs="Times New Roman"/>
          <w:sz w:val="24"/>
          <w:szCs w:val="24"/>
          <w:lang w:eastAsia="pl-PL"/>
        </w:rPr>
        <w:t>.</w:t>
      </w:r>
    </w:p>
    <w:p w14:paraId="6A2CD3F2" w14:textId="4E504B90" w:rsidR="00712E99" w:rsidRPr="00B25A10" w:rsidRDefault="00712E99" w:rsidP="00B25A10">
      <w:pPr>
        <w:suppressAutoHyphens/>
        <w:autoSpaceDE w:val="0"/>
        <w:autoSpaceDN w:val="0"/>
        <w:adjustRightInd w:val="0"/>
        <w:spacing w:before="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zmiany art. 27 ust. 4</w:t>
      </w:r>
      <w:r w:rsidR="00291F05" w:rsidRPr="00B25A10">
        <w:rPr>
          <w:rFonts w:ascii="Times New Roman" w:hAnsi="Times New Roman" w:cs="Times New Roman"/>
          <w:sz w:val="24"/>
          <w:szCs w:val="24"/>
        </w:rPr>
        <w:t>–</w:t>
      </w:r>
      <w:r w:rsidRPr="00B25A10">
        <w:rPr>
          <w:rFonts w:ascii="Times New Roman" w:eastAsia="Times New Roman" w:hAnsi="Times New Roman" w:cs="Times New Roman"/>
          <w:b/>
          <w:sz w:val="24"/>
          <w:szCs w:val="24"/>
          <w:lang w:eastAsia="pl-PL"/>
        </w:rPr>
        <w:t>6c</w:t>
      </w:r>
    </w:p>
    <w:p w14:paraId="54CBD649" w14:textId="77777777"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sz w:val="24"/>
          <w:szCs w:val="24"/>
          <w:lang w:eastAsia="pl-PL"/>
        </w:rPr>
        <w:t xml:space="preserve">Uzasadnienie zmian wprowadzonych w art. 27 analogiczne jak do zmian w art. 33 i </w:t>
      </w:r>
      <w:r w:rsidR="00023E6E">
        <w:rPr>
          <w:rFonts w:ascii="Times New Roman" w:eastAsia="Times New Roman" w:hAnsi="Times New Roman" w:cs="Times New Roman"/>
          <w:sz w:val="24"/>
          <w:szCs w:val="24"/>
          <w:lang w:eastAsia="pl-PL"/>
        </w:rPr>
        <w:t xml:space="preserve">art. </w:t>
      </w:r>
      <w:r w:rsidRPr="00B25A10">
        <w:rPr>
          <w:rFonts w:ascii="Times New Roman" w:eastAsia="Times New Roman" w:hAnsi="Times New Roman" w:cs="Times New Roman"/>
          <w:sz w:val="24"/>
          <w:szCs w:val="24"/>
          <w:lang w:eastAsia="pl-PL"/>
        </w:rPr>
        <w:t xml:space="preserve">34 ustawy </w:t>
      </w:r>
      <w:r w:rsidR="002F3D5C" w:rsidRPr="00B25A10">
        <w:rPr>
          <w:rFonts w:ascii="Times New Roman" w:eastAsia="Times New Roman" w:hAnsi="Times New Roman" w:cs="Times New Roman"/>
          <w:sz w:val="24"/>
          <w:szCs w:val="24"/>
          <w:lang w:eastAsia="pl-PL"/>
        </w:rPr>
        <w:t xml:space="preserve">z dnia 11 marca 2004 r. </w:t>
      </w:r>
      <w:r w:rsidRPr="00B25A10">
        <w:rPr>
          <w:rFonts w:ascii="Times New Roman" w:eastAsia="Times New Roman" w:hAnsi="Times New Roman" w:cs="Times New Roman"/>
          <w:sz w:val="24"/>
          <w:szCs w:val="24"/>
          <w:lang w:eastAsia="pl-PL"/>
        </w:rPr>
        <w:t xml:space="preserve">o podatku od towarów i usług.  </w:t>
      </w:r>
      <w:r w:rsidRPr="00B25A10">
        <w:rPr>
          <w:rFonts w:ascii="Times New Roman" w:eastAsia="Times New Roman" w:hAnsi="Times New Roman" w:cs="Times New Roman"/>
          <w:b/>
          <w:sz w:val="24"/>
          <w:szCs w:val="24"/>
          <w:lang w:eastAsia="pl-PL"/>
        </w:rPr>
        <w:t xml:space="preserve"> </w:t>
      </w:r>
    </w:p>
    <w:p w14:paraId="2AE89386" w14:textId="6613E72B" w:rsidR="00712E99" w:rsidRPr="00B25A10" w:rsidRDefault="00712E99" w:rsidP="00B25A10">
      <w:pPr>
        <w:suppressAutoHyphens/>
        <w:autoSpaceDE w:val="0"/>
        <w:autoSpaceDN w:val="0"/>
        <w:adjustRightInd w:val="0"/>
        <w:spacing w:before="120"/>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b/>
          <w:sz w:val="24"/>
          <w:szCs w:val="24"/>
          <w:lang w:eastAsia="pl-PL"/>
        </w:rPr>
        <w:t>zmiany art. 28 ust. 1</w:t>
      </w:r>
    </w:p>
    <w:p w14:paraId="37704FD3" w14:textId="4C2D2485"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Zgodnie z obecnym brzmieniem przepisu w odniesieniu do terminów i sposobu zapłaty akcyzy z tytułu importu nie stosuje się przedłużenia terminu zapłaty, odroczenia terminu płatności oraz innych ułatwień płatniczych określonych przepisami prawa celnego. Tymczasem w tytule III, w rozdziale 3, w sekcji 2 UKC, dotyczącej zapłaty należności celnych przywozowych lub wywozowych, przewidziano jeszcze jedno ułatwienie płatnicze </w:t>
      </w:r>
      <w:r w:rsidR="00DD6DEF" w:rsidRPr="00B25A10">
        <w:rPr>
          <w:rFonts w:ascii="Times New Roman" w:hAnsi="Times New Roman" w:cs="Times New Roman"/>
          <w:sz w:val="24"/>
          <w:szCs w:val="24"/>
        </w:rPr>
        <w:t>–</w:t>
      </w:r>
      <w:r w:rsidR="00DD6DEF">
        <w:rPr>
          <w:rFonts w:ascii="Times New Roman" w:hAnsi="Times New Roman" w:cs="Times New Roman"/>
          <w:sz w:val="24"/>
          <w:szCs w:val="24"/>
        </w:rPr>
        <w:t xml:space="preserve"> </w:t>
      </w:r>
      <w:r w:rsidRPr="00B25A10">
        <w:rPr>
          <w:rFonts w:ascii="Times New Roman" w:eastAsia="Times New Roman" w:hAnsi="Times New Roman" w:cs="Times New Roman"/>
          <w:sz w:val="24"/>
          <w:szCs w:val="24"/>
          <w:lang w:eastAsia="pl-PL"/>
        </w:rPr>
        <w:t>zawieszenie biegu terminu zapłaty należności. W konsekwencji, w celu wyeliminowania wątpliwości interpretacyjnych</w:t>
      </w:r>
      <w:r w:rsidR="00DD6DEF">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należy w art. 28 ust. 1 ustawy o podatku akcyzowym wymienić wszystkie ułatwienia płatnicze określone w rozdziale 3, w sekcji 2 UKC, w tym  zawieszenie biegu terminu zapłaty należności.</w:t>
      </w:r>
    </w:p>
    <w:p w14:paraId="6AB32AD1" w14:textId="77777777" w:rsidR="00712E99" w:rsidRPr="00B25A10" w:rsidRDefault="00712E99" w:rsidP="00C247FD">
      <w:pPr>
        <w:spacing w:before="360"/>
        <w:jc w:val="both"/>
        <w:rPr>
          <w:rFonts w:ascii="Times New Roman" w:hAnsi="Times New Roman" w:cs="Times New Roman"/>
          <w:b/>
          <w:sz w:val="24"/>
          <w:szCs w:val="24"/>
          <w:u w:val="single"/>
        </w:rPr>
      </w:pPr>
      <w:r w:rsidRPr="00B25A10">
        <w:rPr>
          <w:rFonts w:ascii="Times New Roman" w:hAnsi="Times New Roman" w:cs="Times New Roman"/>
          <w:b/>
          <w:sz w:val="24"/>
          <w:szCs w:val="24"/>
          <w:u w:val="single"/>
        </w:rPr>
        <w:t xml:space="preserve">Zmiana ustawy </w:t>
      </w:r>
      <w:r w:rsidR="00A272AE" w:rsidRPr="00B25A10">
        <w:rPr>
          <w:rFonts w:ascii="Times New Roman" w:hAnsi="Times New Roman" w:cs="Times New Roman"/>
          <w:b/>
          <w:sz w:val="24"/>
          <w:szCs w:val="24"/>
          <w:u w:val="single"/>
        </w:rPr>
        <w:t xml:space="preserve">z dnia 19 listopada 2009 r. </w:t>
      </w:r>
      <w:r w:rsidRPr="00B25A10">
        <w:rPr>
          <w:rFonts w:ascii="Times New Roman" w:hAnsi="Times New Roman" w:cs="Times New Roman"/>
          <w:b/>
          <w:sz w:val="24"/>
          <w:szCs w:val="24"/>
          <w:u w:val="single"/>
        </w:rPr>
        <w:t>o grach hazardowych</w:t>
      </w:r>
    </w:p>
    <w:p w14:paraId="767E739B" w14:textId="2BA6D6A2"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hAnsi="Times New Roman" w:cs="Times New Roman"/>
          <w:sz w:val="24"/>
          <w:szCs w:val="24"/>
        </w:rPr>
        <w:t>Zaproponowane zmiany w ustawie z dnia 19 listopada 2009 r. o grach hazardowych (Dz. U. z 20</w:t>
      </w:r>
      <w:r w:rsidR="008075E8">
        <w:rPr>
          <w:rFonts w:ascii="Times New Roman" w:hAnsi="Times New Roman" w:cs="Times New Roman"/>
          <w:sz w:val="24"/>
          <w:szCs w:val="24"/>
        </w:rPr>
        <w:t>20</w:t>
      </w:r>
      <w:r w:rsidRPr="00B25A10">
        <w:rPr>
          <w:rFonts w:ascii="Times New Roman" w:hAnsi="Times New Roman" w:cs="Times New Roman"/>
          <w:sz w:val="24"/>
          <w:szCs w:val="24"/>
        </w:rPr>
        <w:t xml:space="preserve"> r. poz. </w:t>
      </w:r>
      <w:r w:rsidR="008075E8">
        <w:rPr>
          <w:rFonts w:ascii="Times New Roman" w:hAnsi="Times New Roman" w:cs="Times New Roman"/>
          <w:sz w:val="24"/>
          <w:szCs w:val="24"/>
        </w:rPr>
        <w:t>2094</w:t>
      </w:r>
      <w:r w:rsidR="002F3D5C" w:rsidRPr="00B25A10">
        <w:rPr>
          <w:rFonts w:ascii="Times New Roman" w:hAnsi="Times New Roman" w:cs="Times New Roman"/>
          <w:sz w:val="24"/>
          <w:szCs w:val="24"/>
        </w:rPr>
        <w:t>)</w:t>
      </w:r>
      <w:r w:rsidRPr="00B25A10">
        <w:rPr>
          <w:rFonts w:ascii="Times New Roman" w:hAnsi="Times New Roman" w:cs="Times New Roman"/>
          <w:sz w:val="24"/>
          <w:szCs w:val="24"/>
        </w:rPr>
        <w:t xml:space="preserve"> mają na celu odformalizowanie, uproszczenie i skrócenie procedur w zakresie czynności prowadzonych przez organy Krajowej Administracji Skarbowej, w tym również czynności kontrolnych. W związku z tym uzasadniona jest również nowelizacja ustawy o grach hazardowych mająca na celu optymalizację procedury wpisu do </w:t>
      </w:r>
      <w:r w:rsidR="00893ECC" w:rsidRPr="00B25A10">
        <w:rPr>
          <w:rFonts w:ascii="Times New Roman" w:hAnsi="Times New Roman" w:cs="Times New Roman"/>
          <w:sz w:val="24"/>
          <w:szCs w:val="24"/>
        </w:rPr>
        <w:t>R</w:t>
      </w:r>
      <w:r w:rsidRPr="00B25A10">
        <w:rPr>
          <w:rFonts w:ascii="Times New Roman" w:hAnsi="Times New Roman" w:cs="Times New Roman"/>
          <w:sz w:val="24"/>
          <w:szCs w:val="24"/>
        </w:rPr>
        <w:t xml:space="preserve">ejestru domen służących do oferowania gier hazardowych niezgodnie z ustawą o grach hazardowych, a także procedur związanych z wymierzaniem kar pieniężnych dla przedsiębiorców </w:t>
      </w:r>
      <w:r w:rsidRPr="00B25A10">
        <w:rPr>
          <w:rFonts w:ascii="Times New Roman" w:hAnsi="Times New Roman" w:cs="Times New Roman"/>
          <w:sz w:val="24"/>
          <w:szCs w:val="24"/>
        </w:rPr>
        <w:lastRenderedPageBreak/>
        <w:t>telekomunikacyjnych oraz dostawców usług płatniczych nieprzestrzegających przepisów ustawy o grach hazardowych, które zostaną przeniesione ze szczebla centralnego do odpowiedniego i przygotowanego do tego organu K</w:t>
      </w:r>
      <w:r w:rsidR="00893ECC" w:rsidRPr="00B25A10">
        <w:rPr>
          <w:rFonts w:ascii="Times New Roman" w:hAnsi="Times New Roman" w:cs="Times New Roman"/>
          <w:sz w:val="24"/>
          <w:szCs w:val="24"/>
        </w:rPr>
        <w:t xml:space="preserve">rajowej Administracji </w:t>
      </w:r>
      <w:r w:rsidRPr="00B25A10">
        <w:rPr>
          <w:rFonts w:ascii="Times New Roman" w:hAnsi="Times New Roman" w:cs="Times New Roman"/>
          <w:sz w:val="24"/>
          <w:szCs w:val="24"/>
        </w:rPr>
        <w:t>S</w:t>
      </w:r>
      <w:r w:rsidR="00893ECC" w:rsidRPr="00B25A10">
        <w:rPr>
          <w:rFonts w:ascii="Times New Roman" w:hAnsi="Times New Roman" w:cs="Times New Roman"/>
          <w:sz w:val="24"/>
          <w:szCs w:val="24"/>
        </w:rPr>
        <w:t>karbowej</w:t>
      </w:r>
      <w:r w:rsidRPr="00B25A10">
        <w:rPr>
          <w:rFonts w:ascii="Times New Roman" w:hAnsi="Times New Roman" w:cs="Times New Roman"/>
          <w:sz w:val="24"/>
          <w:szCs w:val="24"/>
        </w:rPr>
        <w:t xml:space="preserve">, co usprawni tempo działania tych organów, przy jednoczesnym zachowaniu wysokiego standardu pracy. </w:t>
      </w:r>
      <w:r w:rsidRPr="00B25A10">
        <w:rPr>
          <w:rFonts w:ascii="Times New Roman" w:eastAsia="Calibri" w:hAnsi="Times New Roman" w:cs="Times New Roman"/>
          <w:sz w:val="24"/>
          <w:szCs w:val="24"/>
        </w:rPr>
        <w:t xml:space="preserve">Projektowana zmiana ustawy </w:t>
      </w:r>
      <w:r w:rsidR="002F3D5C" w:rsidRPr="00B25A10">
        <w:rPr>
          <w:rFonts w:ascii="Times New Roman" w:eastAsia="Calibri" w:hAnsi="Times New Roman" w:cs="Times New Roman"/>
          <w:sz w:val="24"/>
          <w:szCs w:val="24"/>
        </w:rPr>
        <w:t xml:space="preserve">z dnia 19 grudnia </w:t>
      </w:r>
      <w:r w:rsidR="00893ECC" w:rsidRPr="00B25A10">
        <w:rPr>
          <w:rFonts w:ascii="Times New Roman" w:eastAsia="Calibri" w:hAnsi="Times New Roman" w:cs="Times New Roman"/>
          <w:sz w:val="24"/>
          <w:szCs w:val="24"/>
        </w:rPr>
        <w:t xml:space="preserve"> </w:t>
      </w:r>
      <w:r w:rsidR="002F3D5C" w:rsidRPr="00B25A10">
        <w:rPr>
          <w:rFonts w:ascii="Times New Roman" w:eastAsia="Calibri" w:hAnsi="Times New Roman" w:cs="Times New Roman"/>
          <w:sz w:val="24"/>
          <w:szCs w:val="24"/>
        </w:rPr>
        <w:t xml:space="preserve">2009 r. </w:t>
      </w:r>
      <w:r w:rsidRPr="00B25A10">
        <w:rPr>
          <w:rFonts w:ascii="Times New Roman" w:eastAsia="Calibri" w:hAnsi="Times New Roman" w:cs="Times New Roman"/>
          <w:sz w:val="24"/>
          <w:szCs w:val="24"/>
        </w:rPr>
        <w:t xml:space="preserve">o grach hazardowych ma ponadto na celu zwiększenie możliwości elektronicznego prowadzenia spraw z zakresu gier hazardowych. Niniejszy projekt </w:t>
      </w:r>
      <w:r w:rsidR="002F3D5C" w:rsidRPr="00B25A10">
        <w:rPr>
          <w:rFonts w:ascii="Times New Roman" w:eastAsia="Calibri" w:hAnsi="Times New Roman" w:cs="Times New Roman"/>
          <w:sz w:val="24"/>
          <w:szCs w:val="24"/>
        </w:rPr>
        <w:t xml:space="preserve">ustawy </w:t>
      </w:r>
      <w:r w:rsidRPr="00B25A10">
        <w:rPr>
          <w:rFonts w:ascii="Times New Roman" w:eastAsia="Calibri" w:hAnsi="Times New Roman" w:cs="Times New Roman"/>
          <w:sz w:val="24"/>
          <w:szCs w:val="24"/>
        </w:rPr>
        <w:t xml:space="preserve">stanowi także element realizacji założeń Strategii na rzecz Odpowiedzialnego Rozwoju do roku 2020 (z perspektywą do 2030 r.), przyjętej uchwałą nr 8 Rady Ministrów z </w:t>
      </w:r>
      <w:r w:rsidR="00C247FD">
        <w:rPr>
          <w:rFonts w:ascii="Times New Roman" w:eastAsia="Calibri" w:hAnsi="Times New Roman" w:cs="Times New Roman"/>
          <w:sz w:val="24"/>
          <w:szCs w:val="24"/>
        </w:rPr>
        <w:t xml:space="preserve">dnia </w:t>
      </w:r>
      <w:r w:rsidRPr="00B25A10">
        <w:rPr>
          <w:rFonts w:ascii="Times New Roman" w:eastAsia="Calibri" w:hAnsi="Times New Roman" w:cs="Times New Roman"/>
          <w:sz w:val="24"/>
          <w:szCs w:val="24"/>
        </w:rPr>
        <w:t xml:space="preserve">14 lutego 2017 r. w sprawie przyjęcia Strategii na rzecz Odpowiedzialnego Rozwoju do roku 2020 (z perspektywą do 2030 r.) (M.P. poz. 260), której celem jest likwidowanie barier rozwojowych i opieranie rozwoju w coraz większym stopniu na wiedzy, cyfryzacji i innowacyjności. Zgodnie ze Strategią, procesowi temu służyć powinny regulacje prawne wolne od zbędnych, anachronicznych rozwiązań oraz proste i niesformalizowane procedury umożliwiające osiągnięcie pożądanego rezultatu w sposób szybki, w miarę możliwości drogą elektroniczną. Ponadto wchodzące w życie w dniu 31 maja 2019 r. nowe przepisy ustawy z dnia 30 sierpnia 2002 r. </w:t>
      </w:r>
      <w:r w:rsidR="000C5CA2">
        <w:rPr>
          <w:rFonts w:ascii="Times New Roman" w:eastAsia="Calibri" w:hAnsi="Times New Roman" w:cs="Times New Roman"/>
          <w:sz w:val="24"/>
          <w:szCs w:val="24"/>
        </w:rPr>
        <w:t xml:space="preserve">– </w:t>
      </w:r>
      <w:r w:rsidRPr="00B25A10">
        <w:rPr>
          <w:rFonts w:ascii="Times New Roman" w:eastAsia="Calibri" w:hAnsi="Times New Roman" w:cs="Times New Roman"/>
          <w:sz w:val="24"/>
          <w:szCs w:val="24"/>
        </w:rPr>
        <w:t>Prawo o postępowaniu przed sądami administracyjnymi (Dz. U. z 201</w:t>
      </w:r>
      <w:r w:rsidR="008075E8">
        <w:rPr>
          <w:rFonts w:ascii="Times New Roman" w:eastAsia="Calibri" w:hAnsi="Times New Roman" w:cs="Times New Roman"/>
          <w:sz w:val="24"/>
          <w:szCs w:val="24"/>
        </w:rPr>
        <w:t>9</w:t>
      </w:r>
      <w:r w:rsidRPr="00B25A10">
        <w:rPr>
          <w:rFonts w:ascii="Times New Roman" w:eastAsia="Calibri" w:hAnsi="Times New Roman" w:cs="Times New Roman"/>
          <w:sz w:val="24"/>
          <w:szCs w:val="24"/>
        </w:rPr>
        <w:t xml:space="preserve"> r. poz. </w:t>
      </w:r>
      <w:r w:rsidR="008075E8">
        <w:rPr>
          <w:rFonts w:ascii="Times New Roman" w:eastAsia="Calibri" w:hAnsi="Times New Roman" w:cs="Times New Roman"/>
          <w:sz w:val="24"/>
          <w:szCs w:val="24"/>
        </w:rPr>
        <w:t>2325</w:t>
      </w:r>
      <w:r w:rsidRPr="00B25A10">
        <w:rPr>
          <w:rFonts w:ascii="Times New Roman" w:eastAsia="Calibri" w:hAnsi="Times New Roman" w:cs="Times New Roman"/>
          <w:sz w:val="24"/>
          <w:szCs w:val="24"/>
        </w:rPr>
        <w:t>) zakładają daleko idącą elektronizację postępowania przez sądami administracyjnymi.</w:t>
      </w:r>
    </w:p>
    <w:p w14:paraId="6C25FFC9" w14:textId="77777777" w:rsidR="00712E99" w:rsidRPr="00B25A10" w:rsidRDefault="00712E99" w:rsidP="00C247FD">
      <w:pPr>
        <w:spacing w:before="24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w:t>
      </w:r>
      <w:r w:rsidR="005A70C8" w:rsidRPr="00B25A10">
        <w:rPr>
          <w:rFonts w:ascii="Times New Roman" w:eastAsia="Calibri" w:hAnsi="Times New Roman" w:cs="Times New Roman"/>
          <w:b/>
          <w:sz w:val="24"/>
          <w:szCs w:val="24"/>
        </w:rPr>
        <w:t xml:space="preserve"> art. 6a ust. 6 i art. 17 ust. 2, art. 20 ust. 4</w:t>
      </w:r>
      <w:r w:rsidRPr="00B25A10">
        <w:rPr>
          <w:rFonts w:ascii="Times New Roman" w:eastAsia="Calibri" w:hAnsi="Times New Roman" w:cs="Times New Roman"/>
          <w:b/>
          <w:sz w:val="24"/>
          <w:szCs w:val="24"/>
        </w:rPr>
        <w:t xml:space="preserve"> i art. 23c</w:t>
      </w:r>
    </w:p>
    <w:p w14:paraId="08D2B33D" w14:textId="11A2E584"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Zgodnie z obecnie obowiązującym art. 6a ust. 6 ustawy</w:t>
      </w:r>
      <w:r w:rsidR="00893ECC" w:rsidRPr="00B25A10">
        <w:rPr>
          <w:rFonts w:ascii="Times New Roman" w:eastAsia="Calibri" w:hAnsi="Times New Roman" w:cs="Times New Roman"/>
          <w:sz w:val="24"/>
          <w:szCs w:val="24"/>
        </w:rPr>
        <w:t xml:space="preserve"> z dnia 19 listopada 2009 r.</w:t>
      </w:r>
      <w:r w:rsidRPr="00B25A10">
        <w:rPr>
          <w:rFonts w:ascii="Times New Roman" w:eastAsia="Calibri" w:hAnsi="Times New Roman" w:cs="Times New Roman"/>
          <w:sz w:val="24"/>
          <w:szCs w:val="24"/>
        </w:rPr>
        <w:t xml:space="preserve"> o grach hazardowych, podmiot urządzający turniej gry w pokera na podstawie udzielonej koncesji na prowadzenie kasyna gry jest obowiązany przedstawić dyrektorowi izby administracji skarbowej, właściwemu ze względu na miejsce urządzania tego turnieju, któremu dokonano zgłoszenia organizacji takiego turnieju, w terminie do 25. dnia miesiąca następującego po miesiącu, w którym nastąpiło zakończenie tego turnieju, szczegółową pisemną informację o osobach, które uzyskały wygrane w turnieju, oraz o rozliczeniu podatku od gier. Zgodnie natomiast z art. 17 ust. 2 tej ustawy, podmiot urządzający loterię pieniężną, loterię fantową i grę bingo fantowe jest obowiązany zgłaszać pisemnie właściwemu naczelnikowi urzędu celno</w:t>
      </w:r>
      <w:r w:rsidR="00C247FD">
        <w:rPr>
          <w:rFonts w:ascii="Times New Roman" w:eastAsia="Calibri" w:hAnsi="Times New Roman" w:cs="Times New Roman"/>
          <w:sz w:val="24"/>
          <w:szCs w:val="24"/>
        </w:rPr>
        <w:noBreakHyphen/>
      </w:r>
      <w:r w:rsidRPr="00B25A10">
        <w:rPr>
          <w:rFonts w:ascii="Times New Roman" w:eastAsia="Calibri" w:hAnsi="Times New Roman" w:cs="Times New Roman"/>
          <w:sz w:val="24"/>
          <w:szCs w:val="24"/>
        </w:rPr>
        <w:t xml:space="preserve">skarbowego zamiar zniszczenia losów, kartonów lub innych dowodów udziału w takiej grze co najmniej na 7 dni przed planowanym terminem przeprowadzenia tych czynności. </w:t>
      </w:r>
      <w:r w:rsidR="005A70C8" w:rsidRPr="00B25A10">
        <w:rPr>
          <w:rFonts w:ascii="Times New Roman" w:eastAsia="Calibri" w:hAnsi="Times New Roman" w:cs="Times New Roman"/>
          <w:sz w:val="24"/>
          <w:szCs w:val="24"/>
        </w:rPr>
        <w:t xml:space="preserve">Art. 20 ust. 4 </w:t>
      </w:r>
      <w:r w:rsidR="00893ECC" w:rsidRPr="00B25A10">
        <w:rPr>
          <w:rFonts w:ascii="Times New Roman" w:eastAsia="Calibri" w:hAnsi="Times New Roman" w:cs="Times New Roman"/>
          <w:sz w:val="24"/>
          <w:szCs w:val="24"/>
        </w:rPr>
        <w:t xml:space="preserve">ustawy </w:t>
      </w:r>
      <w:r w:rsidR="005A70C8" w:rsidRPr="00B25A10">
        <w:rPr>
          <w:rFonts w:ascii="Times New Roman" w:eastAsia="Calibri" w:hAnsi="Times New Roman" w:cs="Times New Roman"/>
          <w:sz w:val="24"/>
          <w:szCs w:val="24"/>
        </w:rPr>
        <w:t xml:space="preserve">określa natomiast kwestię składania wniosku dotyczącego nabywania druków zaświadczeń o uzyskanej wygranej. </w:t>
      </w:r>
      <w:r w:rsidRPr="00B25A10">
        <w:rPr>
          <w:rFonts w:ascii="Times New Roman" w:eastAsia="Calibri" w:hAnsi="Times New Roman" w:cs="Times New Roman"/>
          <w:sz w:val="24"/>
          <w:szCs w:val="24"/>
        </w:rPr>
        <w:t xml:space="preserve">Z kolei  art. 23c </w:t>
      </w:r>
      <w:r w:rsidR="00893ECC" w:rsidRPr="00B25A10">
        <w:rPr>
          <w:rFonts w:ascii="Times New Roman" w:eastAsia="Calibri" w:hAnsi="Times New Roman" w:cs="Times New Roman"/>
          <w:sz w:val="24"/>
          <w:szCs w:val="24"/>
        </w:rPr>
        <w:t>p</w:t>
      </w:r>
      <w:r w:rsidRPr="00B25A10">
        <w:rPr>
          <w:rFonts w:ascii="Times New Roman" w:eastAsia="Calibri" w:hAnsi="Times New Roman" w:cs="Times New Roman"/>
          <w:sz w:val="24"/>
          <w:szCs w:val="24"/>
        </w:rPr>
        <w:t xml:space="preserve">rzedmiotowej ustawy nakłada na podmiot eksploatujący zarejestrowany automat do gier, urządzenie losujące lub urządzenie </w:t>
      </w:r>
      <w:r w:rsidRPr="00B25A10">
        <w:rPr>
          <w:rFonts w:ascii="Times New Roman" w:eastAsia="Calibri" w:hAnsi="Times New Roman" w:cs="Times New Roman"/>
          <w:sz w:val="24"/>
          <w:szCs w:val="24"/>
        </w:rPr>
        <w:lastRenderedPageBreak/>
        <w:t>do gier obowiązek przekazywania naczelnikowi urzędu celno-skarbowego pisemnie wymaganych przez prawo informacji.</w:t>
      </w:r>
    </w:p>
    <w:p w14:paraId="1632F052" w14:textId="314BA6BC" w:rsidR="00712E99" w:rsidRPr="00B25A10" w:rsidRDefault="00712E99" w:rsidP="002B0551">
      <w:pPr>
        <w:autoSpaceDE w:val="0"/>
        <w:autoSpaceDN w:val="0"/>
        <w:adjustRightInd w:val="0"/>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Projektowana zmiana ustawy o grach hazardowych w ww. przepisach polega na umożliwieniu podmiotom przekazywania informacji, określonych w ustawie</w:t>
      </w:r>
      <w:r w:rsidR="00F64ED9" w:rsidRPr="00B25A10">
        <w:rPr>
          <w:rFonts w:ascii="Times New Roman" w:eastAsia="Calibri" w:hAnsi="Times New Roman" w:cs="Times New Roman"/>
          <w:sz w:val="24"/>
          <w:szCs w:val="24"/>
        </w:rPr>
        <w:t xml:space="preserve"> w postaci papierowej lub elektronicznej</w:t>
      </w:r>
      <w:r w:rsidRPr="00B25A10">
        <w:rPr>
          <w:rFonts w:ascii="Times New Roman" w:eastAsia="Calibri" w:hAnsi="Times New Roman" w:cs="Times New Roman"/>
          <w:sz w:val="24"/>
          <w:szCs w:val="24"/>
        </w:rPr>
        <w:t>, za pomocą środków komunikacji elektronicznej</w:t>
      </w:r>
      <w:r w:rsidR="005A70C8" w:rsidRPr="00B25A10">
        <w:rPr>
          <w:rFonts w:ascii="Times New Roman" w:eastAsia="Calibri" w:hAnsi="Times New Roman" w:cs="Times New Roman"/>
          <w:sz w:val="24"/>
          <w:szCs w:val="24"/>
        </w:rPr>
        <w:t xml:space="preserve"> </w:t>
      </w:r>
      <w:r w:rsidR="00F64ED9" w:rsidRPr="00B25A10">
        <w:rPr>
          <w:rFonts w:ascii="Times New Roman" w:eastAsia="Calibri" w:hAnsi="Times New Roman" w:cs="Times New Roman"/>
          <w:sz w:val="24"/>
          <w:szCs w:val="24"/>
        </w:rPr>
        <w:t>zgodnie z art. 168 Ordynacj</w:t>
      </w:r>
      <w:r w:rsidR="00643A14" w:rsidRPr="00B25A10">
        <w:rPr>
          <w:rFonts w:ascii="Times New Roman" w:eastAsia="Calibri" w:hAnsi="Times New Roman" w:cs="Times New Roman"/>
          <w:sz w:val="24"/>
          <w:szCs w:val="24"/>
        </w:rPr>
        <w:t>i</w:t>
      </w:r>
      <w:r w:rsidR="00F64ED9" w:rsidRPr="00B25A10">
        <w:rPr>
          <w:rFonts w:ascii="Times New Roman" w:eastAsia="Calibri" w:hAnsi="Times New Roman" w:cs="Times New Roman"/>
          <w:sz w:val="24"/>
          <w:szCs w:val="24"/>
        </w:rPr>
        <w:t xml:space="preserve"> podatkow</w:t>
      </w:r>
      <w:r w:rsidR="00643A14" w:rsidRPr="00B25A10">
        <w:rPr>
          <w:rFonts w:ascii="Times New Roman" w:eastAsia="Calibri" w:hAnsi="Times New Roman" w:cs="Times New Roman"/>
          <w:sz w:val="24"/>
          <w:szCs w:val="24"/>
        </w:rPr>
        <w:t>ej</w:t>
      </w:r>
      <w:r w:rsidR="00F3161A" w:rsidRPr="00B25A10">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Ma to na celu zwiększenie możliwości elektronicznego prowadzenia spraw z zakresu gier hazardowych i ułatwienie komunikacji z organami KAS. </w:t>
      </w:r>
      <w:r w:rsidR="005A70C8" w:rsidRPr="00B25A10">
        <w:rPr>
          <w:rFonts w:ascii="Times New Roman" w:eastAsia="Calibri" w:hAnsi="Times New Roman" w:cs="Times New Roman"/>
          <w:sz w:val="24"/>
          <w:szCs w:val="24"/>
        </w:rPr>
        <w:t>Wprowadzana zmiana nie wprowadza dodatkowego obowiązku składania informacji za pomocą środków komunikacji elektronicznej, lecz</w:t>
      </w:r>
      <w:r w:rsidR="00C247FD">
        <w:rPr>
          <w:rFonts w:ascii="Times New Roman" w:eastAsia="Calibri" w:hAnsi="Times New Roman" w:cs="Times New Roman"/>
          <w:sz w:val="24"/>
          <w:szCs w:val="24"/>
        </w:rPr>
        <w:t>,</w:t>
      </w:r>
      <w:r w:rsidR="005A70C8" w:rsidRPr="00B25A10">
        <w:rPr>
          <w:rFonts w:ascii="Times New Roman" w:eastAsia="Calibri" w:hAnsi="Times New Roman" w:cs="Times New Roman"/>
          <w:sz w:val="24"/>
          <w:szCs w:val="24"/>
        </w:rPr>
        <w:t xml:space="preserve"> jak wskazano powyżej</w:t>
      </w:r>
      <w:r w:rsidR="00C247FD">
        <w:rPr>
          <w:rFonts w:ascii="Times New Roman" w:eastAsia="Calibri" w:hAnsi="Times New Roman" w:cs="Times New Roman"/>
          <w:sz w:val="24"/>
          <w:szCs w:val="24"/>
        </w:rPr>
        <w:t>,</w:t>
      </w:r>
      <w:r w:rsidR="005A70C8" w:rsidRPr="00B25A10">
        <w:rPr>
          <w:rFonts w:ascii="Times New Roman" w:eastAsia="Calibri" w:hAnsi="Times New Roman" w:cs="Times New Roman"/>
          <w:sz w:val="24"/>
          <w:szCs w:val="24"/>
        </w:rPr>
        <w:t xml:space="preserve"> daje możliwość ich przesyłania w innej postaci niż papierowa.</w:t>
      </w:r>
      <w:r w:rsidR="00BA3C52" w:rsidRPr="00B25A10">
        <w:rPr>
          <w:rFonts w:ascii="Times New Roman" w:eastAsia="Calibri" w:hAnsi="Times New Roman" w:cs="Times New Roman"/>
          <w:sz w:val="24"/>
          <w:szCs w:val="24"/>
        </w:rPr>
        <w:t xml:space="preserve"> Jednocześnie zaproponowano </w:t>
      </w:r>
      <w:r w:rsidR="00BA3C52" w:rsidRPr="00B25A10">
        <w:rPr>
          <w:rFonts w:ascii="Times New Roman" w:hAnsi="Times New Roman" w:cs="Times New Roman"/>
          <w:sz w:val="24"/>
          <w:szCs w:val="24"/>
        </w:rPr>
        <w:t>doprecyzowanie przepisu i jednoznaczne określenie, że informacja o osobach przekazywana przez podmiot urządzający turniej gry w pokera będzie zawierała ich imiona, nazwiska, kwotę wpisowego i informację o wysokości uzyskanych wygranych oraz o rozliczeniu podatku od gier.</w:t>
      </w:r>
    </w:p>
    <w:p w14:paraId="3B3A465E"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Projektowane zmiany w ustawie </w:t>
      </w:r>
      <w:r w:rsidR="00893ECC" w:rsidRPr="00B25A10">
        <w:rPr>
          <w:rFonts w:ascii="Times New Roman" w:eastAsia="Calibri" w:hAnsi="Times New Roman" w:cs="Times New Roman"/>
          <w:sz w:val="24"/>
          <w:szCs w:val="24"/>
        </w:rPr>
        <w:t xml:space="preserve">z dnia 19 listopada 2009 r. </w:t>
      </w:r>
      <w:r w:rsidRPr="00B25A10">
        <w:rPr>
          <w:rFonts w:ascii="Times New Roman" w:eastAsia="Calibri" w:hAnsi="Times New Roman" w:cs="Times New Roman"/>
          <w:sz w:val="24"/>
          <w:szCs w:val="24"/>
        </w:rPr>
        <w:t>o grach hazardowych w ww. zakresie są zgodne  z założeniami Strategii na rzecz Odpowiedzialnego Rozwoju do roku 2020.</w:t>
      </w:r>
    </w:p>
    <w:p w14:paraId="45AA500D" w14:textId="77777777" w:rsidR="004E5A1F" w:rsidRPr="00B25A10" w:rsidRDefault="004E5A1F" w:rsidP="00C247FD">
      <w:pPr>
        <w:spacing w:before="24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 xml:space="preserve">zmiana art. 8 </w:t>
      </w:r>
    </w:p>
    <w:p w14:paraId="31CDDCA3" w14:textId="77777777" w:rsidR="004E5A1F" w:rsidRPr="00B25A10" w:rsidRDefault="004E5A1F"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Zmiana w art. 8 ustawy z dnia 19 listopada 2009 r. o grach hazardowych polega na wykreśleniu przepisów promulgacyjnych powołanej w tym przepisie Ordynacji podatkowej. Ustawa ta wraz z publikatorem została powołana w art. 6.  </w:t>
      </w:r>
    </w:p>
    <w:p w14:paraId="419631DB" w14:textId="77777777" w:rsidR="00597838" w:rsidRPr="00B25A10" w:rsidRDefault="00597838" w:rsidP="00C247FD">
      <w:pPr>
        <w:spacing w:before="360" w:after="0" w:line="360" w:lineRule="auto"/>
        <w:jc w:val="both"/>
        <w:rPr>
          <w:rFonts w:ascii="Times New Roman" w:hAnsi="Times New Roman" w:cs="Times New Roman"/>
          <w:b/>
          <w:sz w:val="24"/>
          <w:szCs w:val="24"/>
        </w:rPr>
      </w:pPr>
      <w:r w:rsidRPr="00B25A10">
        <w:rPr>
          <w:rFonts w:ascii="Times New Roman" w:hAnsi="Times New Roman" w:cs="Times New Roman"/>
          <w:b/>
          <w:sz w:val="24"/>
          <w:szCs w:val="24"/>
        </w:rPr>
        <w:t>zmiana art. 15</w:t>
      </w:r>
    </w:p>
    <w:p w14:paraId="3A0373D4" w14:textId="77B6B58C" w:rsidR="00983D15" w:rsidRPr="00B25A10" w:rsidRDefault="00597838" w:rsidP="002B0551">
      <w:pPr>
        <w:pStyle w:val="Zwykytekst"/>
        <w:spacing w:before="120" w:line="360" w:lineRule="auto"/>
        <w:jc w:val="both"/>
        <w:rPr>
          <w:rFonts w:ascii="Times New Roman" w:eastAsia="Cambria" w:hAnsi="Times New Roman" w:cs="Times New Roman"/>
          <w:sz w:val="24"/>
          <w:szCs w:val="24"/>
        </w:rPr>
      </w:pPr>
      <w:r w:rsidRPr="00B25A10">
        <w:rPr>
          <w:rFonts w:ascii="Times New Roman" w:hAnsi="Times New Roman" w:cs="Times New Roman"/>
          <w:sz w:val="24"/>
          <w:szCs w:val="24"/>
        </w:rPr>
        <w:t xml:space="preserve">Uchylenie w art. 15 w ust. 1a pkt 2 ustawy z dnia 19 listopada 2009 r. o grach hazardowych ma na celu usunięcie barier w lokowaniu legalnych salonów do gier na automatach. Dotychczasowe doświadczenia wskazują, że usunięcie tego przepisu przyczyni się także do ograniczenia szarej strefy, która najczęściej wykorzystuje najbardziej atrakcyjne miejsca do urządzania nielegalnych gier hazardowych. </w:t>
      </w:r>
      <w:r w:rsidRPr="00B25A10">
        <w:rPr>
          <w:rFonts w:ascii="Times New Roman" w:hAnsi="Times New Roman" w:cs="Times New Roman"/>
          <w:iCs/>
          <w:sz w:val="24"/>
          <w:szCs w:val="24"/>
        </w:rPr>
        <w:t xml:space="preserve">Ww. przepis wprowadzony był w 2017 r. w celu ograniczenia lokowania legalnych salonów gier na automatach u podmiotów, które wynajmowały swoje lokale na cele działalności nielegalnej. Od wejścia w życie nowelizacji ustawy o grach hazardowych znacząco ograniczono liczbę nielegalnych punktów gier na automatach, wzrosła też świadomość społeczeństwa w tym zakresie. Część graczy przeniosła się do legalnego segmentu rynku i chciałaby mieć możliwość gry u legalnego operatora w </w:t>
      </w:r>
      <w:r w:rsidRPr="00B25A10">
        <w:rPr>
          <w:rFonts w:ascii="Times New Roman" w:hAnsi="Times New Roman" w:cs="Times New Roman"/>
          <w:iCs/>
          <w:sz w:val="24"/>
          <w:szCs w:val="24"/>
        </w:rPr>
        <w:lastRenderedPageBreak/>
        <w:t>atrakcyjnych lokalizacjach. Skoro zaś osiągnięto już znaczące efekty w postaci ograniczenia szarej strefy w grach hazardowych na automatach i przekierowano graczy do legalnego segmentu rynku</w:t>
      </w:r>
      <w:r w:rsidR="00C85289">
        <w:rPr>
          <w:rFonts w:ascii="Times New Roman" w:hAnsi="Times New Roman" w:cs="Times New Roman"/>
          <w:iCs/>
          <w:sz w:val="24"/>
          <w:szCs w:val="24"/>
        </w:rPr>
        <w:t>,</w:t>
      </w:r>
      <w:r w:rsidRPr="00B25A10">
        <w:rPr>
          <w:rFonts w:ascii="Times New Roman" w:hAnsi="Times New Roman" w:cs="Times New Roman"/>
          <w:iCs/>
          <w:sz w:val="24"/>
          <w:szCs w:val="24"/>
        </w:rPr>
        <w:t xml:space="preserve"> odpadła konieczność utrzymywania zakazu lokalizowania salonów gier na automatach w lokalach mieszczących się pod adresem, pod którym w ciągu  ostatnich 5 lat stwierdzono nielegalne urządzanie gier na automatach. Usunięcie ww. przepisu spowoduje dalsze ograniczenie szarej strefy i rozszerzy podaż atrakcyjnych lokalizacyjnie miejsc dla spółki wykonującej monopol państwa z korzyścią dla wynajmujących lokale i graczy. Dodatkowo uchylenie w art. 15 w ust. 1a pkt 2 ustawy z dnia 19 listopada 2009 r. o grach hazardowych zniesie ograniczenie w swobodzie dysponowania swoim majątkiem przez wynajmujących</w:t>
      </w:r>
      <w:r w:rsidR="00C85289">
        <w:rPr>
          <w:rFonts w:ascii="Times New Roman" w:hAnsi="Times New Roman" w:cs="Times New Roman"/>
          <w:iCs/>
          <w:sz w:val="24"/>
          <w:szCs w:val="24"/>
        </w:rPr>
        <w:t>,</w:t>
      </w:r>
      <w:r w:rsidRPr="00B25A10">
        <w:rPr>
          <w:rFonts w:ascii="Times New Roman" w:hAnsi="Times New Roman" w:cs="Times New Roman"/>
          <w:iCs/>
          <w:sz w:val="24"/>
          <w:szCs w:val="24"/>
        </w:rPr>
        <w:t xml:space="preserve"> pozwalając na dobór najemców. Ponadto zmiany obejmują dostosowanie procesu zatwierdzania projektowanej na terenie gminy lokalizacji salonów gier na automatach przez dyrektorów izb administracji skarbowej do potrzeb praktyki związanej z lokalizacją salonu gier na automatach, w szczególności, jeżeli taka lokalizacja jest planowana na działce, na której jeszcze nie powstał budynek. </w:t>
      </w:r>
      <w:r w:rsidR="00F24CE3" w:rsidRPr="00B25A10">
        <w:rPr>
          <w:rFonts w:ascii="Times New Roman" w:hAnsi="Times New Roman" w:cs="Times New Roman"/>
          <w:sz w:val="24"/>
          <w:szCs w:val="24"/>
        </w:rPr>
        <w:t>Z kolei zmiana delegacji określonej w art. 15 ust. 1b podyktowana jest koniecznością dostosowania regulacji do już obowiązującej i występującej w innych aktach prawnych terminologii. Dotychczasowy zakres regulacji nie był wystarczająco precyzyjny</w:t>
      </w:r>
      <w:r w:rsidR="00C85289">
        <w:rPr>
          <w:rFonts w:ascii="Times New Roman" w:hAnsi="Times New Roman" w:cs="Times New Roman"/>
          <w:sz w:val="24"/>
          <w:szCs w:val="24"/>
        </w:rPr>
        <w:t>,</w:t>
      </w:r>
      <w:r w:rsidR="00F24CE3" w:rsidRPr="00B25A10">
        <w:rPr>
          <w:rFonts w:ascii="Times New Roman" w:hAnsi="Times New Roman" w:cs="Times New Roman"/>
          <w:sz w:val="24"/>
          <w:szCs w:val="24"/>
        </w:rPr>
        <w:t xml:space="preserve"> zaś brzmienie przepisu nieostre, które nie pozwalało na dokładne wskazanie miejsc, gdzie spółka wykonująca monopol państwa w zakresie gier na automatach poza kasynem gry może prowadzić swoją działalność. Zmiana usuwa te nieścisłości</w:t>
      </w:r>
      <w:r w:rsidR="00C85289">
        <w:rPr>
          <w:rFonts w:ascii="Times New Roman" w:hAnsi="Times New Roman" w:cs="Times New Roman"/>
          <w:sz w:val="24"/>
          <w:szCs w:val="24"/>
        </w:rPr>
        <w:t>,</w:t>
      </w:r>
      <w:r w:rsidR="00F24CE3" w:rsidRPr="00B25A10">
        <w:rPr>
          <w:rFonts w:ascii="Times New Roman" w:hAnsi="Times New Roman" w:cs="Times New Roman"/>
          <w:sz w:val="24"/>
          <w:szCs w:val="24"/>
        </w:rPr>
        <w:t xml:space="preserve"> umożliwiając dostosowanie terminologii do siatki pojęciowej wynikającej z przepisów Prawa oświatowego. Występujące w ustawie o grach hazardowych pojęcie „placówek edukacyjnych” nie jest zdefiniowane w przepisach prawa. Proponuje się zatem zastąpienie pojęcia „placówek edukacyjnych” szczegółowym wyliczeniem obiektów, od których należy zachować określone w rozporządzeniu odległości, określonych w ustawie z dnia 14 grudnia 2016 r. </w:t>
      </w:r>
      <w:r w:rsidR="00C85289">
        <w:rPr>
          <w:rFonts w:ascii="Times New Roman" w:hAnsi="Times New Roman" w:cs="Times New Roman"/>
          <w:sz w:val="24"/>
          <w:szCs w:val="24"/>
        </w:rPr>
        <w:t>–</w:t>
      </w:r>
      <w:r w:rsidR="00500C50">
        <w:rPr>
          <w:rFonts w:ascii="Times New Roman" w:hAnsi="Times New Roman" w:cs="Times New Roman"/>
          <w:sz w:val="24"/>
          <w:szCs w:val="24"/>
        </w:rPr>
        <w:t xml:space="preserve"> </w:t>
      </w:r>
      <w:r w:rsidR="00F24CE3" w:rsidRPr="00B25A10">
        <w:rPr>
          <w:rFonts w:ascii="Times New Roman" w:hAnsi="Times New Roman" w:cs="Times New Roman"/>
          <w:sz w:val="24"/>
          <w:szCs w:val="24"/>
        </w:rPr>
        <w:t>Prawo oświatowe (Dz.</w:t>
      </w:r>
      <w:r w:rsidR="00500C50">
        <w:rPr>
          <w:rFonts w:ascii="Times New Roman" w:hAnsi="Times New Roman" w:cs="Times New Roman"/>
          <w:sz w:val="24"/>
          <w:szCs w:val="24"/>
        </w:rPr>
        <w:t xml:space="preserve"> </w:t>
      </w:r>
      <w:r w:rsidR="00F24CE3" w:rsidRPr="00B25A10">
        <w:rPr>
          <w:rFonts w:ascii="Times New Roman" w:hAnsi="Times New Roman" w:cs="Times New Roman"/>
          <w:sz w:val="24"/>
          <w:szCs w:val="24"/>
        </w:rPr>
        <w:t>U. z 2020 r. poz. 910</w:t>
      </w:r>
      <w:r w:rsidR="00500C50">
        <w:rPr>
          <w:rFonts w:ascii="Times New Roman" w:hAnsi="Times New Roman" w:cs="Times New Roman"/>
          <w:sz w:val="24"/>
          <w:szCs w:val="24"/>
        </w:rPr>
        <w:t>, z późn. zm.</w:t>
      </w:r>
      <w:r w:rsidR="00F24CE3" w:rsidRPr="00B25A10">
        <w:rPr>
          <w:rFonts w:ascii="Times New Roman" w:hAnsi="Times New Roman" w:cs="Times New Roman"/>
          <w:sz w:val="24"/>
          <w:szCs w:val="24"/>
        </w:rPr>
        <w:t>).</w:t>
      </w:r>
      <w:r w:rsidR="00A669E9" w:rsidRPr="00B25A10">
        <w:rPr>
          <w:rFonts w:ascii="Times New Roman" w:hAnsi="Times New Roman" w:cs="Times New Roman"/>
          <w:sz w:val="24"/>
          <w:szCs w:val="24"/>
        </w:rPr>
        <w:t xml:space="preserve"> W stosunku do obecnych przepisów zaproponowane wyliczenie ma charakter nieznacznie węższy od obowiązującego</w:t>
      </w:r>
      <w:r w:rsidR="00770621" w:rsidRPr="00B25A10">
        <w:rPr>
          <w:rFonts w:ascii="Times New Roman" w:hAnsi="Times New Roman" w:cs="Times New Roman"/>
          <w:sz w:val="24"/>
          <w:szCs w:val="24"/>
        </w:rPr>
        <w:t>,</w:t>
      </w:r>
      <w:r w:rsidR="00A669E9" w:rsidRPr="00B25A10">
        <w:rPr>
          <w:rFonts w:ascii="Times New Roman" w:hAnsi="Times New Roman" w:cs="Times New Roman"/>
          <w:sz w:val="24"/>
          <w:szCs w:val="24"/>
        </w:rPr>
        <w:t xml:space="preserve"> z zachowaniem celu w postaci ochrony społ</w:t>
      </w:r>
      <w:r w:rsidR="00D07C42" w:rsidRPr="00B25A10">
        <w:rPr>
          <w:rFonts w:ascii="Times New Roman" w:hAnsi="Times New Roman" w:cs="Times New Roman"/>
          <w:sz w:val="24"/>
          <w:szCs w:val="24"/>
        </w:rPr>
        <w:t xml:space="preserve">eczeństwa przed uzależnieniem. </w:t>
      </w:r>
      <w:r w:rsidR="00A669E9" w:rsidRPr="00B25A10">
        <w:rPr>
          <w:rFonts w:ascii="Times New Roman" w:hAnsi="Times New Roman" w:cs="Times New Roman"/>
          <w:sz w:val="24"/>
          <w:szCs w:val="24"/>
        </w:rPr>
        <w:t xml:space="preserve">Dobór zakresu instytucji uwzględnia katalog obiektów występujący w obowiązującym rozporządzeniu Ministra Rozwoju i Finansów </w:t>
      </w:r>
      <w:r w:rsidR="00500C50" w:rsidRPr="00B25A10">
        <w:rPr>
          <w:rFonts w:ascii="Times New Roman" w:hAnsi="Times New Roman" w:cs="Times New Roman"/>
          <w:sz w:val="24"/>
          <w:szCs w:val="24"/>
        </w:rPr>
        <w:t xml:space="preserve">z dnia 30 marca 2017 r. </w:t>
      </w:r>
      <w:r w:rsidR="00A669E9" w:rsidRPr="00B25A10">
        <w:rPr>
          <w:rFonts w:ascii="Times New Roman" w:hAnsi="Times New Roman" w:cs="Times New Roman"/>
          <w:sz w:val="24"/>
          <w:szCs w:val="24"/>
        </w:rPr>
        <w:t>w sprawie zasad usytuowania na terenie gmin salonów gier na automatach (Dz.</w:t>
      </w:r>
      <w:r w:rsidR="00500C50">
        <w:rPr>
          <w:rFonts w:ascii="Times New Roman" w:hAnsi="Times New Roman" w:cs="Times New Roman"/>
          <w:sz w:val="24"/>
          <w:szCs w:val="24"/>
        </w:rPr>
        <w:t xml:space="preserve"> </w:t>
      </w:r>
      <w:r w:rsidR="00A669E9" w:rsidRPr="00B25A10">
        <w:rPr>
          <w:rFonts w:ascii="Times New Roman" w:hAnsi="Times New Roman" w:cs="Times New Roman"/>
          <w:sz w:val="24"/>
          <w:szCs w:val="24"/>
        </w:rPr>
        <w:t>U.  poz. 701).</w:t>
      </w:r>
      <w:r w:rsidR="00770621" w:rsidRPr="00B25A10">
        <w:rPr>
          <w:rFonts w:ascii="Times New Roman" w:hAnsi="Times New Roman" w:cs="Times New Roman"/>
          <w:sz w:val="24"/>
          <w:szCs w:val="24"/>
        </w:rPr>
        <w:t xml:space="preserve"> Katalog ten</w:t>
      </w:r>
      <w:r w:rsidR="006028D6" w:rsidRPr="00B25A10">
        <w:rPr>
          <w:rFonts w:ascii="Times New Roman" w:hAnsi="Times New Roman" w:cs="Times New Roman"/>
          <w:sz w:val="24"/>
          <w:szCs w:val="24"/>
        </w:rPr>
        <w:t xml:space="preserve"> </w:t>
      </w:r>
      <w:r w:rsidR="00770621" w:rsidRPr="00B25A10">
        <w:rPr>
          <w:rFonts w:ascii="Times New Roman" w:hAnsi="Times New Roman" w:cs="Times New Roman"/>
          <w:sz w:val="24"/>
          <w:szCs w:val="24"/>
        </w:rPr>
        <w:t>został sformułowany tak, aby rzeczywiste ograniczenie dost</w:t>
      </w:r>
      <w:r w:rsidR="00D516C6" w:rsidRPr="00B25A10">
        <w:rPr>
          <w:rFonts w:ascii="Times New Roman" w:hAnsi="Times New Roman" w:cs="Times New Roman"/>
          <w:sz w:val="24"/>
          <w:szCs w:val="24"/>
        </w:rPr>
        <w:t>ępności gier na automatach realizowane było</w:t>
      </w:r>
      <w:r w:rsidR="006028D6" w:rsidRPr="00B25A10">
        <w:rPr>
          <w:rFonts w:ascii="Times New Roman" w:hAnsi="Times New Roman" w:cs="Times New Roman"/>
          <w:sz w:val="24"/>
          <w:szCs w:val="24"/>
        </w:rPr>
        <w:t xml:space="preserve"> w stosunku do miejsc pełniących określone fun</w:t>
      </w:r>
      <w:r w:rsidR="00930032" w:rsidRPr="00B25A10">
        <w:rPr>
          <w:rFonts w:ascii="Times New Roman" w:hAnsi="Times New Roman" w:cs="Times New Roman"/>
          <w:sz w:val="24"/>
          <w:szCs w:val="24"/>
        </w:rPr>
        <w:t>kcje względem dzieci i młodzieży</w:t>
      </w:r>
      <w:r w:rsidR="006028D6" w:rsidRPr="00B25A10">
        <w:rPr>
          <w:rFonts w:ascii="Times New Roman" w:hAnsi="Times New Roman" w:cs="Times New Roman"/>
          <w:sz w:val="24"/>
          <w:szCs w:val="24"/>
        </w:rPr>
        <w:t>, zatem</w:t>
      </w:r>
      <w:r w:rsidR="00930032" w:rsidRPr="00B25A10">
        <w:rPr>
          <w:rFonts w:ascii="Times New Roman" w:hAnsi="Times New Roman" w:cs="Times New Roman"/>
          <w:sz w:val="24"/>
          <w:szCs w:val="24"/>
        </w:rPr>
        <w:t xml:space="preserve"> grup</w:t>
      </w:r>
      <w:r w:rsidR="006028D6" w:rsidRPr="00B25A10">
        <w:rPr>
          <w:rFonts w:ascii="Times New Roman" w:hAnsi="Times New Roman" w:cs="Times New Roman"/>
          <w:sz w:val="24"/>
          <w:szCs w:val="24"/>
        </w:rPr>
        <w:t xml:space="preserve"> wymagających szczególnej ochrony przed </w:t>
      </w:r>
      <w:r w:rsidR="00983D15" w:rsidRPr="00B25A10">
        <w:rPr>
          <w:rFonts w:ascii="Times New Roman" w:hAnsi="Times New Roman" w:cs="Times New Roman"/>
          <w:sz w:val="24"/>
          <w:szCs w:val="24"/>
        </w:rPr>
        <w:t>szkodliwymi skutkami hazardu.</w:t>
      </w:r>
      <w:r w:rsidR="00930032" w:rsidRPr="00B25A10">
        <w:rPr>
          <w:rFonts w:ascii="Times New Roman" w:hAnsi="Times New Roman" w:cs="Times New Roman"/>
          <w:sz w:val="24"/>
          <w:szCs w:val="24"/>
        </w:rPr>
        <w:t xml:space="preserve"> </w:t>
      </w:r>
      <w:r w:rsidR="00983D15" w:rsidRPr="00B25A10">
        <w:rPr>
          <w:rFonts w:ascii="Times New Roman" w:eastAsia="Cambria" w:hAnsi="Times New Roman" w:cs="Times New Roman"/>
          <w:sz w:val="24"/>
          <w:szCs w:val="24"/>
        </w:rPr>
        <w:t>Łatwość uzależnienia jest</w:t>
      </w:r>
      <w:r w:rsidR="00930032" w:rsidRPr="00B25A10">
        <w:rPr>
          <w:rFonts w:ascii="Times New Roman" w:eastAsia="Cambria" w:hAnsi="Times New Roman" w:cs="Times New Roman"/>
          <w:sz w:val="24"/>
          <w:szCs w:val="24"/>
        </w:rPr>
        <w:t xml:space="preserve"> bowiem szczególnie odczuwalna wśród tej właśnie części społeczeństwa, </w:t>
      </w:r>
      <w:r w:rsidR="00930032" w:rsidRPr="00B25A10">
        <w:rPr>
          <w:rFonts w:ascii="Times New Roman" w:eastAsia="Cambria" w:hAnsi="Times New Roman" w:cs="Times New Roman"/>
          <w:sz w:val="24"/>
          <w:szCs w:val="24"/>
        </w:rPr>
        <w:lastRenderedPageBreak/>
        <w:t xml:space="preserve">która </w:t>
      </w:r>
      <w:r w:rsidR="00983D15" w:rsidRPr="00B25A10">
        <w:rPr>
          <w:rFonts w:ascii="Times New Roman" w:eastAsia="Cambria" w:hAnsi="Times New Roman" w:cs="Times New Roman"/>
          <w:sz w:val="24"/>
          <w:szCs w:val="24"/>
        </w:rPr>
        <w:t>jako mniej doj</w:t>
      </w:r>
      <w:r w:rsidR="00930032" w:rsidRPr="00B25A10">
        <w:rPr>
          <w:rFonts w:ascii="Times New Roman" w:eastAsia="Cambria" w:hAnsi="Times New Roman" w:cs="Times New Roman"/>
          <w:sz w:val="24"/>
          <w:szCs w:val="24"/>
        </w:rPr>
        <w:t>rzała</w:t>
      </w:r>
      <w:r w:rsidR="00983D15" w:rsidRPr="00B25A10">
        <w:rPr>
          <w:rFonts w:ascii="Times New Roman" w:eastAsia="Cambria" w:hAnsi="Times New Roman" w:cs="Times New Roman"/>
          <w:sz w:val="24"/>
          <w:szCs w:val="24"/>
        </w:rPr>
        <w:t xml:space="preserve"> emocjonalnie od dorosłych</w:t>
      </w:r>
      <w:r w:rsidR="00930032" w:rsidRPr="00B25A10">
        <w:rPr>
          <w:rFonts w:ascii="Times New Roman" w:eastAsia="Cambria" w:hAnsi="Times New Roman" w:cs="Times New Roman"/>
          <w:sz w:val="24"/>
          <w:szCs w:val="24"/>
        </w:rPr>
        <w:t xml:space="preserve"> jest bardziej podatna na pokusy</w:t>
      </w:r>
      <w:r w:rsidR="00C85289">
        <w:rPr>
          <w:rFonts w:ascii="Times New Roman" w:eastAsia="Cambria" w:hAnsi="Times New Roman" w:cs="Times New Roman"/>
          <w:sz w:val="24"/>
          <w:szCs w:val="24"/>
        </w:rPr>
        <w:t>,</w:t>
      </w:r>
      <w:r w:rsidR="00930032" w:rsidRPr="00B25A10">
        <w:rPr>
          <w:rFonts w:ascii="Times New Roman" w:eastAsia="Cambria" w:hAnsi="Times New Roman" w:cs="Times New Roman"/>
          <w:sz w:val="24"/>
          <w:szCs w:val="24"/>
        </w:rPr>
        <w:t xml:space="preserve"> co powoduje, że</w:t>
      </w:r>
      <w:r w:rsidR="00983D15" w:rsidRPr="00B25A10">
        <w:rPr>
          <w:rFonts w:ascii="Times New Roman" w:eastAsia="Cambria" w:hAnsi="Times New Roman" w:cs="Times New Roman"/>
          <w:sz w:val="24"/>
          <w:szCs w:val="24"/>
        </w:rPr>
        <w:t xml:space="preserve"> szybciej przekształcają się one w uzależnienie.</w:t>
      </w:r>
    </w:p>
    <w:p w14:paraId="317F5A9E" w14:textId="1442E924" w:rsidR="00A669E9" w:rsidRPr="00B25A10" w:rsidRDefault="00930032" w:rsidP="002B0551">
      <w:pPr>
        <w:pStyle w:val="Zwykytekst"/>
        <w:spacing w:before="120" w:line="360" w:lineRule="auto"/>
        <w:jc w:val="both"/>
        <w:rPr>
          <w:rFonts w:ascii="Times New Roman" w:hAnsi="Times New Roman" w:cs="Times New Roman"/>
          <w:sz w:val="24"/>
          <w:szCs w:val="24"/>
        </w:rPr>
      </w:pPr>
      <w:r w:rsidRPr="00B25A10">
        <w:rPr>
          <w:rFonts w:ascii="Times New Roman" w:hAnsi="Times New Roman" w:cs="Times New Roman"/>
          <w:sz w:val="24"/>
          <w:szCs w:val="24"/>
        </w:rPr>
        <w:t>Przyjęte rozwiązanie j</w:t>
      </w:r>
      <w:r w:rsidR="00A669E9" w:rsidRPr="00B25A10">
        <w:rPr>
          <w:rFonts w:ascii="Times New Roman" w:hAnsi="Times New Roman" w:cs="Times New Roman"/>
          <w:sz w:val="24"/>
          <w:szCs w:val="24"/>
        </w:rPr>
        <w:t>est ponadto spójne z innymi środkami ochrony społeczeństwa przed uzależnieniem w zakresie organizowania gier na automatach poza kasynami gier</w:t>
      </w:r>
      <w:r w:rsidR="00C85289">
        <w:rPr>
          <w:rFonts w:ascii="Times New Roman" w:hAnsi="Times New Roman" w:cs="Times New Roman"/>
          <w:sz w:val="24"/>
          <w:szCs w:val="24"/>
        </w:rPr>
        <w:t>,</w:t>
      </w:r>
      <w:r w:rsidR="00A669E9" w:rsidRPr="00B25A10">
        <w:rPr>
          <w:rFonts w:ascii="Times New Roman" w:hAnsi="Times New Roman" w:cs="Times New Roman"/>
          <w:sz w:val="24"/>
          <w:szCs w:val="24"/>
        </w:rPr>
        <w:t xml:space="preserve"> m.in. w postaci zakazu reklamy i promocji oraz rejestracji gracza przed wejściem do salonu gier na automatach.</w:t>
      </w:r>
    </w:p>
    <w:p w14:paraId="69312939" w14:textId="77777777" w:rsidR="00597838" w:rsidRPr="00B25A10" w:rsidRDefault="00597838" w:rsidP="00F95792">
      <w:pPr>
        <w:spacing w:before="240" w:after="120" w:line="360" w:lineRule="auto"/>
        <w:jc w:val="both"/>
        <w:rPr>
          <w:rFonts w:ascii="Times New Roman" w:hAnsi="Times New Roman" w:cs="Times New Roman"/>
          <w:b/>
          <w:sz w:val="24"/>
          <w:szCs w:val="24"/>
        </w:rPr>
      </w:pPr>
      <w:r w:rsidRPr="00B25A10">
        <w:rPr>
          <w:rFonts w:ascii="Times New Roman" w:hAnsi="Times New Roman" w:cs="Times New Roman"/>
          <w:b/>
          <w:sz w:val="24"/>
          <w:szCs w:val="24"/>
        </w:rPr>
        <w:t>zmiana art. 15b</w:t>
      </w:r>
    </w:p>
    <w:p w14:paraId="1E07528A" w14:textId="357381F4" w:rsidR="006D0100" w:rsidRPr="00B25A10" w:rsidRDefault="00597838" w:rsidP="002B0551">
      <w:pPr>
        <w:spacing w:before="120" w:after="0" w:line="360" w:lineRule="auto"/>
        <w:jc w:val="both"/>
        <w:rPr>
          <w:rFonts w:ascii="Times New Roman" w:eastAsia="Calibri" w:hAnsi="Times New Roman" w:cs="Times New Roman"/>
          <w:sz w:val="24"/>
          <w:szCs w:val="24"/>
        </w:rPr>
      </w:pPr>
      <w:r w:rsidRPr="00B25A10">
        <w:rPr>
          <w:rFonts w:ascii="Times New Roman" w:hAnsi="Times New Roman" w:cs="Times New Roman"/>
          <w:sz w:val="24"/>
          <w:szCs w:val="24"/>
        </w:rPr>
        <w:t xml:space="preserve">Zmiana art. 15b ust. 3 ustawy z dnia 19 listopada 2009 r. o grach hazardowych ma na celu ograniczenie przechowywania zapisu sygnału </w:t>
      </w:r>
      <w:proofErr w:type="spellStart"/>
      <w:r w:rsidRPr="00B25A10">
        <w:rPr>
          <w:rFonts w:ascii="Times New Roman" w:hAnsi="Times New Roman" w:cs="Times New Roman"/>
          <w:sz w:val="24"/>
          <w:szCs w:val="24"/>
        </w:rPr>
        <w:t>audiowizyjnego</w:t>
      </w:r>
      <w:proofErr w:type="spellEnd"/>
      <w:r w:rsidRPr="00B25A10">
        <w:rPr>
          <w:rFonts w:ascii="Times New Roman" w:hAnsi="Times New Roman" w:cs="Times New Roman"/>
          <w:sz w:val="24"/>
          <w:szCs w:val="24"/>
        </w:rPr>
        <w:t xml:space="preserve"> w salonach gry na automatach. Należy zauważyć, że w przypadku kasyna gry system obejmuje znacznie więcej danych do kontroli niż w przypadku salonów gier na automatach. Kasyna gry nie posiadają systemu teleinformatycznego rejestrującego i archiwizującego, który posiada spółka wykonująca monopol państwa w zakresie salonów gier na automatach. W przypadku salonów gier na automatach dane dotyczące podstawy opodatkowania przechowywane są w systemie teleinformatycznym rejestrującym i archiwizującym. Nie ma więc potrzeby do celów kontroli salonów do gry na automatach przechowywania danych z systemu zapisu sygnału </w:t>
      </w:r>
      <w:proofErr w:type="spellStart"/>
      <w:r w:rsidRPr="00B25A10">
        <w:rPr>
          <w:rFonts w:ascii="Times New Roman" w:hAnsi="Times New Roman" w:cs="Times New Roman"/>
          <w:sz w:val="24"/>
          <w:szCs w:val="24"/>
        </w:rPr>
        <w:t>audiowizyjnego</w:t>
      </w:r>
      <w:proofErr w:type="spellEnd"/>
      <w:r w:rsidRPr="00B25A10">
        <w:rPr>
          <w:rFonts w:ascii="Times New Roman" w:hAnsi="Times New Roman" w:cs="Times New Roman"/>
          <w:sz w:val="24"/>
          <w:szCs w:val="24"/>
        </w:rPr>
        <w:t xml:space="preserve"> w tak długim czasie. 12 miesięcy jest wystarczającym  okresem do przechowywania zapisów sygnału wizyjnego w przypadku salonów gry na automatach.</w:t>
      </w:r>
      <w:r w:rsidR="00380051" w:rsidRPr="00B25A10">
        <w:rPr>
          <w:rFonts w:ascii="Times New Roman" w:hAnsi="Times New Roman" w:cs="Times New Roman"/>
          <w:sz w:val="24"/>
          <w:szCs w:val="24"/>
        </w:rPr>
        <w:t xml:space="preserve"> Jednocześnie należy zauważyć, że czas na reklamacje gry w salonie gier na automatach wynosi 3 miesiące od dnia zdarzenia. Zatem </w:t>
      </w:r>
      <w:r w:rsidR="00F95792">
        <w:rPr>
          <w:rFonts w:ascii="Times New Roman" w:hAnsi="Times New Roman" w:cs="Times New Roman"/>
          <w:sz w:val="24"/>
          <w:szCs w:val="24"/>
        </w:rPr>
        <w:t>okres</w:t>
      </w:r>
      <w:r w:rsidR="00380051" w:rsidRPr="00B25A10">
        <w:rPr>
          <w:rFonts w:ascii="Times New Roman" w:hAnsi="Times New Roman" w:cs="Times New Roman"/>
          <w:sz w:val="24"/>
          <w:szCs w:val="24"/>
        </w:rPr>
        <w:t xml:space="preserve"> przechowywania 12 miesięcy jest czasem wystarczającym na zapewnienie wyjaśnienia reklamacji.</w:t>
      </w:r>
    </w:p>
    <w:p w14:paraId="19F64204" w14:textId="77777777" w:rsidR="00712E99" w:rsidRPr="00B25A10" w:rsidRDefault="00712E99" w:rsidP="00B25A10">
      <w:pPr>
        <w:spacing w:before="120" w:after="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w:t>
      </w:r>
      <w:r w:rsidR="001D3DAC" w:rsidRPr="00B25A10">
        <w:rPr>
          <w:rFonts w:ascii="Times New Roman" w:eastAsia="Calibri" w:hAnsi="Times New Roman" w:cs="Times New Roman"/>
          <w:b/>
          <w:sz w:val="24"/>
          <w:szCs w:val="24"/>
        </w:rPr>
        <w:t xml:space="preserve"> </w:t>
      </w:r>
      <w:r w:rsidRPr="00B25A10">
        <w:rPr>
          <w:rFonts w:ascii="Times New Roman" w:eastAsia="Calibri" w:hAnsi="Times New Roman" w:cs="Times New Roman"/>
          <w:b/>
          <w:sz w:val="24"/>
          <w:szCs w:val="24"/>
        </w:rPr>
        <w:t>15f</w:t>
      </w:r>
    </w:p>
    <w:p w14:paraId="174F4AAE" w14:textId="4BB9AE04" w:rsidR="00597838" w:rsidRPr="00B25A10" w:rsidRDefault="00597838" w:rsidP="002B0551">
      <w:pPr>
        <w:spacing w:before="120" w:after="0" w:line="360" w:lineRule="auto"/>
        <w:jc w:val="both"/>
        <w:rPr>
          <w:rFonts w:ascii="Times New Roman" w:eastAsia="Calibri" w:hAnsi="Times New Roman" w:cs="Times New Roman"/>
          <w:iCs/>
          <w:sz w:val="24"/>
          <w:szCs w:val="24"/>
        </w:rPr>
      </w:pPr>
      <w:r w:rsidRPr="00B25A10">
        <w:rPr>
          <w:rFonts w:ascii="Times New Roman" w:hAnsi="Times New Roman" w:cs="Times New Roman"/>
          <w:sz w:val="24"/>
          <w:szCs w:val="24"/>
        </w:rPr>
        <w:t xml:space="preserve">Zmiana w art. 15f ust. 4 ustawy z dnia 19 listopada 2009 r. o grach hazardowych ma na celu zmianę przesłanek wpisu do rejestru domen służących do oferowania gier hazardowych niezgodnie z ustawą. </w:t>
      </w:r>
      <w:r w:rsidR="006B595A" w:rsidRPr="00B25A10">
        <w:rPr>
          <w:rFonts w:ascii="Times New Roman" w:hAnsi="Times New Roman" w:cs="Times New Roman"/>
          <w:sz w:val="24"/>
          <w:szCs w:val="24"/>
        </w:rPr>
        <w:t>Zmiana ma na celu optymalizację procedury wpisu do Rejestru domen służących do oferowania gier hazardowych niezgodnie z ustawą o grach hazardowych.</w:t>
      </w:r>
      <w:r w:rsidR="006B595A" w:rsidRPr="00B25A10">
        <w:rPr>
          <w:rFonts w:ascii="Times New Roman" w:eastAsia="Calibri" w:hAnsi="Times New Roman" w:cs="Times New Roman"/>
          <w:iCs/>
          <w:sz w:val="24"/>
          <w:szCs w:val="24"/>
        </w:rPr>
        <w:t xml:space="preserve"> Proponowane rozwiązanie polegające na zmianie przesłanek wpisu domen do rejestru przyczyni się do ograniczenia zakresu weryfikacji funkcjonowania domen internetowych oraz gromadzenia zabezpieczonego materiału oraz jego analizy. Przyspieszy to proces przedstawienia do zatwierdzenia wpisu nazw domen do rejestru domen, a w konsekwencji ich wpis, w szczególności w kontekście poddania sądowej kontroli poprawności dokonania wpisu nazw domen do Rejestru domen. Ponadto powyższe rozwiązanie znajduje potwierdzenie </w:t>
      </w:r>
      <w:r w:rsidR="006B595A" w:rsidRPr="00B25A10">
        <w:rPr>
          <w:rFonts w:ascii="Times New Roman" w:eastAsia="Calibri" w:hAnsi="Times New Roman" w:cs="Times New Roman"/>
          <w:iCs/>
          <w:sz w:val="24"/>
          <w:szCs w:val="24"/>
        </w:rPr>
        <w:lastRenderedPageBreak/>
        <w:t>w orzecznictwie sądów administracyjnych, ukształtowanym na kanwie sądowej kontroli poprawności dokonania wpisów nazw domen do rejestru domen.</w:t>
      </w:r>
      <w:r w:rsidR="004247A2" w:rsidRPr="00B25A10">
        <w:rPr>
          <w:rFonts w:ascii="Times New Roman" w:eastAsia="Calibri" w:hAnsi="Times New Roman" w:cs="Times New Roman"/>
          <w:iCs/>
          <w:sz w:val="24"/>
          <w:szCs w:val="24"/>
        </w:rPr>
        <w:t xml:space="preserve"> </w:t>
      </w:r>
      <w:r w:rsidRPr="00B25A10">
        <w:rPr>
          <w:rFonts w:ascii="Times New Roman" w:hAnsi="Times New Roman" w:cs="Times New Roman"/>
          <w:sz w:val="24"/>
          <w:szCs w:val="24"/>
        </w:rPr>
        <w:t>Zasadne jest, aby  do rejestru wpisywane były również strony służące do reklamowania i promowania nielegalnych kasyn internetowych/nielegalnych gier hazardowych. Strony te najczęściej zawierają rankingi nielegalnych kasyn online i przez zawarte umowy afiliacyjne generują pośrednio ruch na strony tych nielegalnych kasyn. Zmiana ma na celu ograniczenie wyświetlania informacji o nielegalnych kasynach/grach hazardowych w wyszukiwarkach internetowych oraz uniemożliwiania omijania przepisów ustawy o grach hazardowych w zakresie nielegalnej reklamy hazardu. Wyszukiwarki dostarczają na zapytania użytkowników wyniki uszeregowane w określonej kolejności. Algorytmy wyszukiwarek, które za to odpowiadają, wykorzystują różne czynniki rankingujące, które pozwalają ocenić przydatność stron i uszeregować je od najbardziej do najmniej trafnych. W szczególności brane jest pod uwagę, czy zawartość strony przekazuje wiedzę oraz zawiera bieżące informacje na określony temat w danej branży, na jakich stronach i portalach społecznościowych pojawiają się linki prowadzące do danej strony (jeżeli na takich, które powszechnie uważane są za autorytet w danej  dziedzinie, to również dana strona na tym zyskuje) i czy strona jest godna zaufania (nie będzie, jeżeli prowadzą do niej linki z uszkodzonych, niedziałających lub podejrzanych stron). Wysokie miejsca w wynikach wyszukiwania stron z nielegalnymi kasynami wynika w szczególności z faktu, iż reklamowane są one (linkowane) przez strony objęte programami afiliacyjnymi, które z racji dużej ilości treści i bieżących informacji na temat branży hazardowej są wysoko oceniane przez wyszukiwarki. Ich zablokowanie spowoduje spadek tej oceny oraz pozycji w wynikach wyszukiwania (dostępności dla graczy), co przełoży się również na spadek pozycji nielegalnych kasyn internetowych. Strony afiliacyjne łamią ponadto zakaz reklamy gier hazardowych wynikający z art. 28 ustawy o grach hazardowych, kierując publicznie przekaz reklamowy do osób znajdujących się na terytorium Polski, a z racji lokalizacji serwerów, z których  strony te są wyświetlane, poza granicami Polski, nie ma możliwości zastosowania w stosunku do osób odpowiedzialnych za takie strony sankcji administracyjnych lub karnych.</w:t>
      </w:r>
    </w:p>
    <w:p w14:paraId="57F0A3AA" w14:textId="77777777" w:rsidR="00597838" w:rsidRPr="00B25A10" w:rsidRDefault="00597838"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Strony internetowe służące do reklamowania i promowania hazardu:</w:t>
      </w:r>
    </w:p>
    <w:p w14:paraId="45C3A246" w14:textId="77777777" w:rsidR="00597838" w:rsidRPr="00B25A10" w:rsidRDefault="00597838" w:rsidP="002B0551">
      <w:pPr>
        <w:numPr>
          <w:ilvl w:val="0"/>
          <w:numId w:val="17"/>
        </w:num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informują polskich graczy o nielegalnych kasynach online,</w:t>
      </w:r>
    </w:p>
    <w:p w14:paraId="7D353862" w14:textId="77777777" w:rsidR="00597838" w:rsidRPr="00B25A10" w:rsidRDefault="00597838" w:rsidP="002B0551">
      <w:pPr>
        <w:numPr>
          <w:ilvl w:val="0"/>
          <w:numId w:val="17"/>
        </w:num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generują ruch na domeny klony zablokowanych kasyn,</w:t>
      </w:r>
    </w:p>
    <w:p w14:paraId="7DC10973" w14:textId="77777777" w:rsidR="00597838" w:rsidRPr="00B25A10" w:rsidRDefault="00597838" w:rsidP="002B0551">
      <w:pPr>
        <w:numPr>
          <w:ilvl w:val="0"/>
          <w:numId w:val="17"/>
        </w:num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umożliwiają rozwój nowych nielegalnych kasyn i pozyskiwanie graczy, </w:t>
      </w:r>
    </w:p>
    <w:p w14:paraId="719478BC" w14:textId="77777777" w:rsidR="00597838" w:rsidRPr="00B25A10" w:rsidRDefault="00597838" w:rsidP="002B0551">
      <w:pPr>
        <w:numPr>
          <w:ilvl w:val="0"/>
          <w:numId w:val="17"/>
        </w:num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lastRenderedPageBreak/>
        <w:t>umożliwiają rozwój szarej strefy,</w:t>
      </w:r>
    </w:p>
    <w:p w14:paraId="67E8BD27" w14:textId="77777777" w:rsidR="00597838" w:rsidRPr="00B25A10" w:rsidRDefault="00597838" w:rsidP="002B0551">
      <w:pPr>
        <w:numPr>
          <w:ilvl w:val="0"/>
          <w:numId w:val="17"/>
        </w:num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przyciągają nowych graczy (również małoletnich),</w:t>
      </w:r>
    </w:p>
    <w:p w14:paraId="66AD80EB" w14:textId="77777777" w:rsidR="00597838" w:rsidRPr="00B25A10" w:rsidRDefault="00597838" w:rsidP="002B0551">
      <w:pPr>
        <w:numPr>
          <w:ilvl w:val="0"/>
          <w:numId w:val="17"/>
        </w:num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wypełniają znamiona czynu zabronionego stanowiącego przestępstwo skarbowe.</w:t>
      </w:r>
    </w:p>
    <w:p w14:paraId="2937ABF6" w14:textId="4904C2A9" w:rsidR="00597838" w:rsidRPr="00B25A10" w:rsidRDefault="00597838"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Proponowane zmiany przesłanek wpisu do Rejestru nie stanowią zagrożenia zablokowania portali społecznościowych typu </w:t>
      </w:r>
      <w:r w:rsidRPr="00B25A10">
        <w:rPr>
          <w:rFonts w:ascii="Times New Roman" w:hAnsi="Times New Roman" w:cs="Times New Roman"/>
          <w:bCs/>
          <w:i/>
          <w:iCs/>
          <w:sz w:val="24"/>
          <w:szCs w:val="24"/>
        </w:rPr>
        <w:t>Facebook</w:t>
      </w:r>
      <w:r w:rsidRPr="00B25A10">
        <w:rPr>
          <w:rFonts w:ascii="Times New Roman" w:hAnsi="Times New Roman" w:cs="Times New Roman"/>
          <w:sz w:val="24"/>
          <w:szCs w:val="24"/>
        </w:rPr>
        <w:t xml:space="preserve"> czy też serwisów informacyjno-publicystycznych (</w:t>
      </w:r>
      <w:r w:rsidRPr="00B25A10">
        <w:rPr>
          <w:rFonts w:ascii="Times New Roman" w:hAnsi="Times New Roman" w:cs="Times New Roman"/>
          <w:bCs/>
          <w:i/>
          <w:iCs/>
          <w:sz w:val="24"/>
          <w:szCs w:val="24"/>
        </w:rPr>
        <w:t xml:space="preserve">Onet, Wirtualna Polska, Interia </w:t>
      </w:r>
      <w:r w:rsidRPr="00B25A10">
        <w:rPr>
          <w:rFonts w:ascii="Times New Roman" w:hAnsi="Times New Roman" w:cs="Times New Roman"/>
          <w:sz w:val="24"/>
          <w:szCs w:val="24"/>
        </w:rPr>
        <w:t xml:space="preserve">itp.). Wymienione portale nie  służą promowaniu hazardu. Rejestr domen służących do oferowania gier hazardowych niezgodnie </w:t>
      </w:r>
      <w:r w:rsidRPr="00B25A10">
        <w:rPr>
          <w:rFonts w:ascii="Times New Roman" w:hAnsi="Times New Roman" w:cs="Times New Roman"/>
          <w:sz w:val="24"/>
          <w:szCs w:val="24"/>
        </w:rPr>
        <w:br/>
        <w:t xml:space="preserve">z ustawą jest prowadzony w systemie teleinformatycznym, umożliwiającym automatyczne przekazywanie informacji do systemów teleinformatycznych przedsiębiorców telekomunikacyjnych i dostawców usług płatniczych. Lista nazw domen wpisanych do Rejestru zamieszczana jest na stronie internetowej prowadzonej przez Ministra Finansów. Rejestr jest jawny i ogólnodostępny dla wszystkich zainteresowanych osób. Wpis domeny do Rejestru poprzedzony jest oceną w zakresie spełnienia wskazanych w przepisie przesłanek do jego dokonania. Poprawność dokonywanych w Rejestrze wpisów domen zapewniona jest przez kontrolę sądowo-administracyjną. Uprawniony podmiot może złożyć sprzeciw od wpisu do ministra właściwego do spraw finansów publicznych, który w krótkim terminie 14 dni obowiązany będzie rozpatrzyć sprzeciw. W związku z tym, że odpowiedź organu na sprzeciw przybiera formę decyzji administracyjnej, służyć będzie od niej skarga do Wojewódzkiego Sądu Administracyjnego w Warszawie, do którego kompetencji należeć będzie ostateczne rozstrzygnięcie kwestii wpisu do Rejestru. Ostateczna ocena wpisu dokonywana jest przez niezawisły sąd, co gwarantuje ochronę podstawowych praw konstytucyjnych. </w:t>
      </w:r>
    </w:p>
    <w:p w14:paraId="57CCC81E" w14:textId="1C6CF81B" w:rsidR="00597838" w:rsidRPr="00B25A10" w:rsidRDefault="00597838"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Funkcjonująca od ponad trzech lat instytucja Rejestru domen, w którym znajduje się prawie 11</w:t>
      </w:r>
      <w:r w:rsidR="00F95792">
        <w:rPr>
          <w:rFonts w:ascii="Times New Roman" w:hAnsi="Times New Roman" w:cs="Times New Roman"/>
          <w:sz w:val="24"/>
          <w:szCs w:val="24"/>
        </w:rPr>
        <w:t> </w:t>
      </w:r>
      <w:r w:rsidRPr="00B25A10">
        <w:rPr>
          <w:rFonts w:ascii="Times New Roman" w:hAnsi="Times New Roman" w:cs="Times New Roman"/>
          <w:sz w:val="24"/>
          <w:szCs w:val="24"/>
        </w:rPr>
        <w:t>tys. wpisanych nazw domen internetowych z niewiele ponad 3</w:t>
      </w:r>
      <w:r w:rsidR="003A48A1">
        <w:rPr>
          <w:rFonts w:ascii="Times New Roman" w:hAnsi="Times New Roman" w:cs="Times New Roman"/>
          <w:sz w:val="24"/>
          <w:szCs w:val="24"/>
        </w:rPr>
        <w:t>-</w:t>
      </w:r>
      <w:r w:rsidR="003A48A1" w:rsidRPr="00B25A10">
        <w:rPr>
          <w:rFonts w:ascii="Times New Roman" w:hAnsi="Times New Roman" w:cs="Times New Roman"/>
          <w:sz w:val="24"/>
          <w:szCs w:val="24"/>
        </w:rPr>
        <w:t>procentową</w:t>
      </w:r>
      <w:r w:rsidRPr="00B25A10">
        <w:rPr>
          <w:rFonts w:ascii="Times New Roman" w:hAnsi="Times New Roman" w:cs="Times New Roman"/>
          <w:sz w:val="24"/>
          <w:szCs w:val="24"/>
        </w:rPr>
        <w:t xml:space="preserve"> liczbą złożonych sprzeciwów, niespełna 3</w:t>
      </w:r>
      <w:r w:rsidR="003A48A1">
        <w:rPr>
          <w:rFonts w:ascii="Times New Roman" w:hAnsi="Times New Roman" w:cs="Times New Roman"/>
          <w:sz w:val="24"/>
          <w:szCs w:val="24"/>
        </w:rPr>
        <w:t>-</w:t>
      </w:r>
      <w:r w:rsidR="003A48A1" w:rsidRPr="00B25A10">
        <w:rPr>
          <w:rFonts w:ascii="Times New Roman" w:hAnsi="Times New Roman" w:cs="Times New Roman"/>
          <w:sz w:val="24"/>
          <w:szCs w:val="24"/>
        </w:rPr>
        <w:t>procentową</w:t>
      </w:r>
      <w:r w:rsidRPr="00B25A10">
        <w:rPr>
          <w:rFonts w:ascii="Times New Roman" w:hAnsi="Times New Roman" w:cs="Times New Roman"/>
          <w:sz w:val="24"/>
          <w:szCs w:val="24"/>
        </w:rPr>
        <w:t xml:space="preserve"> zaskarżalnością oraz 100</w:t>
      </w:r>
      <w:r w:rsidR="00201193">
        <w:rPr>
          <w:rFonts w:ascii="Times New Roman" w:hAnsi="Times New Roman" w:cs="Times New Roman"/>
          <w:sz w:val="24"/>
          <w:szCs w:val="24"/>
        </w:rPr>
        <w:t>-</w:t>
      </w:r>
      <w:r w:rsidRPr="00B25A10">
        <w:rPr>
          <w:rFonts w:ascii="Times New Roman" w:hAnsi="Times New Roman" w:cs="Times New Roman"/>
          <w:sz w:val="24"/>
          <w:szCs w:val="24"/>
        </w:rPr>
        <w:t>procentową, jak do tej pory, akceptacją sądów administracyjnych potwierdza, iż narzędzie nie jest nadużywane i podlega ścisłej kontroli. Dodatkowym zapewnieniem ochrony interesów przedsiębiorców prowadzących działalność za pośrednictwem zablokowanych stron internetowych jest dokonywanie z urzędu zmiany oraz wykreślenia wpisu, a zatem możliwość szybkiego usunięcia lub modyfikacji wpisu.</w:t>
      </w:r>
    </w:p>
    <w:p w14:paraId="6626193D" w14:textId="77777777" w:rsidR="00597838" w:rsidRPr="00B25A10" w:rsidRDefault="00597838"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Powyższa zmiana jest kontynuacją działań ustawodawcy zmierzającą do zapewnienia graczom bezpiecznego środowiska do korzystania z rozrywki online. Dotychczasowe </w:t>
      </w:r>
      <w:r w:rsidRPr="00B25A10">
        <w:rPr>
          <w:rFonts w:ascii="Times New Roman" w:hAnsi="Times New Roman" w:cs="Times New Roman"/>
          <w:sz w:val="24"/>
          <w:szCs w:val="24"/>
        </w:rPr>
        <w:lastRenderedPageBreak/>
        <w:t>rozwiązania przyniosły korzystny efekt, istotnie ograniczając nielegalnym operatorom możliwość prowadzenia działalności niezgodnie z ustawą o grach hazardowych. Doświadczenie i praktyka zdobyte w okresie od nowelizacji ustawy z 2016 r. wskazuje na potrzebę wpisywania do rejestru domen również stron afiliacyjnych oraz stron, które służą reklamowaniu nielegalnych kasyn on-line. Proponowana zmiana stawia kolejny krok w kierunku „uszczelnienia” systemu wprowadzania do rejestru domen służących do świadczenia usług hazardowych w sposób sprzeczny z ustawą o grach hazardowych – a przez to rodzący istotne ryzyko dla bezpieczeństwa graczy.</w:t>
      </w:r>
    </w:p>
    <w:p w14:paraId="5EA31A0A" w14:textId="77777777"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t>Zablokowanie przez operatorów telekomunikacyjnych na podstawie wpisu do Rejestru domen służących oferowaniu gier hazardowych niezgodnie z przepisami ustawy domen dostępnych dla użytkowników sieci Internet w Polsce, nawet gdy nie są one do nich kierowane, spowoduje jedynie uniemożliwienie prowadzenia nielegalnej działalności w obszarze gier hazardowych na terytorium Rzeczypospolitej, co nie spowoduje braku możliwości prowadzenia działalności w tym obszarze przez abonentów domeny na terytorium innych państw członkowskich. Przedmiotowa zmiana przepisu nie wpłynie zatem na ograniczenia w swobodnym przepływie usług.</w:t>
      </w:r>
      <w:r w:rsidRPr="00B25A10">
        <w:rPr>
          <w:rFonts w:ascii="Times New Roman" w:hAnsi="Times New Roman" w:cs="Times New Roman"/>
          <w:sz w:val="24"/>
          <w:szCs w:val="24"/>
        </w:rPr>
        <w:t xml:space="preserve"> </w:t>
      </w:r>
      <w:r w:rsidRPr="00B25A10">
        <w:rPr>
          <w:rFonts w:ascii="Times New Roman" w:hAnsi="Times New Roman" w:cs="Times New Roman"/>
          <w:iCs/>
          <w:sz w:val="24"/>
          <w:szCs w:val="24"/>
        </w:rPr>
        <w:t xml:space="preserve">Ograniczenie świadczenia usług i swobody przedsiębiorczości może być uzasadnione względami porządku publicznego, bezpieczeństwa publicznego lub zdrowia publicznego (art. 52 TFUE w związku z art. 62 TFUE). Reguły te zostały rozwinięte przez orzecznictwo TSUE, m.in. w sprawie C-55/94 Gebhard, w której Trybunał określił warunki dopuszczalności środków ograniczających lub czyniących mniej atrakcyjnymi korzystanie ze swobód. Na gruncie wyroku ograniczenia te muszą być: </w:t>
      </w:r>
    </w:p>
    <w:p w14:paraId="322AEC84" w14:textId="6DDBD43B" w:rsidR="004247A2" w:rsidRPr="00B25A10" w:rsidRDefault="003A48A1"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sz w:val="24"/>
          <w:szCs w:val="24"/>
        </w:rPr>
        <w:t>–</w:t>
      </w:r>
      <w:r w:rsidR="004247A2" w:rsidRPr="00B25A10">
        <w:rPr>
          <w:rFonts w:ascii="Times New Roman" w:hAnsi="Times New Roman" w:cs="Times New Roman"/>
          <w:iCs/>
          <w:sz w:val="24"/>
          <w:szCs w:val="24"/>
        </w:rPr>
        <w:t xml:space="preserve"> stosowane w sposób niedyskryminacyjny,</w:t>
      </w:r>
    </w:p>
    <w:p w14:paraId="33C05999" w14:textId="0FFDC24C" w:rsidR="004247A2" w:rsidRPr="00B25A10" w:rsidRDefault="003A48A1"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sz w:val="24"/>
          <w:szCs w:val="24"/>
        </w:rPr>
        <w:t>–</w:t>
      </w:r>
      <w:r w:rsidR="004247A2" w:rsidRPr="00B25A10">
        <w:rPr>
          <w:rFonts w:ascii="Times New Roman" w:hAnsi="Times New Roman" w:cs="Times New Roman"/>
          <w:iCs/>
          <w:sz w:val="24"/>
          <w:szCs w:val="24"/>
        </w:rPr>
        <w:t xml:space="preserve"> usprawiedliwione nadrzędnymi wymogami interesu ogólnego,</w:t>
      </w:r>
    </w:p>
    <w:p w14:paraId="753A0DA8" w14:textId="5128D29D" w:rsidR="004247A2" w:rsidRPr="00B25A10" w:rsidRDefault="003A48A1"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sz w:val="24"/>
          <w:szCs w:val="24"/>
        </w:rPr>
        <w:t>–</w:t>
      </w:r>
      <w:r w:rsidR="004247A2" w:rsidRPr="00B25A10">
        <w:rPr>
          <w:rFonts w:ascii="Times New Roman" w:hAnsi="Times New Roman" w:cs="Times New Roman"/>
          <w:iCs/>
          <w:sz w:val="24"/>
          <w:szCs w:val="24"/>
        </w:rPr>
        <w:t xml:space="preserve"> odpowiednie do zakładanego celu (adekwatność),</w:t>
      </w:r>
    </w:p>
    <w:p w14:paraId="4F2AE662" w14:textId="4E546E52" w:rsidR="004247A2" w:rsidRPr="00B25A10" w:rsidRDefault="003A48A1"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sz w:val="24"/>
          <w:szCs w:val="24"/>
        </w:rPr>
        <w:t>–</w:t>
      </w:r>
      <w:r w:rsidR="004247A2" w:rsidRPr="00B25A10">
        <w:rPr>
          <w:rFonts w:ascii="Times New Roman" w:hAnsi="Times New Roman" w:cs="Times New Roman"/>
          <w:iCs/>
          <w:sz w:val="24"/>
          <w:szCs w:val="24"/>
        </w:rPr>
        <w:t xml:space="preserve"> nie mogą wykraczać poza to, co konieczne dla realizacji zakładanego celu (proporcjonalność).</w:t>
      </w:r>
    </w:p>
    <w:p w14:paraId="3BD51D49" w14:textId="3CBA3453"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t xml:space="preserve">Orzecznictwo Trybunału wskazało szereg nadrzędnych względów interesu społecznego mogących uzasadniać ww. ograniczenia, takich jak względy ochrony konsumentów, przeciwdziałania oszustwom i skłanianiu obywateli do nadmiernych wydatków związanych z grami, jak też ogólne względy zapobiegania zakłóceniom porządku publicznego. Ograniczenia oparte na ww. względach muszą być odpowiednie do zapewnienia realizacji założonych celów, co oznacza, że muszą przyczyniać się do ograniczenia działalności w </w:t>
      </w:r>
      <w:r w:rsidRPr="00B25A10">
        <w:rPr>
          <w:rFonts w:ascii="Times New Roman" w:hAnsi="Times New Roman" w:cs="Times New Roman"/>
          <w:iCs/>
          <w:sz w:val="24"/>
          <w:szCs w:val="24"/>
        </w:rPr>
        <w:lastRenderedPageBreak/>
        <w:t xml:space="preserve">zakresie gier hazardowych w sposób spójny i systematyczny (wyrok w sprawie C-258/08 </w:t>
      </w:r>
      <w:proofErr w:type="spellStart"/>
      <w:r w:rsidRPr="00B25A10">
        <w:rPr>
          <w:rFonts w:ascii="Times New Roman" w:hAnsi="Times New Roman" w:cs="Times New Roman"/>
          <w:iCs/>
          <w:sz w:val="24"/>
          <w:szCs w:val="24"/>
        </w:rPr>
        <w:t>Ladbrokes</w:t>
      </w:r>
      <w:proofErr w:type="spellEnd"/>
      <w:r w:rsidRPr="00B25A10">
        <w:rPr>
          <w:rFonts w:ascii="Times New Roman" w:hAnsi="Times New Roman" w:cs="Times New Roman"/>
          <w:iCs/>
          <w:sz w:val="24"/>
          <w:szCs w:val="24"/>
        </w:rPr>
        <w:t xml:space="preserve">). Jednocześnie TSUE stwierdził, że nie można wykluczyć możliwości, że ochrona efektywności nadzoru fiskalnego oraz przejrzystość transakcji gospodarczych mogą być uznane </w:t>
      </w:r>
      <w:r w:rsidR="003A48A1" w:rsidRPr="00B25A10">
        <w:rPr>
          <w:rFonts w:ascii="Times New Roman" w:hAnsi="Times New Roman" w:cs="Times New Roman"/>
          <w:sz w:val="24"/>
          <w:szCs w:val="24"/>
        </w:rPr>
        <w:t>–</w:t>
      </w:r>
      <w:r w:rsidRPr="00B25A10">
        <w:rPr>
          <w:rFonts w:ascii="Times New Roman" w:hAnsi="Times New Roman" w:cs="Times New Roman"/>
          <w:iCs/>
          <w:sz w:val="24"/>
          <w:szCs w:val="24"/>
        </w:rPr>
        <w:t xml:space="preserve"> w pewnych okolicznościach oraz pod pewnymi warunkami </w:t>
      </w:r>
      <w:r w:rsidR="003A48A1" w:rsidRPr="00B25A10">
        <w:rPr>
          <w:rFonts w:ascii="Times New Roman" w:hAnsi="Times New Roman" w:cs="Times New Roman"/>
          <w:sz w:val="24"/>
          <w:szCs w:val="24"/>
        </w:rPr>
        <w:t>–</w:t>
      </w:r>
      <w:r w:rsidRPr="00B25A10">
        <w:rPr>
          <w:rFonts w:ascii="Times New Roman" w:hAnsi="Times New Roman" w:cs="Times New Roman"/>
          <w:iCs/>
          <w:sz w:val="24"/>
          <w:szCs w:val="24"/>
        </w:rPr>
        <w:t xml:space="preserve"> jako nadrzędne cele interesu ogólnego, uzasadniające środki ograniczające swobodę przedsiębiorczości (sprawa C-167/01 </w:t>
      </w:r>
      <w:proofErr w:type="spellStart"/>
      <w:r w:rsidRPr="00B25A10">
        <w:rPr>
          <w:rFonts w:ascii="Times New Roman" w:hAnsi="Times New Roman" w:cs="Times New Roman"/>
          <w:iCs/>
          <w:sz w:val="24"/>
          <w:szCs w:val="24"/>
        </w:rPr>
        <w:t>Inspire</w:t>
      </w:r>
      <w:proofErr w:type="spellEnd"/>
      <w:r w:rsidRPr="00B25A10">
        <w:rPr>
          <w:rFonts w:ascii="Times New Roman" w:hAnsi="Times New Roman" w:cs="Times New Roman"/>
          <w:iCs/>
          <w:sz w:val="24"/>
          <w:szCs w:val="24"/>
        </w:rPr>
        <w:t>).</w:t>
      </w:r>
    </w:p>
    <w:p w14:paraId="79D151A2" w14:textId="77777777"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t xml:space="preserve">Zasada proporcjonalności jest to jedna z zasad o charakterze niedookreślonym i postulatywnym nie wyrażona </w:t>
      </w:r>
      <w:r w:rsidRPr="00B25A10">
        <w:rPr>
          <w:rFonts w:ascii="Times New Roman" w:hAnsi="Times New Roman" w:cs="Times New Roman"/>
          <w:i/>
          <w:iCs/>
          <w:sz w:val="24"/>
          <w:szCs w:val="24"/>
        </w:rPr>
        <w:t>expressis verbis</w:t>
      </w:r>
      <w:r w:rsidRPr="00B25A10">
        <w:rPr>
          <w:rFonts w:ascii="Times New Roman" w:hAnsi="Times New Roman" w:cs="Times New Roman"/>
          <w:iCs/>
          <w:sz w:val="24"/>
          <w:szCs w:val="24"/>
        </w:rPr>
        <w:t xml:space="preserve"> w tekstach normatywnych. Obejmuje ona kilka postulatów dotyczących zachowania się administracji publicznej wobec obywatela.</w:t>
      </w:r>
    </w:p>
    <w:p w14:paraId="6E35A511" w14:textId="77777777"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t>Z powyższego wynika, iż zasada proporcjonalności nakazuje organom państwowym użycie jedynie takich środków, które są niezbędne dla osiągnięcia konkretnego celu. Oznacza to, że organy państwowe mają osiągać cel, który służy społeczeństwu, jak najmniejszym, jego oraz poszczególnych jednostek, kosztem.</w:t>
      </w:r>
    </w:p>
    <w:p w14:paraId="1B0A68B3" w14:textId="77777777"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t>Sektor gier losowych oferowanych przez Internet nie jest przedmiotem harmonizacji wspólnotowej.</w:t>
      </w:r>
    </w:p>
    <w:p w14:paraId="795F67AD" w14:textId="270E781A"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t>Trybunał Sprawiedliwości UE wielokrotnie orzekł, że uregulowanie gier losowych stanowi część dziedziny, w której między państwami członkowskimi istnieją znaczne rozbieżności dotyczące wartości moralnych, religijnych i kulturowych. W</w:t>
      </w:r>
      <w:r w:rsidR="00CF39D0">
        <w:rPr>
          <w:rFonts w:ascii="Times New Roman" w:hAnsi="Times New Roman" w:cs="Times New Roman"/>
          <w:iCs/>
          <w:sz w:val="24"/>
          <w:szCs w:val="24"/>
        </w:rPr>
        <w:t>obec</w:t>
      </w:r>
      <w:r w:rsidRPr="00B25A10">
        <w:rPr>
          <w:rFonts w:ascii="Times New Roman" w:hAnsi="Times New Roman" w:cs="Times New Roman"/>
          <w:iCs/>
          <w:sz w:val="24"/>
          <w:szCs w:val="24"/>
        </w:rPr>
        <w:t xml:space="preserve"> braku harmonizacji w tym zakresie do każdego państwa członkowskiego z osobna należy ocena w tych dziedzinach, według własnej skali wartości, wymogów związanych z ochroną danych interesów (wyrok w sprawie C-42/07 Liga Portuguesa de </w:t>
      </w:r>
      <w:proofErr w:type="spellStart"/>
      <w:r w:rsidRPr="00B25A10">
        <w:rPr>
          <w:rFonts w:ascii="Times New Roman" w:hAnsi="Times New Roman" w:cs="Times New Roman"/>
          <w:iCs/>
          <w:sz w:val="24"/>
          <w:szCs w:val="24"/>
        </w:rPr>
        <w:t>Futebol</w:t>
      </w:r>
      <w:proofErr w:type="spellEnd"/>
      <w:r w:rsidRPr="00B25A10">
        <w:rPr>
          <w:rFonts w:ascii="Times New Roman" w:hAnsi="Times New Roman" w:cs="Times New Roman"/>
          <w:iCs/>
          <w:sz w:val="24"/>
          <w:szCs w:val="24"/>
        </w:rPr>
        <w:t xml:space="preserve"> </w:t>
      </w:r>
      <w:proofErr w:type="spellStart"/>
      <w:r w:rsidRPr="00B25A10">
        <w:rPr>
          <w:rFonts w:ascii="Times New Roman" w:hAnsi="Times New Roman" w:cs="Times New Roman"/>
          <w:iCs/>
          <w:sz w:val="24"/>
          <w:szCs w:val="24"/>
        </w:rPr>
        <w:t>Profissional</w:t>
      </w:r>
      <w:proofErr w:type="spellEnd"/>
      <w:r w:rsidRPr="00B25A10">
        <w:rPr>
          <w:rFonts w:ascii="Times New Roman" w:hAnsi="Times New Roman" w:cs="Times New Roman"/>
          <w:iCs/>
          <w:sz w:val="24"/>
          <w:szCs w:val="24"/>
        </w:rPr>
        <w:t xml:space="preserve"> i </w:t>
      </w:r>
      <w:proofErr w:type="spellStart"/>
      <w:r w:rsidRPr="00B25A10">
        <w:rPr>
          <w:rFonts w:ascii="Times New Roman" w:hAnsi="Times New Roman" w:cs="Times New Roman"/>
          <w:iCs/>
          <w:sz w:val="24"/>
          <w:szCs w:val="24"/>
        </w:rPr>
        <w:t>Bwin</w:t>
      </w:r>
      <w:proofErr w:type="spellEnd"/>
      <w:r w:rsidRPr="00B25A10">
        <w:rPr>
          <w:rFonts w:ascii="Times New Roman" w:hAnsi="Times New Roman" w:cs="Times New Roman"/>
          <w:iCs/>
          <w:sz w:val="24"/>
          <w:szCs w:val="24"/>
        </w:rPr>
        <w:t xml:space="preserve"> International, pkt 57 i tam przytoczone orzecznictwo).</w:t>
      </w:r>
    </w:p>
    <w:p w14:paraId="5C195115" w14:textId="77777777"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t xml:space="preserve">Państwo członkowskie jest więc uprawnione  do uznania, że sama tylko okoliczność, iż podmiot oferuje zgodnie z prawem usługi z tego sektora przez Internet w innym państwie członkowskim, w którym ma siedzibę i w którym zasadniczo podlega już wymogom prawnym i kontroli ze strony właściwych organów tego państwa członkowskiego, nie stanowi wystarczającej gwarancji ochrony krajowych konsumentów przed niebezpieczeństwem oszustwa i przestępczości, biorąc pod uwagę trudności, jakie w tym kontekście mogą napotkać organy państwa członkowskiego siedziby przy ocenie profesjonalnych walorów i prawości takiego podmiotu (C-258/08 </w:t>
      </w:r>
      <w:proofErr w:type="spellStart"/>
      <w:r w:rsidRPr="00B25A10">
        <w:rPr>
          <w:rFonts w:ascii="Times New Roman" w:hAnsi="Times New Roman" w:cs="Times New Roman"/>
          <w:iCs/>
          <w:sz w:val="24"/>
          <w:szCs w:val="24"/>
        </w:rPr>
        <w:t>Ladbrokes</w:t>
      </w:r>
      <w:proofErr w:type="spellEnd"/>
      <w:r w:rsidRPr="00B25A10">
        <w:rPr>
          <w:rFonts w:ascii="Times New Roman" w:hAnsi="Times New Roman" w:cs="Times New Roman"/>
          <w:iCs/>
          <w:sz w:val="24"/>
          <w:szCs w:val="24"/>
        </w:rPr>
        <w:t xml:space="preserve"> Betting).</w:t>
      </w:r>
    </w:p>
    <w:p w14:paraId="52486892" w14:textId="712248E5"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t>Trybunał Sprawiedliwości UE w wyroku z dnia 22 czerwca 2017 r. w sprawie C-49/16 (</w:t>
      </w:r>
      <w:proofErr w:type="spellStart"/>
      <w:r w:rsidRPr="00B25A10">
        <w:rPr>
          <w:rFonts w:ascii="Times New Roman" w:hAnsi="Times New Roman" w:cs="Times New Roman"/>
          <w:iCs/>
          <w:sz w:val="24"/>
          <w:szCs w:val="24"/>
        </w:rPr>
        <w:t>Unibet</w:t>
      </w:r>
      <w:proofErr w:type="spellEnd"/>
      <w:r w:rsidRPr="00B25A10">
        <w:rPr>
          <w:rFonts w:ascii="Times New Roman" w:hAnsi="Times New Roman" w:cs="Times New Roman"/>
          <w:iCs/>
          <w:sz w:val="24"/>
          <w:szCs w:val="24"/>
        </w:rPr>
        <w:t xml:space="preserve"> International Limited przeciwko </w:t>
      </w:r>
      <w:proofErr w:type="spellStart"/>
      <w:r w:rsidRPr="00B25A10">
        <w:rPr>
          <w:rFonts w:ascii="Times New Roman" w:hAnsi="Times New Roman" w:cs="Times New Roman"/>
          <w:iCs/>
          <w:sz w:val="24"/>
          <w:szCs w:val="24"/>
        </w:rPr>
        <w:t>Nemzeti</w:t>
      </w:r>
      <w:proofErr w:type="spellEnd"/>
      <w:r w:rsidRPr="00B25A10">
        <w:rPr>
          <w:rFonts w:ascii="Times New Roman" w:hAnsi="Times New Roman" w:cs="Times New Roman"/>
          <w:iCs/>
          <w:sz w:val="24"/>
          <w:szCs w:val="24"/>
        </w:rPr>
        <w:t xml:space="preserve"> Ado – es </w:t>
      </w:r>
      <w:proofErr w:type="spellStart"/>
      <w:r w:rsidRPr="00B25A10">
        <w:rPr>
          <w:rFonts w:ascii="Times New Roman" w:hAnsi="Times New Roman" w:cs="Times New Roman"/>
          <w:iCs/>
          <w:sz w:val="24"/>
          <w:szCs w:val="24"/>
        </w:rPr>
        <w:t>Vamhivatal</w:t>
      </w:r>
      <w:proofErr w:type="spellEnd"/>
      <w:r w:rsidRPr="00B25A10">
        <w:rPr>
          <w:rFonts w:ascii="Times New Roman" w:hAnsi="Times New Roman" w:cs="Times New Roman"/>
          <w:iCs/>
          <w:sz w:val="24"/>
          <w:szCs w:val="24"/>
        </w:rPr>
        <w:t xml:space="preserve"> </w:t>
      </w:r>
      <w:proofErr w:type="spellStart"/>
      <w:r w:rsidRPr="00B25A10">
        <w:rPr>
          <w:rFonts w:ascii="Times New Roman" w:hAnsi="Times New Roman" w:cs="Times New Roman"/>
          <w:iCs/>
          <w:sz w:val="24"/>
          <w:szCs w:val="24"/>
        </w:rPr>
        <w:t>Kozponti</w:t>
      </w:r>
      <w:proofErr w:type="spellEnd"/>
      <w:r w:rsidRPr="00B25A10">
        <w:rPr>
          <w:rFonts w:ascii="Times New Roman" w:hAnsi="Times New Roman" w:cs="Times New Roman"/>
          <w:iCs/>
          <w:sz w:val="24"/>
          <w:szCs w:val="24"/>
        </w:rPr>
        <w:t xml:space="preserve"> </w:t>
      </w:r>
      <w:proofErr w:type="spellStart"/>
      <w:r w:rsidRPr="00B25A10">
        <w:rPr>
          <w:rFonts w:ascii="Times New Roman" w:hAnsi="Times New Roman" w:cs="Times New Roman"/>
          <w:iCs/>
          <w:sz w:val="24"/>
          <w:szCs w:val="24"/>
        </w:rPr>
        <w:t>Hivatal</w:t>
      </w:r>
      <w:proofErr w:type="spellEnd"/>
      <w:r w:rsidRPr="00B25A10">
        <w:rPr>
          <w:rFonts w:ascii="Times New Roman" w:hAnsi="Times New Roman" w:cs="Times New Roman"/>
          <w:iCs/>
          <w:sz w:val="24"/>
          <w:szCs w:val="24"/>
        </w:rPr>
        <w:t xml:space="preserve">) </w:t>
      </w:r>
      <w:r w:rsidRPr="00B25A10">
        <w:rPr>
          <w:rFonts w:ascii="Times New Roman" w:hAnsi="Times New Roman" w:cs="Times New Roman"/>
          <w:iCs/>
          <w:sz w:val="24"/>
          <w:szCs w:val="24"/>
        </w:rPr>
        <w:lastRenderedPageBreak/>
        <w:t>stwierdził, że do każdego państwa członkowskiego należy dokonanie oceny, czy w kontekście założonych przez niego, zgodnych z prawem celów</w:t>
      </w:r>
      <w:r w:rsidR="00CF39D0">
        <w:rPr>
          <w:rFonts w:ascii="Times New Roman" w:hAnsi="Times New Roman" w:cs="Times New Roman"/>
          <w:iCs/>
          <w:sz w:val="24"/>
          <w:szCs w:val="24"/>
        </w:rPr>
        <w:t>,</w:t>
      </w:r>
      <w:r w:rsidRPr="00B25A10">
        <w:rPr>
          <w:rFonts w:ascii="Times New Roman" w:hAnsi="Times New Roman" w:cs="Times New Roman"/>
          <w:iCs/>
          <w:sz w:val="24"/>
          <w:szCs w:val="24"/>
        </w:rPr>
        <w:t xml:space="preserve"> konieczny jest całkowity lub częściowy zakaz działalności w zakresie urządzania gier losowych czy też wyłącznie jej ograniczenie i ustanowienie w tym celu mniej lub bardziej ścisłych zasad kontroli, przy czym konieczność i proporcjonalność przyjętych w ten sposób środków powinna być oceniana wyłącznie w świetle założonych celów oraz poziomu ochrony, jaki pragną zapewnić dane władze krajowe. Podobnie w sprawie C-243/01 </w:t>
      </w:r>
      <w:proofErr w:type="spellStart"/>
      <w:r w:rsidRPr="00B25A10">
        <w:rPr>
          <w:rFonts w:ascii="Times New Roman" w:hAnsi="Times New Roman" w:cs="Times New Roman"/>
          <w:iCs/>
          <w:sz w:val="24"/>
          <w:szCs w:val="24"/>
        </w:rPr>
        <w:t>Gambelli</w:t>
      </w:r>
      <w:proofErr w:type="spellEnd"/>
      <w:r w:rsidRPr="00B25A10">
        <w:rPr>
          <w:rFonts w:ascii="Times New Roman" w:hAnsi="Times New Roman" w:cs="Times New Roman"/>
          <w:iCs/>
          <w:sz w:val="24"/>
          <w:szCs w:val="24"/>
        </w:rPr>
        <w:t xml:space="preserve"> Trybunał wskazał, że ograniczenia w korzystaniu z usług gier hazardowych przez sieć Internet powinny być uzasadnione nadrzędnymi względami interesu ogólnego. Powinny być także odpowiednie do zagwarantowania realizacji zamierzonego celu, nie wykraczać poza to, co jest konieczne do osiągnięcia założonego celu, i być stosowane w sposób niedyskryminujący.</w:t>
      </w:r>
    </w:p>
    <w:p w14:paraId="4800CCC7" w14:textId="77777777" w:rsidR="004247A2" w:rsidRPr="00B25A10" w:rsidRDefault="004247A2" w:rsidP="002B0551">
      <w:pPr>
        <w:spacing w:before="120" w:after="0" w:line="360" w:lineRule="auto"/>
        <w:jc w:val="both"/>
        <w:rPr>
          <w:rFonts w:ascii="Times New Roman" w:hAnsi="Times New Roman" w:cs="Times New Roman"/>
          <w:iCs/>
          <w:sz w:val="24"/>
          <w:szCs w:val="24"/>
          <w:lang w:val="pl"/>
        </w:rPr>
      </w:pPr>
      <w:r w:rsidRPr="00B25A10">
        <w:rPr>
          <w:rFonts w:ascii="Times New Roman" w:hAnsi="Times New Roman" w:cs="Times New Roman"/>
          <w:iCs/>
          <w:sz w:val="24"/>
          <w:szCs w:val="24"/>
        </w:rPr>
        <w:t xml:space="preserve">Jak podkreślił Trybunał Konstytucyjny w wyroku wydanym w dniu 11 marca 2015 r. (sygn. akt P 4/14), w przypadku działalności gospodarczej prowadzonej w zakresie gier hazardowych, mamy do czynienia nie ze zwykłą, typową działalnością gospodarczą, ale z działalnością, która z natury rzeczy niesie ze sobą poważne zagrożenia społeczne w postaci uzależnień i przyciąga struktury przestępcze. Zwalczanie tych zagrożeń leży z całą pewnością w interesie publicznym. Stąd też wolność działalności gospodarczej w dziedzinie hazardu może podlegać dalej idącym ograniczeniom, uzasadnionym ważnym interesem publicznym. </w:t>
      </w:r>
      <w:r w:rsidRPr="00B25A10">
        <w:rPr>
          <w:rFonts w:ascii="Times New Roman" w:hAnsi="Times New Roman" w:cs="Times New Roman"/>
          <w:iCs/>
          <w:sz w:val="24"/>
          <w:szCs w:val="24"/>
          <w:lang w:val="pl"/>
        </w:rPr>
        <w:t xml:space="preserve">W orzecznictwie TK podkreślił również, że podstawowym celem polityki w tym zakresie jest regulacja i kontrola hazardu, z położeniem szczególnego nacisku na zapobieganie uzależnieniom od hazardu, ochronie konsumentów i ich rodzin oraz zwalczaniu przestępczości, w tym zorganizowanej, i innego rodzaju nielegalnej działalności. </w:t>
      </w:r>
    </w:p>
    <w:p w14:paraId="61BCCF66" w14:textId="77777777" w:rsidR="004247A2" w:rsidRPr="00B25A10" w:rsidRDefault="004247A2" w:rsidP="002B0551">
      <w:pPr>
        <w:spacing w:before="120" w:after="0" w:line="360" w:lineRule="auto"/>
        <w:jc w:val="both"/>
        <w:rPr>
          <w:rFonts w:ascii="Times New Roman" w:hAnsi="Times New Roman" w:cs="Times New Roman"/>
          <w:iCs/>
          <w:sz w:val="24"/>
          <w:szCs w:val="24"/>
          <w:lang w:bidi="pl-PL"/>
        </w:rPr>
      </w:pPr>
      <w:r w:rsidRPr="00B25A10">
        <w:rPr>
          <w:rFonts w:ascii="Times New Roman" w:hAnsi="Times New Roman" w:cs="Times New Roman"/>
          <w:iCs/>
          <w:sz w:val="24"/>
          <w:szCs w:val="24"/>
          <w:lang w:bidi="pl-PL"/>
        </w:rPr>
        <w:t xml:space="preserve">Ponadto należy zauważyć, że ograniczenie swobody świadczenia usług uzasadniają względy interesu ogólnego oraz porządku publicznego. Walka z </w:t>
      </w:r>
      <w:r w:rsidRPr="00B25A10">
        <w:rPr>
          <w:rFonts w:ascii="Times New Roman" w:hAnsi="Times New Roman" w:cs="Times New Roman"/>
          <w:i/>
          <w:iCs/>
          <w:sz w:val="24"/>
          <w:szCs w:val="24"/>
          <w:lang w:bidi="pl-PL"/>
        </w:rPr>
        <w:t>szarą strefą</w:t>
      </w:r>
      <w:r w:rsidRPr="00B25A10">
        <w:rPr>
          <w:rFonts w:ascii="Times New Roman" w:hAnsi="Times New Roman" w:cs="Times New Roman"/>
          <w:iCs/>
          <w:sz w:val="24"/>
          <w:szCs w:val="24"/>
          <w:lang w:bidi="pl-PL"/>
        </w:rPr>
        <w:t xml:space="preserve"> i zaproponowane w tym zakresie rozwiązania prawne mają na celu zapewnienie przestrzegania polskiego porządku prawnego przejawiającego się w respektowaniu przez podmioty zasad dotyczących urządzania gier hazardowych i uczestnictwa w tych grach. Powyższe mieści się w pojęciu porządku publicznego i niewątpliwie jest czynione w interesie ogólnym. Działania podejmowane w celu egzekwowania obowiązujących regulacji są nieodłącznym elementem państwa prawa, w którym nie tylko organy tego państwa działają na podstawie przepisów prawa i w ich granicach, ale również podstawą działania jednostki, podmiotów i społeczeństwa są reguły prawne wynikające z przyjętego porządku prawnego. Zgodnie bowiem z zasadą państwa prawa prawo wiąże nie tylko władzę publiczną, ale również </w:t>
      </w:r>
      <w:r w:rsidRPr="00B25A10">
        <w:rPr>
          <w:rFonts w:ascii="Times New Roman" w:hAnsi="Times New Roman" w:cs="Times New Roman"/>
          <w:iCs/>
          <w:sz w:val="24"/>
          <w:szCs w:val="24"/>
          <w:lang w:bidi="pl-PL"/>
        </w:rPr>
        <w:lastRenderedPageBreak/>
        <w:t>społeczeństwo. Wzmacnianie kultury prawnej i postaw respektujących normy prawne jest kluczowe z punktu widzenia interesu publicznego i reguł państwa prawnego.</w:t>
      </w:r>
    </w:p>
    <w:p w14:paraId="236D657B" w14:textId="43FE90D6" w:rsidR="004247A2" w:rsidRPr="00B25A10" w:rsidRDefault="004247A2" w:rsidP="002B0551">
      <w:pPr>
        <w:spacing w:before="120" w:after="0" w:line="360" w:lineRule="auto"/>
        <w:jc w:val="both"/>
        <w:rPr>
          <w:rFonts w:ascii="Times New Roman" w:hAnsi="Times New Roman" w:cs="Times New Roman"/>
          <w:iCs/>
          <w:sz w:val="24"/>
          <w:szCs w:val="24"/>
          <w:lang w:bidi="pl-PL"/>
        </w:rPr>
      </w:pPr>
      <w:r w:rsidRPr="00B25A10">
        <w:rPr>
          <w:rFonts w:ascii="Times New Roman" w:hAnsi="Times New Roman" w:cs="Times New Roman"/>
          <w:iCs/>
          <w:sz w:val="24"/>
          <w:szCs w:val="24"/>
          <w:lang w:bidi="pl-PL"/>
        </w:rPr>
        <w:t xml:space="preserve">Wobec </w:t>
      </w:r>
      <w:r w:rsidRPr="00B25A10">
        <w:rPr>
          <w:rFonts w:ascii="Times New Roman" w:hAnsi="Times New Roman" w:cs="Times New Roman"/>
          <w:sz w:val="24"/>
          <w:szCs w:val="24"/>
        </w:rPr>
        <w:t>zidentyfikowania zjawiska dotyczącego zagranicznych podmiotów nielegalnie oferujących w sieci Internet gry hazardowe usługobiorcom z terytorium Rzeczypospolitej Polskiej</w:t>
      </w:r>
      <w:r w:rsidR="00CF39D0">
        <w:rPr>
          <w:rFonts w:ascii="Times New Roman" w:hAnsi="Times New Roman" w:cs="Times New Roman"/>
          <w:sz w:val="24"/>
          <w:szCs w:val="24"/>
        </w:rPr>
        <w:t>,</w:t>
      </w:r>
      <w:r w:rsidRPr="00B25A10">
        <w:rPr>
          <w:rFonts w:ascii="Times New Roman" w:hAnsi="Times New Roman" w:cs="Times New Roman"/>
          <w:sz w:val="24"/>
          <w:szCs w:val="24"/>
        </w:rPr>
        <w:t xml:space="preserve"> a polegające</w:t>
      </w:r>
      <w:r w:rsidR="00CF39D0">
        <w:rPr>
          <w:rFonts w:ascii="Times New Roman" w:hAnsi="Times New Roman" w:cs="Times New Roman"/>
          <w:sz w:val="24"/>
          <w:szCs w:val="24"/>
        </w:rPr>
        <w:t>go</w:t>
      </w:r>
      <w:r w:rsidRPr="00B25A10">
        <w:rPr>
          <w:rFonts w:ascii="Times New Roman" w:hAnsi="Times New Roman" w:cs="Times New Roman"/>
          <w:sz w:val="24"/>
          <w:szCs w:val="24"/>
        </w:rPr>
        <w:t xml:space="preserve"> na unikaniu negatywnych skutków wynikających z wpisu nazwy domeny do Rejestru przez przenoszenie treści z zablokowanych stron internetowych do nowych domen i kontynuowanie w ten sposób nielegalnej działalności, jak również przez linkowanie nowych domen na stronach służących do nielegalnego reklamowania gier hazardowych, istotn</w:t>
      </w:r>
      <w:r w:rsidR="00CF39D0">
        <w:rPr>
          <w:rFonts w:ascii="Times New Roman" w:hAnsi="Times New Roman" w:cs="Times New Roman"/>
          <w:sz w:val="24"/>
          <w:szCs w:val="24"/>
        </w:rPr>
        <w:t>e</w:t>
      </w:r>
      <w:r w:rsidRPr="00B25A10">
        <w:rPr>
          <w:rFonts w:ascii="Times New Roman" w:hAnsi="Times New Roman" w:cs="Times New Roman"/>
          <w:sz w:val="24"/>
          <w:szCs w:val="24"/>
        </w:rPr>
        <w:t xml:space="preserve"> było przyjęcie rozwiązań prawnych, które będą zapobiegać dalszej ekspansji nielegalnych operatorów gier hazardowych na polski rynek i tym samym chronić polskie społeczeństwo.</w:t>
      </w:r>
    </w:p>
    <w:p w14:paraId="36DAE8F7" w14:textId="77777777" w:rsidR="004247A2" w:rsidRPr="00B25A10" w:rsidRDefault="004247A2"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Podkreślenia wymaga, iż w tym zakresie mamy do czynienia z nieprzestrzeganiem polskich regulacji (zakaz reklamy gier hazardowych – ust. 29 ust. 1 i ust. 2 ustawy o grach hazardowych, monopol na urządzanie gier hazardowych w sieci Internet – art. 5 ust. 1b ustawy o grach hazardowych) i intencjonalne kierowanie oferty do graczy z Polski (strony dostępne są w języku polskim).</w:t>
      </w:r>
    </w:p>
    <w:p w14:paraId="072817F0" w14:textId="77777777" w:rsidR="004247A2" w:rsidRPr="00B25A10" w:rsidRDefault="004247A2" w:rsidP="002B0551">
      <w:pPr>
        <w:spacing w:before="120" w:after="0" w:line="360" w:lineRule="auto"/>
        <w:jc w:val="both"/>
        <w:rPr>
          <w:rFonts w:ascii="Times New Roman" w:hAnsi="Times New Roman" w:cs="Times New Roman"/>
          <w:iCs/>
          <w:sz w:val="24"/>
          <w:szCs w:val="24"/>
          <w:lang w:val="pl"/>
        </w:rPr>
      </w:pPr>
      <w:r w:rsidRPr="00B25A10">
        <w:rPr>
          <w:rFonts w:ascii="Times New Roman" w:hAnsi="Times New Roman" w:cs="Times New Roman"/>
          <w:iCs/>
          <w:sz w:val="24"/>
          <w:szCs w:val="24"/>
          <w:lang w:val="pl"/>
        </w:rPr>
        <w:t xml:space="preserve">Na potrzebę zmian w tym obszarze wskazuje ponad trzyletnia praktyka walki organów państwowych na gruncie </w:t>
      </w:r>
      <w:proofErr w:type="spellStart"/>
      <w:r w:rsidRPr="00B25A10">
        <w:rPr>
          <w:rFonts w:ascii="Times New Roman" w:hAnsi="Times New Roman" w:cs="Times New Roman"/>
          <w:iCs/>
          <w:sz w:val="24"/>
          <w:szCs w:val="24"/>
          <w:lang w:val="pl"/>
        </w:rPr>
        <w:t>u.g.h</w:t>
      </w:r>
      <w:proofErr w:type="spellEnd"/>
      <w:r w:rsidRPr="00B25A10">
        <w:rPr>
          <w:rFonts w:ascii="Times New Roman" w:hAnsi="Times New Roman" w:cs="Times New Roman"/>
          <w:iCs/>
          <w:sz w:val="24"/>
          <w:szCs w:val="24"/>
          <w:lang w:val="pl"/>
        </w:rPr>
        <w:t>. w dotychczasowym brzmieniu z podmiotami naruszającymi jej postanowienia. Na tej podstawie określono, które przepisy powinny zostać poddane rewizji i zmodyfikowane pod kątem zapewnienia jak najskuteczniejszych narzędzi do walki ze zjawiskiem nielegalnego hazardu.</w:t>
      </w:r>
    </w:p>
    <w:p w14:paraId="13F58E69" w14:textId="77777777" w:rsidR="004247A2" w:rsidRPr="00B25A10" w:rsidRDefault="004247A2" w:rsidP="002B0551">
      <w:pPr>
        <w:spacing w:before="120" w:after="0" w:line="360" w:lineRule="auto"/>
        <w:jc w:val="both"/>
        <w:rPr>
          <w:rFonts w:ascii="Times New Roman" w:hAnsi="Times New Roman" w:cs="Times New Roman"/>
          <w:i/>
          <w:iCs/>
          <w:sz w:val="24"/>
          <w:szCs w:val="24"/>
          <w:lang w:val="x-none"/>
        </w:rPr>
      </w:pPr>
      <w:r w:rsidRPr="00B25A10">
        <w:rPr>
          <w:rFonts w:ascii="Times New Roman" w:hAnsi="Times New Roman" w:cs="Times New Roman"/>
          <w:iCs/>
          <w:sz w:val="24"/>
          <w:szCs w:val="24"/>
          <w:lang w:val="pl"/>
        </w:rPr>
        <w:t xml:space="preserve">Jednocześnie należy wskazać w kontekście walki z </w:t>
      </w:r>
      <w:r w:rsidRPr="00B25A10">
        <w:rPr>
          <w:rFonts w:ascii="Times New Roman" w:hAnsi="Times New Roman" w:cs="Times New Roman"/>
          <w:i/>
          <w:iCs/>
          <w:sz w:val="24"/>
          <w:szCs w:val="24"/>
          <w:lang w:val="pl"/>
        </w:rPr>
        <w:t>szarą strefą</w:t>
      </w:r>
      <w:r w:rsidRPr="00B25A10">
        <w:rPr>
          <w:rFonts w:ascii="Times New Roman" w:hAnsi="Times New Roman" w:cs="Times New Roman"/>
          <w:iCs/>
          <w:sz w:val="24"/>
          <w:szCs w:val="24"/>
          <w:lang w:val="pl"/>
        </w:rPr>
        <w:t xml:space="preserve">, podjętą przez państwo polskie w obszarze gier hazardowych, że </w:t>
      </w:r>
      <w:r w:rsidRPr="00B25A10">
        <w:rPr>
          <w:rFonts w:ascii="Times New Roman" w:hAnsi="Times New Roman" w:cs="Times New Roman"/>
          <w:iCs/>
          <w:sz w:val="24"/>
          <w:szCs w:val="24"/>
          <w:lang w:val="x-none"/>
        </w:rPr>
        <w:t>na zagrożenia związane ze specyfiką rynku gier hazardowych oferowanych przez sieć Internet, przy jednocześnie ograniczonych środkach kontrolnych i</w:t>
      </w:r>
      <w:r w:rsidRPr="00B25A10">
        <w:rPr>
          <w:rFonts w:ascii="Times New Roman" w:hAnsi="Times New Roman" w:cs="Times New Roman"/>
          <w:iCs/>
          <w:sz w:val="24"/>
          <w:szCs w:val="24"/>
        </w:rPr>
        <w:t> </w:t>
      </w:r>
      <w:r w:rsidRPr="00B25A10">
        <w:rPr>
          <w:rFonts w:ascii="Times New Roman" w:hAnsi="Times New Roman" w:cs="Times New Roman"/>
          <w:iCs/>
          <w:sz w:val="24"/>
          <w:szCs w:val="24"/>
          <w:lang w:val="x-none"/>
        </w:rPr>
        <w:t>prewencyjnych, które mogą być stosowane przez państwo,</w:t>
      </w:r>
      <w:r w:rsidRPr="00B25A10">
        <w:rPr>
          <w:rFonts w:ascii="Times New Roman" w:hAnsi="Times New Roman" w:cs="Times New Roman"/>
          <w:bCs/>
          <w:iCs/>
          <w:sz w:val="24"/>
          <w:szCs w:val="24"/>
          <w:lang w:val="x-none"/>
        </w:rPr>
        <w:t xml:space="preserve"> zwróciła uwagę Komisja Europejska</w:t>
      </w:r>
      <w:r w:rsidRPr="00B25A10">
        <w:rPr>
          <w:rFonts w:ascii="Times New Roman" w:hAnsi="Times New Roman" w:cs="Times New Roman"/>
          <w:iCs/>
          <w:sz w:val="24"/>
          <w:szCs w:val="24"/>
          <w:lang w:val="x-none"/>
        </w:rPr>
        <w:t xml:space="preserve"> w</w:t>
      </w:r>
      <w:r w:rsidRPr="00B25A10">
        <w:rPr>
          <w:rFonts w:ascii="Times New Roman" w:hAnsi="Times New Roman" w:cs="Times New Roman"/>
          <w:iCs/>
          <w:sz w:val="24"/>
          <w:szCs w:val="24"/>
        </w:rPr>
        <w:t> </w:t>
      </w:r>
      <w:r w:rsidRPr="00B25A10">
        <w:rPr>
          <w:rFonts w:ascii="Times New Roman" w:hAnsi="Times New Roman" w:cs="Times New Roman"/>
          <w:iCs/>
          <w:sz w:val="24"/>
          <w:szCs w:val="24"/>
          <w:lang w:val="x-none"/>
        </w:rPr>
        <w:t>Komunikacie z dnia 24 marca 2011</w:t>
      </w:r>
      <w:r w:rsidRPr="00B25A10">
        <w:rPr>
          <w:rFonts w:ascii="Times New Roman" w:hAnsi="Times New Roman" w:cs="Times New Roman"/>
          <w:iCs/>
          <w:sz w:val="24"/>
          <w:szCs w:val="24"/>
        </w:rPr>
        <w:t> </w:t>
      </w:r>
      <w:r w:rsidRPr="00B25A10">
        <w:rPr>
          <w:rFonts w:ascii="Times New Roman" w:hAnsi="Times New Roman" w:cs="Times New Roman"/>
          <w:iCs/>
          <w:sz w:val="24"/>
          <w:szCs w:val="24"/>
          <w:lang w:val="x-none"/>
        </w:rPr>
        <w:t>r. zatytułowanym</w:t>
      </w:r>
      <w:r w:rsidRPr="00B25A10">
        <w:rPr>
          <w:rFonts w:ascii="Times New Roman" w:hAnsi="Times New Roman" w:cs="Times New Roman"/>
          <w:i/>
          <w:iCs/>
          <w:sz w:val="24"/>
          <w:szCs w:val="24"/>
          <w:lang w:val="x-none"/>
        </w:rPr>
        <w:t xml:space="preserve"> Zielona księga w sprawie gier hazardowych oferowanych w Internecie</w:t>
      </w:r>
      <w:r w:rsidRPr="00B25A10">
        <w:rPr>
          <w:rFonts w:ascii="Times New Roman" w:hAnsi="Times New Roman" w:cs="Times New Roman"/>
          <w:i/>
          <w:iCs/>
          <w:sz w:val="24"/>
          <w:szCs w:val="24"/>
        </w:rPr>
        <w:t xml:space="preserve"> </w:t>
      </w:r>
      <w:r w:rsidRPr="00B25A10">
        <w:rPr>
          <w:rFonts w:ascii="Times New Roman" w:hAnsi="Times New Roman" w:cs="Times New Roman"/>
          <w:i/>
          <w:iCs/>
          <w:sz w:val="24"/>
          <w:szCs w:val="24"/>
          <w:lang w:val="x-none"/>
        </w:rPr>
        <w:t>w</w:t>
      </w:r>
      <w:r w:rsidRPr="00B25A10">
        <w:rPr>
          <w:rFonts w:ascii="Times New Roman" w:hAnsi="Times New Roman" w:cs="Times New Roman"/>
          <w:i/>
          <w:iCs/>
          <w:sz w:val="24"/>
          <w:szCs w:val="24"/>
        </w:rPr>
        <w:t> </w:t>
      </w:r>
      <w:r w:rsidRPr="00B25A10">
        <w:rPr>
          <w:rFonts w:ascii="Times New Roman" w:hAnsi="Times New Roman" w:cs="Times New Roman"/>
          <w:i/>
          <w:iCs/>
          <w:sz w:val="24"/>
          <w:szCs w:val="24"/>
          <w:lang w:val="x-none"/>
        </w:rPr>
        <w:t>obrębie rynku wewnętrznego</w:t>
      </w:r>
      <w:r w:rsidRPr="00B25A10">
        <w:rPr>
          <w:rFonts w:ascii="Times New Roman" w:hAnsi="Times New Roman" w:cs="Times New Roman"/>
          <w:iCs/>
          <w:sz w:val="24"/>
          <w:szCs w:val="24"/>
          <w:lang w:val="x-none"/>
        </w:rPr>
        <w:t xml:space="preserve">, wskazując m.in. na obserwowany we wszystkich państwach członkowskich znaczący rozwój szarej strefy i nielegalnego rynku gier hazardowych oferowanych przez sieć Internet. W Komunikacie czytamy m.in.: </w:t>
      </w:r>
      <w:r w:rsidRPr="00B25A10">
        <w:rPr>
          <w:rFonts w:ascii="Times New Roman" w:hAnsi="Times New Roman" w:cs="Times New Roman"/>
          <w:i/>
          <w:iCs/>
          <w:sz w:val="24"/>
          <w:szCs w:val="24"/>
          <w:lang w:val="x-none"/>
        </w:rPr>
        <w:t>Pojawienie się Internetu oraz szybki rozwój możliwości uprawiania gier hazardowych w Internecie</w:t>
      </w:r>
      <w:r w:rsidRPr="00B25A10">
        <w:rPr>
          <w:rFonts w:ascii="Times New Roman" w:hAnsi="Times New Roman" w:cs="Times New Roman"/>
          <w:i/>
          <w:iCs/>
          <w:sz w:val="24"/>
          <w:szCs w:val="24"/>
        </w:rPr>
        <w:t xml:space="preserve"> </w:t>
      </w:r>
      <w:r w:rsidRPr="00B25A10">
        <w:rPr>
          <w:rFonts w:ascii="Times New Roman" w:hAnsi="Times New Roman" w:cs="Times New Roman"/>
          <w:i/>
          <w:iCs/>
          <w:sz w:val="24"/>
          <w:szCs w:val="24"/>
          <w:lang w:val="x-none"/>
        </w:rPr>
        <w:t xml:space="preserve">w powiązaniu ze zróżnicowanymi przepisami w poszczególnych państwach doprowadziło nie tylko do rozszerzenia legalnej oferty usług w zakresie gier hazardowych w niektórych państwach członkowskich, ale również do </w:t>
      </w:r>
      <w:r w:rsidRPr="00B25A10">
        <w:rPr>
          <w:rFonts w:ascii="Times New Roman" w:hAnsi="Times New Roman" w:cs="Times New Roman"/>
          <w:i/>
          <w:iCs/>
          <w:sz w:val="24"/>
          <w:szCs w:val="24"/>
          <w:lang w:val="x-none"/>
        </w:rPr>
        <w:lastRenderedPageBreak/>
        <w:t>znaczącego rozwoju rynku transgranicznego, na którym oferowane są gry bez odpowiednich zezwoleń. Mowa tutaj zarówno o czarnym rynku (na którym odnotowuje się zawieranie zakładów i korzystanie z gier losowych, w tym również pochodzących z państw trzecich, na które nie wydano zezwoleń),</w:t>
      </w:r>
      <w:r w:rsidRPr="00B25A10">
        <w:rPr>
          <w:rFonts w:ascii="Times New Roman" w:hAnsi="Times New Roman" w:cs="Times New Roman"/>
          <w:bCs/>
          <w:i/>
          <w:iCs/>
          <w:sz w:val="24"/>
          <w:szCs w:val="24"/>
          <w:lang w:val="x-none"/>
        </w:rPr>
        <w:t xml:space="preserve"> jak również o tzw. szarej strefie (operatorzy posiadający zezwolenie w jednym lub kilku państwach członkowskich promują lub udostępniają usługi w zakresie gier hazardowych obywatelom w innych państwach członkowskich, nie uzyskawszy należytego zezwolenia w tych państwach).</w:t>
      </w:r>
      <w:r w:rsidRPr="00B25A10">
        <w:rPr>
          <w:rFonts w:ascii="Times New Roman" w:hAnsi="Times New Roman" w:cs="Times New Roman"/>
          <w:i/>
          <w:iCs/>
          <w:sz w:val="24"/>
          <w:szCs w:val="24"/>
          <w:lang w:val="x-none"/>
        </w:rPr>
        <w:t xml:space="preserve"> Konsumenci mają dostęp do tego nielegalnego rynku transgranicznego, czy to</w:t>
      </w:r>
      <w:r w:rsidRPr="00B25A10">
        <w:rPr>
          <w:rFonts w:ascii="Times New Roman" w:hAnsi="Times New Roman" w:cs="Times New Roman"/>
          <w:i/>
          <w:iCs/>
          <w:sz w:val="24"/>
          <w:szCs w:val="24"/>
        </w:rPr>
        <w:t xml:space="preserve"> </w:t>
      </w:r>
      <w:r w:rsidRPr="00B25A10">
        <w:rPr>
          <w:rFonts w:ascii="Times New Roman" w:hAnsi="Times New Roman" w:cs="Times New Roman"/>
          <w:i/>
          <w:iCs/>
          <w:sz w:val="24"/>
          <w:szCs w:val="24"/>
          <w:lang w:val="x-none"/>
        </w:rPr>
        <w:t>w</w:t>
      </w:r>
      <w:r w:rsidRPr="00B25A10">
        <w:rPr>
          <w:rFonts w:ascii="Times New Roman" w:hAnsi="Times New Roman" w:cs="Times New Roman"/>
          <w:i/>
          <w:iCs/>
          <w:sz w:val="24"/>
          <w:szCs w:val="24"/>
        </w:rPr>
        <w:t> </w:t>
      </w:r>
      <w:r w:rsidRPr="00B25A10">
        <w:rPr>
          <w:rFonts w:ascii="Times New Roman" w:hAnsi="Times New Roman" w:cs="Times New Roman"/>
          <w:i/>
          <w:iCs/>
          <w:sz w:val="24"/>
          <w:szCs w:val="24"/>
          <w:lang w:val="x-none"/>
        </w:rPr>
        <w:t>wyniku faktycznego tolerowania wspomnianej działalności, czy to z braku skutecznego wykonania przepisów; rynek ten jest uzupełnieniem legalnej oferty krajowej dostępnej dla konsumentów w zależności od sytuacji prawnej w danym państwie członkowskim.</w:t>
      </w:r>
    </w:p>
    <w:p w14:paraId="4E65028C" w14:textId="18073D3B" w:rsidR="004247A2" w:rsidRPr="00B25A10" w:rsidRDefault="004247A2" w:rsidP="002B0551">
      <w:pPr>
        <w:spacing w:before="120" w:after="0" w:line="360" w:lineRule="auto"/>
        <w:jc w:val="both"/>
        <w:rPr>
          <w:rFonts w:ascii="Times New Roman" w:hAnsi="Times New Roman" w:cs="Times New Roman"/>
          <w:i/>
          <w:iCs/>
          <w:sz w:val="24"/>
          <w:szCs w:val="24"/>
        </w:rPr>
      </w:pPr>
      <w:r w:rsidRPr="00B25A10">
        <w:rPr>
          <w:rFonts w:ascii="Times New Roman" w:hAnsi="Times New Roman" w:cs="Times New Roman"/>
          <w:iCs/>
          <w:sz w:val="24"/>
          <w:szCs w:val="24"/>
        </w:rPr>
        <w:t xml:space="preserve">Również Parlament Europejski, mając na uwadze powyższy Komunikat Komisji Europejskiej oraz uwzględniając art. 51, </w:t>
      </w:r>
      <w:r w:rsidR="00CF39D0">
        <w:rPr>
          <w:rFonts w:ascii="Times New Roman" w:hAnsi="Times New Roman" w:cs="Times New Roman"/>
          <w:iCs/>
          <w:sz w:val="24"/>
          <w:szCs w:val="24"/>
        </w:rPr>
        <w:t xml:space="preserve">art. </w:t>
      </w:r>
      <w:r w:rsidRPr="00B25A10">
        <w:rPr>
          <w:rFonts w:ascii="Times New Roman" w:hAnsi="Times New Roman" w:cs="Times New Roman"/>
          <w:iCs/>
          <w:sz w:val="24"/>
          <w:szCs w:val="24"/>
        </w:rPr>
        <w:t xml:space="preserve">52 i </w:t>
      </w:r>
      <w:r w:rsidR="00CF39D0">
        <w:rPr>
          <w:rFonts w:ascii="Times New Roman" w:hAnsi="Times New Roman" w:cs="Times New Roman"/>
          <w:iCs/>
          <w:sz w:val="24"/>
          <w:szCs w:val="24"/>
        </w:rPr>
        <w:t xml:space="preserve">art. </w:t>
      </w:r>
      <w:r w:rsidRPr="00B25A10">
        <w:rPr>
          <w:rFonts w:ascii="Times New Roman" w:hAnsi="Times New Roman" w:cs="Times New Roman"/>
          <w:iCs/>
          <w:sz w:val="24"/>
          <w:szCs w:val="24"/>
        </w:rPr>
        <w:t xml:space="preserve">56 Traktatu o funkcjonowaniu Unii Europejskiej i odpowiednie orzecznictwo TSUE, wydał </w:t>
      </w:r>
      <w:r w:rsidR="00CF39D0">
        <w:rPr>
          <w:rFonts w:ascii="Times New Roman" w:hAnsi="Times New Roman" w:cs="Times New Roman"/>
          <w:iCs/>
          <w:sz w:val="24"/>
          <w:szCs w:val="24"/>
        </w:rPr>
        <w:t>r</w:t>
      </w:r>
      <w:r w:rsidRPr="00B25A10">
        <w:rPr>
          <w:rFonts w:ascii="Times New Roman" w:hAnsi="Times New Roman" w:cs="Times New Roman"/>
          <w:iCs/>
          <w:sz w:val="24"/>
          <w:szCs w:val="24"/>
        </w:rPr>
        <w:t xml:space="preserve">ezolucję z dnia 15 listopada 2011 r. </w:t>
      </w:r>
      <w:r w:rsidRPr="00B25A10">
        <w:rPr>
          <w:rFonts w:ascii="Times New Roman" w:hAnsi="Times New Roman" w:cs="Times New Roman"/>
          <w:i/>
          <w:iCs/>
          <w:sz w:val="24"/>
          <w:szCs w:val="24"/>
        </w:rPr>
        <w:t>w sprawie gier hazardowych oferowanych w Internecie w obrębie rynku wewnętrznego</w:t>
      </w:r>
      <w:r w:rsidRPr="00B25A10">
        <w:rPr>
          <w:rFonts w:ascii="Times New Roman" w:hAnsi="Times New Roman" w:cs="Times New Roman"/>
          <w:iCs/>
          <w:sz w:val="24"/>
          <w:szCs w:val="24"/>
        </w:rPr>
        <w:t xml:space="preserve"> (2011/2084(INI),</w:t>
      </w:r>
      <w:r w:rsidRPr="00B25A10">
        <w:rPr>
          <w:rFonts w:ascii="Times New Roman" w:hAnsi="Times New Roman" w:cs="Times New Roman"/>
          <w:i/>
          <w:iCs/>
          <w:sz w:val="24"/>
          <w:szCs w:val="24"/>
        </w:rPr>
        <w:t xml:space="preserve"> </w:t>
      </w:r>
      <w:r w:rsidRPr="00B25A10">
        <w:rPr>
          <w:rFonts w:ascii="Times New Roman" w:hAnsi="Times New Roman" w:cs="Times New Roman"/>
          <w:iCs/>
          <w:sz w:val="24"/>
          <w:szCs w:val="24"/>
        </w:rPr>
        <w:t>w której wyraził zdanie, że</w:t>
      </w:r>
      <w:r w:rsidRPr="00B25A10">
        <w:rPr>
          <w:rFonts w:ascii="Times New Roman" w:hAnsi="Times New Roman" w:cs="Times New Roman"/>
          <w:i/>
          <w:iCs/>
          <w:sz w:val="24"/>
          <w:szCs w:val="24"/>
        </w:rPr>
        <w:t xml:space="preserve"> skuteczna regulacja sektora gier hazardowych oferowanych w Internecie w szczególności przyczyni się do:</w:t>
      </w:r>
    </w:p>
    <w:p w14:paraId="141F9BBD" w14:textId="77777777" w:rsidR="004247A2" w:rsidRPr="00B25A10" w:rsidRDefault="004247A2" w:rsidP="002B0551">
      <w:pPr>
        <w:numPr>
          <w:ilvl w:val="0"/>
          <w:numId w:val="18"/>
        </w:numPr>
        <w:spacing w:before="120" w:after="0" w:line="360" w:lineRule="auto"/>
        <w:jc w:val="both"/>
        <w:rPr>
          <w:rFonts w:ascii="Times New Roman" w:hAnsi="Times New Roman" w:cs="Times New Roman"/>
          <w:i/>
          <w:iCs/>
          <w:sz w:val="24"/>
          <w:szCs w:val="24"/>
        </w:rPr>
      </w:pPr>
      <w:r w:rsidRPr="00B25A10">
        <w:rPr>
          <w:rFonts w:ascii="Times New Roman" w:hAnsi="Times New Roman" w:cs="Times New Roman"/>
          <w:i/>
          <w:iCs/>
          <w:sz w:val="24"/>
          <w:szCs w:val="24"/>
        </w:rPr>
        <w:t>ukierunkowania naturalnej skłonności społeczeństwa do gry,</w:t>
      </w:r>
    </w:p>
    <w:p w14:paraId="1BA66433" w14:textId="77777777" w:rsidR="004247A2" w:rsidRPr="00B25A10" w:rsidRDefault="004247A2" w:rsidP="002B0551">
      <w:pPr>
        <w:numPr>
          <w:ilvl w:val="0"/>
          <w:numId w:val="18"/>
        </w:numPr>
        <w:spacing w:before="120" w:after="0" w:line="360" w:lineRule="auto"/>
        <w:jc w:val="both"/>
        <w:rPr>
          <w:rFonts w:ascii="Times New Roman" w:hAnsi="Times New Roman" w:cs="Times New Roman"/>
          <w:i/>
          <w:iCs/>
          <w:sz w:val="24"/>
          <w:szCs w:val="24"/>
        </w:rPr>
      </w:pPr>
      <w:r w:rsidRPr="00B25A10">
        <w:rPr>
          <w:rFonts w:ascii="Times New Roman" w:hAnsi="Times New Roman" w:cs="Times New Roman"/>
          <w:i/>
          <w:iCs/>
          <w:sz w:val="24"/>
          <w:szCs w:val="24"/>
        </w:rPr>
        <w:t>zwalczania nielegalnego rynku gier hazardowych,</w:t>
      </w:r>
    </w:p>
    <w:p w14:paraId="595EB764" w14:textId="77777777" w:rsidR="004247A2" w:rsidRPr="00B25A10" w:rsidRDefault="004247A2" w:rsidP="002B0551">
      <w:pPr>
        <w:numPr>
          <w:ilvl w:val="0"/>
          <w:numId w:val="18"/>
        </w:numPr>
        <w:spacing w:before="120" w:after="0" w:line="360" w:lineRule="auto"/>
        <w:jc w:val="both"/>
        <w:rPr>
          <w:rFonts w:ascii="Times New Roman" w:hAnsi="Times New Roman" w:cs="Times New Roman"/>
          <w:i/>
          <w:iCs/>
          <w:sz w:val="24"/>
          <w:szCs w:val="24"/>
        </w:rPr>
      </w:pPr>
      <w:r w:rsidRPr="00B25A10">
        <w:rPr>
          <w:rFonts w:ascii="Times New Roman" w:hAnsi="Times New Roman" w:cs="Times New Roman"/>
          <w:i/>
          <w:iCs/>
          <w:sz w:val="24"/>
          <w:szCs w:val="24"/>
        </w:rPr>
        <w:t>zapewnienia skutecznej ochrony graczy, ze zwróceniem szczególnej uwagi na grupy szczególnie podatne na ryzyko związane z grami hazardowymi, zwłaszcza młodzież,</w:t>
      </w:r>
    </w:p>
    <w:p w14:paraId="21AE6061" w14:textId="77777777" w:rsidR="004247A2" w:rsidRPr="00B25A10" w:rsidRDefault="004247A2" w:rsidP="002B0551">
      <w:pPr>
        <w:numPr>
          <w:ilvl w:val="0"/>
          <w:numId w:val="18"/>
        </w:numPr>
        <w:spacing w:before="120" w:after="0" w:line="360" w:lineRule="auto"/>
        <w:jc w:val="both"/>
        <w:rPr>
          <w:rFonts w:ascii="Times New Roman" w:hAnsi="Times New Roman" w:cs="Times New Roman"/>
          <w:i/>
          <w:iCs/>
          <w:sz w:val="24"/>
          <w:szCs w:val="24"/>
        </w:rPr>
      </w:pPr>
      <w:r w:rsidRPr="00B25A10">
        <w:rPr>
          <w:rFonts w:ascii="Times New Roman" w:hAnsi="Times New Roman" w:cs="Times New Roman"/>
          <w:i/>
          <w:iCs/>
          <w:sz w:val="24"/>
          <w:szCs w:val="24"/>
        </w:rPr>
        <w:t>zapobiegnięcia ryzyku uzależnienia od gier hazardowych oraz</w:t>
      </w:r>
    </w:p>
    <w:p w14:paraId="39B4360A" w14:textId="77777777" w:rsidR="004247A2" w:rsidRPr="00B25A10" w:rsidRDefault="004247A2" w:rsidP="002B0551">
      <w:pPr>
        <w:numPr>
          <w:ilvl w:val="0"/>
          <w:numId w:val="18"/>
        </w:numPr>
        <w:spacing w:before="120" w:after="0" w:line="360" w:lineRule="auto"/>
        <w:jc w:val="both"/>
        <w:rPr>
          <w:rFonts w:ascii="Times New Roman" w:hAnsi="Times New Roman" w:cs="Times New Roman"/>
          <w:i/>
          <w:iCs/>
          <w:sz w:val="24"/>
          <w:szCs w:val="24"/>
        </w:rPr>
      </w:pPr>
      <w:r w:rsidRPr="00B25A10">
        <w:rPr>
          <w:rFonts w:ascii="Times New Roman" w:hAnsi="Times New Roman" w:cs="Times New Roman"/>
          <w:i/>
          <w:iCs/>
          <w:sz w:val="24"/>
          <w:szCs w:val="24"/>
        </w:rPr>
        <w:t>zapewnienia prawidłowego, uczciwego, odpowiedzialnego i przejrzystego uprawiania gier hazardowych,</w:t>
      </w:r>
    </w:p>
    <w:p w14:paraId="5189FE70" w14:textId="77777777" w:rsidR="004247A2" w:rsidRPr="00B25A10" w:rsidRDefault="004247A2" w:rsidP="002B0551">
      <w:pPr>
        <w:numPr>
          <w:ilvl w:val="0"/>
          <w:numId w:val="18"/>
        </w:numPr>
        <w:spacing w:before="120" w:after="0" w:line="360" w:lineRule="auto"/>
        <w:jc w:val="both"/>
        <w:rPr>
          <w:rFonts w:ascii="Times New Roman" w:hAnsi="Times New Roman" w:cs="Times New Roman"/>
          <w:i/>
          <w:iCs/>
          <w:sz w:val="24"/>
          <w:szCs w:val="24"/>
        </w:rPr>
      </w:pPr>
      <w:r w:rsidRPr="00B25A10">
        <w:rPr>
          <w:rFonts w:ascii="Times New Roman" w:hAnsi="Times New Roman" w:cs="Times New Roman"/>
          <w:i/>
          <w:iCs/>
          <w:sz w:val="24"/>
          <w:szCs w:val="24"/>
        </w:rPr>
        <w:t>zagwarantowania promocji konkretnych działań mających na celu zapewnienie uczciwości zawodów sportowych,</w:t>
      </w:r>
    </w:p>
    <w:p w14:paraId="35F3029A" w14:textId="77777777" w:rsidR="004247A2" w:rsidRPr="00B25A10" w:rsidRDefault="004247A2" w:rsidP="002B0551">
      <w:pPr>
        <w:numPr>
          <w:ilvl w:val="0"/>
          <w:numId w:val="18"/>
        </w:numPr>
        <w:spacing w:before="120" w:after="0" w:line="360" w:lineRule="auto"/>
        <w:jc w:val="both"/>
        <w:rPr>
          <w:rFonts w:ascii="Times New Roman" w:hAnsi="Times New Roman" w:cs="Times New Roman"/>
          <w:i/>
          <w:iCs/>
          <w:sz w:val="24"/>
          <w:szCs w:val="24"/>
        </w:rPr>
      </w:pPr>
      <w:r w:rsidRPr="00B25A10">
        <w:rPr>
          <w:rFonts w:ascii="Times New Roman" w:hAnsi="Times New Roman" w:cs="Times New Roman"/>
          <w:i/>
          <w:iCs/>
          <w:sz w:val="24"/>
          <w:szCs w:val="24"/>
        </w:rPr>
        <w:t>przeznaczenia znacznej części przychodów pochodzących z gier hazardowych na wsparcie realizacji celów publicznych, społecznych lub charytatywnych, a także</w:t>
      </w:r>
    </w:p>
    <w:p w14:paraId="46B7A7B6" w14:textId="77777777" w:rsidR="004247A2" w:rsidRPr="00B25A10" w:rsidRDefault="004247A2" w:rsidP="002B0551">
      <w:pPr>
        <w:numPr>
          <w:ilvl w:val="0"/>
          <w:numId w:val="18"/>
        </w:numPr>
        <w:spacing w:before="120" w:after="0" w:line="360" w:lineRule="auto"/>
        <w:jc w:val="both"/>
        <w:rPr>
          <w:rFonts w:ascii="Times New Roman" w:hAnsi="Times New Roman" w:cs="Times New Roman"/>
          <w:i/>
          <w:iCs/>
          <w:sz w:val="24"/>
          <w:szCs w:val="24"/>
        </w:rPr>
      </w:pPr>
      <w:r w:rsidRPr="00B25A10">
        <w:rPr>
          <w:rFonts w:ascii="Times New Roman" w:hAnsi="Times New Roman" w:cs="Times New Roman"/>
          <w:i/>
          <w:iCs/>
          <w:sz w:val="24"/>
          <w:szCs w:val="24"/>
        </w:rPr>
        <w:t>zagwarantowania, że sektor gier hazardowych będzie wolny od przestępczości, oszustw i wszelkich form prania pieniędzy.</w:t>
      </w:r>
    </w:p>
    <w:p w14:paraId="0EA9BBD3" w14:textId="77777777"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lastRenderedPageBreak/>
        <w:t xml:space="preserve">Parlament Europejski podkreślił także, że </w:t>
      </w:r>
      <w:r w:rsidRPr="00B25A10">
        <w:rPr>
          <w:rFonts w:ascii="Times New Roman" w:hAnsi="Times New Roman" w:cs="Times New Roman"/>
          <w:i/>
          <w:iCs/>
          <w:sz w:val="24"/>
          <w:szCs w:val="24"/>
        </w:rPr>
        <w:t xml:space="preserve">z jednej strony operatorzy oferujący gry hazardowe w Internecie mają obowiązek przestrzegać w każdych okolicznościach ustawodawstwa krajów, w których te gry funkcjonują, a z drugiej strony, że państwa członkowskie powinny zachować prawo przyjmowania środków do przeciwdziałania nielegalnym grom hazardowym w Internecie, w celu wdrażania ustawodawstwa krajowego i uniemożliwienia nielegalnym operatorom dostępu do rynku. </w:t>
      </w:r>
      <w:r w:rsidRPr="00B25A10">
        <w:rPr>
          <w:rFonts w:ascii="Times New Roman" w:hAnsi="Times New Roman" w:cs="Times New Roman"/>
          <w:iCs/>
          <w:sz w:val="24"/>
          <w:szCs w:val="24"/>
        </w:rPr>
        <w:t>Wskazano jednocześnie, że</w:t>
      </w:r>
      <w:r w:rsidRPr="00B25A10">
        <w:rPr>
          <w:rFonts w:ascii="Times New Roman" w:hAnsi="Times New Roman" w:cs="Times New Roman"/>
          <w:i/>
          <w:iCs/>
          <w:sz w:val="24"/>
          <w:szCs w:val="24"/>
        </w:rPr>
        <w:t xml:space="preserve"> </w:t>
      </w:r>
      <w:r w:rsidRPr="00B25A10">
        <w:rPr>
          <w:rFonts w:ascii="Times New Roman" w:hAnsi="Times New Roman" w:cs="Times New Roman"/>
          <w:iCs/>
          <w:sz w:val="24"/>
          <w:szCs w:val="24"/>
        </w:rPr>
        <w:t>zasada wzajemnego uznawania zezwoleń na rynku gier hazardowych nie ma zastosowania.</w:t>
      </w:r>
    </w:p>
    <w:p w14:paraId="209744CD" w14:textId="6E276875" w:rsidR="004247A2" w:rsidRPr="00B25A10" w:rsidRDefault="004247A2" w:rsidP="002B0551">
      <w:pPr>
        <w:spacing w:before="120" w:after="0" w:line="360" w:lineRule="auto"/>
        <w:jc w:val="both"/>
        <w:rPr>
          <w:rFonts w:ascii="Times New Roman" w:hAnsi="Times New Roman" w:cs="Times New Roman"/>
          <w:iCs/>
          <w:sz w:val="24"/>
          <w:szCs w:val="24"/>
        </w:rPr>
      </w:pPr>
      <w:r w:rsidRPr="00B25A10">
        <w:rPr>
          <w:rFonts w:ascii="Times New Roman" w:hAnsi="Times New Roman" w:cs="Times New Roman"/>
          <w:iCs/>
          <w:sz w:val="24"/>
          <w:szCs w:val="24"/>
        </w:rPr>
        <w:t>Podsumowując, należy zauważyć, że brak jest innych środków niż projektowane rozwiązania proporcjonalnych do osiągniecia celu uniemożliwienia nielegalnego urządzani</w:t>
      </w:r>
      <w:r w:rsidR="00CF39D0">
        <w:rPr>
          <w:rFonts w:ascii="Times New Roman" w:hAnsi="Times New Roman" w:cs="Times New Roman"/>
          <w:iCs/>
          <w:sz w:val="24"/>
          <w:szCs w:val="24"/>
        </w:rPr>
        <w:t>a</w:t>
      </w:r>
      <w:r w:rsidRPr="00B25A10">
        <w:rPr>
          <w:rFonts w:ascii="Times New Roman" w:hAnsi="Times New Roman" w:cs="Times New Roman"/>
          <w:iCs/>
          <w:sz w:val="24"/>
          <w:szCs w:val="24"/>
        </w:rPr>
        <w:t xml:space="preserve"> gier hazardowych w sieci Internet, a zatem jest konieczne do realizacji zakładanego celu. Z tego względu zastosowanie przedmiotowych rozwiązań spełnia wymogi zasady proporcjonalności i wyważania interesu publicznego, jak również interesu indywidualnego. </w:t>
      </w:r>
    </w:p>
    <w:p w14:paraId="6FC5516D" w14:textId="77777777" w:rsidR="004247A2" w:rsidRPr="00B25A10" w:rsidRDefault="004247A2"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iCs/>
          <w:sz w:val="24"/>
          <w:szCs w:val="24"/>
        </w:rPr>
        <w:t>Wyjaśnienia również wymaga, że do przedstawionych propozycji legislacyjnych (zmiana art. 15f ust. 4 ustawy o grach hazardowych) nie znajduje zastosowania d</w:t>
      </w:r>
      <w:r w:rsidRPr="00B25A10">
        <w:rPr>
          <w:rFonts w:ascii="Times New Roman" w:hAnsi="Times New Roman" w:cs="Times New Roman"/>
          <w:i/>
          <w:iCs/>
          <w:sz w:val="24"/>
          <w:szCs w:val="24"/>
        </w:rPr>
        <w:t>yrektywa 2000/31/WE w sprawie niektórych aspektów prawnych usług społeczeństwa informacyjnego, w szczególności handlu elektronicznego w ramach rynku wewnętrznego (dyrektywa o handlu elektronicznym)</w:t>
      </w:r>
      <w:r w:rsidRPr="00B25A10">
        <w:rPr>
          <w:rFonts w:ascii="Times New Roman" w:hAnsi="Times New Roman" w:cs="Times New Roman"/>
          <w:sz w:val="24"/>
          <w:szCs w:val="24"/>
        </w:rPr>
        <w:t>, albowiem zgodnie z art. 1 ust. 5 pkt d dyrektywa nie ma zastosowania do działalności w zakresie usług społeczeństwa informacyjnego gier hazardowych wiążących się z ustalaniem stawek mających wartość pieniężną w grach losowych, łącznie z loteriami i zakładami wzajemnymi.</w:t>
      </w:r>
    </w:p>
    <w:p w14:paraId="286DFACC"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Obecnie obowiązujący przepis art. 15f ust. 6 ustawy </w:t>
      </w:r>
      <w:r w:rsidR="00643A14" w:rsidRPr="00B25A10">
        <w:rPr>
          <w:rFonts w:ascii="Times New Roman" w:eastAsia="Calibri" w:hAnsi="Times New Roman" w:cs="Times New Roman"/>
          <w:sz w:val="24"/>
          <w:szCs w:val="24"/>
        </w:rPr>
        <w:t xml:space="preserve">z dnia 19 listopada 2009 r. </w:t>
      </w:r>
      <w:r w:rsidRPr="00B25A10">
        <w:rPr>
          <w:rFonts w:ascii="Times New Roman" w:eastAsia="Calibri" w:hAnsi="Times New Roman" w:cs="Times New Roman"/>
          <w:sz w:val="24"/>
          <w:szCs w:val="24"/>
        </w:rPr>
        <w:t xml:space="preserve">o grach hazardowych określa, że wpisu do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ejestru, zmiany wpisu lub jego wykreślenia dokonuje się z urzędu po ich zatwierdzeniu przez ministra właściwego do spraw finansów publicznych lub upoważnionego przez niego sekretarza lub podsekretarza stanu w urzędzie obsługującym ministra właściwego do spraw finansów publicznych. Projektowana zmiana przewiduje zmodyfikowanie brzmienia przepisu art. 15f ust. 6 ustawy przez zastąpienie wyrazów „</w:t>
      </w:r>
      <w:r w:rsidR="00D53500" w:rsidRPr="00B25A10">
        <w:rPr>
          <w:rFonts w:ascii="Times New Roman" w:eastAsia="Calibri" w:hAnsi="Times New Roman" w:cs="Times New Roman"/>
          <w:sz w:val="24"/>
          <w:szCs w:val="24"/>
        </w:rPr>
        <w:t xml:space="preserve">lub </w:t>
      </w:r>
      <w:r w:rsidRPr="00B25A10">
        <w:rPr>
          <w:rFonts w:ascii="Times New Roman" w:eastAsia="Calibri" w:hAnsi="Times New Roman" w:cs="Times New Roman"/>
          <w:sz w:val="24"/>
          <w:szCs w:val="24"/>
        </w:rPr>
        <w:t>upoważnionego przez niego sekretarza lub podsekretarza stanu w urzędzie obsługującym ministra właściwego do spraw finansów publicznych” wyrazami „</w:t>
      </w:r>
      <w:r w:rsidR="00D53500" w:rsidRPr="00B25A10">
        <w:rPr>
          <w:rFonts w:ascii="Times New Roman" w:eastAsia="Calibri" w:hAnsi="Times New Roman" w:cs="Times New Roman"/>
          <w:sz w:val="24"/>
          <w:szCs w:val="24"/>
        </w:rPr>
        <w:t xml:space="preserve">albo </w:t>
      </w:r>
      <w:r w:rsidRPr="00B25A10">
        <w:rPr>
          <w:rFonts w:ascii="Times New Roman" w:eastAsia="Calibri" w:hAnsi="Times New Roman" w:cs="Times New Roman"/>
          <w:sz w:val="24"/>
          <w:szCs w:val="24"/>
        </w:rPr>
        <w:t xml:space="preserve">upoważniony przez niego organ Krajowej Administracji Skarbowej”. Rozwiązanie to umożliwi ministrowi właściwemu do spraw finansów publicznych wyznaczenie właściwego organu Krajowej Administracji Skarbowej, który mógłby zatwierdzać wpis do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 xml:space="preserve">ejestru, jego zmianę lub wykreślenie. </w:t>
      </w:r>
    </w:p>
    <w:p w14:paraId="1E3B2AEB" w14:textId="29226D32"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lastRenderedPageBreak/>
        <w:t xml:space="preserve">Celem proponowanej zmiany jest zapewnienie możliwości wprowadzenia optymalizacji procedury wpisu do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 xml:space="preserve">ejestru (jego zmiany lub wykreślenia) oraz dostosowanie jej do potrzeby sprawnego, niezwłocznego załatwienia, przy jednoczesnym zachowaniu wysokiego standardu wykonywania zadań powierzonych przez ministra właściwego do spraw finansów publicznych. </w:t>
      </w:r>
      <w:r w:rsidR="00902970" w:rsidRPr="00B25A10">
        <w:rPr>
          <w:rFonts w:ascii="Times New Roman" w:eastAsia="Calibri" w:hAnsi="Times New Roman" w:cs="Times New Roman"/>
          <w:sz w:val="24"/>
          <w:szCs w:val="24"/>
        </w:rPr>
        <w:t xml:space="preserve">Powyższa zmiana </w:t>
      </w:r>
      <w:r w:rsidRPr="00B25A10">
        <w:rPr>
          <w:rFonts w:ascii="Times New Roman" w:eastAsia="Calibri" w:hAnsi="Times New Roman" w:cs="Times New Roman"/>
          <w:sz w:val="24"/>
          <w:szCs w:val="24"/>
        </w:rPr>
        <w:t xml:space="preserve">wpłynie pozytywnie na tempo procedury. Mając na uwadze, że monitorowanie sieci Internet, identyfikowanie naruszeń przepisów ustawy </w:t>
      </w:r>
      <w:r w:rsidR="00643A14" w:rsidRPr="00B25A10">
        <w:rPr>
          <w:rFonts w:ascii="Times New Roman" w:eastAsia="Calibri" w:hAnsi="Times New Roman" w:cs="Times New Roman"/>
          <w:sz w:val="24"/>
          <w:szCs w:val="24"/>
        </w:rPr>
        <w:t xml:space="preserve">z dnia 19 listopada 2009 r. </w:t>
      </w:r>
      <w:r w:rsidRPr="00B25A10">
        <w:rPr>
          <w:rFonts w:ascii="Times New Roman" w:eastAsia="Calibri" w:hAnsi="Times New Roman" w:cs="Times New Roman"/>
          <w:sz w:val="24"/>
          <w:szCs w:val="24"/>
        </w:rPr>
        <w:t>o grach hazardowych i zabezpieczanie materiału dowodowego na potrzeby wpisu do Rejestru należy aktualnie do zadań jednego z organów K</w:t>
      </w:r>
      <w:r w:rsidR="00643A14" w:rsidRPr="00B25A10">
        <w:rPr>
          <w:rFonts w:ascii="Times New Roman" w:eastAsia="Calibri" w:hAnsi="Times New Roman" w:cs="Times New Roman"/>
          <w:sz w:val="24"/>
          <w:szCs w:val="24"/>
        </w:rPr>
        <w:t xml:space="preserve">rajowej </w:t>
      </w:r>
      <w:r w:rsidRPr="00B25A10">
        <w:rPr>
          <w:rFonts w:ascii="Times New Roman" w:eastAsia="Calibri" w:hAnsi="Times New Roman" w:cs="Times New Roman"/>
          <w:sz w:val="24"/>
          <w:szCs w:val="24"/>
        </w:rPr>
        <w:t>A</w:t>
      </w:r>
      <w:r w:rsidR="00643A14" w:rsidRPr="00B25A10">
        <w:rPr>
          <w:rFonts w:ascii="Times New Roman" w:eastAsia="Calibri" w:hAnsi="Times New Roman" w:cs="Times New Roman"/>
          <w:sz w:val="24"/>
          <w:szCs w:val="24"/>
        </w:rPr>
        <w:t xml:space="preserve">dministracji </w:t>
      </w:r>
      <w:r w:rsidRPr="00B25A10">
        <w:rPr>
          <w:rFonts w:ascii="Times New Roman" w:eastAsia="Calibri" w:hAnsi="Times New Roman" w:cs="Times New Roman"/>
          <w:sz w:val="24"/>
          <w:szCs w:val="24"/>
        </w:rPr>
        <w:t>S</w:t>
      </w:r>
      <w:r w:rsidR="00643A14" w:rsidRPr="00B25A10">
        <w:rPr>
          <w:rFonts w:ascii="Times New Roman" w:eastAsia="Calibri" w:hAnsi="Times New Roman" w:cs="Times New Roman"/>
          <w:sz w:val="24"/>
          <w:szCs w:val="24"/>
        </w:rPr>
        <w:t>karbowej</w:t>
      </w:r>
      <w:r w:rsidRPr="00B25A10">
        <w:rPr>
          <w:rFonts w:ascii="Times New Roman" w:eastAsia="Calibri" w:hAnsi="Times New Roman" w:cs="Times New Roman"/>
          <w:sz w:val="24"/>
          <w:szCs w:val="24"/>
        </w:rPr>
        <w:t>, zasadn</w:t>
      </w:r>
      <w:r w:rsidR="00CF39D0">
        <w:rPr>
          <w:rFonts w:ascii="Times New Roman" w:eastAsia="Calibri" w:hAnsi="Times New Roman" w:cs="Times New Roman"/>
          <w:sz w:val="24"/>
          <w:szCs w:val="24"/>
        </w:rPr>
        <w:t>e</w:t>
      </w:r>
      <w:r w:rsidRPr="00B25A10">
        <w:rPr>
          <w:rFonts w:ascii="Times New Roman" w:eastAsia="Calibri" w:hAnsi="Times New Roman" w:cs="Times New Roman"/>
          <w:sz w:val="24"/>
          <w:szCs w:val="24"/>
        </w:rPr>
        <w:t xml:space="preserve"> jest wprowadzenie możliwości wyznaczenia takiego organu do zatwierdzania wpisu do rejestru domen. </w:t>
      </w:r>
    </w:p>
    <w:p w14:paraId="5EEA45CC"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Dotychczasowe doświadczenie wynikające z prowadzenia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ejestru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 xml:space="preserve">ejestr został uruchomiony z dniem 1 kwietnia 2017 r.) wskazuje, że czynności podejmowane w celu dokonania wpisu mają charakter materialno-techniczny i ich prawidłowość nie była kwestionowana, a zatem nie ma uzasadnionej potrzeby, aby w dalszym ciągu ich dokonanie było uzależnione od merytorycznego zatwierdzenia przez sekretarza lub podsekretarza stanu, co wpływało na wydłużenie samej procedury.  </w:t>
      </w:r>
    </w:p>
    <w:p w14:paraId="5C848770"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W okresie od 1 kwietnia 2017 r. do 30 września 2018 r. do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 xml:space="preserve">ejestru wpisano 3545 domen, natomiast sprzeciwów od dokonanych wpisów wpłynęło 25. W stosunku do 24 z nich Minister Finansów wydał decyzję o pozostawieniu domen w Rejestrze, a w 1 przypadku wydane zostało postanowienie o pozostawieniu sprawy, z przyczyn formalnych, bez rozpatrzenia. Zaskarżonych do Wojewódzkiego Sądu Administracyjnego zostało 18 decyzji organu. WSA w Warszawie rozpatrzył 10 skarg, z czego 8 skarg oddalił i 2 skargi odrzucił. </w:t>
      </w:r>
    </w:p>
    <w:p w14:paraId="634CB5D7" w14:textId="28C3E803"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Powyższe dane jednoznacznie wskazują, że z formalnoprawnego punktu widzenia procedura wpisu do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 xml:space="preserve">ejestru nie budzi zastrzeżeń i przebiega w sposób prawidłowy. Oznacza to, że nie ma potrzeby, aby jej zatwierdzanie odbywało się na szczeblu centralnym, z udziałem sekretarza lub podsekretarza stanu. </w:t>
      </w:r>
    </w:p>
    <w:p w14:paraId="10E8F75D"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Zgodnie z obowiązującym brzmieniem przepisu art. 15f ust. 9 ustawy </w:t>
      </w:r>
      <w:r w:rsidR="00643A14" w:rsidRPr="00B25A10">
        <w:rPr>
          <w:rFonts w:ascii="Times New Roman" w:eastAsia="Calibri" w:hAnsi="Times New Roman" w:cs="Times New Roman"/>
          <w:sz w:val="24"/>
          <w:szCs w:val="24"/>
        </w:rPr>
        <w:t xml:space="preserve">z dnia 19 listopada 2009 r. </w:t>
      </w:r>
      <w:r w:rsidRPr="00B25A10">
        <w:rPr>
          <w:rFonts w:ascii="Times New Roman" w:eastAsia="Calibri" w:hAnsi="Times New Roman" w:cs="Times New Roman"/>
          <w:sz w:val="24"/>
          <w:szCs w:val="24"/>
        </w:rPr>
        <w:t xml:space="preserve">o grach hazardowych, minister właściwy do spraw finansów publicznych wydaje decyzję o pozostawieniu nazwy domeny, o której mowa w ust. 4 pkt 1 tego artykułu, w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 xml:space="preserve">ejestrze albo o jej wykreśleniu z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 xml:space="preserve">ejestru, w terminie 7 dni od dnia otrzymania sprzeciwu. Zaprojektowana nowelizacja tego przepisu wydłuża termin rozpatrzenia sprzeciwu do 14 dni. </w:t>
      </w:r>
    </w:p>
    <w:p w14:paraId="546660BC" w14:textId="7EA8948D"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lastRenderedPageBreak/>
        <w:t>Mając na uwadze dotychczasową praktykę w rozpatrywaniu sprzeciwu i wydaniu decyzji w przedmiocie rozpatrzenia sprzeciwu, zasadn</w:t>
      </w:r>
      <w:r w:rsidR="002B04B6">
        <w:rPr>
          <w:rFonts w:ascii="Times New Roman" w:eastAsia="Calibri" w:hAnsi="Times New Roman" w:cs="Times New Roman"/>
          <w:sz w:val="24"/>
          <w:szCs w:val="24"/>
        </w:rPr>
        <w:t>e</w:t>
      </w:r>
      <w:r w:rsidRPr="00B25A10">
        <w:rPr>
          <w:rFonts w:ascii="Times New Roman" w:eastAsia="Calibri" w:hAnsi="Times New Roman" w:cs="Times New Roman"/>
          <w:sz w:val="24"/>
          <w:szCs w:val="24"/>
        </w:rPr>
        <w:t xml:space="preserve"> jest wydłużenie terminu na wydanie rozstrzygnięcia w tym przedmiocie. Nie negując założeń, które przyświecały ustawodawcy przy jego określeniu (gwarancja dla podmiotu szybkiego rozpatrzenia sprzeciwu)</w:t>
      </w:r>
      <w:r w:rsidR="002B04B6">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należy mieć też na uwadze realność jego rozpatrzenia przez organ, w szczególności uwzględniając w tym krótkim okresie zawieranie się dni wolnych od pracy. Ponadto należy zauważyć nieadekwatność długości tego terminu do możliwości wnikliwego przeanalizowania zarzutów wskazanych w sprzeciwie oraz analizy orzecznictwa (TSUE, WSA, NSA), a także odniesienia się do nich. Należy przy tym zwrócić uwagę na dość złożony i skomplikowany charakter sprawy. W obecnym stanie prawnym rozpatrywanie sprawy odbywa się pod dużą presją czasu pracy, a wydłużenie tego terminu pozwoli na bardziej wnikliwą i gruntowną analizę sprawy. Przy tym należy zauważyć zasadność wydłużenia przedmiotowego terminu w przypadku rozpatrywania przez Ministra Finansów sprzeciwów od wpisów do </w:t>
      </w:r>
      <w:r w:rsidR="00643A14"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 xml:space="preserve">ejestru </w:t>
      </w:r>
      <w:r w:rsidR="00643A14" w:rsidRPr="00B25A10">
        <w:rPr>
          <w:rFonts w:ascii="Times New Roman" w:eastAsia="Calibri" w:hAnsi="Times New Roman" w:cs="Times New Roman"/>
          <w:sz w:val="24"/>
          <w:szCs w:val="24"/>
        </w:rPr>
        <w:t>d</w:t>
      </w:r>
      <w:r w:rsidRPr="00B25A10">
        <w:rPr>
          <w:rFonts w:ascii="Times New Roman" w:eastAsia="Calibri" w:hAnsi="Times New Roman" w:cs="Times New Roman"/>
          <w:sz w:val="24"/>
          <w:szCs w:val="24"/>
        </w:rPr>
        <w:t>omen dokonywanych przez wyznaczony organ.</w:t>
      </w:r>
    </w:p>
    <w:p w14:paraId="7699DDBE" w14:textId="77777777" w:rsidR="00712E99" w:rsidRPr="00B25A10" w:rsidRDefault="00712E99" w:rsidP="00B25A10">
      <w:pPr>
        <w:spacing w:before="12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 15h</w:t>
      </w:r>
    </w:p>
    <w:p w14:paraId="07DCACE0"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Zmiana przepisu art.15h ustawy </w:t>
      </w:r>
      <w:r w:rsidR="00643A14" w:rsidRPr="00B25A10">
        <w:rPr>
          <w:rFonts w:ascii="Times New Roman" w:eastAsia="Calibri" w:hAnsi="Times New Roman" w:cs="Times New Roman"/>
          <w:sz w:val="24"/>
          <w:szCs w:val="24"/>
        </w:rPr>
        <w:t xml:space="preserve">z dnia 19 listopada 2009 r. </w:t>
      </w:r>
      <w:r w:rsidRPr="00B25A10">
        <w:rPr>
          <w:rFonts w:ascii="Times New Roman" w:eastAsia="Calibri" w:hAnsi="Times New Roman" w:cs="Times New Roman"/>
          <w:sz w:val="24"/>
          <w:szCs w:val="24"/>
        </w:rPr>
        <w:t>o grach hazardowych bezpośrednio wynika ze zmiany brzmienia przepisu art. 15f ust. 6 tej ustawy.</w:t>
      </w:r>
    </w:p>
    <w:p w14:paraId="37E0C1C0"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Obecnie obowiązujący przepis art. 15h ustawy przewiduje, że minister właściwy do spraw finansów publicznych może, w drodze rozporządzenia, wyznaczyć dyrektora izby administracji skarbowej do prowadzenia spraw określonych w art. 15f, uwzględniając w szczególności możliwości techniczno-organizacyjne zapewniające sprawne wykonywanie tego zadania. </w:t>
      </w:r>
    </w:p>
    <w:p w14:paraId="4475BB51"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Projektowana zmiana przewiduje nadanie przepisowi art. 15h ustawy nowego brzmienia, w postaci: „Minister właściwy do spraw finansów publicznych może, w drodze rozporządzenia, wyznaczyć organ Krajowej Administracji Skarbowej do prowadzenia spraw określonych w art. 15f i określić zakres tych spraw, uwzględniając sprawne i efektywne wykonywanie zadań”.</w:t>
      </w:r>
    </w:p>
    <w:p w14:paraId="739FE0B9"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Powyższa zmiana wynika z proponowanej zmiany art. 15f ust. 6 ustawy </w:t>
      </w:r>
      <w:r w:rsidR="003A08E0" w:rsidRPr="00B25A10">
        <w:rPr>
          <w:rFonts w:ascii="Times New Roman" w:eastAsia="Calibri" w:hAnsi="Times New Roman" w:cs="Times New Roman"/>
          <w:sz w:val="24"/>
          <w:szCs w:val="24"/>
        </w:rPr>
        <w:t xml:space="preserve">z dnia 19 listopada 2009 r. </w:t>
      </w:r>
      <w:r w:rsidRPr="00B25A10">
        <w:rPr>
          <w:rFonts w:ascii="Times New Roman" w:eastAsia="Calibri" w:hAnsi="Times New Roman" w:cs="Times New Roman"/>
          <w:sz w:val="24"/>
          <w:szCs w:val="24"/>
        </w:rPr>
        <w:t xml:space="preserve">o grach hazardowych, która dopuszcza możliwość wyznaczenia właściwego organu Krajowej Administracji Skarbowej do zatwierdzania wpisu do Rejestru, zmiany wpisu lub jego wykreślenia. </w:t>
      </w:r>
    </w:p>
    <w:p w14:paraId="577D124A" w14:textId="5A57205D" w:rsidR="00712E99" w:rsidRPr="00B25A10" w:rsidRDefault="002B04B6" w:rsidP="002B0551">
      <w:pPr>
        <w:spacing w:before="12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M</w:t>
      </w:r>
      <w:r w:rsidR="00712E99" w:rsidRPr="00B25A10">
        <w:rPr>
          <w:rFonts w:ascii="Times New Roman" w:eastAsia="Calibri" w:hAnsi="Times New Roman" w:cs="Times New Roman"/>
          <w:sz w:val="24"/>
          <w:szCs w:val="24"/>
        </w:rPr>
        <w:t xml:space="preserve">imo innego rozwiązania zgłoszonego </w:t>
      </w:r>
      <w:r w:rsidR="009B29FA" w:rsidRPr="00B25A10">
        <w:rPr>
          <w:rFonts w:ascii="Times New Roman" w:eastAsia="Calibri" w:hAnsi="Times New Roman" w:cs="Times New Roman"/>
          <w:sz w:val="24"/>
          <w:szCs w:val="24"/>
        </w:rPr>
        <w:t xml:space="preserve">pierwotnie </w:t>
      </w:r>
      <w:r w:rsidR="00712E99" w:rsidRPr="00B25A10">
        <w:rPr>
          <w:rFonts w:ascii="Times New Roman" w:eastAsia="Calibri" w:hAnsi="Times New Roman" w:cs="Times New Roman"/>
          <w:sz w:val="24"/>
          <w:szCs w:val="24"/>
        </w:rPr>
        <w:t>do wykazu prac legislacyjnych Rady Ministrów, po dokonaniu ponownej analizy uznano, że właściwym będzie wyznaczenie organu w drodze rozporządzenia. Tym organem może być, w zależności od wyboru koncepcji prawidłowego sprawowania kontroli w tym obszarze, zarówno dyrektor izby administracji skarbowej</w:t>
      </w:r>
      <w:r>
        <w:rPr>
          <w:rFonts w:ascii="Times New Roman" w:eastAsia="Calibri" w:hAnsi="Times New Roman" w:cs="Times New Roman"/>
          <w:sz w:val="24"/>
          <w:szCs w:val="24"/>
        </w:rPr>
        <w:t>,</w:t>
      </w:r>
      <w:r w:rsidR="00712E99" w:rsidRPr="00B25A10">
        <w:rPr>
          <w:rFonts w:ascii="Times New Roman" w:eastAsia="Calibri" w:hAnsi="Times New Roman" w:cs="Times New Roman"/>
          <w:sz w:val="24"/>
          <w:szCs w:val="24"/>
        </w:rPr>
        <w:t xml:space="preserve"> jak i naczelnik urzędu celno-skarbowego. Dlatego też uzasadniona jest zmiana art.</w:t>
      </w:r>
      <w:r>
        <w:rPr>
          <w:rFonts w:ascii="Times New Roman" w:eastAsia="Calibri" w:hAnsi="Times New Roman" w:cs="Times New Roman"/>
          <w:sz w:val="24"/>
          <w:szCs w:val="24"/>
        </w:rPr>
        <w:t> </w:t>
      </w:r>
      <w:r w:rsidR="00712E99" w:rsidRPr="00B25A10">
        <w:rPr>
          <w:rFonts w:ascii="Times New Roman" w:eastAsia="Calibri" w:hAnsi="Times New Roman" w:cs="Times New Roman"/>
          <w:sz w:val="24"/>
          <w:szCs w:val="24"/>
        </w:rPr>
        <w:t>15h ustawy.</w:t>
      </w:r>
    </w:p>
    <w:p w14:paraId="74338F19" w14:textId="474CD075"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Dotychczasowe brzmienie art. 15h ustawy wskazywało, że sprawy, które mogą zostać przekazane przez ministra właściwego do spraw finansów publicznych do prowadzenia właściwemu organowi</w:t>
      </w:r>
      <w:r w:rsidR="002B04B6">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mogą mieć jedynie charakter techniczno-organizacyjny, co wynika z wytycznych zawartych w tym przepisie. Natomiast zatwierdzenie wpisu do </w:t>
      </w:r>
      <w:r w:rsidR="003A08E0" w:rsidRPr="00B25A10">
        <w:rPr>
          <w:rFonts w:ascii="Times New Roman" w:eastAsia="Calibri" w:hAnsi="Times New Roman" w:cs="Times New Roman"/>
          <w:sz w:val="24"/>
          <w:szCs w:val="24"/>
        </w:rPr>
        <w:t>r</w:t>
      </w:r>
      <w:r w:rsidRPr="00B25A10">
        <w:rPr>
          <w:rFonts w:ascii="Times New Roman" w:eastAsia="Calibri" w:hAnsi="Times New Roman" w:cs="Times New Roman"/>
          <w:sz w:val="24"/>
          <w:szCs w:val="24"/>
        </w:rPr>
        <w:t xml:space="preserve">ejestru (jego zmiany lub wykreślenia) należy do kategorii spraw o charakterze merytorycznym, a zatem zasadne jest odpowiednie zmodyfikowanie brzmienia art. 15h ustawy i dostosowanie go do celu, jaki został przewidziany w nowelizacji art. 15f ust. 6 ustawy. </w:t>
      </w:r>
    </w:p>
    <w:p w14:paraId="7905B9B3" w14:textId="77777777" w:rsidR="00712E99" w:rsidRPr="00B25A10" w:rsidRDefault="00712E99" w:rsidP="002B04B6">
      <w:pPr>
        <w:spacing w:before="24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 23b ust. 1</w:t>
      </w:r>
    </w:p>
    <w:p w14:paraId="6BB1FF89" w14:textId="77777777"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Na podstawie </w:t>
      </w:r>
      <w:r w:rsidR="00D41C8E" w:rsidRPr="00B25A10">
        <w:rPr>
          <w:rFonts w:ascii="Times New Roman" w:eastAsia="Calibri" w:hAnsi="Times New Roman" w:cs="Times New Roman"/>
          <w:sz w:val="24"/>
          <w:szCs w:val="24"/>
        </w:rPr>
        <w:t xml:space="preserve">obecnie obowiązującego </w:t>
      </w:r>
      <w:r w:rsidRPr="00B25A10">
        <w:rPr>
          <w:rFonts w:ascii="Times New Roman" w:eastAsia="Calibri" w:hAnsi="Times New Roman" w:cs="Times New Roman"/>
          <w:sz w:val="24"/>
          <w:szCs w:val="24"/>
        </w:rPr>
        <w:t xml:space="preserve">art. 23b ust. 1 </w:t>
      </w:r>
      <w:r w:rsidR="00D41C8E" w:rsidRPr="00B25A10">
        <w:rPr>
          <w:rFonts w:ascii="Times New Roman" w:eastAsia="Calibri" w:hAnsi="Times New Roman" w:cs="Times New Roman"/>
          <w:sz w:val="24"/>
          <w:szCs w:val="24"/>
        </w:rPr>
        <w:t xml:space="preserve">ustawy </w:t>
      </w:r>
      <w:r w:rsidR="003A08E0" w:rsidRPr="00B25A10">
        <w:rPr>
          <w:rFonts w:ascii="Times New Roman" w:eastAsia="Calibri" w:hAnsi="Times New Roman" w:cs="Times New Roman"/>
          <w:sz w:val="24"/>
          <w:szCs w:val="24"/>
        </w:rPr>
        <w:t>z dnia 19 listopada 2009 r.</w:t>
      </w:r>
      <w:r w:rsidR="009C6077" w:rsidRPr="00B25A10">
        <w:rPr>
          <w:rFonts w:ascii="Times New Roman" w:eastAsia="Calibri" w:hAnsi="Times New Roman" w:cs="Times New Roman"/>
          <w:sz w:val="24"/>
          <w:szCs w:val="24"/>
        </w:rPr>
        <w:t xml:space="preserve"> </w:t>
      </w:r>
      <w:r w:rsidR="003A08E0" w:rsidRPr="00B25A10">
        <w:rPr>
          <w:rFonts w:ascii="Times New Roman" w:eastAsia="Calibri" w:hAnsi="Times New Roman" w:cs="Times New Roman"/>
          <w:sz w:val="24"/>
          <w:szCs w:val="24"/>
        </w:rPr>
        <w:t>o grach hazardowych,</w:t>
      </w:r>
      <w:r w:rsidR="00D41C8E" w:rsidRPr="00B25A10">
        <w:rPr>
          <w:rFonts w:ascii="Times New Roman" w:eastAsia="Calibri" w:hAnsi="Times New Roman" w:cs="Times New Roman"/>
          <w:sz w:val="24"/>
          <w:szCs w:val="24"/>
        </w:rPr>
        <w:t xml:space="preserve"> </w:t>
      </w:r>
      <w:r w:rsidRPr="00B25A10">
        <w:rPr>
          <w:rFonts w:ascii="Times New Roman" w:eastAsia="Calibri" w:hAnsi="Times New Roman" w:cs="Times New Roman"/>
          <w:sz w:val="24"/>
          <w:szCs w:val="24"/>
        </w:rPr>
        <w:t xml:space="preserve">na pisemne żądanie naczelnika urzędu celno-skarbowego, w przypadku uzasadnionego podejrzenia, że zarejestrowany automat lub urządzenie do gier nie spełnia warunków określonych w ustawie, podmiot eksploatujący ten automat lub urządzenie jest obowiązany poddać automat lub urządzenie badaniu sprawdzającemu. Zmiana tego przepisu ma na celu </w:t>
      </w:r>
      <w:r w:rsidR="005A70C8" w:rsidRPr="00B25A10">
        <w:rPr>
          <w:rFonts w:ascii="Times New Roman" w:eastAsia="Calibri" w:hAnsi="Times New Roman" w:cs="Times New Roman"/>
          <w:sz w:val="24"/>
          <w:szCs w:val="24"/>
        </w:rPr>
        <w:t xml:space="preserve">umożliwienie naczelnikowi urzędu celno-skarbowego przekazywania informacji, określonych w ustawie, </w:t>
      </w:r>
      <w:r w:rsidR="00AE3AF0" w:rsidRPr="00B25A10">
        <w:rPr>
          <w:rFonts w:ascii="Times New Roman" w:eastAsia="Calibri" w:hAnsi="Times New Roman" w:cs="Times New Roman"/>
          <w:sz w:val="24"/>
          <w:szCs w:val="24"/>
        </w:rPr>
        <w:t>w postaci papierowej lub elektronicznej, za pomocą środków komunikacji elektronicznej</w:t>
      </w:r>
      <w:r w:rsidR="004E5A1F" w:rsidRPr="00B25A10">
        <w:rPr>
          <w:rFonts w:ascii="Times New Roman" w:eastAsia="Calibri" w:hAnsi="Times New Roman" w:cs="Times New Roman"/>
          <w:sz w:val="24"/>
          <w:szCs w:val="24"/>
        </w:rPr>
        <w:t>,</w:t>
      </w:r>
      <w:r w:rsidR="00AE3AF0" w:rsidRPr="00B25A10">
        <w:rPr>
          <w:rFonts w:ascii="Times New Roman" w:eastAsia="Calibri" w:hAnsi="Times New Roman" w:cs="Times New Roman"/>
          <w:sz w:val="24"/>
          <w:szCs w:val="24"/>
        </w:rPr>
        <w:t xml:space="preserve"> zgodnie z art. 1</w:t>
      </w:r>
      <w:r w:rsidR="004E5A1F" w:rsidRPr="00B25A10">
        <w:rPr>
          <w:rFonts w:ascii="Times New Roman" w:eastAsia="Calibri" w:hAnsi="Times New Roman" w:cs="Times New Roman"/>
          <w:sz w:val="24"/>
          <w:szCs w:val="24"/>
        </w:rPr>
        <w:t>44</w:t>
      </w:r>
      <w:r w:rsidR="00AE3AF0" w:rsidRPr="00B25A10">
        <w:rPr>
          <w:rFonts w:ascii="Times New Roman" w:eastAsia="Calibri" w:hAnsi="Times New Roman" w:cs="Times New Roman"/>
          <w:sz w:val="24"/>
          <w:szCs w:val="24"/>
        </w:rPr>
        <w:t xml:space="preserve"> </w:t>
      </w:r>
      <w:r w:rsidR="004E5A1F" w:rsidRPr="00B25A10">
        <w:rPr>
          <w:rFonts w:ascii="Times New Roman" w:eastAsia="Calibri" w:hAnsi="Times New Roman" w:cs="Times New Roman"/>
          <w:sz w:val="24"/>
          <w:szCs w:val="24"/>
        </w:rPr>
        <w:t xml:space="preserve">§ 1 </w:t>
      </w:r>
      <w:r w:rsidR="00AE3AF0" w:rsidRPr="00B25A10">
        <w:rPr>
          <w:rFonts w:ascii="Times New Roman" w:eastAsia="Calibri" w:hAnsi="Times New Roman" w:cs="Times New Roman"/>
          <w:sz w:val="24"/>
          <w:szCs w:val="24"/>
        </w:rPr>
        <w:t>Ordynacj</w:t>
      </w:r>
      <w:r w:rsidR="004E5A1F" w:rsidRPr="00B25A10">
        <w:rPr>
          <w:rFonts w:ascii="Times New Roman" w:eastAsia="Calibri" w:hAnsi="Times New Roman" w:cs="Times New Roman"/>
          <w:sz w:val="24"/>
          <w:szCs w:val="24"/>
        </w:rPr>
        <w:t>i</w:t>
      </w:r>
      <w:r w:rsidR="00AE3AF0" w:rsidRPr="00B25A10">
        <w:rPr>
          <w:rFonts w:ascii="Times New Roman" w:eastAsia="Calibri" w:hAnsi="Times New Roman" w:cs="Times New Roman"/>
          <w:sz w:val="24"/>
          <w:szCs w:val="24"/>
        </w:rPr>
        <w:t xml:space="preserve"> podatkow</w:t>
      </w:r>
      <w:r w:rsidR="004E5A1F" w:rsidRPr="00B25A10">
        <w:rPr>
          <w:rFonts w:ascii="Times New Roman" w:eastAsia="Calibri" w:hAnsi="Times New Roman" w:cs="Times New Roman"/>
          <w:sz w:val="24"/>
          <w:szCs w:val="24"/>
        </w:rPr>
        <w:t>ej.</w:t>
      </w:r>
    </w:p>
    <w:p w14:paraId="26A5202F" w14:textId="77777777" w:rsidR="00712E99" w:rsidRPr="00B25A10" w:rsidRDefault="00712E99" w:rsidP="002B04B6">
      <w:pPr>
        <w:spacing w:before="24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 24b ust. 3</w:t>
      </w:r>
    </w:p>
    <w:p w14:paraId="27D076D4" w14:textId="748F4353" w:rsidR="00712E99"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Zmiana art. 24b ust. 3 umożliwia prowadzenie rejestru zaświadczeń pracowników zarówno w postaci papierowej</w:t>
      </w:r>
      <w:r w:rsidR="002B04B6">
        <w:rPr>
          <w:rFonts w:ascii="Times New Roman" w:eastAsia="Calibri" w:hAnsi="Times New Roman" w:cs="Times New Roman"/>
          <w:sz w:val="24"/>
          <w:szCs w:val="24"/>
        </w:rPr>
        <w:t>,</w:t>
      </w:r>
      <w:r w:rsidRPr="00B25A10">
        <w:rPr>
          <w:rFonts w:ascii="Times New Roman" w:eastAsia="Calibri" w:hAnsi="Times New Roman" w:cs="Times New Roman"/>
          <w:sz w:val="24"/>
          <w:szCs w:val="24"/>
        </w:rPr>
        <w:t xml:space="preserve"> jak i elektronicznej.</w:t>
      </w:r>
    </w:p>
    <w:p w14:paraId="036B6EFF" w14:textId="77777777" w:rsidR="00712E99" w:rsidRPr="00B25A10" w:rsidRDefault="00712E99" w:rsidP="002B04B6">
      <w:pPr>
        <w:spacing w:before="240"/>
        <w:jc w:val="both"/>
        <w:rPr>
          <w:rFonts w:ascii="Times New Roman" w:eastAsia="Calibri" w:hAnsi="Times New Roman" w:cs="Times New Roman"/>
          <w:b/>
          <w:sz w:val="24"/>
          <w:szCs w:val="24"/>
        </w:rPr>
      </w:pPr>
      <w:r w:rsidRPr="00B25A10">
        <w:rPr>
          <w:rFonts w:ascii="Times New Roman" w:eastAsia="Calibri" w:hAnsi="Times New Roman" w:cs="Times New Roman"/>
          <w:b/>
          <w:sz w:val="24"/>
          <w:szCs w:val="24"/>
        </w:rPr>
        <w:t>zmiana art. 57</w:t>
      </w:r>
    </w:p>
    <w:p w14:paraId="4B8DE728"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eastAsia="Calibri" w:hAnsi="Times New Roman" w:cs="Times New Roman"/>
          <w:sz w:val="24"/>
          <w:szCs w:val="24"/>
        </w:rPr>
        <w:t xml:space="preserve">Zmiana art. 57 ustawy ma na celu umożliwienie składania w toku postępowań odpisów dokumentów </w:t>
      </w:r>
      <w:r w:rsidRPr="00B25A10">
        <w:rPr>
          <w:rFonts w:ascii="Times New Roman" w:hAnsi="Times New Roman" w:cs="Times New Roman"/>
          <w:sz w:val="24"/>
          <w:szCs w:val="24"/>
        </w:rPr>
        <w:t>poświadczonych za zgodność z oryginałem również przez doradcę podatkowego. Rozwiązanie to doprowadzi do ujednolicenia przepisów w tym zakresie z Ordynacją podatkową (art. 194a § 2).</w:t>
      </w:r>
    </w:p>
    <w:p w14:paraId="1DE9BE0E" w14:textId="77777777" w:rsidR="00712E99" w:rsidRPr="00B25A10" w:rsidRDefault="00712E99" w:rsidP="002B04B6">
      <w:pPr>
        <w:spacing w:before="240"/>
        <w:jc w:val="both"/>
        <w:rPr>
          <w:rFonts w:ascii="Times New Roman" w:hAnsi="Times New Roman" w:cs="Times New Roman"/>
          <w:b/>
          <w:sz w:val="24"/>
          <w:szCs w:val="24"/>
        </w:rPr>
      </w:pPr>
      <w:r w:rsidRPr="00B25A10">
        <w:rPr>
          <w:rFonts w:ascii="Times New Roman" w:hAnsi="Times New Roman" w:cs="Times New Roman"/>
          <w:b/>
          <w:sz w:val="24"/>
          <w:szCs w:val="24"/>
        </w:rPr>
        <w:lastRenderedPageBreak/>
        <w:t>zmiana art. 90</w:t>
      </w:r>
      <w:r w:rsidR="004E5A1F" w:rsidRPr="00B25A10">
        <w:rPr>
          <w:rFonts w:ascii="Times New Roman" w:hAnsi="Times New Roman" w:cs="Times New Roman"/>
          <w:b/>
          <w:sz w:val="24"/>
          <w:szCs w:val="24"/>
        </w:rPr>
        <w:t xml:space="preserve"> i </w:t>
      </w:r>
      <w:r w:rsidR="0057238D">
        <w:rPr>
          <w:rFonts w:ascii="Times New Roman" w:hAnsi="Times New Roman" w:cs="Times New Roman"/>
          <w:b/>
          <w:sz w:val="24"/>
          <w:szCs w:val="24"/>
        </w:rPr>
        <w:t xml:space="preserve">art. </w:t>
      </w:r>
      <w:r w:rsidR="004E5A1F" w:rsidRPr="00B25A10">
        <w:rPr>
          <w:rFonts w:ascii="Times New Roman" w:hAnsi="Times New Roman" w:cs="Times New Roman"/>
          <w:b/>
          <w:sz w:val="24"/>
          <w:szCs w:val="24"/>
        </w:rPr>
        <w:t>90a</w:t>
      </w:r>
    </w:p>
    <w:p w14:paraId="2B2CCE5E" w14:textId="77777777" w:rsidR="00712E99" w:rsidRPr="00B25A10" w:rsidRDefault="00712E99"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 xml:space="preserve">Obecnie obowiązujące przepisy art. 90 ust. 1 pkt 2 i ust. 1b pkt 2 </w:t>
      </w:r>
      <w:r w:rsidR="003A08E0" w:rsidRPr="00B25A10">
        <w:rPr>
          <w:rFonts w:ascii="Times New Roman" w:eastAsia="Times New Roman" w:hAnsi="Times New Roman" w:cs="Times New Roman"/>
          <w:bCs/>
          <w:sz w:val="24"/>
          <w:szCs w:val="24"/>
          <w:lang w:eastAsia="pl-PL"/>
        </w:rPr>
        <w:t xml:space="preserve">ustawy z dnia 19 listopada 2009 r. o grach hazardowych </w:t>
      </w:r>
      <w:r w:rsidRPr="00B25A10">
        <w:rPr>
          <w:rFonts w:ascii="Times New Roman" w:eastAsia="Times New Roman" w:hAnsi="Times New Roman" w:cs="Times New Roman"/>
          <w:bCs/>
          <w:sz w:val="24"/>
          <w:szCs w:val="24"/>
          <w:lang w:eastAsia="pl-PL"/>
        </w:rPr>
        <w:t>przewidują, że:</w:t>
      </w:r>
    </w:p>
    <w:p w14:paraId="70F5B739" w14:textId="0DC3DC0D" w:rsidR="00712E99" w:rsidRPr="00B25A10" w:rsidRDefault="00712E99" w:rsidP="002B0551">
      <w:pPr>
        <w:spacing w:before="120" w:after="0" w:line="360" w:lineRule="auto"/>
        <w:ind w:left="510" w:hanging="510"/>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 xml:space="preserve">1) </w:t>
      </w:r>
      <w:r w:rsidRPr="00B25A10">
        <w:rPr>
          <w:rFonts w:ascii="Times New Roman" w:eastAsia="Times New Roman" w:hAnsi="Times New Roman" w:cs="Times New Roman"/>
          <w:bCs/>
          <w:sz w:val="24"/>
          <w:szCs w:val="24"/>
          <w:lang w:eastAsia="pl-PL"/>
        </w:rPr>
        <w:tab/>
        <w:t xml:space="preserve">art. 90 ust. 1 pkt 2 </w:t>
      </w:r>
      <w:r w:rsidR="002B04B6" w:rsidRPr="00B25A10">
        <w:rPr>
          <w:rFonts w:ascii="Times New Roman" w:hAnsi="Times New Roman" w:cs="Times New Roman"/>
          <w:sz w:val="24"/>
          <w:szCs w:val="24"/>
        </w:rPr>
        <w:t>–</w:t>
      </w:r>
      <w:r w:rsidRPr="00B25A10">
        <w:rPr>
          <w:rFonts w:ascii="Times New Roman" w:eastAsia="Times New Roman" w:hAnsi="Times New Roman" w:cs="Times New Roman"/>
          <w:bCs/>
          <w:sz w:val="24"/>
          <w:szCs w:val="24"/>
          <w:lang w:eastAsia="pl-PL"/>
        </w:rPr>
        <w:t xml:space="preserve"> karę pieniężną nakłada, w drodze decyzji, minister właściwy do spraw finansów publicznych </w:t>
      </w:r>
      <w:r w:rsidR="002B04B6" w:rsidRPr="00B25A10">
        <w:rPr>
          <w:rFonts w:ascii="Times New Roman" w:hAnsi="Times New Roman" w:cs="Times New Roman"/>
          <w:sz w:val="24"/>
          <w:szCs w:val="24"/>
        </w:rPr>
        <w:t>–</w:t>
      </w:r>
      <w:r w:rsidRPr="00B25A10">
        <w:rPr>
          <w:rFonts w:ascii="Times New Roman" w:eastAsia="Times New Roman" w:hAnsi="Times New Roman" w:cs="Times New Roman"/>
          <w:bCs/>
          <w:sz w:val="24"/>
          <w:szCs w:val="24"/>
          <w:lang w:eastAsia="pl-PL"/>
        </w:rPr>
        <w:t xml:space="preserve"> w przypadkach, o których mowa w art. 89 ust. 1 pkt 5 i 7</w:t>
      </w:r>
      <w:r w:rsidR="003A08E0" w:rsidRPr="00B25A10">
        <w:rPr>
          <w:rFonts w:ascii="Times New Roman" w:eastAsia="Times New Roman" w:hAnsi="Times New Roman" w:cs="Times New Roman"/>
          <w:bCs/>
          <w:sz w:val="24"/>
          <w:szCs w:val="24"/>
          <w:lang w:eastAsia="pl-PL"/>
        </w:rPr>
        <w:t xml:space="preserve"> ustawy</w:t>
      </w:r>
      <w:r w:rsidRPr="00B25A10">
        <w:rPr>
          <w:rFonts w:ascii="Times New Roman" w:eastAsia="Times New Roman" w:hAnsi="Times New Roman" w:cs="Times New Roman"/>
          <w:bCs/>
          <w:sz w:val="24"/>
          <w:szCs w:val="24"/>
          <w:lang w:eastAsia="pl-PL"/>
        </w:rPr>
        <w:t>;</w:t>
      </w:r>
    </w:p>
    <w:p w14:paraId="1D830610" w14:textId="2DDD9F03" w:rsidR="00712E99" w:rsidRPr="00B25A10" w:rsidRDefault="00712E99" w:rsidP="002B0551">
      <w:pPr>
        <w:spacing w:before="120" w:after="0" w:line="360" w:lineRule="auto"/>
        <w:ind w:left="510" w:hanging="510"/>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2)</w:t>
      </w:r>
      <w:r w:rsidRPr="00B25A10">
        <w:rPr>
          <w:rFonts w:ascii="Times New Roman" w:eastAsia="Times New Roman" w:hAnsi="Times New Roman" w:cs="Times New Roman"/>
          <w:bCs/>
          <w:sz w:val="24"/>
          <w:szCs w:val="24"/>
          <w:lang w:eastAsia="pl-PL"/>
        </w:rPr>
        <w:tab/>
        <w:t xml:space="preserve">art. 90 ust. 1b pkt 2 </w:t>
      </w:r>
      <w:r w:rsidR="002B04B6" w:rsidRPr="00B25A10">
        <w:rPr>
          <w:rFonts w:ascii="Times New Roman" w:hAnsi="Times New Roman" w:cs="Times New Roman"/>
          <w:sz w:val="24"/>
          <w:szCs w:val="24"/>
        </w:rPr>
        <w:t>–</w:t>
      </w:r>
      <w:r w:rsidRPr="00B25A10">
        <w:rPr>
          <w:rFonts w:ascii="Times New Roman" w:eastAsia="Times New Roman" w:hAnsi="Times New Roman" w:cs="Times New Roman"/>
          <w:bCs/>
          <w:sz w:val="24"/>
          <w:szCs w:val="24"/>
          <w:lang w:eastAsia="pl-PL"/>
        </w:rPr>
        <w:t xml:space="preserve"> ustalając wysokość kary pieniężnej, o której mowa w art. 89 ust. 4 pkt 4 i 6</w:t>
      </w:r>
      <w:r w:rsidR="003A08E0" w:rsidRPr="00B25A10">
        <w:rPr>
          <w:rFonts w:ascii="Times New Roman" w:eastAsia="Times New Roman" w:hAnsi="Times New Roman" w:cs="Times New Roman"/>
          <w:bCs/>
          <w:sz w:val="24"/>
          <w:szCs w:val="24"/>
          <w:lang w:eastAsia="pl-PL"/>
        </w:rPr>
        <w:t>,</w:t>
      </w:r>
      <w:r w:rsidRPr="00B25A10">
        <w:rPr>
          <w:rFonts w:ascii="Times New Roman" w:eastAsia="Times New Roman" w:hAnsi="Times New Roman" w:cs="Times New Roman"/>
          <w:bCs/>
          <w:sz w:val="24"/>
          <w:szCs w:val="24"/>
          <w:lang w:eastAsia="pl-PL"/>
        </w:rPr>
        <w:t xml:space="preserve"> minister właściwy do spraw finansów publicznych bierze pod uwagę liczbę użytkowników indywidualnych, którym przedsiębiorca telekomunikacyjny lub dostawca usług płatniczych pośrednio lub bezpośrednio świadczy swoje usługi, dostępne możliwości techniczne wykonywania obowiązku, o którym mowa w art. 15f ust. 5 lub art. 15g, oraz czas, w  którym obowiązek ten nie był wykonywany. </w:t>
      </w:r>
    </w:p>
    <w:p w14:paraId="468C4D22" w14:textId="6194CCAC" w:rsidR="00712E99" w:rsidRPr="00B25A10" w:rsidRDefault="00712E99"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Projektowana zmiana przewiduje modyfikację brzmienia powyższych przepisów przez zastąpienie wyrazów „minister właściwy do spraw finansów publicznych” wyrazami „naczelnik urzędu celno-skarbowego</w:t>
      </w:r>
      <w:r w:rsidR="003A08E0" w:rsidRPr="00B25A10">
        <w:rPr>
          <w:rFonts w:ascii="Times New Roman" w:eastAsia="Times New Roman" w:hAnsi="Times New Roman" w:cs="Times New Roman"/>
          <w:bCs/>
          <w:sz w:val="24"/>
          <w:szCs w:val="24"/>
          <w:lang w:eastAsia="pl-PL"/>
        </w:rPr>
        <w:t xml:space="preserve"> właściwy do prowadzenia czynności audytowych wyznaczony w przepisach wydanych na podstawie art. 100b ust. 6 ustawy z dnia 16 listopada 2016 r. o Krajowej Administracji Skarbowej (Dz. U. z 20</w:t>
      </w:r>
      <w:r w:rsidR="00EF2E44" w:rsidRPr="00B25A10">
        <w:rPr>
          <w:rFonts w:ascii="Times New Roman" w:eastAsia="Times New Roman" w:hAnsi="Times New Roman" w:cs="Times New Roman"/>
          <w:bCs/>
          <w:sz w:val="24"/>
          <w:szCs w:val="24"/>
          <w:lang w:eastAsia="pl-PL"/>
        </w:rPr>
        <w:t>20</w:t>
      </w:r>
      <w:r w:rsidR="003A08E0" w:rsidRPr="00B25A10">
        <w:rPr>
          <w:rFonts w:ascii="Times New Roman" w:eastAsia="Times New Roman" w:hAnsi="Times New Roman" w:cs="Times New Roman"/>
          <w:bCs/>
          <w:sz w:val="24"/>
          <w:szCs w:val="24"/>
          <w:lang w:eastAsia="pl-PL"/>
        </w:rPr>
        <w:t xml:space="preserve"> r. poz. </w:t>
      </w:r>
      <w:r w:rsidR="00EF2E44" w:rsidRPr="00B25A10">
        <w:rPr>
          <w:rFonts w:ascii="Times New Roman" w:eastAsia="Times New Roman" w:hAnsi="Times New Roman" w:cs="Times New Roman"/>
          <w:bCs/>
          <w:sz w:val="24"/>
          <w:szCs w:val="24"/>
          <w:lang w:eastAsia="pl-PL"/>
        </w:rPr>
        <w:t>505</w:t>
      </w:r>
      <w:r w:rsidR="003A08E0" w:rsidRPr="00B25A10">
        <w:rPr>
          <w:rFonts w:ascii="Times New Roman" w:eastAsia="Times New Roman" w:hAnsi="Times New Roman" w:cs="Times New Roman"/>
          <w:bCs/>
          <w:sz w:val="24"/>
          <w:szCs w:val="24"/>
          <w:lang w:eastAsia="pl-PL"/>
        </w:rPr>
        <w:t>, z późn. zm.)</w:t>
      </w:r>
      <w:r w:rsidRPr="00B25A10">
        <w:rPr>
          <w:rFonts w:ascii="Times New Roman" w:eastAsia="Times New Roman" w:hAnsi="Times New Roman" w:cs="Times New Roman"/>
          <w:bCs/>
          <w:sz w:val="24"/>
          <w:szCs w:val="24"/>
          <w:lang w:eastAsia="pl-PL"/>
        </w:rPr>
        <w:t>” (w</w:t>
      </w:r>
      <w:r w:rsidR="002B04B6">
        <w:rPr>
          <w:rFonts w:ascii="Times New Roman" w:eastAsia="Times New Roman" w:hAnsi="Times New Roman" w:cs="Times New Roman"/>
          <w:bCs/>
          <w:sz w:val="24"/>
          <w:szCs w:val="24"/>
          <w:lang w:eastAsia="pl-PL"/>
        </w:rPr>
        <w:t> </w:t>
      </w:r>
      <w:r w:rsidRPr="00B25A10">
        <w:rPr>
          <w:rFonts w:ascii="Times New Roman" w:eastAsia="Times New Roman" w:hAnsi="Times New Roman" w:cs="Times New Roman"/>
          <w:bCs/>
          <w:sz w:val="24"/>
          <w:szCs w:val="24"/>
          <w:lang w:eastAsia="pl-PL"/>
        </w:rPr>
        <w:t>przypadku art. 90 ust. 1 pkt 2) oraz „naczelnik urzędu celno-skarbowego” (w przypadku art.</w:t>
      </w:r>
      <w:r w:rsidR="002B04B6">
        <w:rPr>
          <w:rFonts w:ascii="Times New Roman" w:eastAsia="Times New Roman" w:hAnsi="Times New Roman" w:cs="Times New Roman"/>
          <w:bCs/>
          <w:sz w:val="24"/>
          <w:szCs w:val="24"/>
          <w:lang w:eastAsia="pl-PL"/>
        </w:rPr>
        <w:t> </w:t>
      </w:r>
      <w:r w:rsidRPr="00B25A10">
        <w:rPr>
          <w:rFonts w:ascii="Times New Roman" w:eastAsia="Times New Roman" w:hAnsi="Times New Roman" w:cs="Times New Roman"/>
          <w:bCs/>
          <w:sz w:val="24"/>
          <w:szCs w:val="24"/>
          <w:lang w:eastAsia="pl-PL"/>
        </w:rPr>
        <w:t>90 ust. 1b pkt 2).</w:t>
      </w:r>
    </w:p>
    <w:p w14:paraId="0F77E978" w14:textId="20C64809" w:rsidR="00712E99" w:rsidRPr="00B25A10" w:rsidRDefault="00712E99"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Powyższa nowelizacja doprowadzi do sytuacji, w której to naczelnik urzędu celno-skarbowego, a nie tak</w:t>
      </w:r>
      <w:r w:rsidR="002B04B6">
        <w:rPr>
          <w:rFonts w:ascii="Times New Roman" w:eastAsia="Times New Roman" w:hAnsi="Times New Roman" w:cs="Times New Roman"/>
          <w:bCs/>
          <w:sz w:val="24"/>
          <w:szCs w:val="24"/>
          <w:lang w:eastAsia="pl-PL"/>
        </w:rPr>
        <w:t>,</w:t>
      </w:r>
      <w:r w:rsidRPr="00B25A10">
        <w:rPr>
          <w:rFonts w:ascii="Times New Roman" w:eastAsia="Times New Roman" w:hAnsi="Times New Roman" w:cs="Times New Roman"/>
          <w:bCs/>
          <w:sz w:val="24"/>
          <w:szCs w:val="24"/>
          <w:lang w:eastAsia="pl-PL"/>
        </w:rPr>
        <w:t xml:space="preserve"> jak przewidują aktualnie obowiązujące przepisy</w:t>
      </w:r>
      <w:r w:rsidR="002B04B6">
        <w:rPr>
          <w:rFonts w:ascii="Times New Roman" w:eastAsia="Times New Roman" w:hAnsi="Times New Roman" w:cs="Times New Roman"/>
          <w:bCs/>
          <w:sz w:val="24"/>
          <w:szCs w:val="24"/>
          <w:lang w:eastAsia="pl-PL"/>
        </w:rPr>
        <w:t>,</w:t>
      </w:r>
      <w:r w:rsidRPr="00B25A10">
        <w:rPr>
          <w:rFonts w:ascii="Times New Roman" w:eastAsia="Times New Roman" w:hAnsi="Times New Roman" w:cs="Times New Roman"/>
          <w:bCs/>
          <w:sz w:val="24"/>
          <w:szCs w:val="24"/>
          <w:lang w:eastAsia="pl-PL"/>
        </w:rPr>
        <w:t xml:space="preserve"> minister właściwy do spraw finansów publicznych, będzie nakładał karę pieniężną na przedsiębiorców telekomunikacyjnych oraz dostawców usług płatniczych, którzy nie przestrzegają przepisów ustawy </w:t>
      </w:r>
      <w:r w:rsidR="005677C5" w:rsidRPr="00B25A10">
        <w:rPr>
          <w:rFonts w:ascii="Times New Roman" w:eastAsia="Times New Roman" w:hAnsi="Times New Roman" w:cs="Times New Roman"/>
          <w:bCs/>
          <w:sz w:val="24"/>
          <w:szCs w:val="24"/>
          <w:lang w:eastAsia="pl-PL"/>
        </w:rPr>
        <w:t xml:space="preserve">z dnia 19 listopada 2009 r. </w:t>
      </w:r>
      <w:r w:rsidRPr="00B25A10">
        <w:rPr>
          <w:rFonts w:ascii="Times New Roman" w:eastAsia="Times New Roman" w:hAnsi="Times New Roman" w:cs="Times New Roman"/>
          <w:bCs/>
          <w:sz w:val="24"/>
          <w:szCs w:val="24"/>
          <w:lang w:eastAsia="pl-PL"/>
        </w:rPr>
        <w:t>o grach hazardowych.</w:t>
      </w:r>
    </w:p>
    <w:p w14:paraId="06446B73" w14:textId="77777777" w:rsidR="00712E99" w:rsidRPr="00B25A10" w:rsidRDefault="00712E99"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 xml:space="preserve">Proponowana nowelizacja jest bezpośrednio powiązana z projektem nowelizacji art. 15f ust. 6 ustawy </w:t>
      </w:r>
      <w:r w:rsidR="005677C5" w:rsidRPr="00B25A10">
        <w:rPr>
          <w:rFonts w:ascii="Times New Roman" w:eastAsia="Times New Roman" w:hAnsi="Times New Roman" w:cs="Times New Roman"/>
          <w:bCs/>
          <w:sz w:val="24"/>
          <w:szCs w:val="24"/>
          <w:lang w:eastAsia="pl-PL"/>
        </w:rPr>
        <w:t xml:space="preserve">z dnia 19 listopada 2009 r. </w:t>
      </w:r>
      <w:r w:rsidRPr="00B25A10">
        <w:rPr>
          <w:rFonts w:ascii="Times New Roman" w:eastAsia="Times New Roman" w:hAnsi="Times New Roman" w:cs="Times New Roman"/>
          <w:bCs/>
          <w:sz w:val="24"/>
          <w:szCs w:val="24"/>
          <w:lang w:eastAsia="pl-PL"/>
        </w:rPr>
        <w:t xml:space="preserve">o grach hazardowych, która umożliwi ministrowi właściwemu do spraw finansów publicznych wyznaczenie dyrektora izby administracji skarbowej, który mógłby zatwierdzać wpis do </w:t>
      </w:r>
      <w:r w:rsidR="005677C5" w:rsidRPr="00B25A10">
        <w:rPr>
          <w:rFonts w:ascii="Times New Roman" w:eastAsia="Times New Roman" w:hAnsi="Times New Roman" w:cs="Times New Roman"/>
          <w:bCs/>
          <w:sz w:val="24"/>
          <w:szCs w:val="24"/>
          <w:lang w:eastAsia="pl-PL"/>
        </w:rPr>
        <w:t>r</w:t>
      </w:r>
      <w:r w:rsidRPr="00B25A10">
        <w:rPr>
          <w:rFonts w:ascii="Times New Roman" w:eastAsia="Times New Roman" w:hAnsi="Times New Roman" w:cs="Times New Roman"/>
          <w:bCs/>
          <w:sz w:val="24"/>
          <w:szCs w:val="24"/>
          <w:lang w:eastAsia="pl-PL"/>
        </w:rPr>
        <w:t xml:space="preserve">ejestru domen służących do oferowania gier hazardowych niezgodnie z ustawą, jego zmianę lub wykreślenie. </w:t>
      </w:r>
    </w:p>
    <w:p w14:paraId="09DADFDD" w14:textId="77777777" w:rsidR="00712E99" w:rsidRPr="00B25A10" w:rsidRDefault="00712E99"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 xml:space="preserve">Celem powyższych zmian jest optymalizacja procedur i czynności podejmowanych w związku z funkcjonowaniem </w:t>
      </w:r>
      <w:r w:rsidR="005677C5" w:rsidRPr="00B25A10">
        <w:rPr>
          <w:rFonts w:ascii="Times New Roman" w:eastAsia="Times New Roman" w:hAnsi="Times New Roman" w:cs="Times New Roman"/>
          <w:bCs/>
          <w:sz w:val="24"/>
          <w:szCs w:val="24"/>
          <w:lang w:eastAsia="pl-PL"/>
        </w:rPr>
        <w:t>r</w:t>
      </w:r>
      <w:r w:rsidRPr="00B25A10">
        <w:rPr>
          <w:rFonts w:ascii="Times New Roman" w:eastAsia="Times New Roman" w:hAnsi="Times New Roman" w:cs="Times New Roman"/>
          <w:bCs/>
          <w:sz w:val="24"/>
          <w:szCs w:val="24"/>
          <w:lang w:eastAsia="pl-PL"/>
        </w:rPr>
        <w:t xml:space="preserve">ejestru. Koncepcja przeniesienia ciężaru załatwienia sprawy ze szczebla centralnego na niższy poziom wpłynie pozytywnie na tempo działania organów, </w:t>
      </w:r>
      <w:r w:rsidRPr="00B25A10">
        <w:rPr>
          <w:rFonts w:ascii="Times New Roman" w:eastAsia="Times New Roman" w:hAnsi="Times New Roman" w:cs="Times New Roman"/>
          <w:bCs/>
          <w:sz w:val="24"/>
          <w:szCs w:val="24"/>
          <w:lang w:eastAsia="pl-PL"/>
        </w:rPr>
        <w:lastRenderedPageBreak/>
        <w:t xml:space="preserve">usprawni mechanizmy ukierunkowane na zwalczanie urządzania gier hazardowych w sieci Internet w sposób nielegalny, a jednocześnie umożliwi zachowanie wysokiego standardu pracy. </w:t>
      </w:r>
    </w:p>
    <w:p w14:paraId="2CCAE6E5" w14:textId="77777777" w:rsidR="00712E99" w:rsidRPr="00B25A10" w:rsidRDefault="00712E99"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Należy zauważyć, że monitorowanie sieci Internet, identyfikowanie naruszeń przepisów ustawy o grach hazardowych i zabezpieczanie materiału dowodowego na potrzeby wpisu do </w:t>
      </w:r>
      <w:r w:rsidR="005677C5" w:rsidRPr="00B25A10">
        <w:rPr>
          <w:rFonts w:ascii="Times New Roman" w:eastAsia="Times New Roman" w:hAnsi="Times New Roman" w:cs="Times New Roman"/>
          <w:bCs/>
          <w:sz w:val="24"/>
          <w:szCs w:val="24"/>
          <w:lang w:eastAsia="pl-PL"/>
        </w:rPr>
        <w:t>r</w:t>
      </w:r>
      <w:r w:rsidRPr="00B25A10">
        <w:rPr>
          <w:rFonts w:ascii="Times New Roman" w:eastAsia="Times New Roman" w:hAnsi="Times New Roman" w:cs="Times New Roman"/>
          <w:bCs/>
          <w:sz w:val="24"/>
          <w:szCs w:val="24"/>
          <w:lang w:eastAsia="pl-PL"/>
        </w:rPr>
        <w:t>ejestru należy aktualnie do zadań Naczelnika Opolskiego Urzędu Celno-Skarbowego.</w:t>
      </w:r>
    </w:p>
    <w:p w14:paraId="7F08AF36" w14:textId="29D1B939" w:rsidR="00712E99" w:rsidRPr="00B25A10" w:rsidRDefault="00712E99"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Biorąc pod uwagę powyższe, za racjonalne należy uznać wskazanie naczelnika urzędu celno</w:t>
      </w:r>
      <w:r w:rsidR="002B04B6">
        <w:rPr>
          <w:rFonts w:ascii="Times New Roman" w:eastAsia="Times New Roman" w:hAnsi="Times New Roman" w:cs="Times New Roman"/>
          <w:bCs/>
          <w:sz w:val="24"/>
          <w:szCs w:val="24"/>
          <w:lang w:eastAsia="pl-PL"/>
        </w:rPr>
        <w:noBreakHyphen/>
      </w:r>
      <w:r w:rsidRPr="00B25A10">
        <w:rPr>
          <w:rFonts w:ascii="Times New Roman" w:eastAsia="Times New Roman" w:hAnsi="Times New Roman" w:cs="Times New Roman"/>
          <w:bCs/>
          <w:sz w:val="24"/>
          <w:szCs w:val="24"/>
          <w:lang w:eastAsia="pl-PL"/>
        </w:rPr>
        <w:t xml:space="preserve">skarbowego jako organu nakładającego karę w przypadkach, a o których mowa w art. 89 ust. 1 pkt 5 i 7 ustawy </w:t>
      </w:r>
      <w:r w:rsidR="004E5A1F" w:rsidRPr="00B25A10">
        <w:rPr>
          <w:rFonts w:ascii="Times New Roman" w:eastAsia="Times New Roman" w:hAnsi="Times New Roman" w:cs="Times New Roman"/>
          <w:bCs/>
          <w:sz w:val="24"/>
          <w:szCs w:val="24"/>
          <w:lang w:eastAsia="pl-PL"/>
        </w:rPr>
        <w:t xml:space="preserve">z dnia 19 listopada 2009 r. </w:t>
      </w:r>
      <w:r w:rsidRPr="00B25A10">
        <w:rPr>
          <w:rFonts w:ascii="Times New Roman" w:eastAsia="Times New Roman" w:hAnsi="Times New Roman" w:cs="Times New Roman"/>
          <w:bCs/>
          <w:sz w:val="24"/>
          <w:szCs w:val="24"/>
          <w:lang w:eastAsia="pl-PL"/>
        </w:rPr>
        <w:t xml:space="preserve">o grach hazardowych. </w:t>
      </w:r>
    </w:p>
    <w:p w14:paraId="0B36AA86" w14:textId="77777777" w:rsidR="004E5A1F" w:rsidRPr="00B25A10" w:rsidRDefault="004E5A1F"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Konsekwencją zmiany w art. 90 jest zmiana art. 90a</w:t>
      </w:r>
      <w:r w:rsidR="00936AE9" w:rsidRPr="00B25A10">
        <w:rPr>
          <w:rFonts w:ascii="Times New Roman" w:eastAsia="Times New Roman" w:hAnsi="Times New Roman" w:cs="Times New Roman"/>
          <w:bCs/>
          <w:sz w:val="24"/>
          <w:szCs w:val="24"/>
          <w:lang w:eastAsia="pl-PL"/>
        </w:rPr>
        <w:t xml:space="preserve">. W </w:t>
      </w:r>
      <w:r w:rsidRPr="00B25A10">
        <w:rPr>
          <w:rFonts w:ascii="Times New Roman" w:eastAsia="Times New Roman" w:hAnsi="Times New Roman" w:cs="Times New Roman"/>
          <w:bCs/>
          <w:sz w:val="24"/>
          <w:szCs w:val="24"/>
          <w:lang w:eastAsia="pl-PL"/>
        </w:rPr>
        <w:t>obu przypadkach określonych w art. 90 ustawy, organem nakładającym karę pieniężną będzie naczelnik urzędu celno-skarbowego, dla którego organem odwoławczym jest dyrektor izby administracji skarbowej.</w:t>
      </w:r>
      <w:r w:rsidR="00936AE9" w:rsidRPr="00B25A10">
        <w:rPr>
          <w:rFonts w:ascii="Times New Roman" w:eastAsia="Times New Roman" w:hAnsi="Times New Roman" w:cs="Times New Roman"/>
          <w:bCs/>
          <w:sz w:val="24"/>
          <w:szCs w:val="24"/>
          <w:lang w:eastAsia="pl-PL"/>
        </w:rPr>
        <w:t xml:space="preserve"> </w:t>
      </w:r>
    </w:p>
    <w:p w14:paraId="4B388C8E" w14:textId="77777777" w:rsidR="001D3DAC" w:rsidRPr="00B25A10" w:rsidRDefault="001D3DAC" w:rsidP="002B04B6">
      <w:pPr>
        <w:spacing w:before="360"/>
        <w:jc w:val="both"/>
        <w:rPr>
          <w:rFonts w:ascii="Times New Roman" w:eastAsia="Times New Roman" w:hAnsi="Times New Roman" w:cs="Times New Roman"/>
          <w:b/>
          <w:bCs/>
          <w:sz w:val="24"/>
          <w:szCs w:val="24"/>
          <w:u w:val="single"/>
          <w:lang w:eastAsia="pl-PL"/>
        </w:rPr>
      </w:pPr>
      <w:r w:rsidRPr="00B25A10">
        <w:rPr>
          <w:rFonts w:ascii="Times New Roman" w:eastAsia="Times New Roman" w:hAnsi="Times New Roman" w:cs="Times New Roman"/>
          <w:b/>
          <w:bCs/>
          <w:sz w:val="24"/>
          <w:szCs w:val="24"/>
          <w:u w:val="single"/>
          <w:lang w:eastAsia="pl-PL"/>
        </w:rPr>
        <w:t xml:space="preserve">Zmiana ustawy </w:t>
      </w:r>
      <w:r w:rsidR="00DF10EA" w:rsidRPr="00B25A10">
        <w:rPr>
          <w:rFonts w:ascii="Times New Roman" w:eastAsia="Times New Roman" w:hAnsi="Times New Roman" w:cs="Times New Roman"/>
          <w:b/>
          <w:bCs/>
          <w:sz w:val="24"/>
          <w:szCs w:val="24"/>
          <w:u w:val="single"/>
          <w:lang w:eastAsia="pl-PL"/>
        </w:rPr>
        <w:t xml:space="preserve">z dnia 16 listopada 2016 r. </w:t>
      </w:r>
      <w:r w:rsidRPr="00B25A10">
        <w:rPr>
          <w:rFonts w:ascii="Times New Roman" w:eastAsia="Times New Roman" w:hAnsi="Times New Roman" w:cs="Times New Roman"/>
          <w:b/>
          <w:bCs/>
          <w:sz w:val="24"/>
          <w:szCs w:val="24"/>
          <w:u w:val="single"/>
          <w:lang w:eastAsia="pl-PL"/>
        </w:rPr>
        <w:t>o Krajowej Administracji Skarbowej</w:t>
      </w:r>
    </w:p>
    <w:p w14:paraId="5374EE10" w14:textId="6DBB8144" w:rsidR="001D3DAC" w:rsidRPr="00B25A10" w:rsidRDefault="001D3DAC"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Zmiany wprowadzane w art. 82</w:t>
      </w:r>
      <w:r w:rsidR="003A7A19" w:rsidRPr="00B25A10">
        <w:rPr>
          <w:rFonts w:ascii="Times New Roman" w:eastAsia="Times New Roman" w:hAnsi="Times New Roman" w:cs="Times New Roman"/>
          <w:bCs/>
          <w:sz w:val="24"/>
          <w:szCs w:val="24"/>
          <w:lang w:eastAsia="pl-PL"/>
        </w:rPr>
        <w:t xml:space="preserve"> i</w:t>
      </w:r>
      <w:r w:rsidRPr="00B25A10">
        <w:rPr>
          <w:rFonts w:ascii="Times New Roman" w:eastAsia="Times New Roman" w:hAnsi="Times New Roman" w:cs="Times New Roman"/>
          <w:bCs/>
          <w:sz w:val="24"/>
          <w:szCs w:val="24"/>
          <w:lang w:eastAsia="pl-PL"/>
        </w:rPr>
        <w:t xml:space="preserve"> art. 84 ustawy z dnia 16 listopada 2016 r. o Krajowej Administracji Skarbowej mają na celu ujednolicenie trybu prowadzenia kontroli celno</w:t>
      </w:r>
      <w:r w:rsidR="002B04B6">
        <w:rPr>
          <w:rFonts w:ascii="Times New Roman" w:eastAsia="Times New Roman" w:hAnsi="Times New Roman" w:cs="Times New Roman"/>
          <w:bCs/>
          <w:sz w:val="24"/>
          <w:szCs w:val="24"/>
          <w:lang w:eastAsia="pl-PL"/>
        </w:rPr>
        <w:noBreakHyphen/>
      </w:r>
      <w:r w:rsidRPr="00B25A10">
        <w:rPr>
          <w:rFonts w:ascii="Times New Roman" w:eastAsia="Times New Roman" w:hAnsi="Times New Roman" w:cs="Times New Roman"/>
          <w:bCs/>
          <w:sz w:val="24"/>
          <w:szCs w:val="24"/>
          <w:lang w:eastAsia="pl-PL"/>
        </w:rPr>
        <w:t xml:space="preserve">skarbowej w zakresie przestrzegania przepisów prawa celnego i prawa podatkowego w związku z przywozem lub wywozem towarów w obrocie między obszarem celnym Unii Europejskiej a państwami trzecimi, jeżeli </w:t>
      </w:r>
      <w:r w:rsidR="00DD5159" w:rsidRPr="00B25A10">
        <w:rPr>
          <w:rFonts w:ascii="Times New Roman" w:eastAsia="Times New Roman" w:hAnsi="Times New Roman" w:cs="Times New Roman"/>
          <w:bCs/>
          <w:sz w:val="24"/>
          <w:szCs w:val="24"/>
          <w:lang w:eastAsia="pl-PL"/>
        </w:rPr>
        <w:t xml:space="preserve">upoważnienie do </w:t>
      </w:r>
      <w:r w:rsidRPr="00B25A10">
        <w:rPr>
          <w:rFonts w:ascii="Times New Roman" w:eastAsia="Times New Roman" w:hAnsi="Times New Roman" w:cs="Times New Roman"/>
          <w:bCs/>
          <w:sz w:val="24"/>
          <w:szCs w:val="24"/>
          <w:lang w:eastAsia="pl-PL"/>
        </w:rPr>
        <w:t xml:space="preserve">kontroli celno-skarbowej nie </w:t>
      </w:r>
      <w:r w:rsidR="00DD5159" w:rsidRPr="00B25A10">
        <w:rPr>
          <w:rFonts w:ascii="Times New Roman" w:eastAsia="Times New Roman" w:hAnsi="Times New Roman" w:cs="Times New Roman"/>
          <w:bCs/>
          <w:sz w:val="24"/>
          <w:szCs w:val="24"/>
          <w:lang w:eastAsia="pl-PL"/>
        </w:rPr>
        <w:t xml:space="preserve">będzie </w:t>
      </w:r>
      <w:r w:rsidRPr="00B25A10">
        <w:rPr>
          <w:rFonts w:ascii="Times New Roman" w:eastAsia="Times New Roman" w:hAnsi="Times New Roman" w:cs="Times New Roman"/>
          <w:bCs/>
          <w:sz w:val="24"/>
          <w:szCs w:val="24"/>
          <w:lang w:eastAsia="pl-PL"/>
        </w:rPr>
        <w:t>obejm</w:t>
      </w:r>
      <w:r w:rsidR="00DD5159" w:rsidRPr="00B25A10">
        <w:rPr>
          <w:rFonts w:ascii="Times New Roman" w:eastAsia="Times New Roman" w:hAnsi="Times New Roman" w:cs="Times New Roman"/>
          <w:bCs/>
          <w:sz w:val="24"/>
          <w:szCs w:val="24"/>
          <w:lang w:eastAsia="pl-PL"/>
        </w:rPr>
        <w:t>ować</w:t>
      </w:r>
      <w:r w:rsidRPr="00B25A10">
        <w:rPr>
          <w:rFonts w:ascii="Times New Roman" w:eastAsia="Times New Roman" w:hAnsi="Times New Roman" w:cs="Times New Roman"/>
          <w:bCs/>
          <w:sz w:val="24"/>
          <w:szCs w:val="24"/>
          <w:lang w:eastAsia="pl-PL"/>
        </w:rPr>
        <w:t xml:space="preserve"> innych przepisów prawa podatkowego. Wprowadzenie ww. przepisów pozwoli na objęcie </w:t>
      </w:r>
      <w:r w:rsidR="00DD5159" w:rsidRPr="00B25A10">
        <w:rPr>
          <w:rFonts w:ascii="Times New Roman" w:eastAsia="Times New Roman" w:hAnsi="Times New Roman" w:cs="Times New Roman"/>
          <w:bCs/>
          <w:sz w:val="24"/>
          <w:szCs w:val="24"/>
          <w:lang w:eastAsia="pl-PL"/>
        </w:rPr>
        <w:t xml:space="preserve">jednym upoważnieniem do kontroli celno-skarbowej </w:t>
      </w:r>
      <w:r w:rsidRPr="00B25A10">
        <w:rPr>
          <w:rFonts w:ascii="Times New Roman" w:eastAsia="Times New Roman" w:hAnsi="Times New Roman" w:cs="Times New Roman"/>
          <w:bCs/>
          <w:sz w:val="24"/>
          <w:szCs w:val="24"/>
          <w:lang w:eastAsia="pl-PL"/>
        </w:rPr>
        <w:t xml:space="preserve"> </w:t>
      </w:r>
      <w:r w:rsidR="00DD5159" w:rsidRPr="00B25A10">
        <w:rPr>
          <w:rFonts w:ascii="Times New Roman" w:eastAsia="Times New Roman" w:hAnsi="Times New Roman" w:cs="Times New Roman"/>
          <w:bCs/>
          <w:sz w:val="24"/>
          <w:szCs w:val="24"/>
          <w:lang w:eastAsia="pl-PL"/>
        </w:rPr>
        <w:t xml:space="preserve">weryfikacji </w:t>
      </w:r>
      <w:r w:rsidRPr="00B25A10">
        <w:rPr>
          <w:rFonts w:ascii="Times New Roman" w:eastAsia="Times New Roman" w:hAnsi="Times New Roman" w:cs="Times New Roman"/>
          <w:bCs/>
          <w:sz w:val="24"/>
          <w:szCs w:val="24"/>
          <w:lang w:eastAsia="pl-PL"/>
        </w:rPr>
        <w:t>należności celnych oraz należności podatkowych</w:t>
      </w:r>
      <w:r w:rsidR="00DD5159" w:rsidRPr="00B25A10">
        <w:rPr>
          <w:rFonts w:ascii="Times New Roman" w:eastAsia="Times New Roman" w:hAnsi="Times New Roman" w:cs="Times New Roman"/>
          <w:bCs/>
          <w:sz w:val="24"/>
          <w:szCs w:val="24"/>
          <w:lang w:eastAsia="pl-PL"/>
        </w:rPr>
        <w:t xml:space="preserve"> z tytułu i</w:t>
      </w:r>
      <w:r w:rsidR="004F5808" w:rsidRPr="00B25A10">
        <w:rPr>
          <w:rFonts w:ascii="Times New Roman" w:eastAsia="Times New Roman" w:hAnsi="Times New Roman" w:cs="Times New Roman"/>
          <w:bCs/>
          <w:sz w:val="24"/>
          <w:szCs w:val="24"/>
          <w:lang w:eastAsia="pl-PL"/>
        </w:rPr>
        <w:t>m</w:t>
      </w:r>
      <w:r w:rsidR="00DD5159" w:rsidRPr="00B25A10">
        <w:rPr>
          <w:rFonts w:ascii="Times New Roman" w:eastAsia="Times New Roman" w:hAnsi="Times New Roman" w:cs="Times New Roman"/>
          <w:bCs/>
          <w:sz w:val="24"/>
          <w:szCs w:val="24"/>
          <w:lang w:eastAsia="pl-PL"/>
        </w:rPr>
        <w:t>portu</w:t>
      </w:r>
      <w:r w:rsidRPr="00B25A10">
        <w:rPr>
          <w:rFonts w:ascii="Times New Roman" w:eastAsia="Times New Roman" w:hAnsi="Times New Roman" w:cs="Times New Roman"/>
          <w:bCs/>
          <w:sz w:val="24"/>
          <w:szCs w:val="24"/>
          <w:lang w:eastAsia="pl-PL"/>
        </w:rPr>
        <w:t>. Zmiana ta ma na celu usprawnienie oraz przyśpieszenie procesu kontroli oraz przyczyni się do ujednolicenia trybu prowadzenia kontroli celno-skarbowej w ww. zakresie.</w:t>
      </w:r>
    </w:p>
    <w:p w14:paraId="47DDCAC8" w14:textId="73E0D12F" w:rsidR="00BC0C31" w:rsidRPr="00B25A10" w:rsidRDefault="001D3DAC"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 xml:space="preserve">W obecnym stanie prawnym kontrola celno-skarbowa w zakresie przepisów prawa celnego kończy się protokołem, a następnie następuje wszczęcie postępowania podatkowego i wydanie decyzji wymiarowych w podatku akcyzowym i podatku od towarów i usług w związku z przywozem towarów w obrocie między obszarem celnym Unii Europejskiej a państwami trzecimi. W zależności, w jakim zakresie (wynikającym z upoważnienia) naczelnik urzędu celno-skarbowego będzie prowadził kontrolę celno-skarbową, czy tylko w zakresie należności przywozowych czy w zakresie zbadania okresu rozliczeniowego, kontrola celno-skarbowa powinna się kończyć albo protokołem albo wynikiem kontroli. Mając na </w:t>
      </w:r>
      <w:r w:rsidRPr="00B25A10">
        <w:rPr>
          <w:rFonts w:ascii="Times New Roman" w:eastAsia="Times New Roman" w:hAnsi="Times New Roman" w:cs="Times New Roman"/>
          <w:bCs/>
          <w:sz w:val="24"/>
          <w:szCs w:val="24"/>
          <w:lang w:eastAsia="pl-PL"/>
        </w:rPr>
        <w:lastRenderedPageBreak/>
        <w:t xml:space="preserve">uwadze, że w przypadku gdy kontrola będzie dotyczyć należności przywozowych, w następstwie tej kontroli powinno być prowadzone jedno postępowanie i zostanie wydana jedna decyzja. Z tego względu taka kontrola celno-skarbowa powinna zakończyć się protokołem. W przypadku gdy kontrola obejmuje rozliczenie podatku za cały okres, kontrola powinna kończyć się wynikiem kontroli, a następnie przekształcić się w postępowanie podatkowe. </w:t>
      </w:r>
    </w:p>
    <w:p w14:paraId="22B934DF" w14:textId="0E06562B" w:rsidR="00D514F8" w:rsidRPr="00B25A10" w:rsidRDefault="00D514F8" w:rsidP="002B04B6">
      <w:pPr>
        <w:spacing w:before="360"/>
        <w:jc w:val="both"/>
        <w:rPr>
          <w:rFonts w:ascii="Times New Roman" w:eastAsia="Times New Roman" w:hAnsi="Times New Roman" w:cs="Times New Roman"/>
          <w:b/>
          <w:bCs/>
          <w:sz w:val="24"/>
          <w:szCs w:val="24"/>
          <w:u w:val="single"/>
          <w:lang w:eastAsia="pl-PL"/>
        </w:rPr>
      </w:pPr>
      <w:r w:rsidRPr="00B25A10">
        <w:rPr>
          <w:rFonts w:ascii="Times New Roman" w:eastAsia="Times New Roman" w:hAnsi="Times New Roman" w:cs="Times New Roman"/>
          <w:b/>
          <w:bCs/>
          <w:sz w:val="24"/>
          <w:szCs w:val="24"/>
          <w:u w:val="single"/>
          <w:lang w:eastAsia="pl-PL"/>
        </w:rPr>
        <w:t>Zmiana ustawy z dnia 16 maja 2019 r. o Funduszu rozwoju przewozów autobusowych o</w:t>
      </w:r>
      <w:r w:rsidR="002B04B6">
        <w:rPr>
          <w:rFonts w:ascii="Times New Roman" w:eastAsia="Times New Roman" w:hAnsi="Times New Roman" w:cs="Times New Roman"/>
          <w:b/>
          <w:bCs/>
          <w:sz w:val="24"/>
          <w:szCs w:val="24"/>
          <w:u w:val="single"/>
          <w:lang w:eastAsia="pl-PL"/>
        </w:rPr>
        <w:t> </w:t>
      </w:r>
      <w:r w:rsidRPr="00B25A10">
        <w:rPr>
          <w:rFonts w:ascii="Times New Roman" w:eastAsia="Times New Roman" w:hAnsi="Times New Roman" w:cs="Times New Roman"/>
          <w:b/>
          <w:bCs/>
          <w:sz w:val="24"/>
          <w:szCs w:val="24"/>
          <w:u w:val="single"/>
          <w:lang w:eastAsia="pl-PL"/>
        </w:rPr>
        <w:t>charakterze użyteczności publicznej</w:t>
      </w:r>
    </w:p>
    <w:p w14:paraId="362E1D2A" w14:textId="77777777" w:rsidR="00D514F8" w:rsidRPr="00B25A10" w:rsidRDefault="00D514F8"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W związku z dokonaną zmianą brzmienia art. 37o ust. 2 ustawy o autostradach płatnych oraz o Krajowym Funduszu Drogowym konieczne jest dokonanie zmiany art. 31 pkt 3 ustawy o Funduszu rozwoju przewozów autobusowych o charakterze użyteczności publicznej</w:t>
      </w:r>
      <w:r w:rsidR="000B23E3" w:rsidRPr="00B25A10">
        <w:rPr>
          <w:rFonts w:ascii="Times New Roman" w:eastAsia="Times New Roman" w:hAnsi="Times New Roman" w:cs="Times New Roman"/>
          <w:bCs/>
          <w:sz w:val="24"/>
          <w:szCs w:val="24"/>
          <w:lang w:eastAsia="pl-PL"/>
        </w:rPr>
        <w:t>.</w:t>
      </w:r>
      <w:r w:rsidRPr="00B25A10">
        <w:rPr>
          <w:rFonts w:ascii="Times New Roman" w:eastAsia="Times New Roman" w:hAnsi="Times New Roman" w:cs="Times New Roman"/>
          <w:bCs/>
          <w:sz w:val="24"/>
          <w:szCs w:val="24"/>
          <w:lang w:eastAsia="pl-PL"/>
        </w:rPr>
        <w:t xml:space="preserve">, </w:t>
      </w:r>
    </w:p>
    <w:p w14:paraId="2221990B" w14:textId="77777777" w:rsidR="004F5808" w:rsidRPr="00B25A10" w:rsidRDefault="004F5808"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Niezbędne jest także dokonanie zmiany brzmienia wprowadzanego obecnie art. 37oa ust. 2 ustawy o autostradach płatnych oraz o Krajowym Funduszu Drogowym</w:t>
      </w:r>
      <w:r w:rsidR="00501C5F" w:rsidRPr="00B25A10">
        <w:rPr>
          <w:rFonts w:ascii="Times New Roman" w:eastAsia="Times New Roman" w:hAnsi="Times New Roman" w:cs="Times New Roman"/>
          <w:bCs/>
          <w:sz w:val="24"/>
          <w:szCs w:val="24"/>
          <w:lang w:eastAsia="pl-PL"/>
        </w:rPr>
        <w:t xml:space="preserve">, które ulegnie rozszerzeniu o zwrot opłaty paliwowej dokonywany także ze środków Funduszu rozwoju przewozów autobusowych o charakterze użyteczności publicznej. </w:t>
      </w:r>
    </w:p>
    <w:p w14:paraId="7DF90B17" w14:textId="4D5B0B6F" w:rsidR="00D514F8" w:rsidRPr="00B25A10" w:rsidRDefault="00D514F8"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Zmiana art. 31 pkt 4 ustawy o Funduszu rozwoju przewozów autobusowych o charakterze użyteczności publicznej wynika z uregulowania w ustawie o autostradach płatnych oraz o Krajowym Funduszu Drogowym zwrotu opłaty paliwowej. Wobec czego w art. 31 pkt 4, przewidującym zmianę od 1 stycznia 2022 r. art. 37p ust. 2</w:t>
      </w:r>
      <w:r w:rsidR="002B04B6">
        <w:rPr>
          <w:rFonts w:ascii="Times New Roman" w:eastAsia="Times New Roman" w:hAnsi="Times New Roman" w:cs="Times New Roman"/>
          <w:bCs/>
          <w:sz w:val="24"/>
          <w:szCs w:val="24"/>
          <w:lang w:eastAsia="pl-PL"/>
        </w:rPr>
        <w:t>,</w:t>
      </w:r>
      <w:r w:rsidRPr="00B25A10">
        <w:rPr>
          <w:rFonts w:ascii="Times New Roman" w:eastAsia="Times New Roman" w:hAnsi="Times New Roman" w:cs="Times New Roman"/>
          <w:bCs/>
          <w:sz w:val="24"/>
          <w:szCs w:val="24"/>
          <w:lang w:eastAsia="pl-PL"/>
        </w:rPr>
        <w:t xml:space="preserve"> dokonano zmiany polegającej na dodaniu przypadku zwrotu opłaty paliwowej</w:t>
      </w:r>
      <w:r w:rsidR="00C21F75" w:rsidRPr="00B25A10">
        <w:rPr>
          <w:rFonts w:ascii="Times New Roman" w:eastAsia="Times New Roman" w:hAnsi="Times New Roman" w:cs="Times New Roman"/>
          <w:bCs/>
          <w:sz w:val="24"/>
          <w:szCs w:val="24"/>
          <w:lang w:eastAsia="pl-PL"/>
        </w:rPr>
        <w:t xml:space="preserve"> oraz zwrotu nadpłaty tej opłaty</w:t>
      </w:r>
      <w:r w:rsidRPr="00B25A10">
        <w:rPr>
          <w:rFonts w:ascii="Times New Roman" w:eastAsia="Times New Roman" w:hAnsi="Times New Roman" w:cs="Times New Roman"/>
          <w:bCs/>
          <w:sz w:val="24"/>
          <w:szCs w:val="24"/>
          <w:lang w:eastAsia="pl-PL"/>
        </w:rPr>
        <w:t>. Tym samym  Bank Gospodarstwa Krajowego będzie przekazywał środki z opłaty paliwowej w terminie 7 dniu od dnia wpływu na rachunek Krajowego Funduszu Drogowego, Funduszu Kolejowego i Funduszu rozwoju przewozów autobusowych o charakterze użyteczności publicznej, chyba że zachodzi przypadek zwrotu opłaty paliwowej</w:t>
      </w:r>
      <w:r w:rsidR="00C21F75" w:rsidRPr="00B25A10">
        <w:rPr>
          <w:rFonts w:ascii="Times New Roman" w:eastAsia="Times New Roman" w:hAnsi="Times New Roman" w:cs="Times New Roman"/>
          <w:bCs/>
          <w:sz w:val="24"/>
          <w:szCs w:val="24"/>
          <w:lang w:eastAsia="pl-PL"/>
        </w:rPr>
        <w:t xml:space="preserve"> lub zwrotu nadpłaty tej opłaty</w:t>
      </w:r>
      <w:r w:rsidRPr="00B25A10">
        <w:rPr>
          <w:rFonts w:ascii="Times New Roman" w:eastAsia="Times New Roman" w:hAnsi="Times New Roman" w:cs="Times New Roman"/>
          <w:bCs/>
          <w:sz w:val="24"/>
          <w:szCs w:val="24"/>
          <w:lang w:eastAsia="pl-PL"/>
        </w:rPr>
        <w:t>.</w:t>
      </w:r>
    </w:p>
    <w:p w14:paraId="562B783A" w14:textId="77777777" w:rsidR="000B23E3" w:rsidRPr="00B25A10" w:rsidRDefault="000B23E3" w:rsidP="002B0551">
      <w:pPr>
        <w:spacing w:before="120" w:after="0" w:line="360" w:lineRule="auto"/>
        <w:jc w:val="both"/>
        <w:rPr>
          <w:rFonts w:ascii="Times New Roman" w:eastAsia="Times New Roman" w:hAnsi="Times New Roman" w:cs="Times New Roman"/>
          <w:bCs/>
          <w:sz w:val="24"/>
          <w:szCs w:val="24"/>
          <w:lang w:eastAsia="pl-PL"/>
        </w:rPr>
      </w:pPr>
      <w:r w:rsidRPr="00B25A10">
        <w:rPr>
          <w:rFonts w:ascii="Times New Roman" w:eastAsia="Times New Roman" w:hAnsi="Times New Roman" w:cs="Times New Roman"/>
          <w:bCs/>
          <w:sz w:val="24"/>
          <w:szCs w:val="24"/>
          <w:lang w:eastAsia="pl-PL"/>
        </w:rPr>
        <w:t xml:space="preserve">Projektowane zmiany w ustawie o Funduszu rozwoju przewozów autobusowych o charakterze użyteczności publicznej wejdą w życie z dniem 1 stycznia 2022 r. zgodnie z art. 54 tej ustawy. </w:t>
      </w:r>
    </w:p>
    <w:p w14:paraId="5CB0211C" w14:textId="77777777" w:rsidR="00712E99" w:rsidRPr="00B25A10" w:rsidRDefault="00712E99" w:rsidP="002B04B6">
      <w:pPr>
        <w:spacing w:before="360" w:after="120"/>
        <w:jc w:val="both"/>
        <w:rPr>
          <w:rFonts w:ascii="Times New Roman" w:hAnsi="Times New Roman" w:cs="Times New Roman"/>
          <w:b/>
          <w:sz w:val="24"/>
          <w:szCs w:val="24"/>
          <w:u w:val="single"/>
        </w:rPr>
      </w:pPr>
      <w:r w:rsidRPr="00B25A10">
        <w:rPr>
          <w:rFonts w:ascii="Times New Roman" w:hAnsi="Times New Roman" w:cs="Times New Roman"/>
          <w:b/>
          <w:sz w:val="24"/>
          <w:szCs w:val="24"/>
          <w:u w:val="single"/>
        </w:rPr>
        <w:t>Uzasadnienie do przepisów przejściowych</w:t>
      </w:r>
    </w:p>
    <w:p w14:paraId="6BF3196B" w14:textId="38D2735F" w:rsidR="00712E99" w:rsidRPr="00B25A10" w:rsidRDefault="00712E99" w:rsidP="00711391">
      <w:pPr>
        <w:spacing w:before="120" w:after="120"/>
        <w:jc w:val="both"/>
        <w:rPr>
          <w:rFonts w:ascii="Times New Roman" w:hAnsi="Times New Roman" w:cs="Times New Roman"/>
          <w:sz w:val="24"/>
          <w:szCs w:val="24"/>
        </w:rPr>
      </w:pPr>
      <w:r w:rsidRPr="00B25A10">
        <w:rPr>
          <w:rFonts w:ascii="Times New Roman" w:hAnsi="Times New Roman" w:cs="Times New Roman"/>
          <w:b/>
          <w:sz w:val="24"/>
          <w:szCs w:val="24"/>
        </w:rPr>
        <w:t xml:space="preserve">Art. </w:t>
      </w:r>
      <w:r w:rsidR="00903478" w:rsidRPr="00B25A10">
        <w:rPr>
          <w:rFonts w:ascii="Times New Roman" w:hAnsi="Times New Roman" w:cs="Times New Roman"/>
          <w:b/>
          <w:sz w:val="24"/>
          <w:szCs w:val="24"/>
        </w:rPr>
        <w:t>1</w:t>
      </w:r>
      <w:r w:rsidR="00501C5F" w:rsidRPr="00B25A10">
        <w:rPr>
          <w:rFonts w:ascii="Times New Roman" w:hAnsi="Times New Roman" w:cs="Times New Roman"/>
          <w:b/>
          <w:sz w:val="24"/>
          <w:szCs w:val="24"/>
        </w:rPr>
        <w:t>3</w:t>
      </w:r>
    </w:p>
    <w:p w14:paraId="68230D70" w14:textId="7CA0D960"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Zmiana przepisów art. 52 Prawa celnego, polegająca m.in. na przyjęciu rozwiązania, zgodnie z którym organem właściwym do prowadzenia postępowań w przedmiocie wpisu do wykazu </w:t>
      </w:r>
      <w:r w:rsidRPr="00B25A10">
        <w:rPr>
          <w:rFonts w:ascii="Times New Roman" w:hAnsi="Times New Roman" w:cs="Times New Roman"/>
          <w:sz w:val="24"/>
          <w:szCs w:val="24"/>
        </w:rPr>
        <w:lastRenderedPageBreak/>
        <w:t>gwarantów uprawnionych do udzielania gwarancji składanych jako zabezpieczenie pokrycia kwot wynikających z długów celnych, zmiany wpisu oraz skreślenia gwaranta z wykazu jest Szef Krajowej Administracji Skarbowej (dotychczas był to minister właściwy do spraw finansów publicznych)</w:t>
      </w:r>
      <w:r w:rsidR="00EE7045">
        <w:rPr>
          <w:rFonts w:ascii="Times New Roman" w:hAnsi="Times New Roman" w:cs="Times New Roman"/>
          <w:sz w:val="24"/>
          <w:szCs w:val="24"/>
        </w:rPr>
        <w:t>,</w:t>
      </w:r>
      <w:r w:rsidRPr="00B25A10">
        <w:rPr>
          <w:rFonts w:ascii="Times New Roman" w:hAnsi="Times New Roman" w:cs="Times New Roman"/>
          <w:sz w:val="24"/>
          <w:szCs w:val="24"/>
        </w:rPr>
        <w:t xml:space="preserve"> pociąga za sobą konieczność wprowadzenia regulacji przejściowych. Ponieważ nie zmieniają się warunki, które muszą być spełnione, aby zainteresowana osoba została wpisana do wykazu gwarantów, należało uznać, że wszystkie wpisy, ważne w dniu wejścia w życie ustawy zmieniającej Prawo celne, zachowują swoją ważność. Natomiast wydane przed wejściem w życie tej ustawy decyzje będą już zmienienie przez Szefa Krajowej Administracji Skarbowej. Ten organ będzie także właściwy do prowadzenia postępowań w zakresie określonym w art. 52 Prawa celnego, zainicjowanych przed </w:t>
      </w:r>
      <w:r w:rsidR="00EE7045">
        <w:rPr>
          <w:rFonts w:ascii="Times New Roman" w:hAnsi="Times New Roman" w:cs="Times New Roman"/>
          <w:sz w:val="24"/>
          <w:szCs w:val="24"/>
        </w:rPr>
        <w:t xml:space="preserve">dniem </w:t>
      </w:r>
      <w:r w:rsidRPr="00B25A10">
        <w:rPr>
          <w:rFonts w:ascii="Times New Roman" w:hAnsi="Times New Roman" w:cs="Times New Roman"/>
          <w:sz w:val="24"/>
          <w:szCs w:val="24"/>
        </w:rPr>
        <w:t>wejści</w:t>
      </w:r>
      <w:r w:rsidR="00EE7045">
        <w:rPr>
          <w:rFonts w:ascii="Times New Roman" w:hAnsi="Times New Roman" w:cs="Times New Roman"/>
          <w:sz w:val="24"/>
          <w:szCs w:val="24"/>
        </w:rPr>
        <w:t>a</w:t>
      </w:r>
      <w:r w:rsidRPr="00B25A10">
        <w:rPr>
          <w:rFonts w:ascii="Times New Roman" w:hAnsi="Times New Roman" w:cs="Times New Roman"/>
          <w:sz w:val="24"/>
          <w:szCs w:val="24"/>
        </w:rPr>
        <w:t xml:space="preserve"> w życie przedmiotowej ustawy, ale jeszcze niezakończonych. Mając na uwadze zasadę ciągłości i szybkości postępowania celnego</w:t>
      </w:r>
      <w:r w:rsidR="00EE7045">
        <w:rPr>
          <w:rFonts w:ascii="Times New Roman" w:hAnsi="Times New Roman" w:cs="Times New Roman"/>
          <w:sz w:val="24"/>
          <w:szCs w:val="24"/>
        </w:rPr>
        <w:t>,</w:t>
      </w:r>
      <w:r w:rsidRPr="00B25A10">
        <w:rPr>
          <w:rFonts w:ascii="Times New Roman" w:hAnsi="Times New Roman" w:cs="Times New Roman"/>
          <w:sz w:val="24"/>
          <w:szCs w:val="24"/>
        </w:rPr>
        <w:t xml:space="preserve"> należy także uznać, że wszystkie czynności przeprowadzone przez ministra właściwego do spraw finansów publicznych w postępowaniach, o których mowa w art. 52 Prawa celnego</w:t>
      </w:r>
      <w:r w:rsidR="00EE7045">
        <w:rPr>
          <w:rFonts w:ascii="Times New Roman" w:hAnsi="Times New Roman" w:cs="Times New Roman"/>
          <w:sz w:val="24"/>
          <w:szCs w:val="24"/>
        </w:rPr>
        <w:t>,</w:t>
      </w:r>
      <w:r w:rsidRPr="00B25A10">
        <w:rPr>
          <w:rFonts w:ascii="Times New Roman" w:hAnsi="Times New Roman" w:cs="Times New Roman"/>
          <w:sz w:val="24"/>
          <w:szCs w:val="24"/>
        </w:rPr>
        <w:t xml:space="preserve"> </w:t>
      </w:r>
      <w:r w:rsidR="0098018E" w:rsidRPr="00B25A10">
        <w:rPr>
          <w:rFonts w:ascii="Times New Roman" w:hAnsi="Times New Roman" w:cs="Times New Roman"/>
          <w:sz w:val="24"/>
          <w:szCs w:val="24"/>
        </w:rPr>
        <w:t>pozostają w mocy</w:t>
      </w:r>
      <w:r w:rsidRPr="00B25A10">
        <w:rPr>
          <w:rFonts w:ascii="Times New Roman" w:hAnsi="Times New Roman" w:cs="Times New Roman"/>
          <w:sz w:val="24"/>
          <w:szCs w:val="24"/>
        </w:rPr>
        <w:t xml:space="preserve"> w postępowaniach prowadzonych przez Szefa Krajowej Administracji Skarbowej (np. dotyczy to wystąpień do Komisji Nadzoru Finansowego). </w:t>
      </w:r>
    </w:p>
    <w:p w14:paraId="23C76D5D" w14:textId="6FF20E81" w:rsidR="00F50B85" w:rsidRPr="00B25A10" w:rsidRDefault="00712E99" w:rsidP="002B0551">
      <w:pPr>
        <w:spacing w:before="120" w:after="0" w:line="360" w:lineRule="auto"/>
        <w:jc w:val="both"/>
        <w:rPr>
          <w:rFonts w:ascii="Times New Roman" w:eastAsia="Calibri" w:hAnsi="Times New Roman" w:cs="Times New Roman"/>
          <w:sz w:val="24"/>
          <w:szCs w:val="24"/>
        </w:rPr>
      </w:pPr>
      <w:r w:rsidRPr="00B25A10">
        <w:rPr>
          <w:rFonts w:ascii="Times New Roman" w:hAnsi="Times New Roman" w:cs="Times New Roman"/>
          <w:sz w:val="24"/>
          <w:szCs w:val="24"/>
        </w:rPr>
        <w:t xml:space="preserve">Ponadto kontynowanie postępowań wszczętych a niezakończonych przez ministra właściwego do spraw finansów publicznych przed </w:t>
      </w:r>
      <w:r w:rsidR="00EE7045">
        <w:rPr>
          <w:rFonts w:ascii="Times New Roman" w:hAnsi="Times New Roman" w:cs="Times New Roman"/>
          <w:sz w:val="24"/>
          <w:szCs w:val="24"/>
        </w:rPr>
        <w:t xml:space="preserve">dniem </w:t>
      </w:r>
      <w:r w:rsidRPr="00B25A10">
        <w:rPr>
          <w:rFonts w:ascii="Times New Roman" w:hAnsi="Times New Roman" w:cs="Times New Roman"/>
          <w:sz w:val="24"/>
          <w:szCs w:val="24"/>
        </w:rPr>
        <w:t>wejści</w:t>
      </w:r>
      <w:r w:rsidR="00EE7045">
        <w:rPr>
          <w:rFonts w:ascii="Times New Roman" w:hAnsi="Times New Roman" w:cs="Times New Roman"/>
          <w:sz w:val="24"/>
          <w:szCs w:val="24"/>
        </w:rPr>
        <w:t>a</w:t>
      </w:r>
      <w:r w:rsidRPr="00B25A10">
        <w:rPr>
          <w:rFonts w:ascii="Times New Roman" w:hAnsi="Times New Roman" w:cs="Times New Roman"/>
          <w:sz w:val="24"/>
          <w:szCs w:val="24"/>
        </w:rPr>
        <w:t xml:space="preserve"> w życie tej ustawy będzie odbywało się na podstawie nowych przepisów. </w:t>
      </w:r>
      <w:r w:rsidR="00F50B85" w:rsidRPr="00B25A10">
        <w:rPr>
          <w:rFonts w:ascii="Times New Roman" w:hAnsi="Times New Roman" w:cs="Times New Roman"/>
          <w:sz w:val="24"/>
          <w:szCs w:val="24"/>
        </w:rPr>
        <w:t xml:space="preserve">Stosowanie nowych regulacji będzie miało istotne znaczenie zwłaszcza w stosowaniu przepisu art. 52 ust. 10a, który </w:t>
      </w:r>
      <w:r w:rsidR="00F50B85" w:rsidRPr="00B25A10">
        <w:rPr>
          <w:rFonts w:ascii="Times New Roman" w:eastAsia="Calibri" w:hAnsi="Times New Roman" w:cs="Times New Roman"/>
          <w:sz w:val="24"/>
          <w:szCs w:val="24"/>
        </w:rPr>
        <w:t xml:space="preserve">wprowadza wyłączenie ogólnej zasady oddziaływania decyzji z dniem jej doręczenia. Jak wykazano w uzasadnieniu do zmiany ww. przepisu, w celu ochrony fiskalnych interesów </w:t>
      </w:r>
      <w:r w:rsidR="0098018E" w:rsidRPr="00B25A10">
        <w:rPr>
          <w:rFonts w:ascii="Times New Roman" w:eastAsia="Calibri" w:hAnsi="Times New Roman" w:cs="Times New Roman"/>
          <w:sz w:val="24"/>
          <w:szCs w:val="24"/>
        </w:rPr>
        <w:t>Rzeczypospolitej Polskiej</w:t>
      </w:r>
      <w:r w:rsidR="00F50B85" w:rsidRPr="00B25A10">
        <w:rPr>
          <w:rFonts w:ascii="Times New Roman" w:eastAsia="Calibri" w:hAnsi="Times New Roman" w:cs="Times New Roman"/>
          <w:sz w:val="24"/>
          <w:szCs w:val="24"/>
        </w:rPr>
        <w:t xml:space="preserve"> i Unii Europejskiej przez uniemożliwienie gwarantowi składania gwarancji nieskutecznie zabezpieczających należności celne i podatkowe z tytułu importu towarów już od dnia wydania decyzji – zasadn</w:t>
      </w:r>
      <w:r w:rsidR="00EE7045">
        <w:rPr>
          <w:rFonts w:ascii="Times New Roman" w:eastAsia="Calibri" w:hAnsi="Times New Roman" w:cs="Times New Roman"/>
          <w:sz w:val="24"/>
          <w:szCs w:val="24"/>
        </w:rPr>
        <w:t>e</w:t>
      </w:r>
      <w:r w:rsidR="00F50B85" w:rsidRPr="00B25A10">
        <w:rPr>
          <w:rFonts w:ascii="Times New Roman" w:eastAsia="Calibri" w:hAnsi="Times New Roman" w:cs="Times New Roman"/>
          <w:sz w:val="24"/>
          <w:szCs w:val="24"/>
        </w:rPr>
        <w:t xml:space="preserve"> jest, aby postępowania w sprawie skreślenia z wykazu mogły być prowadzone </w:t>
      </w:r>
      <w:r w:rsidR="0026345A" w:rsidRPr="00B25A10">
        <w:rPr>
          <w:rFonts w:ascii="Times New Roman" w:eastAsia="Calibri" w:hAnsi="Times New Roman" w:cs="Times New Roman"/>
          <w:sz w:val="24"/>
          <w:szCs w:val="24"/>
        </w:rPr>
        <w:t xml:space="preserve">na podstawie nowego brzmienia art. 52 ust. 10a </w:t>
      </w:r>
      <w:r w:rsidR="00F50B85" w:rsidRPr="00B25A10">
        <w:rPr>
          <w:rFonts w:ascii="Times New Roman" w:eastAsia="Calibri" w:hAnsi="Times New Roman" w:cs="Times New Roman"/>
          <w:sz w:val="24"/>
          <w:szCs w:val="24"/>
        </w:rPr>
        <w:t xml:space="preserve">już od momentu wejścia w życie przepisów niniejszej ustawy. </w:t>
      </w:r>
    </w:p>
    <w:p w14:paraId="34BB3CF0" w14:textId="34236F90" w:rsidR="00712E99" w:rsidRPr="00B25A10" w:rsidRDefault="00712E99" w:rsidP="00711391">
      <w:pPr>
        <w:suppressAutoHyphens/>
        <w:autoSpaceDE w:val="0"/>
        <w:autoSpaceDN w:val="0"/>
        <w:adjustRightInd w:val="0"/>
        <w:spacing w:before="120" w:after="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Art. 1</w:t>
      </w:r>
      <w:r w:rsidR="00501C5F" w:rsidRPr="00B25A10">
        <w:rPr>
          <w:rFonts w:ascii="Times New Roman" w:eastAsia="Times New Roman" w:hAnsi="Times New Roman" w:cs="Times New Roman"/>
          <w:b/>
          <w:sz w:val="24"/>
          <w:szCs w:val="24"/>
          <w:lang w:eastAsia="pl-PL"/>
        </w:rPr>
        <w:t>4</w:t>
      </w:r>
    </w:p>
    <w:p w14:paraId="0E1D86DA" w14:textId="45AFD0FD"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Zgodnie z zaproponowanym art. 1</w:t>
      </w:r>
      <w:r w:rsidR="00501C5F" w:rsidRPr="00B25A10">
        <w:rPr>
          <w:rFonts w:ascii="Times New Roman" w:eastAsia="Times New Roman" w:hAnsi="Times New Roman" w:cs="Times New Roman"/>
          <w:sz w:val="24"/>
          <w:szCs w:val="24"/>
          <w:lang w:eastAsia="pl-PL"/>
        </w:rPr>
        <w:t>4</w:t>
      </w:r>
      <w:r w:rsidR="001176DC" w:rsidRPr="00B25A10">
        <w:rPr>
          <w:rFonts w:ascii="Times New Roman" w:eastAsia="Times New Roman" w:hAnsi="Times New Roman" w:cs="Times New Roman"/>
          <w:sz w:val="24"/>
          <w:szCs w:val="24"/>
          <w:lang w:eastAsia="pl-PL"/>
        </w:rPr>
        <w:t xml:space="preserve"> projektu ustawy</w:t>
      </w:r>
      <w:r w:rsidRPr="00B25A10">
        <w:rPr>
          <w:rFonts w:ascii="Times New Roman" w:eastAsia="Times New Roman" w:hAnsi="Times New Roman" w:cs="Times New Roman"/>
          <w:sz w:val="24"/>
          <w:szCs w:val="24"/>
          <w:lang w:eastAsia="pl-PL"/>
        </w:rPr>
        <w:t xml:space="preserve">, do postępowań w sprawach celnych i podatkowych oraz postępowań w sprawach opłaty paliwowej i opłaty emisyjnej z tytułu importu towarów, wszczętych i niezakończonych przed dniem wejścia w życie niniejszej ustawy, stosowane będą przepisy dotychczasowe. Przepis ten obejmuje również przypadki, </w:t>
      </w:r>
      <w:r w:rsidRPr="00B25A10">
        <w:rPr>
          <w:rFonts w:ascii="Times New Roman" w:eastAsia="Times New Roman" w:hAnsi="Times New Roman" w:cs="Times New Roman"/>
          <w:sz w:val="24"/>
          <w:szCs w:val="24"/>
          <w:lang w:eastAsia="pl-PL"/>
        </w:rPr>
        <w:lastRenderedPageBreak/>
        <w:t xml:space="preserve">gdy odwołanie od decyzji podatkowej wydanej przed </w:t>
      </w:r>
      <w:r w:rsidR="006E638B">
        <w:rPr>
          <w:rFonts w:ascii="Times New Roman" w:eastAsia="Times New Roman" w:hAnsi="Times New Roman" w:cs="Times New Roman"/>
          <w:sz w:val="24"/>
          <w:szCs w:val="24"/>
          <w:lang w:eastAsia="pl-PL"/>
        </w:rPr>
        <w:t xml:space="preserve">dniem </w:t>
      </w:r>
      <w:r w:rsidRPr="00B25A10">
        <w:rPr>
          <w:rFonts w:ascii="Times New Roman" w:eastAsia="Times New Roman" w:hAnsi="Times New Roman" w:cs="Times New Roman"/>
          <w:sz w:val="24"/>
          <w:szCs w:val="24"/>
          <w:lang w:eastAsia="pl-PL"/>
        </w:rPr>
        <w:t>wejści</w:t>
      </w:r>
      <w:r w:rsidR="006E638B">
        <w:rPr>
          <w:rFonts w:ascii="Times New Roman" w:eastAsia="Times New Roman" w:hAnsi="Times New Roman" w:cs="Times New Roman"/>
          <w:sz w:val="24"/>
          <w:szCs w:val="24"/>
          <w:lang w:eastAsia="pl-PL"/>
        </w:rPr>
        <w:t>a</w:t>
      </w:r>
      <w:r w:rsidRPr="00B25A10">
        <w:rPr>
          <w:rFonts w:ascii="Times New Roman" w:eastAsia="Times New Roman" w:hAnsi="Times New Roman" w:cs="Times New Roman"/>
          <w:sz w:val="24"/>
          <w:szCs w:val="24"/>
          <w:lang w:eastAsia="pl-PL"/>
        </w:rPr>
        <w:t xml:space="preserve"> w życie ustawy zostało złożone po </w:t>
      </w:r>
      <w:r w:rsidR="006E638B">
        <w:rPr>
          <w:rFonts w:ascii="Times New Roman" w:eastAsia="Times New Roman" w:hAnsi="Times New Roman" w:cs="Times New Roman"/>
          <w:sz w:val="24"/>
          <w:szCs w:val="24"/>
          <w:lang w:eastAsia="pl-PL"/>
        </w:rPr>
        <w:t xml:space="preserve">dniu </w:t>
      </w:r>
      <w:r w:rsidRPr="00B25A10">
        <w:rPr>
          <w:rFonts w:ascii="Times New Roman" w:eastAsia="Times New Roman" w:hAnsi="Times New Roman" w:cs="Times New Roman"/>
          <w:sz w:val="24"/>
          <w:szCs w:val="24"/>
          <w:lang w:eastAsia="pl-PL"/>
        </w:rPr>
        <w:t>wejści</w:t>
      </w:r>
      <w:r w:rsidR="006E638B">
        <w:rPr>
          <w:rFonts w:ascii="Times New Roman" w:eastAsia="Times New Roman" w:hAnsi="Times New Roman" w:cs="Times New Roman"/>
          <w:sz w:val="24"/>
          <w:szCs w:val="24"/>
          <w:lang w:eastAsia="pl-PL"/>
        </w:rPr>
        <w:t>a</w:t>
      </w:r>
      <w:r w:rsidRPr="00B25A10">
        <w:rPr>
          <w:rFonts w:ascii="Times New Roman" w:eastAsia="Times New Roman" w:hAnsi="Times New Roman" w:cs="Times New Roman"/>
          <w:sz w:val="24"/>
          <w:szCs w:val="24"/>
          <w:lang w:eastAsia="pl-PL"/>
        </w:rPr>
        <w:t xml:space="preserve"> w życie tej ustawy.</w:t>
      </w:r>
    </w:p>
    <w:p w14:paraId="1DCB0D7F" w14:textId="77777777" w:rsidR="00712E99" w:rsidRPr="00B25A10" w:rsidRDefault="00712E99"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Projektuje się również, aby przepisy Ordynacji podatkowej miały zastosowanie do decyzji  wydanych przed dniem wejścia w życie niniejszej ustawy. </w:t>
      </w:r>
    </w:p>
    <w:p w14:paraId="11D192BD" w14:textId="04F15900" w:rsidR="00D53500" w:rsidRPr="00B25A10" w:rsidRDefault="00D53500" w:rsidP="00711391">
      <w:pPr>
        <w:suppressAutoHyphens/>
        <w:autoSpaceDE w:val="0"/>
        <w:autoSpaceDN w:val="0"/>
        <w:adjustRightInd w:val="0"/>
        <w:spacing w:before="120" w:after="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Art</w:t>
      </w:r>
      <w:r w:rsidR="0026345A" w:rsidRPr="00B25A10">
        <w:rPr>
          <w:rFonts w:ascii="Times New Roman" w:eastAsia="Times New Roman" w:hAnsi="Times New Roman" w:cs="Times New Roman"/>
          <w:b/>
          <w:sz w:val="24"/>
          <w:szCs w:val="24"/>
          <w:lang w:eastAsia="pl-PL"/>
        </w:rPr>
        <w:t>. 1</w:t>
      </w:r>
      <w:r w:rsidR="00501C5F" w:rsidRPr="00B25A10">
        <w:rPr>
          <w:rFonts w:ascii="Times New Roman" w:eastAsia="Times New Roman" w:hAnsi="Times New Roman" w:cs="Times New Roman"/>
          <w:b/>
          <w:sz w:val="24"/>
          <w:szCs w:val="24"/>
          <w:lang w:eastAsia="pl-PL"/>
        </w:rPr>
        <w:t>5</w:t>
      </w:r>
    </w:p>
    <w:p w14:paraId="2FF708B8" w14:textId="03F4CFA1" w:rsidR="00501C5F" w:rsidRPr="00B25A10" w:rsidRDefault="00501C5F" w:rsidP="002B0551">
      <w:pPr>
        <w:pStyle w:val="ARTartustawynprozporzdzenia"/>
        <w:ind w:firstLine="0"/>
        <w:rPr>
          <w:rFonts w:ascii="Times New Roman" w:hAnsi="Times New Roman" w:cs="Times New Roman"/>
          <w:szCs w:val="24"/>
        </w:rPr>
      </w:pPr>
      <w:r w:rsidRPr="00B25A10">
        <w:rPr>
          <w:rFonts w:ascii="Times New Roman" w:hAnsi="Times New Roman" w:cs="Times New Roman"/>
          <w:szCs w:val="24"/>
        </w:rPr>
        <w:t xml:space="preserve">W art. 15 projektu przewidziano przepis przejściowy stanowiący, że </w:t>
      </w:r>
      <w:r w:rsidRPr="00B25A10">
        <w:rPr>
          <w:rStyle w:val="Ppogrubienie"/>
          <w:rFonts w:ascii="Times New Roman" w:hAnsi="Times New Roman" w:cs="Times New Roman"/>
          <w:b w:val="0"/>
          <w:szCs w:val="24"/>
        </w:rPr>
        <w:t>d</w:t>
      </w:r>
      <w:r w:rsidRPr="00B25A10">
        <w:rPr>
          <w:rFonts w:ascii="Times New Roman" w:hAnsi="Times New Roman" w:cs="Times New Roman"/>
          <w:szCs w:val="24"/>
        </w:rPr>
        <w:t>o wniosków o zwrot nadpłaty, o której mowa w art. 37o ust. 2 ustawy zmienianej w art. 3, w brzmieniu dotychczasowym, złożonych i nierozpatrzonych przed dniem wejścia w życie niniejszej ustawy</w:t>
      </w:r>
      <w:r w:rsidR="00B43033">
        <w:rPr>
          <w:rFonts w:ascii="Times New Roman" w:hAnsi="Times New Roman" w:cs="Times New Roman"/>
          <w:szCs w:val="24"/>
        </w:rPr>
        <w:t>,</w:t>
      </w:r>
      <w:r w:rsidRPr="00B25A10">
        <w:rPr>
          <w:rFonts w:ascii="Times New Roman" w:hAnsi="Times New Roman" w:cs="Times New Roman"/>
          <w:szCs w:val="24"/>
        </w:rPr>
        <w:t xml:space="preserve"> stosuje się przepisy dotychczasowe. </w:t>
      </w:r>
    </w:p>
    <w:p w14:paraId="33164D31" w14:textId="39EFF55F" w:rsidR="00501C5F" w:rsidRPr="00B25A10" w:rsidRDefault="00501C5F" w:rsidP="00F1767E">
      <w:pPr>
        <w:pStyle w:val="ARTartustawynprozporzdzenia"/>
        <w:spacing w:before="240" w:after="120"/>
        <w:ind w:firstLine="0"/>
        <w:rPr>
          <w:rStyle w:val="Ppogrubienie"/>
          <w:rFonts w:ascii="Times New Roman" w:hAnsi="Times New Roman" w:cs="Times New Roman"/>
          <w:szCs w:val="24"/>
        </w:rPr>
      </w:pPr>
      <w:r w:rsidRPr="00B25A10">
        <w:rPr>
          <w:rStyle w:val="Ppogrubienie"/>
          <w:rFonts w:ascii="Times New Roman" w:hAnsi="Times New Roman" w:cs="Times New Roman"/>
          <w:szCs w:val="24"/>
        </w:rPr>
        <w:t>Art. 16</w:t>
      </w:r>
    </w:p>
    <w:p w14:paraId="799C1C2D" w14:textId="6A06D246" w:rsidR="00501C5F" w:rsidRPr="00B25A10" w:rsidRDefault="00501C5F" w:rsidP="002B0551">
      <w:pPr>
        <w:spacing w:before="120" w:after="0" w:line="360" w:lineRule="auto"/>
        <w:jc w:val="both"/>
        <w:rPr>
          <w:rFonts w:ascii="Times New Roman" w:hAnsi="Times New Roman" w:cs="Times New Roman"/>
          <w:sz w:val="24"/>
          <w:szCs w:val="24"/>
        </w:rPr>
      </w:pPr>
      <w:r w:rsidRPr="00B25A10">
        <w:rPr>
          <w:rStyle w:val="Ppogrubienie"/>
          <w:rFonts w:ascii="Times New Roman" w:hAnsi="Times New Roman" w:cs="Times New Roman"/>
          <w:b w:val="0"/>
          <w:sz w:val="24"/>
          <w:szCs w:val="24"/>
        </w:rPr>
        <w:t xml:space="preserve">Wprowadzenie </w:t>
      </w:r>
      <w:r w:rsidR="008532D1" w:rsidRPr="00B25A10">
        <w:rPr>
          <w:rStyle w:val="Ppogrubienie"/>
          <w:rFonts w:ascii="Times New Roman" w:hAnsi="Times New Roman" w:cs="Times New Roman"/>
          <w:b w:val="0"/>
          <w:sz w:val="24"/>
          <w:szCs w:val="24"/>
        </w:rPr>
        <w:t xml:space="preserve">przepisu przejściowego w </w:t>
      </w:r>
      <w:r w:rsidRPr="00B25A10">
        <w:rPr>
          <w:rStyle w:val="Ppogrubienie"/>
          <w:rFonts w:ascii="Times New Roman" w:hAnsi="Times New Roman" w:cs="Times New Roman"/>
          <w:b w:val="0"/>
          <w:sz w:val="24"/>
          <w:szCs w:val="24"/>
        </w:rPr>
        <w:t>art. 16 związane jest z projektowaną zmianą ustawy z dnia 13 października 1995 r. o zasadach ewide</w:t>
      </w:r>
      <w:r w:rsidR="008532D1" w:rsidRPr="00B25A10">
        <w:rPr>
          <w:rStyle w:val="Ppogrubienie"/>
          <w:rFonts w:ascii="Times New Roman" w:hAnsi="Times New Roman" w:cs="Times New Roman"/>
          <w:b w:val="0"/>
          <w:sz w:val="24"/>
          <w:szCs w:val="24"/>
        </w:rPr>
        <w:t>nc</w:t>
      </w:r>
      <w:r w:rsidRPr="00B25A10">
        <w:rPr>
          <w:rStyle w:val="Ppogrubienie"/>
          <w:rFonts w:ascii="Times New Roman" w:hAnsi="Times New Roman" w:cs="Times New Roman"/>
          <w:b w:val="0"/>
          <w:sz w:val="24"/>
          <w:szCs w:val="24"/>
        </w:rPr>
        <w:t>ji i identyfikacji podatników i płatników</w:t>
      </w:r>
      <w:r w:rsidR="008532D1" w:rsidRPr="00B25A10">
        <w:rPr>
          <w:rStyle w:val="Ppogrubienie"/>
          <w:rFonts w:ascii="Times New Roman" w:hAnsi="Times New Roman" w:cs="Times New Roman"/>
          <w:b w:val="0"/>
          <w:sz w:val="24"/>
          <w:szCs w:val="24"/>
        </w:rPr>
        <w:t>.  Zgodnie z tym przepisem p</w:t>
      </w:r>
      <w:r w:rsidRPr="00B25A10">
        <w:rPr>
          <w:rFonts w:ascii="Times New Roman" w:hAnsi="Times New Roman" w:cs="Times New Roman"/>
          <w:sz w:val="24"/>
          <w:szCs w:val="24"/>
        </w:rPr>
        <w:t>odatnicy będący osobami fizycznymi nieprowadzący</w:t>
      </w:r>
      <w:r w:rsidR="008532D1" w:rsidRPr="00B25A10">
        <w:rPr>
          <w:rFonts w:ascii="Times New Roman" w:hAnsi="Times New Roman" w:cs="Times New Roman"/>
          <w:sz w:val="24"/>
          <w:szCs w:val="24"/>
        </w:rPr>
        <w:t>mi</w:t>
      </w:r>
      <w:r w:rsidRPr="00B25A10">
        <w:rPr>
          <w:rFonts w:ascii="Times New Roman" w:hAnsi="Times New Roman" w:cs="Times New Roman"/>
          <w:sz w:val="24"/>
          <w:szCs w:val="24"/>
        </w:rPr>
        <w:t xml:space="preserve"> działalności gospodarczej lub niebędący</w:t>
      </w:r>
      <w:r w:rsidR="008532D1" w:rsidRPr="00B25A10">
        <w:rPr>
          <w:rFonts w:ascii="Times New Roman" w:hAnsi="Times New Roman" w:cs="Times New Roman"/>
          <w:sz w:val="24"/>
          <w:szCs w:val="24"/>
        </w:rPr>
        <w:t>mi</w:t>
      </w:r>
      <w:r w:rsidRPr="00B25A10">
        <w:rPr>
          <w:rFonts w:ascii="Times New Roman" w:hAnsi="Times New Roman" w:cs="Times New Roman"/>
          <w:sz w:val="24"/>
          <w:szCs w:val="24"/>
        </w:rPr>
        <w:t xml:space="preserve"> zarejestrowanymi podatnikami podatku od towarów i usług, dla których z dniem wejścia w życie niniejszej ustawy obowiązującym i</w:t>
      </w:r>
      <w:r w:rsidR="008532D1" w:rsidRPr="00B25A10">
        <w:rPr>
          <w:rFonts w:ascii="Times New Roman" w:hAnsi="Times New Roman" w:cs="Times New Roman"/>
          <w:sz w:val="24"/>
          <w:szCs w:val="24"/>
        </w:rPr>
        <w:t>dentyfikatorem podatkowym stanie się</w:t>
      </w:r>
      <w:r w:rsidRPr="00B25A10">
        <w:rPr>
          <w:rFonts w:ascii="Times New Roman" w:hAnsi="Times New Roman" w:cs="Times New Roman"/>
          <w:sz w:val="24"/>
          <w:szCs w:val="24"/>
        </w:rPr>
        <w:t xml:space="preserve"> PESEL</w:t>
      </w:r>
      <w:r w:rsidR="008532D1" w:rsidRPr="00B25A10">
        <w:rPr>
          <w:rFonts w:ascii="Times New Roman" w:hAnsi="Times New Roman" w:cs="Times New Roman"/>
          <w:sz w:val="24"/>
          <w:szCs w:val="24"/>
        </w:rPr>
        <w:t>,</w:t>
      </w:r>
      <w:r w:rsidRPr="00B25A10">
        <w:rPr>
          <w:rFonts w:ascii="Times New Roman" w:hAnsi="Times New Roman" w:cs="Times New Roman"/>
          <w:sz w:val="24"/>
          <w:szCs w:val="24"/>
        </w:rPr>
        <w:t xml:space="preserve"> </w:t>
      </w:r>
      <w:r w:rsidR="008532D1" w:rsidRPr="00B25A10">
        <w:rPr>
          <w:rFonts w:ascii="Times New Roman" w:hAnsi="Times New Roman" w:cs="Times New Roman"/>
          <w:sz w:val="24"/>
          <w:szCs w:val="24"/>
        </w:rPr>
        <w:t>będą mogli do czasu nadania im numeru PESEL</w:t>
      </w:r>
      <w:r w:rsidRPr="00B25A10">
        <w:rPr>
          <w:rFonts w:ascii="Times New Roman" w:hAnsi="Times New Roman" w:cs="Times New Roman"/>
          <w:sz w:val="24"/>
          <w:szCs w:val="24"/>
        </w:rPr>
        <w:t xml:space="preserve"> </w:t>
      </w:r>
      <w:r w:rsidR="008532D1" w:rsidRPr="00B25A10">
        <w:rPr>
          <w:rFonts w:ascii="Times New Roman" w:hAnsi="Times New Roman" w:cs="Times New Roman"/>
          <w:sz w:val="24"/>
          <w:szCs w:val="24"/>
        </w:rPr>
        <w:t xml:space="preserve">podawać </w:t>
      </w:r>
      <w:r w:rsidRPr="00B25A10">
        <w:rPr>
          <w:rFonts w:ascii="Times New Roman" w:hAnsi="Times New Roman" w:cs="Times New Roman"/>
          <w:sz w:val="24"/>
          <w:szCs w:val="24"/>
        </w:rPr>
        <w:t>identyfikator podatkowy NIP nadany im przed dniem wejścia w życie niniejszej ustawy, jednak nie dłużej niż przez 30 dni od dnia wejścia w życie ustawy.</w:t>
      </w:r>
      <w:r w:rsidR="00F24CE3" w:rsidRPr="00B25A10">
        <w:rPr>
          <w:rFonts w:ascii="Times New Roman" w:hAnsi="Times New Roman" w:cs="Times New Roman"/>
          <w:sz w:val="24"/>
          <w:szCs w:val="24"/>
        </w:rPr>
        <w:t xml:space="preserve"> Konieczne jest niezwłoczne dostosowanie się podatników posługujących się identyfikatorem NIP do właściwego stanu, którym jest posługiwanie się numerem PESEL w przypadku osób fizycznych nieprowadzących działalności gospodarczej, niebędących również podatnikami podatku VAT i płatnikami podatków oraz składek na ubezpieczenia. Termin 30</w:t>
      </w:r>
      <w:r w:rsidR="00F1767E">
        <w:rPr>
          <w:rFonts w:ascii="Times New Roman" w:hAnsi="Times New Roman" w:cs="Times New Roman"/>
          <w:sz w:val="24"/>
          <w:szCs w:val="24"/>
        </w:rPr>
        <w:t>-</w:t>
      </w:r>
      <w:r w:rsidR="00F24CE3" w:rsidRPr="00B25A10">
        <w:rPr>
          <w:rFonts w:ascii="Times New Roman" w:hAnsi="Times New Roman" w:cs="Times New Roman"/>
          <w:sz w:val="24"/>
          <w:szCs w:val="24"/>
        </w:rPr>
        <w:t>dniowy pozwoli na</w:t>
      </w:r>
      <w:r w:rsidR="00A669E9" w:rsidRPr="00B25A10">
        <w:rPr>
          <w:rFonts w:ascii="Times New Roman" w:hAnsi="Times New Roman" w:cs="Times New Roman"/>
          <w:sz w:val="24"/>
          <w:szCs w:val="24"/>
        </w:rPr>
        <w:t xml:space="preserve"> wystąpienie o numer PESEL przez podatnika</w:t>
      </w:r>
      <w:r w:rsidR="00F24CE3" w:rsidRPr="00B25A10">
        <w:rPr>
          <w:rFonts w:ascii="Times New Roman" w:hAnsi="Times New Roman" w:cs="Times New Roman"/>
          <w:sz w:val="24"/>
          <w:szCs w:val="24"/>
        </w:rPr>
        <w:t xml:space="preserve"> </w:t>
      </w:r>
      <w:r w:rsidR="00F96890" w:rsidRPr="00B25A10">
        <w:rPr>
          <w:rFonts w:ascii="Times New Roman" w:hAnsi="Times New Roman" w:cs="Times New Roman"/>
          <w:sz w:val="24"/>
          <w:szCs w:val="24"/>
        </w:rPr>
        <w:t xml:space="preserve">i </w:t>
      </w:r>
      <w:r w:rsidR="00F24CE3" w:rsidRPr="00B25A10">
        <w:rPr>
          <w:rFonts w:ascii="Times New Roman" w:hAnsi="Times New Roman" w:cs="Times New Roman"/>
          <w:sz w:val="24"/>
          <w:szCs w:val="24"/>
        </w:rPr>
        <w:t>złożenie przez płatnik</w:t>
      </w:r>
      <w:r w:rsidR="00F96890" w:rsidRPr="00B25A10">
        <w:rPr>
          <w:rFonts w:ascii="Times New Roman" w:hAnsi="Times New Roman" w:cs="Times New Roman"/>
          <w:sz w:val="24"/>
          <w:szCs w:val="24"/>
        </w:rPr>
        <w:t>a</w:t>
      </w:r>
      <w:r w:rsidR="00F24CE3" w:rsidRPr="00B25A10">
        <w:rPr>
          <w:rFonts w:ascii="Times New Roman" w:hAnsi="Times New Roman" w:cs="Times New Roman"/>
          <w:sz w:val="24"/>
          <w:szCs w:val="24"/>
        </w:rPr>
        <w:t xml:space="preserve"> zatrudniając</w:t>
      </w:r>
      <w:r w:rsidR="00F96890" w:rsidRPr="00B25A10">
        <w:rPr>
          <w:rFonts w:ascii="Times New Roman" w:hAnsi="Times New Roman" w:cs="Times New Roman"/>
          <w:sz w:val="24"/>
          <w:szCs w:val="24"/>
        </w:rPr>
        <w:t>ego</w:t>
      </w:r>
      <w:r w:rsidR="00A669E9" w:rsidRPr="00B25A10">
        <w:rPr>
          <w:rFonts w:ascii="Times New Roman" w:hAnsi="Times New Roman" w:cs="Times New Roman"/>
          <w:sz w:val="24"/>
          <w:szCs w:val="24"/>
        </w:rPr>
        <w:t xml:space="preserve"> </w:t>
      </w:r>
      <w:r w:rsidR="00F24CE3" w:rsidRPr="00B25A10">
        <w:rPr>
          <w:rFonts w:ascii="Times New Roman" w:hAnsi="Times New Roman" w:cs="Times New Roman"/>
          <w:sz w:val="24"/>
          <w:szCs w:val="24"/>
        </w:rPr>
        <w:t>podatnik</w:t>
      </w:r>
      <w:r w:rsidR="00A669E9" w:rsidRPr="00B25A10">
        <w:rPr>
          <w:rFonts w:ascii="Times New Roman" w:hAnsi="Times New Roman" w:cs="Times New Roman"/>
          <w:sz w:val="24"/>
          <w:szCs w:val="24"/>
        </w:rPr>
        <w:t>a</w:t>
      </w:r>
      <w:r w:rsidR="00F24CE3" w:rsidRPr="00B25A10">
        <w:rPr>
          <w:rFonts w:ascii="Times New Roman" w:hAnsi="Times New Roman" w:cs="Times New Roman"/>
          <w:sz w:val="24"/>
          <w:szCs w:val="24"/>
        </w:rPr>
        <w:t>, który nie m</w:t>
      </w:r>
      <w:r w:rsidR="00A669E9" w:rsidRPr="00B25A10">
        <w:rPr>
          <w:rFonts w:ascii="Times New Roman" w:hAnsi="Times New Roman" w:cs="Times New Roman"/>
          <w:sz w:val="24"/>
          <w:szCs w:val="24"/>
        </w:rPr>
        <w:t xml:space="preserve">iał </w:t>
      </w:r>
      <w:r w:rsidR="00F24CE3" w:rsidRPr="00B25A10">
        <w:rPr>
          <w:rFonts w:ascii="Times New Roman" w:hAnsi="Times New Roman" w:cs="Times New Roman"/>
          <w:sz w:val="24"/>
          <w:szCs w:val="24"/>
        </w:rPr>
        <w:t>identyfikatora lub posług</w:t>
      </w:r>
      <w:r w:rsidR="00A669E9" w:rsidRPr="00B25A10">
        <w:rPr>
          <w:rFonts w:ascii="Times New Roman" w:hAnsi="Times New Roman" w:cs="Times New Roman"/>
          <w:sz w:val="24"/>
          <w:szCs w:val="24"/>
        </w:rPr>
        <w:t xml:space="preserve">iwał </w:t>
      </w:r>
      <w:r w:rsidR="00F24CE3" w:rsidRPr="00B25A10">
        <w:rPr>
          <w:rFonts w:ascii="Times New Roman" w:hAnsi="Times New Roman" w:cs="Times New Roman"/>
          <w:sz w:val="24"/>
          <w:szCs w:val="24"/>
        </w:rPr>
        <w:t>się identyfikatorem NIP</w:t>
      </w:r>
      <w:r w:rsidR="00F96890" w:rsidRPr="00B25A10">
        <w:rPr>
          <w:rFonts w:ascii="Times New Roman" w:hAnsi="Times New Roman" w:cs="Times New Roman"/>
          <w:sz w:val="24"/>
          <w:szCs w:val="24"/>
        </w:rPr>
        <w:t>,</w:t>
      </w:r>
      <w:r w:rsidR="00F24CE3" w:rsidRPr="00B25A10">
        <w:rPr>
          <w:rFonts w:ascii="Times New Roman" w:hAnsi="Times New Roman" w:cs="Times New Roman"/>
          <w:sz w:val="24"/>
          <w:szCs w:val="24"/>
        </w:rPr>
        <w:t xml:space="preserve"> na złożenie informacji o uzyskanych dochodach z właściwymi danymi dotyczącymi identyfikatora podatkowego.</w:t>
      </w:r>
      <w:r w:rsidR="00A669E9" w:rsidRPr="00B25A10">
        <w:rPr>
          <w:rFonts w:ascii="Times New Roman" w:eastAsia="Times New Roman" w:hAnsi="Times New Roman" w:cs="Times New Roman"/>
          <w:sz w:val="24"/>
          <w:szCs w:val="24"/>
          <w:lang w:eastAsia="pl-PL"/>
        </w:rPr>
        <w:t xml:space="preserve"> Podawanie identyfikatora podatkowego podatnika przez płatnika ma istotne znaczenie dla usług o charakterze podatkowym skierowanych do płatników. </w:t>
      </w:r>
    </w:p>
    <w:p w14:paraId="74F1E035" w14:textId="77777777" w:rsidR="00501C5F" w:rsidRPr="00B25A10" w:rsidRDefault="00501C5F" w:rsidP="00F1767E">
      <w:pPr>
        <w:suppressAutoHyphens/>
        <w:autoSpaceDE w:val="0"/>
        <w:autoSpaceDN w:val="0"/>
        <w:adjustRightInd w:val="0"/>
        <w:spacing w:before="240" w:after="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Art. 17</w:t>
      </w:r>
    </w:p>
    <w:p w14:paraId="7E3346D0" w14:textId="77777777" w:rsidR="00597838" w:rsidRPr="00B25A10" w:rsidRDefault="00597838"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Intencją regulacji przejściowej w sprawach przechowywania zapisów sygnału </w:t>
      </w:r>
      <w:proofErr w:type="spellStart"/>
      <w:r w:rsidRPr="00B25A10">
        <w:rPr>
          <w:rFonts w:ascii="Times New Roman" w:hAnsi="Times New Roman" w:cs="Times New Roman"/>
          <w:sz w:val="24"/>
          <w:szCs w:val="24"/>
        </w:rPr>
        <w:t>audiowizyjnego</w:t>
      </w:r>
      <w:proofErr w:type="spellEnd"/>
      <w:r w:rsidRPr="00B25A10">
        <w:rPr>
          <w:rFonts w:ascii="Times New Roman" w:hAnsi="Times New Roman" w:cs="Times New Roman"/>
          <w:sz w:val="24"/>
          <w:szCs w:val="24"/>
        </w:rPr>
        <w:t xml:space="preserve"> z systemu, o którym mowa w art. 15b ust. 1 ustawy z dnia 19 listopada 2009 r. o grach hazardowych, zainstalowanego w salonach gry na automatach jest skrócenie czasu dotychczas przechowywanych zapisów. </w:t>
      </w:r>
    </w:p>
    <w:p w14:paraId="1030999E" w14:textId="77777777" w:rsidR="003A7A19" w:rsidRPr="00B25A10" w:rsidRDefault="003A7A19" w:rsidP="00F1767E">
      <w:pPr>
        <w:spacing w:before="240" w:after="120"/>
        <w:jc w:val="both"/>
        <w:rPr>
          <w:rFonts w:ascii="Times New Roman" w:hAnsi="Times New Roman" w:cs="Times New Roman"/>
          <w:b/>
          <w:sz w:val="24"/>
          <w:szCs w:val="24"/>
        </w:rPr>
      </w:pPr>
      <w:r w:rsidRPr="00B25A10">
        <w:rPr>
          <w:rFonts w:ascii="Times New Roman" w:hAnsi="Times New Roman" w:cs="Times New Roman"/>
          <w:b/>
          <w:sz w:val="24"/>
          <w:szCs w:val="24"/>
        </w:rPr>
        <w:lastRenderedPageBreak/>
        <w:t>Art. 18</w:t>
      </w:r>
    </w:p>
    <w:p w14:paraId="33820636" w14:textId="77777777" w:rsidR="00597838" w:rsidRPr="00B25A10" w:rsidRDefault="003A7A19" w:rsidP="002B0551">
      <w:pPr>
        <w:spacing w:before="120" w:after="0" w:line="360" w:lineRule="auto"/>
        <w:jc w:val="both"/>
        <w:rPr>
          <w:rFonts w:ascii="Times New Roman" w:eastAsia="Times New Roman" w:hAnsi="Times New Roman" w:cs="Times New Roman"/>
          <w:sz w:val="24"/>
          <w:szCs w:val="24"/>
          <w:lang w:eastAsia="pl-PL"/>
        </w:rPr>
      </w:pPr>
      <w:r w:rsidRPr="00B25A10">
        <w:rPr>
          <w:rFonts w:ascii="Times New Roman" w:hAnsi="Times New Roman" w:cs="Times New Roman"/>
          <w:sz w:val="24"/>
          <w:szCs w:val="24"/>
        </w:rPr>
        <w:t>Celem</w:t>
      </w:r>
      <w:r w:rsidR="00597838" w:rsidRPr="00B25A10">
        <w:rPr>
          <w:rFonts w:ascii="Times New Roman" w:hAnsi="Times New Roman" w:cs="Times New Roman"/>
          <w:sz w:val="24"/>
          <w:szCs w:val="24"/>
        </w:rPr>
        <w:t xml:space="preserve"> regulacji przejściowej w sprawach zatwierdzania lokalizacji salonów gier na automatach jest stosowanie nowych przepisów. </w:t>
      </w:r>
    </w:p>
    <w:p w14:paraId="1E3507DB" w14:textId="77777777" w:rsidR="00D61EEA" w:rsidRPr="00B25A10" w:rsidRDefault="00D61EEA" w:rsidP="00F1767E">
      <w:pPr>
        <w:autoSpaceDE w:val="0"/>
        <w:autoSpaceDN w:val="0"/>
        <w:spacing w:before="240" w:after="120"/>
        <w:jc w:val="both"/>
        <w:rPr>
          <w:rFonts w:ascii="Times New Roman" w:eastAsia="Calibri" w:hAnsi="Times New Roman" w:cs="Times New Roman"/>
          <w:b/>
          <w:sz w:val="24"/>
          <w:szCs w:val="24"/>
          <w:lang w:eastAsia="pl-PL"/>
        </w:rPr>
      </w:pPr>
      <w:r w:rsidRPr="00B25A10">
        <w:rPr>
          <w:rFonts w:ascii="Times New Roman" w:eastAsia="Calibri" w:hAnsi="Times New Roman" w:cs="Times New Roman"/>
          <w:b/>
          <w:sz w:val="24"/>
          <w:szCs w:val="24"/>
          <w:lang w:eastAsia="pl-PL"/>
        </w:rPr>
        <w:t>Art. 19</w:t>
      </w:r>
    </w:p>
    <w:p w14:paraId="737B25E9" w14:textId="2152B660" w:rsidR="00893ECC" w:rsidRPr="00B25A10" w:rsidRDefault="00893ECC" w:rsidP="002B0551">
      <w:pPr>
        <w:autoSpaceDE w:val="0"/>
        <w:autoSpaceDN w:val="0"/>
        <w:spacing w:before="120" w:after="0" w:line="360" w:lineRule="auto"/>
        <w:jc w:val="both"/>
        <w:rPr>
          <w:rFonts w:ascii="Times New Roman" w:eastAsia="Calibri" w:hAnsi="Times New Roman" w:cs="Times New Roman"/>
          <w:sz w:val="24"/>
          <w:szCs w:val="24"/>
          <w:lang w:eastAsia="pl-PL"/>
        </w:rPr>
      </w:pPr>
      <w:r w:rsidRPr="00B25A10">
        <w:rPr>
          <w:rFonts w:ascii="Times New Roman" w:eastAsia="Calibri" w:hAnsi="Times New Roman" w:cs="Times New Roman"/>
          <w:sz w:val="24"/>
          <w:szCs w:val="24"/>
          <w:lang w:eastAsia="pl-PL"/>
        </w:rPr>
        <w:t>Art. 1</w:t>
      </w:r>
      <w:r w:rsidR="003A7A19" w:rsidRPr="00B25A10">
        <w:rPr>
          <w:rFonts w:ascii="Times New Roman" w:eastAsia="Calibri" w:hAnsi="Times New Roman" w:cs="Times New Roman"/>
          <w:sz w:val="24"/>
          <w:szCs w:val="24"/>
          <w:lang w:eastAsia="pl-PL"/>
        </w:rPr>
        <w:t>9</w:t>
      </w:r>
      <w:r w:rsidRPr="00B25A10">
        <w:rPr>
          <w:rFonts w:ascii="Times New Roman" w:eastAsia="Calibri" w:hAnsi="Times New Roman" w:cs="Times New Roman"/>
          <w:sz w:val="24"/>
          <w:szCs w:val="24"/>
          <w:lang w:eastAsia="pl-PL"/>
        </w:rPr>
        <w:t xml:space="preserve"> niniejszej ustawy zawiera przepisy przejściowe, zgodnie z którymi sprawy związane z wydawaniem decyzji o pozostawieniu nazwy domeny w Rejestrze domen służących do oferowania gier hazardowych niezgodnie z ustawą lub jej wykreśleniu z tego Rejestru,</w:t>
      </w:r>
      <w:r w:rsidRPr="00B25A10">
        <w:rPr>
          <w:rFonts w:ascii="Times New Roman" w:eastAsia="Calibri" w:hAnsi="Times New Roman" w:cs="Times New Roman"/>
          <w:sz w:val="24"/>
          <w:szCs w:val="24"/>
        </w:rPr>
        <w:t> </w:t>
      </w:r>
      <w:r w:rsidRPr="00B25A10">
        <w:rPr>
          <w:rFonts w:ascii="Times New Roman" w:eastAsia="Calibri" w:hAnsi="Times New Roman" w:cs="Times New Roman"/>
          <w:sz w:val="24"/>
          <w:szCs w:val="24"/>
          <w:lang w:eastAsia="pl-PL"/>
        </w:rPr>
        <w:t>wszczęte i niezakończone przed dniem wejścia w życie ustawy</w:t>
      </w:r>
      <w:r w:rsidR="00F1767E">
        <w:rPr>
          <w:rFonts w:ascii="Times New Roman" w:eastAsia="Calibri" w:hAnsi="Times New Roman" w:cs="Times New Roman"/>
          <w:sz w:val="24"/>
          <w:szCs w:val="24"/>
          <w:lang w:eastAsia="pl-PL"/>
        </w:rPr>
        <w:t>,</w:t>
      </w:r>
      <w:r w:rsidRPr="00B25A10">
        <w:rPr>
          <w:rFonts w:ascii="Times New Roman" w:eastAsia="Calibri" w:hAnsi="Times New Roman" w:cs="Times New Roman"/>
          <w:sz w:val="24"/>
          <w:szCs w:val="24"/>
          <w:lang w:eastAsia="pl-PL"/>
        </w:rPr>
        <w:t xml:space="preserve"> będą prowadzone na podstawie przepisów </w:t>
      </w:r>
      <w:r w:rsidR="0057238D">
        <w:rPr>
          <w:rFonts w:ascii="Times New Roman" w:eastAsia="Calibri" w:hAnsi="Times New Roman" w:cs="Times New Roman"/>
          <w:sz w:val="24"/>
          <w:szCs w:val="24"/>
          <w:lang w:eastAsia="pl-PL"/>
        </w:rPr>
        <w:t xml:space="preserve">zmienionych </w:t>
      </w:r>
      <w:r w:rsidRPr="00B25A10">
        <w:rPr>
          <w:rFonts w:ascii="Times New Roman" w:eastAsia="Calibri" w:hAnsi="Times New Roman" w:cs="Times New Roman"/>
          <w:sz w:val="24"/>
          <w:szCs w:val="24"/>
          <w:lang w:eastAsia="pl-PL"/>
        </w:rPr>
        <w:t>ustaw</w:t>
      </w:r>
      <w:r w:rsidR="0057238D">
        <w:rPr>
          <w:rFonts w:ascii="Times New Roman" w:eastAsia="Calibri" w:hAnsi="Times New Roman" w:cs="Times New Roman"/>
          <w:sz w:val="24"/>
          <w:szCs w:val="24"/>
          <w:lang w:eastAsia="pl-PL"/>
        </w:rPr>
        <w:t>ą</w:t>
      </w:r>
      <w:r w:rsidRPr="00B25A10">
        <w:rPr>
          <w:rFonts w:ascii="Times New Roman" w:eastAsia="Calibri" w:hAnsi="Times New Roman" w:cs="Times New Roman"/>
          <w:sz w:val="24"/>
          <w:szCs w:val="24"/>
          <w:lang w:eastAsia="pl-PL"/>
        </w:rPr>
        <w:t xml:space="preserve"> zmieniając</w:t>
      </w:r>
      <w:r w:rsidR="0057238D">
        <w:rPr>
          <w:rFonts w:ascii="Times New Roman" w:eastAsia="Calibri" w:hAnsi="Times New Roman" w:cs="Times New Roman"/>
          <w:sz w:val="24"/>
          <w:szCs w:val="24"/>
          <w:lang w:eastAsia="pl-PL"/>
        </w:rPr>
        <w:t>ą</w:t>
      </w:r>
      <w:r w:rsidRPr="00B25A10">
        <w:rPr>
          <w:rFonts w:ascii="Times New Roman" w:eastAsia="Calibri" w:hAnsi="Times New Roman" w:cs="Times New Roman"/>
          <w:sz w:val="24"/>
          <w:szCs w:val="24"/>
          <w:lang w:eastAsia="pl-PL"/>
        </w:rPr>
        <w:t>.</w:t>
      </w:r>
    </w:p>
    <w:p w14:paraId="566A552D" w14:textId="22BDC935" w:rsidR="00EE6700" w:rsidRPr="00B25A10" w:rsidRDefault="00EE6700" w:rsidP="00F1767E">
      <w:pPr>
        <w:suppressAutoHyphens/>
        <w:autoSpaceDE w:val="0"/>
        <w:autoSpaceDN w:val="0"/>
        <w:adjustRightInd w:val="0"/>
        <w:spacing w:before="240" w:after="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 xml:space="preserve">Art. </w:t>
      </w:r>
      <w:r w:rsidR="003A7A19" w:rsidRPr="00B25A10">
        <w:rPr>
          <w:rFonts w:ascii="Times New Roman" w:eastAsia="Times New Roman" w:hAnsi="Times New Roman" w:cs="Times New Roman"/>
          <w:b/>
          <w:sz w:val="24"/>
          <w:szCs w:val="24"/>
          <w:lang w:eastAsia="pl-PL"/>
        </w:rPr>
        <w:t>20</w:t>
      </w:r>
    </w:p>
    <w:p w14:paraId="4852912A" w14:textId="43785D5E" w:rsidR="00EE6700" w:rsidRPr="00B25A10" w:rsidRDefault="00EE6700" w:rsidP="002B0551">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25A10">
        <w:rPr>
          <w:rFonts w:ascii="Times New Roman" w:eastAsia="Times New Roman" w:hAnsi="Times New Roman" w:cs="Times New Roman"/>
          <w:sz w:val="24"/>
          <w:szCs w:val="24"/>
          <w:lang w:eastAsia="pl-PL"/>
        </w:rPr>
        <w:t xml:space="preserve">Art. </w:t>
      </w:r>
      <w:r w:rsidR="003A7A19" w:rsidRPr="00B25A10">
        <w:rPr>
          <w:rFonts w:ascii="Times New Roman" w:eastAsia="Times New Roman" w:hAnsi="Times New Roman" w:cs="Times New Roman"/>
          <w:sz w:val="24"/>
          <w:szCs w:val="24"/>
          <w:lang w:eastAsia="pl-PL"/>
        </w:rPr>
        <w:t>20</w:t>
      </w:r>
      <w:r w:rsidRPr="00B25A10">
        <w:rPr>
          <w:rFonts w:ascii="Times New Roman" w:eastAsia="Times New Roman" w:hAnsi="Times New Roman" w:cs="Times New Roman"/>
          <w:sz w:val="24"/>
          <w:szCs w:val="24"/>
          <w:lang w:eastAsia="pl-PL"/>
        </w:rPr>
        <w:t xml:space="preserve"> niniejszej ustawy zawiera przepis przejściowy, zgodnie z którym sprawy, związane z nakładaniem kar, o których mowa w art. 89 ust. 1 pkt 5 i 7 ustawy </w:t>
      </w:r>
      <w:r w:rsidR="001176DC" w:rsidRPr="00B25A10">
        <w:rPr>
          <w:rFonts w:ascii="Times New Roman" w:eastAsia="Times New Roman" w:hAnsi="Times New Roman" w:cs="Times New Roman"/>
          <w:sz w:val="24"/>
          <w:szCs w:val="24"/>
          <w:lang w:eastAsia="pl-PL"/>
        </w:rPr>
        <w:t xml:space="preserve">z dnia 19 listopada 2009 r. </w:t>
      </w:r>
      <w:r w:rsidRPr="00B25A10">
        <w:rPr>
          <w:rFonts w:ascii="Times New Roman" w:eastAsia="Times New Roman" w:hAnsi="Times New Roman" w:cs="Times New Roman"/>
          <w:sz w:val="24"/>
          <w:szCs w:val="24"/>
          <w:lang w:eastAsia="pl-PL"/>
        </w:rPr>
        <w:t>o grach hazardowych, wszczęte i niezakończone przed dniem wejścia w życie ustawy</w:t>
      </w:r>
      <w:r w:rsidR="00F1767E">
        <w:rPr>
          <w:rFonts w:ascii="Times New Roman" w:eastAsia="Times New Roman" w:hAnsi="Times New Roman" w:cs="Times New Roman"/>
          <w:sz w:val="24"/>
          <w:szCs w:val="24"/>
          <w:lang w:eastAsia="pl-PL"/>
        </w:rPr>
        <w:t>,</w:t>
      </w:r>
      <w:r w:rsidRPr="00B25A10">
        <w:rPr>
          <w:rFonts w:ascii="Times New Roman" w:eastAsia="Times New Roman" w:hAnsi="Times New Roman" w:cs="Times New Roman"/>
          <w:sz w:val="24"/>
          <w:szCs w:val="24"/>
          <w:lang w:eastAsia="pl-PL"/>
        </w:rPr>
        <w:t xml:space="preserve"> będą prowadzone na podstawie przepisów dotychczasowych. </w:t>
      </w:r>
    </w:p>
    <w:p w14:paraId="2297CEBA" w14:textId="65DCC0CE" w:rsidR="00EE6700" w:rsidRPr="00B25A10" w:rsidRDefault="00EE6700" w:rsidP="00F1767E">
      <w:pPr>
        <w:suppressAutoHyphens/>
        <w:autoSpaceDE w:val="0"/>
        <w:autoSpaceDN w:val="0"/>
        <w:adjustRightInd w:val="0"/>
        <w:spacing w:before="240" w:after="120"/>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b/>
          <w:sz w:val="24"/>
          <w:szCs w:val="24"/>
          <w:lang w:eastAsia="pl-PL"/>
        </w:rPr>
        <w:t xml:space="preserve">Art. </w:t>
      </w:r>
      <w:r w:rsidR="003A7A19" w:rsidRPr="00B25A10">
        <w:rPr>
          <w:rFonts w:ascii="Times New Roman" w:eastAsia="Times New Roman" w:hAnsi="Times New Roman" w:cs="Times New Roman"/>
          <w:b/>
          <w:sz w:val="24"/>
          <w:szCs w:val="24"/>
          <w:lang w:eastAsia="pl-PL"/>
        </w:rPr>
        <w:t>21</w:t>
      </w:r>
      <w:r w:rsidRPr="00B25A10">
        <w:rPr>
          <w:rFonts w:ascii="Times New Roman" w:eastAsia="Times New Roman" w:hAnsi="Times New Roman" w:cs="Times New Roman"/>
          <w:b/>
          <w:sz w:val="24"/>
          <w:szCs w:val="24"/>
          <w:lang w:eastAsia="pl-PL"/>
        </w:rPr>
        <w:t xml:space="preserve"> </w:t>
      </w:r>
    </w:p>
    <w:p w14:paraId="34E28093" w14:textId="77777777" w:rsidR="00D53500" w:rsidRPr="00B25A10" w:rsidRDefault="00D53500" w:rsidP="002B0551">
      <w:pPr>
        <w:suppressAutoHyphens/>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B25A10">
        <w:rPr>
          <w:rFonts w:ascii="Times New Roman" w:eastAsia="Times New Roman" w:hAnsi="Times New Roman" w:cs="Times New Roman"/>
          <w:sz w:val="24"/>
          <w:szCs w:val="24"/>
          <w:lang w:eastAsia="pl-PL"/>
        </w:rPr>
        <w:t xml:space="preserve">Zmiana ustawy z dnia 16 listopada 2016 r. </w:t>
      </w:r>
      <w:r w:rsidR="009040D1" w:rsidRPr="00B25A10">
        <w:rPr>
          <w:rFonts w:ascii="Times New Roman" w:eastAsia="Times New Roman" w:hAnsi="Times New Roman" w:cs="Times New Roman"/>
          <w:sz w:val="24"/>
          <w:szCs w:val="24"/>
          <w:lang w:eastAsia="pl-PL"/>
        </w:rPr>
        <w:t>o Krajowej Administracji Skarbowej w zakresie procedury kontroli celno-skarbowej wymaga doprecyzowania</w:t>
      </w:r>
      <w:r w:rsidR="001176DC" w:rsidRPr="00B25A10">
        <w:rPr>
          <w:rFonts w:ascii="Times New Roman" w:eastAsia="Times New Roman" w:hAnsi="Times New Roman" w:cs="Times New Roman"/>
          <w:sz w:val="24"/>
          <w:szCs w:val="24"/>
          <w:lang w:eastAsia="pl-PL"/>
        </w:rPr>
        <w:t>,</w:t>
      </w:r>
      <w:r w:rsidR="009040D1" w:rsidRPr="00B25A10">
        <w:rPr>
          <w:rFonts w:ascii="Times New Roman" w:eastAsia="Times New Roman" w:hAnsi="Times New Roman" w:cs="Times New Roman"/>
          <w:sz w:val="24"/>
          <w:szCs w:val="24"/>
          <w:lang w:eastAsia="pl-PL"/>
        </w:rPr>
        <w:t xml:space="preserve"> w jaki sposób mają zostać zakończone kontrole celno-skarbowe po wejściu w życie ustawy, aby po zakończeniu kontroli celno-skarbowej można było wydać decyzję, o której mowa w art. 73d ustawy wymienionej w art. 1 projektu ustawy.</w:t>
      </w:r>
    </w:p>
    <w:p w14:paraId="706B5A6C" w14:textId="60DD94C5" w:rsidR="00712E99" w:rsidRPr="00B25A10" w:rsidRDefault="00712E99" w:rsidP="00F1767E">
      <w:pPr>
        <w:spacing w:before="240" w:after="120"/>
        <w:jc w:val="both"/>
        <w:rPr>
          <w:rFonts w:ascii="Times New Roman" w:hAnsi="Times New Roman" w:cs="Times New Roman"/>
          <w:sz w:val="24"/>
          <w:szCs w:val="24"/>
        </w:rPr>
      </w:pPr>
      <w:r w:rsidRPr="00B25A10">
        <w:rPr>
          <w:rFonts w:ascii="Times New Roman" w:hAnsi="Times New Roman" w:cs="Times New Roman"/>
          <w:b/>
          <w:sz w:val="24"/>
          <w:szCs w:val="24"/>
        </w:rPr>
        <w:t xml:space="preserve">Art. </w:t>
      </w:r>
      <w:r w:rsidR="003A7A19" w:rsidRPr="00B25A10">
        <w:rPr>
          <w:rFonts w:ascii="Times New Roman" w:hAnsi="Times New Roman" w:cs="Times New Roman"/>
          <w:b/>
          <w:sz w:val="24"/>
          <w:szCs w:val="24"/>
        </w:rPr>
        <w:t>22</w:t>
      </w:r>
      <w:r w:rsidRPr="00B25A10">
        <w:rPr>
          <w:rFonts w:ascii="Times New Roman" w:hAnsi="Times New Roman" w:cs="Times New Roman"/>
          <w:sz w:val="24"/>
          <w:szCs w:val="24"/>
        </w:rPr>
        <w:t xml:space="preserve"> </w:t>
      </w:r>
    </w:p>
    <w:p w14:paraId="6178C4F6"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Zgodnie z przepisem przejściowym zaprojektowanym w art. </w:t>
      </w:r>
      <w:r w:rsidR="00501C5F" w:rsidRPr="00B25A10">
        <w:rPr>
          <w:rFonts w:ascii="Times New Roman" w:hAnsi="Times New Roman" w:cs="Times New Roman"/>
          <w:sz w:val="24"/>
          <w:szCs w:val="24"/>
        </w:rPr>
        <w:t>2</w:t>
      </w:r>
      <w:r w:rsidR="003A7A19" w:rsidRPr="00B25A10">
        <w:rPr>
          <w:rFonts w:ascii="Times New Roman" w:hAnsi="Times New Roman" w:cs="Times New Roman"/>
          <w:sz w:val="24"/>
          <w:szCs w:val="24"/>
        </w:rPr>
        <w:t>2</w:t>
      </w:r>
      <w:r w:rsidR="00D514F8" w:rsidRPr="00B25A10">
        <w:rPr>
          <w:rFonts w:ascii="Times New Roman" w:hAnsi="Times New Roman" w:cs="Times New Roman"/>
          <w:sz w:val="24"/>
          <w:szCs w:val="24"/>
        </w:rPr>
        <w:t xml:space="preserve"> </w:t>
      </w:r>
      <w:r w:rsidRPr="00B25A10">
        <w:rPr>
          <w:rFonts w:ascii="Times New Roman" w:hAnsi="Times New Roman" w:cs="Times New Roman"/>
          <w:sz w:val="24"/>
          <w:szCs w:val="24"/>
        </w:rPr>
        <w:t xml:space="preserve">projektu ustawy, dotychczasowe przepisy wykonawcze wydane na podstawie art. 70 ust. 3 Prawa celnego zachowują moc do dnia wejścia w życie przepisów wydanych na tej podstawie, jednak nie dłużej niż przez 18 miesięcy od dnia wejścia w życie niniejszej ustawy. Konieczność wydania </w:t>
      </w:r>
      <w:r w:rsidR="0098018E" w:rsidRPr="00B25A10">
        <w:rPr>
          <w:rFonts w:ascii="Times New Roman" w:hAnsi="Times New Roman" w:cs="Times New Roman"/>
          <w:sz w:val="24"/>
          <w:szCs w:val="24"/>
        </w:rPr>
        <w:t xml:space="preserve">nowego </w:t>
      </w:r>
      <w:r w:rsidRPr="00B25A10">
        <w:rPr>
          <w:rFonts w:ascii="Times New Roman" w:hAnsi="Times New Roman" w:cs="Times New Roman"/>
          <w:sz w:val="24"/>
          <w:szCs w:val="24"/>
        </w:rPr>
        <w:t xml:space="preserve">rozporządzenia </w:t>
      </w:r>
      <w:r w:rsidR="0098018E" w:rsidRPr="00B25A10">
        <w:rPr>
          <w:rFonts w:ascii="Times New Roman" w:hAnsi="Times New Roman" w:cs="Times New Roman"/>
          <w:i/>
          <w:iCs/>
          <w:sz w:val="24"/>
          <w:szCs w:val="24"/>
        </w:rPr>
        <w:t xml:space="preserve"> </w:t>
      </w:r>
      <w:r w:rsidR="0098018E" w:rsidRPr="00B25A10">
        <w:rPr>
          <w:rFonts w:ascii="Times New Roman" w:hAnsi="Times New Roman" w:cs="Times New Roman"/>
          <w:iCs/>
          <w:sz w:val="24"/>
          <w:szCs w:val="24"/>
        </w:rPr>
        <w:t>w tym zakresie</w:t>
      </w:r>
      <w:r w:rsidRPr="00B25A10">
        <w:rPr>
          <w:rFonts w:ascii="Times New Roman" w:hAnsi="Times New Roman" w:cs="Times New Roman"/>
          <w:i/>
          <w:iCs/>
          <w:sz w:val="24"/>
          <w:szCs w:val="24"/>
        </w:rPr>
        <w:t xml:space="preserve"> </w:t>
      </w:r>
      <w:r w:rsidRPr="00B25A10">
        <w:rPr>
          <w:rFonts w:ascii="Times New Roman" w:hAnsi="Times New Roman" w:cs="Times New Roman"/>
          <w:sz w:val="24"/>
          <w:szCs w:val="24"/>
        </w:rPr>
        <w:t>wynika ze zmiany przepisu art. 70 ust. 2 pkt 3 Prawa celnego. Zgodnie ze zmienionym brzmieniem ww. przepisu Dyrektor Izby Administracji Skarbowej w Warszawie nie będzie już wydawał odrębnej decyzji w sprawach wpisu osoby na listę agentów celnych, sam wpis będzie już bowiem decyzją administracyjną. Przepisy ww. rozporządzenia wymagają zmian dostosowawczych w tym zakresie.</w:t>
      </w:r>
    </w:p>
    <w:p w14:paraId="71290893" w14:textId="2FA14606" w:rsidR="00712E99" w:rsidRPr="00B25A10" w:rsidRDefault="00712E99" w:rsidP="00F1767E">
      <w:pPr>
        <w:spacing w:before="240" w:after="120"/>
        <w:jc w:val="both"/>
        <w:rPr>
          <w:rFonts w:ascii="Times New Roman" w:hAnsi="Times New Roman" w:cs="Times New Roman"/>
          <w:b/>
          <w:sz w:val="24"/>
          <w:szCs w:val="24"/>
        </w:rPr>
      </w:pPr>
      <w:r w:rsidRPr="00B25A10">
        <w:rPr>
          <w:rFonts w:ascii="Times New Roman" w:hAnsi="Times New Roman" w:cs="Times New Roman"/>
          <w:b/>
          <w:sz w:val="24"/>
          <w:szCs w:val="24"/>
        </w:rPr>
        <w:lastRenderedPageBreak/>
        <w:t>Art.</w:t>
      </w:r>
      <w:r w:rsidR="007E3032" w:rsidRPr="00B25A10">
        <w:rPr>
          <w:rFonts w:ascii="Times New Roman" w:hAnsi="Times New Roman" w:cs="Times New Roman"/>
          <w:b/>
          <w:sz w:val="24"/>
          <w:szCs w:val="24"/>
        </w:rPr>
        <w:t xml:space="preserve"> </w:t>
      </w:r>
      <w:r w:rsidR="003A7A19" w:rsidRPr="00B25A10">
        <w:rPr>
          <w:rFonts w:ascii="Times New Roman" w:hAnsi="Times New Roman" w:cs="Times New Roman"/>
          <w:b/>
          <w:sz w:val="24"/>
          <w:szCs w:val="24"/>
        </w:rPr>
        <w:t>23</w:t>
      </w:r>
    </w:p>
    <w:p w14:paraId="4E3AEF3B" w14:textId="7777777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Zgodnie z przepisem przejściowym zaprojektowanym w art. </w:t>
      </w:r>
      <w:r w:rsidR="003A7A19" w:rsidRPr="00B25A10">
        <w:rPr>
          <w:rFonts w:ascii="Times New Roman" w:hAnsi="Times New Roman" w:cs="Times New Roman"/>
          <w:sz w:val="24"/>
          <w:szCs w:val="24"/>
        </w:rPr>
        <w:t>23</w:t>
      </w:r>
      <w:r w:rsidRPr="00B25A10">
        <w:rPr>
          <w:rFonts w:ascii="Times New Roman" w:hAnsi="Times New Roman" w:cs="Times New Roman"/>
          <w:sz w:val="24"/>
          <w:szCs w:val="24"/>
        </w:rPr>
        <w:t xml:space="preserve"> projektu ustawy, dotychczasowe przepisy wykonawcze wydane na podstawie art. 98 ust. 2 Prawa celnego zachowują moc do dnia wejścia w życie przepisów wydanych na tej podstawie, jednak nie dłużej niż przez 18 miesięcy od dnia wejścia w życie niniejszej ustawy.</w:t>
      </w:r>
    </w:p>
    <w:p w14:paraId="45F87FC7" w14:textId="590822B4" w:rsidR="00712E99" w:rsidRPr="00B25A10" w:rsidRDefault="00712E99" w:rsidP="00F1767E">
      <w:pPr>
        <w:spacing w:before="240" w:after="120"/>
        <w:jc w:val="both"/>
        <w:rPr>
          <w:rFonts w:ascii="Times New Roman" w:hAnsi="Times New Roman" w:cs="Times New Roman"/>
          <w:b/>
          <w:sz w:val="24"/>
          <w:szCs w:val="24"/>
        </w:rPr>
      </w:pPr>
      <w:r w:rsidRPr="00B25A10">
        <w:rPr>
          <w:rFonts w:ascii="Times New Roman" w:hAnsi="Times New Roman" w:cs="Times New Roman"/>
          <w:b/>
          <w:sz w:val="24"/>
          <w:szCs w:val="24"/>
        </w:rPr>
        <w:t xml:space="preserve">Art. </w:t>
      </w:r>
      <w:r w:rsidR="003A7A19" w:rsidRPr="00B25A10">
        <w:rPr>
          <w:rFonts w:ascii="Times New Roman" w:hAnsi="Times New Roman" w:cs="Times New Roman"/>
          <w:b/>
          <w:sz w:val="24"/>
          <w:szCs w:val="24"/>
        </w:rPr>
        <w:t>24</w:t>
      </w:r>
      <w:r w:rsidRPr="00B25A10">
        <w:rPr>
          <w:rFonts w:ascii="Times New Roman" w:hAnsi="Times New Roman" w:cs="Times New Roman"/>
          <w:b/>
          <w:sz w:val="24"/>
          <w:szCs w:val="24"/>
        </w:rPr>
        <w:t xml:space="preserve"> </w:t>
      </w:r>
    </w:p>
    <w:p w14:paraId="694ACADC" w14:textId="28283B05"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W projekcie ustawy przewidziano zmiany w ustawie o autostradach płatnych oraz o Krajowym Funduszu Drogowym w zakresie opłaty paliwowej. Wobec projektowanych w ustawie o autostradach płatnych oraz o Krajowym Funduszu Drogowym zmian zachodzi konieczność zmiany informacji w sprawie opłaty paliwowej stanowiącej załącznik do rozporządzenia Ministra Infrastruktury i Budownictwa z dnia 16 sierpnia 2017 r. w sprawie określenia wzoru informacji w sprawie opłaty paliwowej (Dz. U. poz. 1671). </w:t>
      </w:r>
      <w:r w:rsidR="00675AFE" w:rsidRPr="00B25A10">
        <w:rPr>
          <w:rFonts w:ascii="Times New Roman" w:hAnsi="Times New Roman" w:cs="Times New Roman"/>
          <w:sz w:val="24"/>
          <w:szCs w:val="24"/>
        </w:rPr>
        <w:t>Z</w:t>
      </w:r>
      <w:r w:rsidRPr="00B25A10">
        <w:rPr>
          <w:rFonts w:ascii="Times New Roman" w:hAnsi="Times New Roman" w:cs="Times New Roman"/>
          <w:sz w:val="24"/>
          <w:szCs w:val="24"/>
        </w:rPr>
        <w:t>asadn</w:t>
      </w:r>
      <w:r w:rsidR="00F1767E">
        <w:rPr>
          <w:rFonts w:ascii="Times New Roman" w:hAnsi="Times New Roman" w:cs="Times New Roman"/>
          <w:sz w:val="24"/>
          <w:szCs w:val="24"/>
        </w:rPr>
        <w:t>e</w:t>
      </w:r>
      <w:r w:rsidRPr="00B25A10">
        <w:rPr>
          <w:rFonts w:ascii="Times New Roman" w:hAnsi="Times New Roman" w:cs="Times New Roman"/>
          <w:sz w:val="24"/>
          <w:szCs w:val="24"/>
        </w:rPr>
        <w:t xml:space="preserve"> jest dodanie przepisu przejściowego utrzymującego w mocy rozporządzenie wydane na podstawie art. 37o ust. 4 ustawy o autostradach płatnych oraz o Krajowym Funduszu Drogowym do dnia wejścia w życie nowego rozporządzenia, jednak nie dłużej niż przez 18 miesięcy od dnia wejścia w życie niniejszej ustawy. </w:t>
      </w:r>
    </w:p>
    <w:p w14:paraId="75554464" w14:textId="2A6CEA50" w:rsidR="00712E99" w:rsidRPr="00B25A10" w:rsidRDefault="00712E99" w:rsidP="00F1767E">
      <w:pPr>
        <w:spacing w:before="240" w:after="120"/>
        <w:jc w:val="both"/>
        <w:rPr>
          <w:rFonts w:ascii="Times New Roman" w:hAnsi="Times New Roman" w:cs="Times New Roman"/>
          <w:b/>
          <w:sz w:val="24"/>
          <w:szCs w:val="24"/>
        </w:rPr>
      </w:pPr>
      <w:r w:rsidRPr="00B25A10">
        <w:rPr>
          <w:rFonts w:ascii="Times New Roman" w:hAnsi="Times New Roman" w:cs="Times New Roman"/>
          <w:b/>
          <w:sz w:val="24"/>
          <w:szCs w:val="24"/>
        </w:rPr>
        <w:t xml:space="preserve">Art. </w:t>
      </w:r>
      <w:r w:rsidR="00550E81" w:rsidRPr="00B25A10">
        <w:rPr>
          <w:rFonts w:ascii="Times New Roman" w:hAnsi="Times New Roman" w:cs="Times New Roman"/>
          <w:b/>
          <w:sz w:val="24"/>
          <w:szCs w:val="24"/>
        </w:rPr>
        <w:t>2</w:t>
      </w:r>
      <w:r w:rsidR="003A7A19" w:rsidRPr="00B25A10">
        <w:rPr>
          <w:rFonts w:ascii="Times New Roman" w:hAnsi="Times New Roman" w:cs="Times New Roman"/>
          <w:b/>
          <w:sz w:val="24"/>
          <w:szCs w:val="24"/>
        </w:rPr>
        <w:t>5</w:t>
      </w:r>
    </w:p>
    <w:p w14:paraId="632DB4CD" w14:textId="6CC6DB0F"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Projektowana </w:t>
      </w:r>
      <w:r w:rsidR="00B62B25">
        <w:rPr>
          <w:rFonts w:ascii="Times New Roman" w:hAnsi="Times New Roman" w:cs="Times New Roman"/>
          <w:sz w:val="24"/>
          <w:szCs w:val="24"/>
        </w:rPr>
        <w:t>ustawa</w:t>
      </w:r>
      <w:r w:rsidR="00B62B25" w:rsidRPr="00B25A10">
        <w:rPr>
          <w:rFonts w:ascii="Times New Roman" w:hAnsi="Times New Roman" w:cs="Times New Roman"/>
          <w:sz w:val="24"/>
          <w:szCs w:val="24"/>
        </w:rPr>
        <w:t xml:space="preserve"> </w:t>
      </w:r>
      <w:r w:rsidRPr="00B25A10">
        <w:rPr>
          <w:rFonts w:ascii="Times New Roman" w:hAnsi="Times New Roman" w:cs="Times New Roman"/>
          <w:sz w:val="24"/>
          <w:szCs w:val="24"/>
        </w:rPr>
        <w:t xml:space="preserve">wprowadza również zmiany w ustawie </w:t>
      </w:r>
      <w:r w:rsidR="00F1767E" w:rsidRPr="00B25A10">
        <w:rPr>
          <w:rFonts w:ascii="Times New Roman" w:hAnsi="Times New Roman" w:cs="Times New Roman"/>
          <w:sz w:val="24"/>
          <w:szCs w:val="24"/>
        </w:rPr>
        <w:t>–</w:t>
      </w:r>
      <w:r w:rsidRPr="00B25A10">
        <w:rPr>
          <w:rFonts w:ascii="Times New Roman" w:hAnsi="Times New Roman" w:cs="Times New Roman"/>
          <w:sz w:val="24"/>
          <w:szCs w:val="24"/>
        </w:rPr>
        <w:t xml:space="preserve"> Prawo ochrony środowiska, w zakresie opłaty emisyjnej. Zmiany te pociągają za sobą – analogicznie jak w przypadku opłaty paliwowej, konieczność zmiany informacji w sprawie opłaty emisyjnej stanowiącej załącznik do rozporządzenia Ministra Środowiska z dnia 7 grudnia 2018 r. w sprawie określenia wzoru informacji w sprawie opłaty emisyjnej (Dz. U. poz. 2331). </w:t>
      </w:r>
      <w:r w:rsidR="00675AFE" w:rsidRPr="00B25A10">
        <w:rPr>
          <w:rFonts w:ascii="Times New Roman" w:hAnsi="Times New Roman" w:cs="Times New Roman"/>
          <w:sz w:val="24"/>
          <w:szCs w:val="24"/>
        </w:rPr>
        <w:t>Z</w:t>
      </w:r>
      <w:r w:rsidRPr="00B25A10">
        <w:rPr>
          <w:rFonts w:ascii="Times New Roman" w:hAnsi="Times New Roman" w:cs="Times New Roman"/>
          <w:sz w:val="24"/>
          <w:szCs w:val="24"/>
        </w:rPr>
        <w:t>asadn</w:t>
      </w:r>
      <w:r w:rsidR="00F1767E">
        <w:rPr>
          <w:rFonts w:ascii="Times New Roman" w:hAnsi="Times New Roman" w:cs="Times New Roman"/>
          <w:sz w:val="24"/>
          <w:szCs w:val="24"/>
        </w:rPr>
        <w:t>e</w:t>
      </w:r>
      <w:r w:rsidRPr="00B25A10">
        <w:rPr>
          <w:rFonts w:ascii="Times New Roman" w:hAnsi="Times New Roman" w:cs="Times New Roman"/>
          <w:sz w:val="24"/>
          <w:szCs w:val="24"/>
        </w:rPr>
        <w:t xml:space="preserve"> jest dodanie przepisu przejściowego utrzymującego w mocy rozporządzenie wydane na podstawie art. 321h ust. 3 ustawy – Prawo ochrony środowiska do dnia wejścia w życie nowego rozporządzenia, jednak nie dłużej niż przez 18 miesięcy od dnia wejścia w życie niniejszej ustawy. </w:t>
      </w:r>
    </w:p>
    <w:p w14:paraId="6B7DFBB4" w14:textId="23CEC4C3" w:rsidR="00712E99" w:rsidRPr="00B25A10" w:rsidRDefault="00712E99" w:rsidP="00F1767E">
      <w:pPr>
        <w:spacing w:before="240" w:after="120"/>
        <w:jc w:val="both"/>
        <w:rPr>
          <w:rFonts w:ascii="Times New Roman" w:hAnsi="Times New Roman" w:cs="Times New Roman"/>
          <w:b/>
          <w:sz w:val="24"/>
          <w:szCs w:val="24"/>
        </w:rPr>
      </w:pPr>
      <w:r w:rsidRPr="00B25A10">
        <w:rPr>
          <w:rFonts w:ascii="Times New Roman" w:hAnsi="Times New Roman" w:cs="Times New Roman"/>
          <w:b/>
          <w:sz w:val="24"/>
          <w:szCs w:val="24"/>
        </w:rPr>
        <w:t xml:space="preserve">Art. </w:t>
      </w:r>
      <w:r w:rsidR="00550E81" w:rsidRPr="00B25A10">
        <w:rPr>
          <w:rFonts w:ascii="Times New Roman" w:hAnsi="Times New Roman" w:cs="Times New Roman"/>
          <w:b/>
          <w:sz w:val="24"/>
          <w:szCs w:val="24"/>
        </w:rPr>
        <w:t>2</w:t>
      </w:r>
      <w:r w:rsidR="003A7A19" w:rsidRPr="00B25A10">
        <w:rPr>
          <w:rFonts w:ascii="Times New Roman" w:hAnsi="Times New Roman" w:cs="Times New Roman"/>
          <w:b/>
          <w:sz w:val="24"/>
          <w:szCs w:val="24"/>
        </w:rPr>
        <w:t>6</w:t>
      </w:r>
    </w:p>
    <w:p w14:paraId="5B2E236C" w14:textId="4D377F67" w:rsidR="00712E99" w:rsidRPr="00B25A10" w:rsidRDefault="00712E99" w:rsidP="002B0551">
      <w:pPr>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Przepis przejściowy zawarty w art. </w:t>
      </w:r>
      <w:r w:rsidR="00675AFE" w:rsidRPr="00B25A10">
        <w:rPr>
          <w:rFonts w:ascii="Times New Roman" w:hAnsi="Times New Roman" w:cs="Times New Roman"/>
          <w:sz w:val="24"/>
          <w:szCs w:val="24"/>
        </w:rPr>
        <w:t>26</w:t>
      </w:r>
      <w:r w:rsidRPr="00B25A10">
        <w:rPr>
          <w:rFonts w:ascii="Times New Roman" w:hAnsi="Times New Roman" w:cs="Times New Roman"/>
          <w:sz w:val="24"/>
          <w:szCs w:val="24"/>
        </w:rPr>
        <w:t xml:space="preserve"> projektu ustawy określa maksymalny limit wydatków budżetowych będący skutkiem ustawy, mechanizm korygujący mogący mieć zastosowanie w przypadku przekroczenia lub zagrożenia przekroczenia przyjętego limitu wydatków, a także właściwy w tych sprawach organ, zgodnie z art. 50 ust. 1a, 4 i 5</w:t>
      </w:r>
      <w:r w:rsidR="009E1671" w:rsidRPr="00B25A10">
        <w:rPr>
          <w:rFonts w:ascii="Times New Roman" w:hAnsi="Times New Roman" w:cs="Times New Roman"/>
          <w:sz w:val="24"/>
          <w:szCs w:val="24"/>
        </w:rPr>
        <w:t xml:space="preserve"> ustawy o finansach publicznych.</w:t>
      </w:r>
      <w:r w:rsidRPr="00B25A10">
        <w:rPr>
          <w:rFonts w:ascii="Times New Roman" w:hAnsi="Times New Roman" w:cs="Times New Roman"/>
          <w:sz w:val="24"/>
          <w:szCs w:val="24"/>
        </w:rPr>
        <w:t xml:space="preserve"> </w:t>
      </w:r>
    </w:p>
    <w:p w14:paraId="1411C9F8" w14:textId="4E5F3F7C" w:rsidR="00712E99" w:rsidRPr="00B25A10" w:rsidRDefault="00712E99" w:rsidP="00F1767E">
      <w:pPr>
        <w:spacing w:before="240" w:after="120"/>
        <w:jc w:val="both"/>
        <w:rPr>
          <w:rFonts w:ascii="Times New Roman" w:hAnsi="Times New Roman" w:cs="Times New Roman"/>
          <w:b/>
          <w:sz w:val="24"/>
          <w:szCs w:val="24"/>
        </w:rPr>
      </w:pPr>
      <w:r w:rsidRPr="00B25A10">
        <w:rPr>
          <w:rFonts w:ascii="Times New Roman" w:hAnsi="Times New Roman" w:cs="Times New Roman"/>
          <w:b/>
          <w:sz w:val="24"/>
          <w:szCs w:val="24"/>
        </w:rPr>
        <w:lastRenderedPageBreak/>
        <w:t xml:space="preserve">Art. </w:t>
      </w:r>
      <w:r w:rsidR="00903478" w:rsidRPr="00B25A10">
        <w:rPr>
          <w:rFonts w:ascii="Times New Roman" w:hAnsi="Times New Roman" w:cs="Times New Roman"/>
          <w:b/>
          <w:sz w:val="24"/>
          <w:szCs w:val="24"/>
        </w:rPr>
        <w:t>2</w:t>
      </w:r>
      <w:r w:rsidR="003A7A19" w:rsidRPr="00B25A10">
        <w:rPr>
          <w:rFonts w:ascii="Times New Roman" w:hAnsi="Times New Roman" w:cs="Times New Roman"/>
          <w:b/>
          <w:sz w:val="24"/>
          <w:szCs w:val="24"/>
        </w:rPr>
        <w:t>7</w:t>
      </w:r>
      <w:r w:rsidRPr="00B25A10">
        <w:rPr>
          <w:rFonts w:ascii="Times New Roman" w:hAnsi="Times New Roman" w:cs="Times New Roman"/>
          <w:b/>
          <w:sz w:val="24"/>
          <w:szCs w:val="24"/>
        </w:rPr>
        <w:t xml:space="preserve"> </w:t>
      </w:r>
    </w:p>
    <w:p w14:paraId="097DD982" w14:textId="37135F4D" w:rsidR="00550E81" w:rsidRDefault="00C37FD2" w:rsidP="006A5BB8">
      <w:pPr>
        <w:autoSpaceDE w:val="0"/>
        <w:autoSpaceDN w:val="0"/>
        <w:adjustRightInd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w:t>
      </w:r>
      <w:r w:rsidR="00712E99" w:rsidRPr="00B25A10">
        <w:rPr>
          <w:rFonts w:ascii="Times New Roman" w:hAnsi="Times New Roman" w:cs="Times New Roman"/>
          <w:sz w:val="24"/>
          <w:szCs w:val="24"/>
        </w:rPr>
        <w:t>rzepisy projektowanej ustawy</w:t>
      </w:r>
      <w:r w:rsidR="00550E81" w:rsidRPr="00B25A10">
        <w:rPr>
          <w:rFonts w:ascii="Times New Roman" w:hAnsi="Times New Roman" w:cs="Times New Roman"/>
          <w:sz w:val="24"/>
          <w:szCs w:val="24"/>
        </w:rPr>
        <w:t xml:space="preserve"> </w:t>
      </w:r>
      <w:r w:rsidR="00712E99" w:rsidRPr="00B25A10">
        <w:rPr>
          <w:rFonts w:ascii="Times New Roman" w:hAnsi="Times New Roman" w:cs="Times New Roman"/>
          <w:sz w:val="24"/>
          <w:szCs w:val="24"/>
        </w:rPr>
        <w:t xml:space="preserve">wejdą w życie </w:t>
      </w:r>
      <w:r w:rsidR="003869C2" w:rsidRPr="00B25A10">
        <w:rPr>
          <w:rStyle w:val="Ppogrubienie"/>
          <w:rFonts w:ascii="Times New Roman" w:hAnsi="Times New Roman" w:cs="Times New Roman"/>
          <w:b w:val="0"/>
          <w:sz w:val="24"/>
          <w:szCs w:val="24"/>
        </w:rPr>
        <w:t>pierwszego dnia miesiąca</w:t>
      </w:r>
      <w:r w:rsidR="003869C2" w:rsidRPr="00B25A10">
        <w:rPr>
          <w:rFonts w:ascii="Times New Roman" w:hAnsi="Times New Roman" w:cs="Times New Roman"/>
          <w:sz w:val="24"/>
          <w:szCs w:val="24"/>
        </w:rPr>
        <w:t xml:space="preserve"> następującego po upływie miesiąca od dnia ogłoszenia</w:t>
      </w:r>
      <w:r w:rsidR="00F24CE3" w:rsidRPr="00B25A10">
        <w:rPr>
          <w:rFonts w:ascii="Times New Roman" w:hAnsi="Times New Roman" w:cs="Times New Roman"/>
          <w:sz w:val="24"/>
          <w:szCs w:val="24"/>
        </w:rPr>
        <w:t>. Termin wejścia w życie ustawy wynika z dążenia do jak najszybszego stosowania regulacji w zakresie proponowanych zmian. Konieczne jest, aby przepisy regulujące obowiązek zapłaty opłaty paliwowej obowiązywały od pierwszego dnia miesiąca ze względu na termin składania informacji o opłacie paliwowej. Podmioty są zobowiązane do składania informacji o opłacie paliwowej do 25</w:t>
      </w:r>
      <w:r w:rsidR="00F1767E">
        <w:rPr>
          <w:rFonts w:ascii="Times New Roman" w:hAnsi="Times New Roman" w:cs="Times New Roman"/>
          <w:sz w:val="24"/>
          <w:szCs w:val="24"/>
        </w:rPr>
        <w:t>.</w:t>
      </w:r>
      <w:r w:rsidR="00F24CE3" w:rsidRPr="00B25A10">
        <w:rPr>
          <w:rFonts w:ascii="Times New Roman" w:hAnsi="Times New Roman" w:cs="Times New Roman"/>
          <w:sz w:val="24"/>
          <w:szCs w:val="24"/>
        </w:rPr>
        <w:t xml:space="preserve"> dnia miesiąca następującego po miesiącu, w którym powstał obowiązek zapłaty. Dodatkowo termin ten podyktowany jest zapewnieniem odpowiedniego czasu na dostosowanie się organów administracji skarbowej</w:t>
      </w:r>
      <w:r w:rsidR="00F1767E">
        <w:rPr>
          <w:rFonts w:ascii="Times New Roman" w:hAnsi="Times New Roman" w:cs="Times New Roman"/>
          <w:sz w:val="24"/>
          <w:szCs w:val="24"/>
        </w:rPr>
        <w:t>,</w:t>
      </w:r>
      <w:r w:rsidR="00F24CE3" w:rsidRPr="00B25A10">
        <w:rPr>
          <w:rFonts w:ascii="Times New Roman" w:hAnsi="Times New Roman" w:cs="Times New Roman"/>
          <w:sz w:val="24"/>
          <w:szCs w:val="24"/>
        </w:rPr>
        <w:t xml:space="preserve"> jak i podmiotów zobowiązanych do zapłaty opłaty paliwowej do</w:t>
      </w:r>
      <w:r w:rsidR="00B62B25">
        <w:rPr>
          <w:rFonts w:ascii="Times New Roman" w:hAnsi="Times New Roman" w:cs="Times New Roman"/>
          <w:sz w:val="24"/>
          <w:szCs w:val="24"/>
        </w:rPr>
        <w:t xml:space="preserve"> </w:t>
      </w:r>
      <w:r w:rsidR="00F24CE3" w:rsidRPr="00B25A10">
        <w:rPr>
          <w:rFonts w:ascii="Times New Roman" w:hAnsi="Times New Roman" w:cs="Times New Roman"/>
          <w:sz w:val="24"/>
          <w:szCs w:val="24"/>
        </w:rPr>
        <w:t>projektowanych regulacji.</w:t>
      </w:r>
      <w:r w:rsidRPr="00B25A10">
        <w:rPr>
          <w:rFonts w:ascii="Times New Roman" w:hAnsi="Times New Roman" w:cs="Times New Roman"/>
          <w:sz w:val="24"/>
          <w:szCs w:val="24"/>
        </w:rPr>
        <w:t xml:space="preserve"> </w:t>
      </w:r>
    </w:p>
    <w:p w14:paraId="7F972EBC" w14:textId="4BDCDA93" w:rsidR="00181EE0" w:rsidRPr="00181EE0" w:rsidRDefault="008C346B" w:rsidP="00F1767E">
      <w:pPr>
        <w:spacing w:before="240" w:after="0" w:line="360" w:lineRule="auto"/>
        <w:jc w:val="both"/>
        <w:rPr>
          <w:rFonts w:ascii="Times New Roman" w:hAnsi="Times New Roman"/>
          <w:color w:val="000000"/>
          <w:spacing w:val="-2"/>
          <w:sz w:val="24"/>
          <w:szCs w:val="24"/>
        </w:rPr>
      </w:pPr>
      <w:r>
        <w:rPr>
          <w:rFonts w:ascii="Times New Roman" w:hAnsi="Times New Roman"/>
          <w:color w:val="000000"/>
          <w:spacing w:val="-2"/>
          <w:sz w:val="24"/>
          <w:szCs w:val="24"/>
        </w:rPr>
        <w:t>Projektowana ustawa</w:t>
      </w:r>
      <w:r w:rsidR="00181EE0" w:rsidRPr="00181EE0">
        <w:rPr>
          <w:rFonts w:ascii="Times New Roman" w:hAnsi="Times New Roman"/>
          <w:color w:val="000000"/>
          <w:spacing w:val="-2"/>
          <w:sz w:val="24"/>
          <w:szCs w:val="24"/>
        </w:rPr>
        <w:t xml:space="preserve"> jest działaniem oczekiwanym przez przedsiębiorców</w:t>
      </w:r>
      <w:r w:rsidR="00181EE0">
        <w:rPr>
          <w:rFonts w:ascii="Times New Roman" w:hAnsi="Times New Roman"/>
          <w:color w:val="000000"/>
          <w:spacing w:val="-2"/>
          <w:sz w:val="24"/>
          <w:szCs w:val="24"/>
        </w:rPr>
        <w:t xml:space="preserve"> </w:t>
      </w:r>
      <w:r w:rsidR="00181EE0" w:rsidRPr="00181EE0">
        <w:rPr>
          <w:rFonts w:ascii="Times New Roman" w:hAnsi="Times New Roman"/>
          <w:color w:val="000000"/>
          <w:spacing w:val="-2"/>
          <w:sz w:val="24"/>
          <w:szCs w:val="24"/>
        </w:rPr>
        <w:t>(importerów)</w:t>
      </w:r>
      <w:r w:rsidR="00181EE0">
        <w:rPr>
          <w:rFonts w:ascii="Times New Roman" w:hAnsi="Times New Roman"/>
          <w:color w:val="000000"/>
          <w:spacing w:val="-2"/>
          <w:sz w:val="24"/>
          <w:szCs w:val="24"/>
        </w:rPr>
        <w:t>, w tym mikro</w:t>
      </w:r>
      <w:r w:rsidR="00F1767E">
        <w:rPr>
          <w:rFonts w:ascii="Times New Roman" w:hAnsi="Times New Roman"/>
          <w:color w:val="000000"/>
          <w:spacing w:val="-2"/>
          <w:sz w:val="24"/>
          <w:szCs w:val="24"/>
        </w:rPr>
        <w:t>-</w:t>
      </w:r>
      <w:r w:rsidR="00181EE0">
        <w:rPr>
          <w:rFonts w:ascii="Times New Roman" w:hAnsi="Times New Roman"/>
          <w:color w:val="000000"/>
          <w:spacing w:val="-2"/>
          <w:sz w:val="24"/>
          <w:szCs w:val="24"/>
        </w:rPr>
        <w:t>, małych i średnich przedsiębiorców</w:t>
      </w:r>
      <w:r>
        <w:rPr>
          <w:rFonts w:ascii="Times New Roman" w:hAnsi="Times New Roman"/>
          <w:color w:val="000000"/>
          <w:spacing w:val="-2"/>
          <w:sz w:val="24"/>
          <w:szCs w:val="24"/>
        </w:rPr>
        <w:t>. Celem nowelizacji jest uproszczenie i skrócenie</w:t>
      </w:r>
      <w:r w:rsidR="00181EE0" w:rsidRPr="00181EE0">
        <w:rPr>
          <w:rFonts w:ascii="Times New Roman" w:hAnsi="Times New Roman"/>
          <w:color w:val="000000"/>
          <w:spacing w:val="-2"/>
          <w:sz w:val="24"/>
          <w:szCs w:val="24"/>
        </w:rPr>
        <w:t xml:space="preserve"> postępowan</w:t>
      </w:r>
      <w:r>
        <w:rPr>
          <w:rFonts w:ascii="Times New Roman" w:hAnsi="Times New Roman"/>
          <w:color w:val="000000"/>
          <w:spacing w:val="-2"/>
          <w:sz w:val="24"/>
          <w:szCs w:val="24"/>
        </w:rPr>
        <w:t>ia podatkowego. Obecnie przedsiębiorcy są zobligowani</w:t>
      </w:r>
      <w:r w:rsidR="00181EE0" w:rsidRPr="00181EE0">
        <w:rPr>
          <w:rFonts w:ascii="Times New Roman" w:hAnsi="Times New Roman"/>
          <w:color w:val="000000"/>
          <w:spacing w:val="-2"/>
          <w:sz w:val="24"/>
          <w:szCs w:val="24"/>
        </w:rPr>
        <w:t xml:space="preserve"> do udziału w co najmniej dwóch postępowaniach związanych z importem tego samego towaru (w zakresie cła, podatku VAT i np. podatku akcyzowego). Z punktu widzenia przedsiębiorców działania te są niewspółmierne do oczekiwanego efektu, tj. uzyskania od organu decyzji dotyczących wymiaru wszystkich należności importowych. Proponowane rozwiązanie ułatwi przedsiębiorcom współpracę z urzędem celno-skarbowym w tym zakresie, bowiem wszystkie czynności wykonane zostaną w jednym postępowaniu, co z kolei przyczyni się do zredukowania kosztów postępowania, bez konieczności ustanawiania odrębnie pełnomocników do każdego postępowania, bez konieczności prowadzenia dodatkowej korespondencji. Zmiana procedury związanej z</w:t>
      </w:r>
      <w:r w:rsidR="00181EE0">
        <w:rPr>
          <w:rFonts w:ascii="Times New Roman" w:hAnsi="Times New Roman"/>
          <w:color w:val="000000"/>
          <w:spacing w:val="-2"/>
          <w:sz w:val="24"/>
          <w:szCs w:val="24"/>
        </w:rPr>
        <w:t> </w:t>
      </w:r>
      <w:r w:rsidR="00181EE0" w:rsidRPr="00181EE0">
        <w:rPr>
          <w:rFonts w:ascii="Times New Roman" w:hAnsi="Times New Roman"/>
          <w:color w:val="000000"/>
          <w:spacing w:val="-2"/>
          <w:sz w:val="24"/>
          <w:szCs w:val="24"/>
        </w:rPr>
        <w:t>wymiarem należności importowych powinna wpłynąć również na szybkość postępowania, co z kolei ułatwi i usprawni przedsiębiorcom działalność związaną z importem towarów.</w:t>
      </w:r>
    </w:p>
    <w:p w14:paraId="65E8CFEA" w14:textId="77777777" w:rsidR="00777600" w:rsidRDefault="00777600" w:rsidP="006A5BB8">
      <w:pPr>
        <w:pStyle w:val="NormalnyWeb"/>
        <w:keepLines/>
        <w:shd w:val="clear" w:color="auto" w:fill="FFFFFF"/>
        <w:spacing w:before="120" w:line="360" w:lineRule="auto"/>
        <w:jc w:val="both"/>
        <w:textAlignment w:val="baseline"/>
      </w:pPr>
      <w:r>
        <w:t>Ponadto w art. 3 projektu wprowadzono przepisy umożliwiające otrzymanie zwrotu opłaty paliwowej przez przedsiębiorców.</w:t>
      </w:r>
    </w:p>
    <w:p w14:paraId="2F7D3A52" w14:textId="77777777" w:rsidR="00181EE0" w:rsidRDefault="00181EE0" w:rsidP="006A5BB8">
      <w:pPr>
        <w:pStyle w:val="NormalnyWeb"/>
        <w:keepLines/>
        <w:shd w:val="clear" w:color="auto" w:fill="FFFFFF"/>
        <w:spacing w:before="120" w:line="360" w:lineRule="auto"/>
        <w:jc w:val="both"/>
        <w:textAlignment w:val="baseline"/>
      </w:pPr>
      <w:r>
        <w:rPr>
          <w:color w:val="000000"/>
          <w:spacing w:val="-2"/>
        </w:rPr>
        <w:t>Zmiana w zakresie identyfikacji podatkowej (art. 4) będzie</w:t>
      </w:r>
      <w:r w:rsidR="00777600">
        <w:rPr>
          <w:color w:val="000000"/>
          <w:spacing w:val="-2"/>
        </w:rPr>
        <w:t xml:space="preserve"> natomiast</w:t>
      </w:r>
      <w:r>
        <w:rPr>
          <w:color w:val="000000"/>
          <w:spacing w:val="-2"/>
        </w:rPr>
        <w:t xml:space="preserve"> korzystna dla płatników zatrudniających cudzoziemców,</w:t>
      </w:r>
      <w:r w:rsidRPr="00B25A10">
        <w:t xml:space="preserve"> borykających się z identyfikacją</w:t>
      </w:r>
      <w:r>
        <w:t xml:space="preserve"> tych podatników konieczną </w:t>
      </w:r>
      <w:r w:rsidRPr="00B25A10">
        <w:t xml:space="preserve"> do prawidłowego ich rozliczenia.</w:t>
      </w:r>
    </w:p>
    <w:p w14:paraId="30865FB5" w14:textId="77777777" w:rsidR="00712E99" w:rsidRPr="00B25A10" w:rsidRDefault="00712E99" w:rsidP="006A5BB8">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 xml:space="preserve">Projekt ustawy nie wymaga przedstawienia instytucjom i organom Unii Europejskiej, w tym Europejskiemu Bankowi Centralnemu, w celu uzyskania opinii, dokonania powiadomienia, konsultacji albo uzgodnień, o których mowa w § 39 uchwały nr 190 Rady Ministrów z dnia </w:t>
      </w:r>
      <w:r w:rsidRPr="00B25A10">
        <w:rPr>
          <w:rFonts w:ascii="Times New Roman" w:eastAsia="Calibri" w:hAnsi="Times New Roman" w:cs="Times New Roman"/>
          <w:sz w:val="24"/>
          <w:szCs w:val="24"/>
        </w:rPr>
        <w:lastRenderedPageBreak/>
        <w:t>29 października 2013 r. - Regulamin pracy Rady Ministrów (M.P. z 2016 r. poz. 1006, z późn. zm.).</w:t>
      </w:r>
    </w:p>
    <w:p w14:paraId="2E1265F7" w14:textId="77777777" w:rsidR="00712E99" w:rsidRPr="00B25A10" w:rsidRDefault="00712E99" w:rsidP="006A5BB8">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Projekt ustawy nie jest sprzeczny z prawem Unii Europejskiej.</w:t>
      </w:r>
    </w:p>
    <w:p w14:paraId="12DE8BF3" w14:textId="77777777" w:rsidR="00712E99" w:rsidRPr="00B25A10" w:rsidRDefault="00712E99" w:rsidP="006A5BB8">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Projekt ustawy nie zawiera norm technicznych, w związku z czym nie wymaga notyfikacji na podstawie przepisów rozporządzenia Rady Ministrów z dnia 23 grudnia 2002 r. w sprawie sposobu funkcjonowania krajowego systemu notyfikacji norm i aktów prawnych (Dz. U. poz. 2039, z późn. zm.).</w:t>
      </w:r>
    </w:p>
    <w:p w14:paraId="7EABAD3C" w14:textId="77777777" w:rsidR="00712E99" w:rsidRPr="00B25A10" w:rsidRDefault="00712E99" w:rsidP="006A5BB8">
      <w:pPr>
        <w:spacing w:before="120" w:after="0" w:line="360" w:lineRule="auto"/>
        <w:jc w:val="both"/>
        <w:rPr>
          <w:rFonts w:ascii="Times New Roman" w:eastAsia="Calibri" w:hAnsi="Times New Roman" w:cs="Times New Roman"/>
          <w:sz w:val="24"/>
          <w:szCs w:val="24"/>
        </w:rPr>
      </w:pPr>
      <w:r w:rsidRPr="00B25A10">
        <w:rPr>
          <w:rFonts w:ascii="Times New Roman" w:eastAsia="Calibri" w:hAnsi="Times New Roman" w:cs="Times New Roman"/>
          <w:sz w:val="24"/>
          <w:szCs w:val="24"/>
        </w:rPr>
        <w:t>Stosownie do art. 4 ustawy z dnia 7 lipca 2005 r. o działalności lobbingowej w procesie stanowienia prawa (Dz. U. z 2017</w:t>
      </w:r>
      <w:r w:rsidR="00D471B1" w:rsidRPr="00B25A10">
        <w:rPr>
          <w:rFonts w:ascii="Times New Roman" w:eastAsia="Calibri" w:hAnsi="Times New Roman" w:cs="Times New Roman"/>
          <w:sz w:val="24"/>
          <w:szCs w:val="24"/>
        </w:rPr>
        <w:t xml:space="preserve"> r.</w:t>
      </w:r>
      <w:r w:rsidRPr="00B25A10">
        <w:rPr>
          <w:rFonts w:ascii="Times New Roman" w:eastAsia="Calibri" w:hAnsi="Times New Roman" w:cs="Times New Roman"/>
          <w:sz w:val="24"/>
          <w:szCs w:val="24"/>
        </w:rPr>
        <w:t xml:space="preserve"> poz. 248) projekt został zamieszczony w wykazie prac legislacyjnych.</w:t>
      </w:r>
    </w:p>
    <w:p w14:paraId="1B21CD56" w14:textId="77777777" w:rsidR="00712E99" w:rsidRPr="00B25A10" w:rsidRDefault="00712E99" w:rsidP="006A5BB8">
      <w:pPr>
        <w:autoSpaceDE w:val="0"/>
        <w:autoSpaceDN w:val="0"/>
        <w:adjustRightInd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Przedmiotowy projekt ustawy, stosownie do art. 5 i art. 6 ustawy</w:t>
      </w:r>
      <w:r w:rsidR="00D471B1" w:rsidRPr="00B25A10">
        <w:rPr>
          <w:rFonts w:ascii="Times New Roman" w:hAnsi="Times New Roman" w:cs="Times New Roman"/>
          <w:sz w:val="24"/>
          <w:szCs w:val="24"/>
        </w:rPr>
        <w:t xml:space="preserve"> z dnia 7 lipca 2005 r.</w:t>
      </w:r>
      <w:r w:rsidRPr="00B25A10">
        <w:rPr>
          <w:rFonts w:ascii="Times New Roman" w:hAnsi="Times New Roman" w:cs="Times New Roman"/>
          <w:sz w:val="24"/>
          <w:szCs w:val="24"/>
        </w:rPr>
        <w:t xml:space="preserve"> o działalności lobbingowej w procesie stanowienia prawa, zosta</w:t>
      </w:r>
      <w:r w:rsidR="0098018E" w:rsidRPr="00B25A10">
        <w:rPr>
          <w:rFonts w:ascii="Times New Roman" w:hAnsi="Times New Roman" w:cs="Times New Roman"/>
          <w:sz w:val="24"/>
          <w:szCs w:val="24"/>
        </w:rPr>
        <w:t>ł</w:t>
      </w:r>
      <w:r w:rsidRPr="00B25A10">
        <w:rPr>
          <w:rFonts w:ascii="Times New Roman" w:hAnsi="Times New Roman" w:cs="Times New Roman"/>
          <w:sz w:val="24"/>
          <w:szCs w:val="24"/>
        </w:rPr>
        <w:t xml:space="preserve"> udostępniony w Biuletynie Informacji Publicznej.</w:t>
      </w:r>
    </w:p>
    <w:p w14:paraId="7ACF1D80" w14:textId="7D3BCBFC" w:rsidR="004F11AB" w:rsidRPr="00B25A10" w:rsidRDefault="00712E99" w:rsidP="006A5BB8">
      <w:pPr>
        <w:autoSpaceDE w:val="0"/>
        <w:autoSpaceDN w:val="0"/>
        <w:adjustRightInd w:val="0"/>
        <w:spacing w:before="120" w:after="0" w:line="360" w:lineRule="auto"/>
        <w:jc w:val="both"/>
        <w:rPr>
          <w:rFonts w:ascii="Times New Roman" w:hAnsi="Times New Roman" w:cs="Times New Roman"/>
          <w:sz w:val="24"/>
          <w:szCs w:val="24"/>
        </w:rPr>
      </w:pPr>
      <w:r w:rsidRPr="00B25A10">
        <w:rPr>
          <w:rFonts w:ascii="Times New Roman" w:hAnsi="Times New Roman" w:cs="Times New Roman"/>
          <w:sz w:val="24"/>
          <w:szCs w:val="24"/>
        </w:rPr>
        <w:t xml:space="preserve">Ponadto, stosownie do § 52 uchwały nr 190 Rady Ministrów </w:t>
      </w:r>
      <w:r w:rsidR="00F1767E" w:rsidRPr="00B25A10">
        <w:rPr>
          <w:rFonts w:ascii="Times New Roman" w:hAnsi="Times New Roman" w:cs="Times New Roman"/>
          <w:sz w:val="24"/>
          <w:szCs w:val="24"/>
        </w:rPr>
        <w:t>–</w:t>
      </w:r>
      <w:r w:rsidRPr="00B25A10">
        <w:rPr>
          <w:rFonts w:ascii="Times New Roman" w:hAnsi="Times New Roman" w:cs="Times New Roman"/>
          <w:sz w:val="24"/>
          <w:szCs w:val="24"/>
        </w:rPr>
        <w:t xml:space="preserve"> Regulamin pracy Rady Ministrów, projekt rozporządzenia zosta</w:t>
      </w:r>
      <w:r w:rsidR="0098018E" w:rsidRPr="00B25A10">
        <w:rPr>
          <w:rFonts w:ascii="Times New Roman" w:hAnsi="Times New Roman" w:cs="Times New Roman"/>
          <w:sz w:val="24"/>
          <w:szCs w:val="24"/>
        </w:rPr>
        <w:t>ł</w:t>
      </w:r>
      <w:r w:rsidRPr="00B25A10">
        <w:rPr>
          <w:rFonts w:ascii="Times New Roman" w:hAnsi="Times New Roman" w:cs="Times New Roman"/>
          <w:sz w:val="24"/>
          <w:szCs w:val="24"/>
        </w:rPr>
        <w:t xml:space="preserve"> udostępniony w Biuletynie Informacji Publicznej na stronie podmiotowej Rządowego Centrum Legislacji, w serwisie Rządowy Proces Legislacyjny. </w:t>
      </w:r>
      <w:bookmarkStart w:id="1" w:name="teza"/>
      <w:bookmarkStart w:id="2" w:name="mip41475449"/>
      <w:bookmarkEnd w:id="1"/>
      <w:bookmarkEnd w:id="2"/>
    </w:p>
    <w:sectPr w:rsidR="004F11AB" w:rsidRPr="00B25A10" w:rsidSect="00BB029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5F9F9" w14:textId="77777777" w:rsidR="004C7E5C" w:rsidRDefault="004C7E5C" w:rsidP="00047147">
      <w:pPr>
        <w:spacing w:after="0" w:line="240" w:lineRule="auto"/>
      </w:pPr>
      <w:r>
        <w:separator/>
      </w:r>
    </w:p>
  </w:endnote>
  <w:endnote w:type="continuationSeparator" w:id="0">
    <w:p w14:paraId="14266B3D" w14:textId="77777777" w:rsidR="004C7E5C" w:rsidRDefault="004C7E5C" w:rsidP="00047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7762330"/>
      <w:docPartObj>
        <w:docPartGallery w:val="Page Numbers (Bottom of Page)"/>
        <w:docPartUnique/>
      </w:docPartObj>
    </w:sdtPr>
    <w:sdtEndPr>
      <w:rPr>
        <w:rFonts w:ascii="Times New Roman" w:hAnsi="Times New Roman" w:cs="Times New Roman"/>
        <w:sz w:val="24"/>
        <w:szCs w:val="24"/>
      </w:rPr>
    </w:sdtEndPr>
    <w:sdtContent>
      <w:p w14:paraId="759911A5" w14:textId="1EECD90D" w:rsidR="0075115B" w:rsidRPr="00BB0293" w:rsidRDefault="0075115B">
        <w:pPr>
          <w:pStyle w:val="Stopka"/>
          <w:jc w:val="center"/>
          <w:rPr>
            <w:rFonts w:ascii="Times New Roman" w:hAnsi="Times New Roman" w:cs="Times New Roman"/>
            <w:sz w:val="24"/>
            <w:szCs w:val="24"/>
          </w:rPr>
        </w:pPr>
        <w:r w:rsidRPr="00BB0293">
          <w:rPr>
            <w:rFonts w:ascii="Times New Roman" w:hAnsi="Times New Roman" w:cs="Times New Roman"/>
            <w:sz w:val="24"/>
            <w:szCs w:val="24"/>
          </w:rPr>
          <w:fldChar w:fldCharType="begin"/>
        </w:r>
        <w:r w:rsidRPr="00BB0293">
          <w:rPr>
            <w:rFonts w:ascii="Times New Roman" w:hAnsi="Times New Roman" w:cs="Times New Roman"/>
            <w:sz w:val="24"/>
            <w:szCs w:val="24"/>
          </w:rPr>
          <w:instrText>PAGE   \* MERGEFORMAT</w:instrText>
        </w:r>
        <w:r w:rsidRPr="00BB0293">
          <w:rPr>
            <w:rFonts w:ascii="Times New Roman" w:hAnsi="Times New Roman" w:cs="Times New Roman"/>
            <w:sz w:val="24"/>
            <w:szCs w:val="24"/>
          </w:rPr>
          <w:fldChar w:fldCharType="separate"/>
        </w:r>
        <w:r w:rsidR="00030901">
          <w:rPr>
            <w:rFonts w:ascii="Times New Roman" w:hAnsi="Times New Roman" w:cs="Times New Roman"/>
            <w:noProof/>
            <w:sz w:val="24"/>
            <w:szCs w:val="24"/>
          </w:rPr>
          <w:t>58</w:t>
        </w:r>
        <w:r w:rsidRPr="00BB0293">
          <w:rPr>
            <w:rFonts w:ascii="Times New Roman" w:hAnsi="Times New Roman" w:cs="Times New Roman"/>
            <w:sz w:val="24"/>
            <w:szCs w:val="24"/>
          </w:rPr>
          <w:fldChar w:fldCharType="end"/>
        </w:r>
      </w:p>
    </w:sdtContent>
  </w:sdt>
  <w:p w14:paraId="0C46E20E" w14:textId="77777777" w:rsidR="0075115B" w:rsidRDefault="0075115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3F8D4" w14:textId="77777777" w:rsidR="004C7E5C" w:rsidRDefault="004C7E5C" w:rsidP="00047147">
      <w:pPr>
        <w:spacing w:after="0" w:line="240" w:lineRule="auto"/>
      </w:pPr>
      <w:r>
        <w:separator/>
      </w:r>
    </w:p>
  </w:footnote>
  <w:footnote w:type="continuationSeparator" w:id="0">
    <w:p w14:paraId="3E088B6E" w14:textId="77777777" w:rsidR="004C7E5C" w:rsidRDefault="004C7E5C" w:rsidP="000471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15B22"/>
    <w:multiLevelType w:val="hybridMultilevel"/>
    <w:tmpl w:val="1D3832C2"/>
    <w:lvl w:ilvl="0" w:tplc="04150011">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19325AB7"/>
    <w:multiLevelType w:val="hybridMultilevel"/>
    <w:tmpl w:val="29DADF06"/>
    <w:lvl w:ilvl="0" w:tplc="821E2FC6">
      <w:start w:val="10"/>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 w15:restartNumberingAfterBreak="0">
    <w:nsid w:val="1E13665B"/>
    <w:multiLevelType w:val="hybridMultilevel"/>
    <w:tmpl w:val="060448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286851D3"/>
    <w:multiLevelType w:val="hybridMultilevel"/>
    <w:tmpl w:val="CAE6965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62D08F3"/>
    <w:multiLevelType w:val="hybridMultilevel"/>
    <w:tmpl w:val="1FF0A2B6"/>
    <w:lvl w:ilvl="0" w:tplc="0898EA76">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94B2145"/>
    <w:multiLevelType w:val="hybridMultilevel"/>
    <w:tmpl w:val="5C104708"/>
    <w:lvl w:ilvl="0" w:tplc="AA5C024C">
      <w:start w:val="10"/>
      <w:numFmt w:val="decimal"/>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6" w15:restartNumberingAfterBreak="0">
    <w:nsid w:val="3B241318"/>
    <w:multiLevelType w:val="hybridMultilevel"/>
    <w:tmpl w:val="76983458"/>
    <w:lvl w:ilvl="0" w:tplc="A0289E40">
      <w:start w:val="1"/>
      <w:numFmt w:val="bullet"/>
      <w:lvlText w:val=""/>
      <w:lvlJc w:val="left"/>
      <w:pPr>
        <w:tabs>
          <w:tab w:val="num" w:pos="720"/>
        </w:tabs>
        <w:ind w:left="720" w:hanging="360"/>
      </w:pPr>
      <w:rPr>
        <w:rFonts w:ascii="Wingdings" w:hAnsi="Wingdings" w:hint="default"/>
      </w:rPr>
    </w:lvl>
    <w:lvl w:ilvl="1" w:tplc="73BEB822" w:tentative="1">
      <w:start w:val="1"/>
      <w:numFmt w:val="bullet"/>
      <w:lvlText w:val=""/>
      <w:lvlJc w:val="left"/>
      <w:pPr>
        <w:tabs>
          <w:tab w:val="num" w:pos="1440"/>
        </w:tabs>
        <w:ind w:left="1440" w:hanging="360"/>
      </w:pPr>
      <w:rPr>
        <w:rFonts w:ascii="Wingdings" w:hAnsi="Wingdings" w:hint="default"/>
      </w:rPr>
    </w:lvl>
    <w:lvl w:ilvl="2" w:tplc="67A0D1DE" w:tentative="1">
      <w:start w:val="1"/>
      <w:numFmt w:val="bullet"/>
      <w:lvlText w:val=""/>
      <w:lvlJc w:val="left"/>
      <w:pPr>
        <w:tabs>
          <w:tab w:val="num" w:pos="2160"/>
        </w:tabs>
        <w:ind w:left="2160" w:hanging="360"/>
      </w:pPr>
      <w:rPr>
        <w:rFonts w:ascii="Wingdings" w:hAnsi="Wingdings" w:hint="default"/>
      </w:rPr>
    </w:lvl>
    <w:lvl w:ilvl="3" w:tplc="C8143092" w:tentative="1">
      <w:start w:val="1"/>
      <w:numFmt w:val="bullet"/>
      <w:lvlText w:val=""/>
      <w:lvlJc w:val="left"/>
      <w:pPr>
        <w:tabs>
          <w:tab w:val="num" w:pos="2880"/>
        </w:tabs>
        <w:ind w:left="2880" w:hanging="360"/>
      </w:pPr>
      <w:rPr>
        <w:rFonts w:ascii="Wingdings" w:hAnsi="Wingdings" w:hint="default"/>
      </w:rPr>
    </w:lvl>
    <w:lvl w:ilvl="4" w:tplc="DB0E2150" w:tentative="1">
      <w:start w:val="1"/>
      <w:numFmt w:val="bullet"/>
      <w:lvlText w:val=""/>
      <w:lvlJc w:val="left"/>
      <w:pPr>
        <w:tabs>
          <w:tab w:val="num" w:pos="3600"/>
        </w:tabs>
        <w:ind w:left="3600" w:hanging="360"/>
      </w:pPr>
      <w:rPr>
        <w:rFonts w:ascii="Wingdings" w:hAnsi="Wingdings" w:hint="default"/>
      </w:rPr>
    </w:lvl>
    <w:lvl w:ilvl="5" w:tplc="6E7637CA" w:tentative="1">
      <w:start w:val="1"/>
      <w:numFmt w:val="bullet"/>
      <w:lvlText w:val=""/>
      <w:lvlJc w:val="left"/>
      <w:pPr>
        <w:tabs>
          <w:tab w:val="num" w:pos="4320"/>
        </w:tabs>
        <w:ind w:left="4320" w:hanging="360"/>
      </w:pPr>
      <w:rPr>
        <w:rFonts w:ascii="Wingdings" w:hAnsi="Wingdings" w:hint="default"/>
      </w:rPr>
    </w:lvl>
    <w:lvl w:ilvl="6" w:tplc="AB460C10" w:tentative="1">
      <w:start w:val="1"/>
      <w:numFmt w:val="bullet"/>
      <w:lvlText w:val=""/>
      <w:lvlJc w:val="left"/>
      <w:pPr>
        <w:tabs>
          <w:tab w:val="num" w:pos="5040"/>
        </w:tabs>
        <w:ind w:left="5040" w:hanging="360"/>
      </w:pPr>
      <w:rPr>
        <w:rFonts w:ascii="Wingdings" w:hAnsi="Wingdings" w:hint="default"/>
      </w:rPr>
    </w:lvl>
    <w:lvl w:ilvl="7" w:tplc="32DA3FA8" w:tentative="1">
      <w:start w:val="1"/>
      <w:numFmt w:val="bullet"/>
      <w:lvlText w:val=""/>
      <w:lvlJc w:val="left"/>
      <w:pPr>
        <w:tabs>
          <w:tab w:val="num" w:pos="5760"/>
        </w:tabs>
        <w:ind w:left="5760" w:hanging="360"/>
      </w:pPr>
      <w:rPr>
        <w:rFonts w:ascii="Wingdings" w:hAnsi="Wingdings" w:hint="default"/>
      </w:rPr>
    </w:lvl>
    <w:lvl w:ilvl="8" w:tplc="5B541FE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A569C4"/>
    <w:multiLevelType w:val="hybridMultilevel"/>
    <w:tmpl w:val="837220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5076EC1"/>
    <w:multiLevelType w:val="hybridMultilevel"/>
    <w:tmpl w:val="44FC0E2E"/>
    <w:lvl w:ilvl="0" w:tplc="821E2FC6">
      <w:start w:val="10"/>
      <w:numFmt w:val="decimal"/>
      <w:lvlText w:val="%1)"/>
      <w:lvlJc w:val="left"/>
      <w:pPr>
        <w:ind w:left="12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12671D3"/>
    <w:multiLevelType w:val="hybridMultilevel"/>
    <w:tmpl w:val="2B64EC2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593462BB"/>
    <w:multiLevelType w:val="hybridMultilevel"/>
    <w:tmpl w:val="E23CBC4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9FF6520"/>
    <w:multiLevelType w:val="hybridMultilevel"/>
    <w:tmpl w:val="98800AF2"/>
    <w:lvl w:ilvl="0" w:tplc="19E243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FA67A00"/>
    <w:multiLevelType w:val="hybridMultilevel"/>
    <w:tmpl w:val="3CFCF4C0"/>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3" w15:restartNumberingAfterBreak="0">
    <w:nsid w:val="743025D3"/>
    <w:multiLevelType w:val="hybridMultilevel"/>
    <w:tmpl w:val="9746F942"/>
    <w:lvl w:ilvl="0" w:tplc="14987CC0">
      <w:start w:val="1"/>
      <w:numFmt w:val="bullet"/>
      <w:lvlText w:val=""/>
      <w:lvlJc w:val="left"/>
      <w:pPr>
        <w:ind w:left="720" w:hanging="360"/>
      </w:pPr>
      <w:rPr>
        <w:rFonts w:ascii="Symbol" w:hAnsi="Symbol" w:hint="default"/>
      </w:rPr>
    </w:lvl>
    <w:lvl w:ilvl="1" w:tplc="F7924BD0">
      <w:start w:val="1"/>
      <w:numFmt w:val="bullet"/>
      <w:lvlText w:val="o"/>
      <w:lvlJc w:val="left"/>
      <w:pPr>
        <w:ind w:left="1440" w:hanging="360"/>
      </w:pPr>
      <w:rPr>
        <w:rFonts w:ascii="Courier New" w:hAnsi="Courier New" w:cs="Courier New" w:hint="default"/>
      </w:rPr>
    </w:lvl>
    <w:lvl w:ilvl="2" w:tplc="C3A4F138">
      <w:start w:val="1"/>
      <w:numFmt w:val="bullet"/>
      <w:lvlText w:val=""/>
      <w:lvlJc w:val="left"/>
      <w:pPr>
        <w:ind w:left="2160" w:hanging="360"/>
      </w:pPr>
      <w:rPr>
        <w:rFonts w:ascii="Wingdings" w:hAnsi="Wingdings" w:hint="default"/>
      </w:rPr>
    </w:lvl>
    <w:lvl w:ilvl="3" w:tplc="9C0C146C">
      <w:start w:val="1"/>
      <w:numFmt w:val="bullet"/>
      <w:lvlText w:val=""/>
      <w:lvlJc w:val="left"/>
      <w:pPr>
        <w:ind w:left="2880" w:hanging="360"/>
      </w:pPr>
      <w:rPr>
        <w:rFonts w:ascii="Symbol" w:hAnsi="Symbol" w:hint="default"/>
      </w:rPr>
    </w:lvl>
    <w:lvl w:ilvl="4" w:tplc="D68C328A">
      <w:start w:val="1"/>
      <w:numFmt w:val="bullet"/>
      <w:lvlText w:val="o"/>
      <w:lvlJc w:val="left"/>
      <w:pPr>
        <w:ind w:left="3600" w:hanging="360"/>
      </w:pPr>
      <w:rPr>
        <w:rFonts w:ascii="Courier New" w:hAnsi="Courier New" w:cs="Courier New" w:hint="default"/>
      </w:rPr>
    </w:lvl>
    <w:lvl w:ilvl="5" w:tplc="3EC69ACA">
      <w:start w:val="1"/>
      <w:numFmt w:val="bullet"/>
      <w:lvlText w:val=""/>
      <w:lvlJc w:val="left"/>
      <w:pPr>
        <w:ind w:left="4320" w:hanging="360"/>
      </w:pPr>
      <w:rPr>
        <w:rFonts w:ascii="Wingdings" w:hAnsi="Wingdings" w:hint="default"/>
      </w:rPr>
    </w:lvl>
    <w:lvl w:ilvl="6" w:tplc="D5F83B9E">
      <w:start w:val="1"/>
      <w:numFmt w:val="bullet"/>
      <w:lvlText w:val=""/>
      <w:lvlJc w:val="left"/>
      <w:pPr>
        <w:ind w:left="5040" w:hanging="360"/>
      </w:pPr>
      <w:rPr>
        <w:rFonts w:ascii="Symbol" w:hAnsi="Symbol" w:hint="default"/>
      </w:rPr>
    </w:lvl>
    <w:lvl w:ilvl="7" w:tplc="842C10A0">
      <w:start w:val="1"/>
      <w:numFmt w:val="bullet"/>
      <w:lvlText w:val="o"/>
      <w:lvlJc w:val="left"/>
      <w:pPr>
        <w:ind w:left="5760" w:hanging="360"/>
      </w:pPr>
      <w:rPr>
        <w:rFonts w:ascii="Courier New" w:hAnsi="Courier New" w:cs="Courier New" w:hint="default"/>
      </w:rPr>
    </w:lvl>
    <w:lvl w:ilvl="8" w:tplc="4A786AE6">
      <w:start w:val="1"/>
      <w:numFmt w:val="bullet"/>
      <w:lvlText w:val=""/>
      <w:lvlJc w:val="left"/>
      <w:pPr>
        <w:ind w:left="6480" w:hanging="360"/>
      </w:pPr>
      <w:rPr>
        <w:rFonts w:ascii="Wingdings" w:hAnsi="Wingdings" w:hint="default"/>
      </w:rPr>
    </w:lvl>
  </w:abstractNum>
  <w:abstractNum w:abstractNumId="14" w15:restartNumberingAfterBreak="0">
    <w:nsid w:val="754C3C4F"/>
    <w:multiLevelType w:val="hybridMultilevel"/>
    <w:tmpl w:val="A314A94A"/>
    <w:lvl w:ilvl="0" w:tplc="E59875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B302F96"/>
    <w:multiLevelType w:val="hybridMultilevel"/>
    <w:tmpl w:val="89B0B0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FD868CC"/>
    <w:multiLevelType w:val="hybridMultilevel"/>
    <w:tmpl w:val="54F49D7A"/>
    <w:lvl w:ilvl="0" w:tplc="E598750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0"/>
  </w:num>
  <w:num w:numId="4">
    <w:abstractNumId w:val="16"/>
  </w:num>
  <w:num w:numId="5">
    <w:abstractNumId w:val="11"/>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7"/>
  </w:num>
  <w:num w:numId="10">
    <w:abstractNumId w:val="12"/>
  </w:num>
  <w:num w:numId="11">
    <w:abstractNumId w:val="4"/>
  </w:num>
  <w:num w:numId="12">
    <w:abstractNumId w:val="5"/>
  </w:num>
  <w:num w:numId="13">
    <w:abstractNumId w:val="1"/>
  </w:num>
  <w:num w:numId="14">
    <w:abstractNumId w:val="8"/>
  </w:num>
  <w:num w:numId="15">
    <w:abstractNumId w:val="15"/>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2556"/>
    <w:rsid w:val="00001F11"/>
    <w:rsid w:val="000052F3"/>
    <w:rsid w:val="00007525"/>
    <w:rsid w:val="000076B9"/>
    <w:rsid w:val="00010B9E"/>
    <w:rsid w:val="000133BF"/>
    <w:rsid w:val="0001577B"/>
    <w:rsid w:val="00016A37"/>
    <w:rsid w:val="00023E6E"/>
    <w:rsid w:val="00025C36"/>
    <w:rsid w:val="00026893"/>
    <w:rsid w:val="00030901"/>
    <w:rsid w:val="00031C25"/>
    <w:rsid w:val="0004008B"/>
    <w:rsid w:val="00040437"/>
    <w:rsid w:val="00045161"/>
    <w:rsid w:val="00045287"/>
    <w:rsid w:val="00045DDA"/>
    <w:rsid w:val="00046D6E"/>
    <w:rsid w:val="00047147"/>
    <w:rsid w:val="00051851"/>
    <w:rsid w:val="000601A1"/>
    <w:rsid w:val="00060AB4"/>
    <w:rsid w:val="00062894"/>
    <w:rsid w:val="00063400"/>
    <w:rsid w:val="000649FD"/>
    <w:rsid w:val="000653DB"/>
    <w:rsid w:val="000653E0"/>
    <w:rsid w:val="00066AE8"/>
    <w:rsid w:val="0006772C"/>
    <w:rsid w:val="00072088"/>
    <w:rsid w:val="0007345C"/>
    <w:rsid w:val="000737E6"/>
    <w:rsid w:val="00076754"/>
    <w:rsid w:val="000801E1"/>
    <w:rsid w:val="00081618"/>
    <w:rsid w:val="000822FD"/>
    <w:rsid w:val="00082AA1"/>
    <w:rsid w:val="00082EB8"/>
    <w:rsid w:val="00083331"/>
    <w:rsid w:val="00083DD2"/>
    <w:rsid w:val="00085758"/>
    <w:rsid w:val="000876DA"/>
    <w:rsid w:val="0009093B"/>
    <w:rsid w:val="00092B69"/>
    <w:rsid w:val="00095EE3"/>
    <w:rsid w:val="00097647"/>
    <w:rsid w:val="000A1002"/>
    <w:rsid w:val="000A124E"/>
    <w:rsid w:val="000A2492"/>
    <w:rsid w:val="000A2601"/>
    <w:rsid w:val="000A4260"/>
    <w:rsid w:val="000A4A49"/>
    <w:rsid w:val="000A61F9"/>
    <w:rsid w:val="000A799A"/>
    <w:rsid w:val="000B103B"/>
    <w:rsid w:val="000B23E3"/>
    <w:rsid w:val="000B2CE2"/>
    <w:rsid w:val="000B2D14"/>
    <w:rsid w:val="000B316A"/>
    <w:rsid w:val="000B3E11"/>
    <w:rsid w:val="000B481C"/>
    <w:rsid w:val="000B5D14"/>
    <w:rsid w:val="000B6D94"/>
    <w:rsid w:val="000B7CD8"/>
    <w:rsid w:val="000C1263"/>
    <w:rsid w:val="000C51B7"/>
    <w:rsid w:val="000C5CA2"/>
    <w:rsid w:val="000C6791"/>
    <w:rsid w:val="000D0B05"/>
    <w:rsid w:val="000D1629"/>
    <w:rsid w:val="000D58B6"/>
    <w:rsid w:val="000E0B56"/>
    <w:rsid w:val="000E1EBF"/>
    <w:rsid w:val="000E25A1"/>
    <w:rsid w:val="000E27F7"/>
    <w:rsid w:val="000E48FF"/>
    <w:rsid w:val="000E7219"/>
    <w:rsid w:val="000E78AD"/>
    <w:rsid w:val="000F2A97"/>
    <w:rsid w:val="000F6C62"/>
    <w:rsid w:val="00101479"/>
    <w:rsid w:val="001035B4"/>
    <w:rsid w:val="00103934"/>
    <w:rsid w:val="0010620C"/>
    <w:rsid w:val="00106D3F"/>
    <w:rsid w:val="00110A80"/>
    <w:rsid w:val="00110CF2"/>
    <w:rsid w:val="001176DC"/>
    <w:rsid w:val="00117D5D"/>
    <w:rsid w:val="00122621"/>
    <w:rsid w:val="00126F9C"/>
    <w:rsid w:val="00127E3D"/>
    <w:rsid w:val="00132F49"/>
    <w:rsid w:val="00134992"/>
    <w:rsid w:val="00134F93"/>
    <w:rsid w:val="00136C0A"/>
    <w:rsid w:val="00141ABD"/>
    <w:rsid w:val="001423C5"/>
    <w:rsid w:val="001430A6"/>
    <w:rsid w:val="001431DC"/>
    <w:rsid w:val="00145B02"/>
    <w:rsid w:val="00151B35"/>
    <w:rsid w:val="00153AFF"/>
    <w:rsid w:val="001547AF"/>
    <w:rsid w:val="00155A33"/>
    <w:rsid w:val="0015659C"/>
    <w:rsid w:val="00162992"/>
    <w:rsid w:val="00166547"/>
    <w:rsid w:val="00172FFD"/>
    <w:rsid w:val="001740BC"/>
    <w:rsid w:val="001767CA"/>
    <w:rsid w:val="00176F45"/>
    <w:rsid w:val="00181EE0"/>
    <w:rsid w:val="00183B2A"/>
    <w:rsid w:val="001846A8"/>
    <w:rsid w:val="00184C3F"/>
    <w:rsid w:val="00187350"/>
    <w:rsid w:val="00187828"/>
    <w:rsid w:val="0019192E"/>
    <w:rsid w:val="00191C37"/>
    <w:rsid w:val="001926CE"/>
    <w:rsid w:val="00193AD7"/>
    <w:rsid w:val="00194EC6"/>
    <w:rsid w:val="0019694D"/>
    <w:rsid w:val="00196F41"/>
    <w:rsid w:val="001A117F"/>
    <w:rsid w:val="001A1EFE"/>
    <w:rsid w:val="001A4A94"/>
    <w:rsid w:val="001A63AF"/>
    <w:rsid w:val="001A641B"/>
    <w:rsid w:val="001B057D"/>
    <w:rsid w:val="001B0DA6"/>
    <w:rsid w:val="001B584B"/>
    <w:rsid w:val="001B68FF"/>
    <w:rsid w:val="001B7812"/>
    <w:rsid w:val="001C0C8D"/>
    <w:rsid w:val="001C1542"/>
    <w:rsid w:val="001C22BA"/>
    <w:rsid w:val="001C2470"/>
    <w:rsid w:val="001C46EB"/>
    <w:rsid w:val="001C4AE8"/>
    <w:rsid w:val="001C516D"/>
    <w:rsid w:val="001C6E14"/>
    <w:rsid w:val="001D15CF"/>
    <w:rsid w:val="001D1D4D"/>
    <w:rsid w:val="001D1D55"/>
    <w:rsid w:val="001D3DAC"/>
    <w:rsid w:val="001D620A"/>
    <w:rsid w:val="001D78E7"/>
    <w:rsid w:val="001E12DB"/>
    <w:rsid w:val="001E1E8B"/>
    <w:rsid w:val="001E23E8"/>
    <w:rsid w:val="001E2795"/>
    <w:rsid w:val="001E4B4A"/>
    <w:rsid w:val="001E4F35"/>
    <w:rsid w:val="001F0451"/>
    <w:rsid w:val="001F16AD"/>
    <w:rsid w:val="001F2663"/>
    <w:rsid w:val="001F274C"/>
    <w:rsid w:val="001F730F"/>
    <w:rsid w:val="0020070A"/>
    <w:rsid w:val="00201193"/>
    <w:rsid w:val="00201C47"/>
    <w:rsid w:val="00204B90"/>
    <w:rsid w:val="00210A20"/>
    <w:rsid w:val="00211C8A"/>
    <w:rsid w:val="002144E0"/>
    <w:rsid w:val="0021707A"/>
    <w:rsid w:val="002227EC"/>
    <w:rsid w:val="00224F5D"/>
    <w:rsid w:val="00226651"/>
    <w:rsid w:val="00226D12"/>
    <w:rsid w:val="002272D2"/>
    <w:rsid w:val="00232BAF"/>
    <w:rsid w:val="0023567C"/>
    <w:rsid w:val="00237F70"/>
    <w:rsid w:val="0024017B"/>
    <w:rsid w:val="002541E5"/>
    <w:rsid w:val="00255B3B"/>
    <w:rsid w:val="00257873"/>
    <w:rsid w:val="0026345A"/>
    <w:rsid w:val="002638CC"/>
    <w:rsid w:val="00263DBC"/>
    <w:rsid w:val="00266BFB"/>
    <w:rsid w:val="002677CC"/>
    <w:rsid w:val="00270DE3"/>
    <w:rsid w:val="002723E6"/>
    <w:rsid w:val="00272DDB"/>
    <w:rsid w:val="0027495F"/>
    <w:rsid w:val="002749E8"/>
    <w:rsid w:val="00274DDF"/>
    <w:rsid w:val="00275626"/>
    <w:rsid w:val="00275B98"/>
    <w:rsid w:val="00276AAD"/>
    <w:rsid w:val="00277F97"/>
    <w:rsid w:val="002801E2"/>
    <w:rsid w:val="002814B1"/>
    <w:rsid w:val="00283DFB"/>
    <w:rsid w:val="00283FDD"/>
    <w:rsid w:val="00287623"/>
    <w:rsid w:val="00290749"/>
    <w:rsid w:val="00291F05"/>
    <w:rsid w:val="002948B3"/>
    <w:rsid w:val="002961AA"/>
    <w:rsid w:val="002A59B2"/>
    <w:rsid w:val="002A77B5"/>
    <w:rsid w:val="002B029F"/>
    <w:rsid w:val="002B04B6"/>
    <w:rsid w:val="002B0551"/>
    <w:rsid w:val="002B1D30"/>
    <w:rsid w:val="002B1EAC"/>
    <w:rsid w:val="002B2590"/>
    <w:rsid w:val="002B5068"/>
    <w:rsid w:val="002B52C4"/>
    <w:rsid w:val="002B7CE9"/>
    <w:rsid w:val="002C0A44"/>
    <w:rsid w:val="002C234D"/>
    <w:rsid w:val="002C5384"/>
    <w:rsid w:val="002C5661"/>
    <w:rsid w:val="002C6970"/>
    <w:rsid w:val="002D025D"/>
    <w:rsid w:val="002D1373"/>
    <w:rsid w:val="002D3962"/>
    <w:rsid w:val="002D450A"/>
    <w:rsid w:val="002D5BF0"/>
    <w:rsid w:val="002D688F"/>
    <w:rsid w:val="002E0392"/>
    <w:rsid w:val="002E13AE"/>
    <w:rsid w:val="002E227A"/>
    <w:rsid w:val="002E3B3E"/>
    <w:rsid w:val="002E41C8"/>
    <w:rsid w:val="002E51B1"/>
    <w:rsid w:val="002E5302"/>
    <w:rsid w:val="002E56D8"/>
    <w:rsid w:val="002F3985"/>
    <w:rsid w:val="002F3D5C"/>
    <w:rsid w:val="002F4C70"/>
    <w:rsid w:val="002F63C5"/>
    <w:rsid w:val="002F7804"/>
    <w:rsid w:val="00302AB5"/>
    <w:rsid w:val="0030363B"/>
    <w:rsid w:val="00304DB3"/>
    <w:rsid w:val="00305E5F"/>
    <w:rsid w:val="00306640"/>
    <w:rsid w:val="00306B55"/>
    <w:rsid w:val="003070EB"/>
    <w:rsid w:val="00311A08"/>
    <w:rsid w:val="00312014"/>
    <w:rsid w:val="003125F8"/>
    <w:rsid w:val="00314A54"/>
    <w:rsid w:val="00317CA8"/>
    <w:rsid w:val="003218F5"/>
    <w:rsid w:val="00323500"/>
    <w:rsid w:val="0032356C"/>
    <w:rsid w:val="00323D59"/>
    <w:rsid w:val="003253DC"/>
    <w:rsid w:val="00325F67"/>
    <w:rsid w:val="00331C6E"/>
    <w:rsid w:val="00343661"/>
    <w:rsid w:val="003436E5"/>
    <w:rsid w:val="00344AB9"/>
    <w:rsid w:val="00344F48"/>
    <w:rsid w:val="00346116"/>
    <w:rsid w:val="00346816"/>
    <w:rsid w:val="00351497"/>
    <w:rsid w:val="00352378"/>
    <w:rsid w:val="003575E7"/>
    <w:rsid w:val="00360D7C"/>
    <w:rsid w:val="00364AEA"/>
    <w:rsid w:val="003662A5"/>
    <w:rsid w:val="0036672B"/>
    <w:rsid w:val="00366A47"/>
    <w:rsid w:val="0036735E"/>
    <w:rsid w:val="00370EEB"/>
    <w:rsid w:val="00375D00"/>
    <w:rsid w:val="00376512"/>
    <w:rsid w:val="00380051"/>
    <w:rsid w:val="00383843"/>
    <w:rsid w:val="00384C87"/>
    <w:rsid w:val="003854A9"/>
    <w:rsid w:val="0038560D"/>
    <w:rsid w:val="003869C2"/>
    <w:rsid w:val="00387C3B"/>
    <w:rsid w:val="00390A00"/>
    <w:rsid w:val="00391D86"/>
    <w:rsid w:val="003933C3"/>
    <w:rsid w:val="003943A9"/>
    <w:rsid w:val="00397173"/>
    <w:rsid w:val="003A08E0"/>
    <w:rsid w:val="003A21E3"/>
    <w:rsid w:val="003A48A1"/>
    <w:rsid w:val="003A660C"/>
    <w:rsid w:val="003A7A19"/>
    <w:rsid w:val="003B1FB6"/>
    <w:rsid w:val="003B3BF9"/>
    <w:rsid w:val="003B4159"/>
    <w:rsid w:val="003B4626"/>
    <w:rsid w:val="003B5888"/>
    <w:rsid w:val="003B7C7B"/>
    <w:rsid w:val="003C193B"/>
    <w:rsid w:val="003C5255"/>
    <w:rsid w:val="003C54B8"/>
    <w:rsid w:val="003D1244"/>
    <w:rsid w:val="003D3A08"/>
    <w:rsid w:val="003D63CC"/>
    <w:rsid w:val="003D7CD0"/>
    <w:rsid w:val="003E00B8"/>
    <w:rsid w:val="003E0C11"/>
    <w:rsid w:val="003E0F02"/>
    <w:rsid w:val="003E10C3"/>
    <w:rsid w:val="003E10DE"/>
    <w:rsid w:val="003E4741"/>
    <w:rsid w:val="003E7F48"/>
    <w:rsid w:val="003F1F0F"/>
    <w:rsid w:val="003F1FB2"/>
    <w:rsid w:val="003F2843"/>
    <w:rsid w:val="003F399E"/>
    <w:rsid w:val="003F3BCE"/>
    <w:rsid w:val="003F3E5F"/>
    <w:rsid w:val="003F74EE"/>
    <w:rsid w:val="003F7AD1"/>
    <w:rsid w:val="0040004E"/>
    <w:rsid w:val="00401676"/>
    <w:rsid w:val="004017DF"/>
    <w:rsid w:val="00401B39"/>
    <w:rsid w:val="00405C6A"/>
    <w:rsid w:val="00406539"/>
    <w:rsid w:val="00413214"/>
    <w:rsid w:val="004149BB"/>
    <w:rsid w:val="00417044"/>
    <w:rsid w:val="0042049F"/>
    <w:rsid w:val="004209A4"/>
    <w:rsid w:val="00421841"/>
    <w:rsid w:val="00422BFD"/>
    <w:rsid w:val="004247A2"/>
    <w:rsid w:val="0042742C"/>
    <w:rsid w:val="00430128"/>
    <w:rsid w:val="0043483C"/>
    <w:rsid w:val="00434C35"/>
    <w:rsid w:val="00435E79"/>
    <w:rsid w:val="0043713A"/>
    <w:rsid w:val="00437A07"/>
    <w:rsid w:val="00437C55"/>
    <w:rsid w:val="004404E7"/>
    <w:rsid w:val="0044128B"/>
    <w:rsid w:val="004415B3"/>
    <w:rsid w:val="00441883"/>
    <w:rsid w:val="00441B80"/>
    <w:rsid w:val="00442091"/>
    <w:rsid w:val="00442F61"/>
    <w:rsid w:val="00443952"/>
    <w:rsid w:val="00454F5C"/>
    <w:rsid w:val="00456638"/>
    <w:rsid w:val="00456B4A"/>
    <w:rsid w:val="00460EF4"/>
    <w:rsid w:val="00463BD5"/>
    <w:rsid w:val="00470284"/>
    <w:rsid w:val="004710A7"/>
    <w:rsid w:val="00473054"/>
    <w:rsid w:val="00473BBA"/>
    <w:rsid w:val="004754A9"/>
    <w:rsid w:val="00480C3E"/>
    <w:rsid w:val="0048349A"/>
    <w:rsid w:val="004864E8"/>
    <w:rsid w:val="00487CD2"/>
    <w:rsid w:val="00491B6B"/>
    <w:rsid w:val="0049382F"/>
    <w:rsid w:val="00494B40"/>
    <w:rsid w:val="00494B4C"/>
    <w:rsid w:val="004A0EF5"/>
    <w:rsid w:val="004A7770"/>
    <w:rsid w:val="004A7841"/>
    <w:rsid w:val="004B1AE1"/>
    <w:rsid w:val="004B38A5"/>
    <w:rsid w:val="004B45CA"/>
    <w:rsid w:val="004B480C"/>
    <w:rsid w:val="004C2200"/>
    <w:rsid w:val="004C23EB"/>
    <w:rsid w:val="004C4452"/>
    <w:rsid w:val="004C7E5C"/>
    <w:rsid w:val="004D1F95"/>
    <w:rsid w:val="004D4CE0"/>
    <w:rsid w:val="004E34B7"/>
    <w:rsid w:val="004E42A8"/>
    <w:rsid w:val="004E5A1F"/>
    <w:rsid w:val="004E662D"/>
    <w:rsid w:val="004F11AB"/>
    <w:rsid w:val="004F5808"/>
    <w:rsid w:val="004F6711"/>
    <w:rsid w:val="004F749F"/>
    <w:rsid w:val="00500C50"/>
    <w:rsid w:val="00500C57"/>
    <w:rsid w:val="00501C5F"/>
    <w:rsid w:val="0050414B"/>
    <w:rsid w:val="00504A36"/>
    <w:rsid w:val="005106F5"/>
    <w:rsid w:val="00510FB0"/>
    <w:rsid w:val="00515776"/>
    <w:rsid w:val="0051616E"/>
    <w:rsid w:val="00517746"/>
    <w:rsid w:val="00520FA4"/>
    <w:rsid w:val="00522BA1"/>
    <w:rsid w:val="0052337F"/>
    <w:rsid w:val="00524414"/>
    <w:rsid w:val="00527828"/>
    <w:rsid w:val="0053087B"/>
    <w:rsid w:val="00532AF0"/>
    <w:rsid w:val="00534684"/>
    <w:rsid w:val="00536BE7"/>
    <w:rsid w:val="0054152A"/>
    <w:rsid w:val="00541786"/>
    <w:rsid w:val="00541B12"/>
    <w:rsid w:val="00541B9F"/>
    <w:rsid w:val="00543BCF"/>
    <w:rsid w:val="005448C5"/>
    <w:rsid w:val="00546084"/>
    <w:rsid w:val="005462D2"/>
    <w:rsid w:val="00550E81"/>
    <w:rsid w:val="00553D73"/>
    <w:rsid w:val="005552E4"/>
    <w:rsid w:val="005567A5"/>
    <w:rsid w:val="00562C1E"/>
    <w:rsid w:val="005632B8"/>
    <w:rsid w:val="00564902"/>
    <w:rsid w:val="0056763C"/>
    <w:rsid w:val="005677C5"/>
    <w:rsid w:val="00567A82"/>
    <w:rsid w:val="0057238D"/>
    <w:rsid w:val="00573303"/>
    <w:rsid w:val="00573446"/>
    <w:rsid w:val="00573B9F"/>
    <w:rsid w:val="0057496B"/>
    <w:rsid w:val="00576C4E"/>
    <w:rsid w:val="0058286A"/>
    <w:rsid w:val="00583CC2"/>
    <w:rsid w:val="00584202"/>
    <w:rsid w:val="00584AE7"/>
    <w:rsid w:val="005862E6"/>
    <w:rsid w:val="005873E6"/>
    <w:rsid w:val="00590788"/>
    <w:rsid w:val="00590795"/>
    <w:rsid w:val="00590B32"/>
    <w:rsid w:val="0059189C"/>
    <w:rsid w:val="00591F5D"/>
    <w:rsid w:val="0059204C"/>
    <w:rsid w:val="00595063"/>
    <w:rsid w:val="00596DC9"/>
    <w:rsid w:val="00597838"/>
    <w:rsid w:val="00597BE0"/>
    <w:rsid w:val="005A2012"/>
    <w:rsid w:val="005A38EB"/>
    <w:rsid w:val="005A5511"/>
    <w:rsid w:val="005A5EA9"/>
    <w:rsid w:val="005A5F8A"/>
    <w:rsid w:val="005A70C8"/>
    <w:rsid w:val="005B06EB"/>
    <w:rsid w:val="005B1435"/>
    <w:rsid w:val="005B2AD6"/>
    <w:rsid w:val="005B4865"/>
    <w:rsid w:val="005B4F2A"/>
    <w:rsid w:val="005C3B85"/>
    <w:rsid w:val="005C4594"/>
    <w:rsid w:val="005C50CD"/>
    <w:rsid w:val="005C6109"/>
    <w:rsid w:val="005C62D0"/>
    <w:rsid w:val="005C7967"/>
    <w:rsid w:val="005D032A"/>
    <w:rsid w:val="005D1719"/>
    <w:rsid w:val="005D57D7"/>
    <w:rsid w:val="005D64EF"/>
    <w:rsid w:val="005D7075"/>
    <w:rsid w:val="005E195F"/>
    <w:rsid w:val="005E22C8"/>
    <w:rsid w:val="005E4419"/>
    <w:rsid w:val="005E4998"/>
    <w:rsid w:val="005E4A41"/>
    <w:rsid w:val="005E54F1"/>
    <w:rsid w:val="005E6C95"/>
    <w:rsid w:val="005F1D2E"/>
    <w:rsid w:val="005F382A"/>
    <w:rsid w:val="005F7E27"/>
    <w:rsid w:val="00600340"/>
    <w:rsid w:val="00600433"/>
    <w:rsid w:val="00600AA7"/>
    <w:rsid w:val="00601CB9"/>
    <w:rsid w:val="006020E5"/>
    <w:rsid w:val="006028D6"/>
    <w:rsid w:val="00603E58"/>
    <w:rsid w:val="0060585D"/>
    <w:rsid w:val="006116E7"/>
    <w:rsid w:val="00613571"/>
    <w:rsid w:val="006142CF"/>
    <w:rsid w:val="0061478B"/>
    <w:rsid w:val="00616502"/>
    <w:rsid w:val="00616868"/>
    <w:rsid w:val="00622E22"/>
    <w:rsid w:val="006237FD"/>
    <w:rsid w:val="00627473"/>
    <w:rsid w:val="006323C7"/>
    <w:rsid w:val="00632B36"/>
    <w:rsid w:val="00635122"/>
    <w:rsid w:val="00636513"/>
    <w:rsid w:val="00637B7F"/>
    <w:rsid w:val="00637EAA"/>
    <w:rsid w:val="00640F74"/>
    <w:rsid w:val="00640FD4"/>
    <w:rsid w:val="0064153F"/>
    <w:rsid w:val="006420E3"/>
    <w:rsid w:val="0064372F"/>
    <w:rsid w:val="00643A14"/>
    <w:rsid w:val="00645B9E"/>
    <w:rsid w:val="0065171C"/>
    <w:rsid w:val="006524A3"/>
    <w:rsid w:val="00652BD0"/>
    <w:rsid w:val="00655333"/>
    <w:rsid w:val="00656650"/>
    <w:rsid w:val="00657880"/>
    <w:rsid w:val="00660266"/>
    <w:rsid w:val="006634A9"/>
    <w:rsid w:val="006650DE"/>
    <w:rsid w:val="0067015B"/>
    <w:rsid w:val="00671F7E"/>
    <w:rsid w:val="00672133"/>
    <w:rsid w:val="00675AFE"/>
    <w:rsid w:val="00676653"/>
    <w:rsid w:val="00680F9E"/>
    <w:rsid w:val="0068409A"/>
    <w:rsid w:val="00685698"/>
    <w:rsid w:val="00685D33"/>
    <w:rsid w:val="0068673E"/>
    <w:rsid w:val="00687F7F"/>
    <w:rsid w:val="00690525"/>
    <w:rsid w:val="00692E28"/>
    <w:rsid w:val="00693388"/>
    <w:rsid w:val="00694C7D"/>
    <w:rsid w:val="00694D0B"/>
    <w:rsid w:val="00694DD5"/>
    <w:rsid w:val="006A172A"/>
    <w:rsid w:val="006A2F42"/>
    <w:rsid w:val="006A4E1F"/>
    <w:rsid w:val="006A5081"/>
    <w:rsid w:val="006A5BB8"/>
    <w:rsid w:val="006B595A"/>
    <w:rsid w:val="006B73BC"/>
    <w:rsid w:val="006B7A75"/>
    <w:rsid w:val="006C2833"/>
    <w:rsid w:val="006C3743"/>
    <w:rsid w:val="006C45E8"/>
    <w:rsid w:val="006C6E85"/>
    <w:rsid w:val="006D0100"/>
    <w:rsid w:val="006D0DBA"/>
    <w:rsid w:val="006D39EA"/>
    <w:rsid w:val="006E0196"/>
    <w:rsid w:val="006E1700"/>
    <w:rsid w:val="006E1789"/>
    <w:rsid w:val="006E2E62"/>
    <w:rsid w:val="006E32A1"/>
    <w:rsid w:val="006E638B"/>
    <w:rsid w:val="006E6AD0"/>
    <w:rsid w:val="006F01E7"/>
    <w:rsid w:val="006F1361"/>
    <w:rsid w:val="006F3232"/>
    <w:rsid w:val="006F5AFD"/>
    <w:rsid w:val="006F5CED"/>
    <w:rsid w:val="006F64E4"/>
    <w:rsid w:val="00700316"/>
    <w:rsid w:val="00700CEE"/>
    <w:rsid w:val="00701248"/>
    <w:rsid w:val="0070234F"/>
    <w:rsid w:val="00706792"/>
    <w:rsid w:val="00707124"/>
    <w:rsid w:val="00710CB7"/>
    <w:rsid w:val="00711391"/>
    <w:rsid w:val="0071212E"/>
    <w:rsid w:val="0071289C"/>
    <w:rsid w:val="00712E99"/>
    <w:rsid w:val="007135C2"/>
    <w:rsid w:val="0071640F"/>
    <w:rsid w:val="00722B8F"/>
    <w:rsid w:val="00722E89"/>
    <w:rsid w:val="00726C99"/>
    <w:rsid w:val="00730294"/>
    <w:rsid w:val="00730C5A"/>
    <w:rsid w:val="0073201B"/>
    <w:rsid w:val="00734D85"/>
    <w:rsid w:val="00736545"/>
    <w:rsid w:val="0073661D"/>
    <w:rsid w:val="007371CC"/>
    <w:rsid w:val="0074164D"/>
    <w:rsid w:val="00742FBA"/>
    <w:rsid w:val="0074508D"/>
    <w:rsid w:val="0074529D"/>
    <w:rsid w:val="00746878"/>
    <w:rsid w:val="007468C7"/>
    <w:rsid w:val="0074725D"/>
    <w:rsid w:val="00747ADB"/>
    <w:rsid w:val="00747FE1"/>
    <w:rsid w:val="007502F8"/>
    <w:rsid w:val="0075115B"/>
    <w:rsid w:val="007518AC"/>
    <w:rsid w:val="00753AA2"/>
    <w:rsid w:val="0075464A"/>
    <w:rsid w:val="00754D2D"/>
    <w:rsid w:val="00762852"/>
    <w:rsid w:val="00762F32"/>
    <w:rsid w:val="00763570"/>
    <w:rsid w:val="00765839"/>
    <w:rsid w:val="00765F35"/>
    <w:rsid w:val="00770621"/>
    <w:rsid w:val="00771AC5"/>
    <w:rsid w:val="00771ACA"/>
    <w:rsid w:val="00771C11"/>
    <w:rsid w:val="00773096"/>
    <w:rsid w:val="00773B1F"/>
    <w:rsid w:val="00773E87"/>
    <w:rsid w:val="00773FC6"/>
    <w:rsid w:val="00776135"/>
    <w:rsid w:val="00777600"/>
    <w:rsid w:val="0078410E"/>
    <w:rsid w:val="007851CC"/>
    <w:rsid w:val="00785368"/>
    <w:rsid w:val="007903FC"/>
    <w:rsid w:val="00790C2B"/>
    <w:rsid w:val="00791F7A"/>
    <w:rsid w:val="00792B87"/>
    <w:rsid w:val="0079532F"/>
    <w:rsid w:val="00795DA1"/>
    <w:rsid w:val="00797E89"/>
    <w:rsid w:val="007A24FA"/>
    <w:rsid w:val="007A3E14"/>
    <w:rsid w:val="007A4018"/>
    <w:rsid w:val="007A642D"/>
    <w:rsid w:val="007B0483"/>
    <w:rsid w:val="007B0CA0"/>
    <w:rsid w:val="007B25B4"/>
    <w:rsid w:val="007B2C8A"/>
    <w:rsid w:val="007B51C4"/>
    <w:rsid w:val="007B5CE9"/>
    <w:rsid w:val="007C0821"/>
    <w:rsid w:val="007C3AFC"/>
    <w:rsid w:val="007C5445"/>
    <w:rsid w:val="007C5C61"/>
    <w:rsid w:val="007D0646"/>
    <w:rsid w:val="007D0BC6"/>
    <w:rsid w:val="007D0DE7"/>
    <w:rsid w:val="007D0FEC"/>
    <w:rsid w:val="007D13D0"/>
    <w:rsid w:val="007D1A1F"/>
    <w:rsid w:val="007D22CE"/>
    <w:rsid w:val="007D328E"/>
    <w:rsid w:val="007D63A2"/>
    <w:rsid w:val="007D6E73"/>
    <w:rsid w:val="007D6F88"/>
    <w:rsid w:val="007D7C43"/>
    <w:rsid w:val="007E1730"/>
    <w:rsid w:val="007E3032"/>
    <w:rsid w:val="007E3102"/>
    <w:rsid w:val="007E4073"/>
    <w:rsid w:val="007E5982"/>
    <w:rsid w:val="007E6AD3"/>
    <w:rsid w:val="007F140A"/>
    <w:rsid w:val="007F5213"/>
    <w:rsid w:val="007F766D"/>
    <w:rsid w:val="007F783D"/>
    <w:rsid w:val="008016F7"/>
    <w:rsid w:val="00802620"/>
    <w:rsid w:val="0080417C"/>
    <w:rsid w:val="00804F12"/>
    <w:rsid w:val="008052CB"/>
    <w:rsid w:val="008067FB"/>
    <w:rsid w:val="00806C31"/>
    <w:rsid w:val="008075E8"/>
    <w:rsid w:val="0082104B"/>
    <w:rsid w:val="00824EC8"/>
    <w:rsid w:val="00825F40"/>
    <w:rsid w:val="0083246A"/>
    <w:rsid w:val="0083396B"/>
    <w:rsid w:val="00833FFF"/>
    <w:rsid w:val="0084039C"/>
    <w:rsid w:val="00840B7A"/>
    <w:rsid w:val="00840E7B"/>
    <w:rsid w:val="00841D74"/>
    <w:rsid w:val="00842360"/>
    <w:rsid w:val="00842EBC"/>
    <w:rsid w:val="008436D5"/>
    <w:rsid w:val="00843ECE"/>
    <w:rsid w:val="00844204"/>
    <w:rsid w:val="00845059"/>
    <w:rsid w:val="008451E9"/>
    <w:rsid w:val="00845B9A"/>
    <w:rsid w:val="0085061D"/>
    <w:rsid w:val="008532D1"/>
    <w:rsid w:val="008539EC"/>
    <w:rsid w:val="00853AC1"/>
    <w:rsid w:val="008547DA"/>
    <w:rsid w:val="00854BA7"/>
    <w:rsid w:val="00857238"/>
    <w:rsid w:val="0085744C"/>
    <w:rsid w:val="00860542"/>
    <w:rsid w:val="00860A4A"/>
    <w:rsid w:val="0086382E"/>
    <w:rsid w:val="00866722"/>
    <w:rsid w:val="00871EB3"/>
    <w:rsid w:val="00875AB7"/>
    <w:rsid w:val="00877E62"/>
    <w:rsid w:val="0088036A"/>
    <w:rsid w:val="00880A25"/>
    <w:rsid w:val="008814CE"/>
    <w:rsid w:val="008877FF"/>
    <w:rsid w:val="00890D66"/>
    <w:rsid w:val="00893ECC"/>
    <w:rsid w:val="0089670F"/>
    <w:rsid w:val="00897234"/>
    <w:rsid w:val="008A156F"/>
    <w:rsid w:val="008A2A6B"/>
    <w:rsid w:val="008A38B0"/>
    <w:rsid w:val="008A4D67"/>
    <w:rsid w:val="008A6EE7"/>
    <w:rsid w:val="008A7763"/>
    <w:rsid w:val="008B09ED"/>
    <w:rsid w:val="008B16B4"/>
    <w:rsid w:val="008B1DDD"/>
    <w:rsid w:val="008B324F"/>
    <w:rsid w:val="008B3D35"/>
    <w:rsid w:val="008B4F28"/>
    <w:rsid w:val="008B621D"/>
    <w:rsid w:val="008B6E7E"/>
    <w:rsid w:val="008B7873"/>
    <w:rsid w:val="008C346B"/>
    <w:rsid w:val="008C41A6"/>
    <w:rsid w:val="008C5736"/>
    <w:rsid w:val="008C5E9D"/>
    <w:rsid w:val="008D157A"/>
    <w:rsid w:val="008D2993"/>
    <w:rsid w:val="008D33A4"/>
    <w:rsid w:val="008D402E"/>
    <w:rsid w:val="008D7610"/>
    <w:rsid w:val="008D765A"/>
    <w:rsid w:val="008E2DFC"/>
    <w:rsid w:val="008E5A4F"/>
    <w:rsid w:val="008E724C"/>
    <w:rsid w:val="008F6CC9"/>
    <w:rsid w:val="009015BF"/>
    <w:rsid w:val="00901B9D"/>
    <w:rsid w:val="00902970"/>
    <w:rsid w:val="00903478"/>
    <w:rsid w:val="009040D1"/>
    <w:rsid w:val="009166FA"/>
    <w:rsid w:val="00916FE6"/>
    <w:rsid w:val="00920DA5"/>
    <w:rsid w:val="00924E17"/>
    <w:rsid w:val="0092611E"/>
    <w:rsid w:val="00927A0B"/>
    <w:rsid w:val="00930032"/>
    <w:rsid w:val="009307ED"/>
    <w:rsid w:val="00931F09"/>
    <w:rsid w:val="009324C7"/>
    <w:rsid w:val="00936AE9"/>
    <w:rsid w:val="0093709F"/>
    <w:rsid w:val="00937C90"/>
    <w:rsid w:val="009454F7"/>
    <w:rsid w:val="00952FA5"/>
    <w:rsid w:val="00953985"/>
    <w:rsid w:val="009547F3"/>
    <w:rsid w:val="009568A4"/>
    <w:rsid w:val="009575B5"/>
    <w:rsid w:val="009612DF"/>
    <w:rsid w:val="00961522"/>
    <w:rsid w:val="009619D8"/>
    <w:rsid w:val="0096213D"/>
    <w:rsid w:val="009634D6"/>
    <w:rsid w:val="00963F0D"/>
    <w:rsid w:val="009716FE"/>
    <w:rsid w:val="0098018E"/>
    <w:rsid w:val="00982554"/>
    <w:rsid w:val="00983D15"/>
    <w:rsid w:val="00991B9F"/>
    <w:rsid w:val="00994AA5"/>
    <w:rsid w:val="009958C1"/>
    <w:rsid w:val="009976D4"/>
    <w:rsid w:val="009A0312"/>
    <w:rsid w:val="009A0CAF"/>
    <w:rsid w:val="009A1232"/>
    <w:rsid w:val="009A331D"/>
    <w:rsid w:val="009A3F12"/>
    <w:rsid w:val="009A4ADE"/>
    <w:rsid w:val="009A5A53"/>
    <w:rsid w:val="009A6E53"/>
    <w:rsid w:val="009B29FA"/>
    <w:rsid w:val="009B34D0"/>
    <w:rsid w:val="009B4D65"/>
    <w:rsid w:val="009B585E"/>
    <w:rsid w:val="009B660C"/>
    <w:rsid w:val="009C602A"/>
    <w:rsid w:val="009C6077"/>
    <w:rsid w:val="009C6D7F"/>
    <w:rsid w:val="009C7147"/>
    <w:rsid w:val="009D0D58"/>
    <w:rsid w:val="009D26AB"/>
    <w:rsid w:val="009D31B8"/>
    <w:rsid w:val="009D381E"/>
    <w:rsid w:val="009D546B"/>
    <w:rsid w:val="009D5519"/>
    <w:rsid w:val="009D689B"/>
    <w:rsid w:val="009E0597"/>
    <w:rsid w:val="009E1671"/>
    <w:rsid w:val="009E1F8F"/>
    <w:rsid w:val="009E4FAA"/>
    <w:rsid w:val="009E61F0"/>
    <w:rsid w:val="009E6AAD"/>
    <w:rsid w:val="009E70F6"/>
    <w:rsid w:val="009F04E5"/>
    <w:rsid w:val="009F0B32"/>
    <w:rsid w:val="009F1016"/>
    <w:rsid w:val="009F20FF"/>
    <w:rsid w:val="009F4E08"/>
    <w:rsid w:val="009F684B"/>
    <w:rsid w:val="009F7BDB"/>
    <w:rsid w:val="00A00DDA"/>
    <w:rsid w:val="00A00E40"/>
    <w:rsid w:val="00A01AB3"/>
    <w:rsid w:val="00A01CC0"/>
    <w:rsid w:val="00A01D95"/>
    <w:rsid w:val="00A02DB0"/>
    <w:rsid w:val="00A02DF0"/>
    <w:rsid w:val="00A04924"/>
    <w:rsid w:val="00A07714"/>
    <w:rsid w:val="00A135BB"/>
    <w:rsid w:val="00A1495A"/>
    <w:rsid w:val="00A16016"/>
    <w:rsid w:val="00A1605D"/>
    <w:rsid w:val="00A168D3"/>
    <w:rsid w:val="00A2388C"/>
    <w:rsid w:val="00A2477F"/>
    <w:rsid w:val="00A25AD1"/>
    <w:rsid w:val="00A272AE"/>
    <w:rsid w:val="00A27DD4"/>
    <w:rsid w:val="00A32998"/>
    <w:rsid w:val="00A3459D"/>
    <w:rsid w:val="00A370FF"/>
    <w:rsid w:val="00A3755C"/>
    <w:rsid w:val="00A406F6"/>
    <w:rsid w:val="00A438B3"/>
    <w:rsid w:val="00A448C2"/>
    <w:rsid w:val="00A462C9"/>
    <w:rsid w:val="00A50A01"/>
    <w:rsid w:val="00A51489"/>
    <w:rsid w:val="00A51D9E"/>
    <w:rsid w:val="00A530DD"/>
    <w:rsid w:val="00A5422C"/>
    <w:rsid w:val="00A55099"/>
    <w:rsid w:val="00A56215"/>
    <w:rsid w:val="00A564A6"/>
    <w:rsid w:val="00A600C7"/>
    <w:rsid w:val="00A6261F"/>
    <w:rsid w:val="00A632A5"/>
    <w:rsid w:val="00A64E72"/>
    <w:rsid w:val="00A64FD0"/>
    <w:rsid w:val="00A66167"/>
    <w:rsid w:val="00A6632A"/>
    <w:rsid w:val="00A669E9"/>
    <w:rsid w:val="00A66F05"/>
    <w:rsid w:val="00A706EC"/>
    <w:rsid w:val="00A7455E"/>
    <w:rsid w:val="00A7767D"/>
    <w:rsid w:val="00A778BC"/>
    <w:rsid w:val="00A820AD"/>
    <w:rsid w:val="00A8234B"/>
    <w:rsid w:val="00A82694"/>
    <w:rsid w:val="00A827E2"/>
    <w:rsid w:val="00A834B5"/>
    <w:rsid w:val="00A83D34"/>
    <w:rsid w:val="00A84311"/>
    <w:rsid w:val="00A86ECA"/>
    <w:rsid w:val="00A902E4"/>
    <w:rsid w:val="00A9372C"/>
    <w:rsid w:val="00A93B40"/>
    <w:rsid w:val="00AA3237"/>
    <w:rsid w:val="00AA4E4D"/>
    <w:rsid w:val="00AA5736"/>
    <w:rsid w:val="00AA5F4D"/>
    <w:rsid w:val="00AB2747"/>
    <w:rsid w:val="00AB5829"/>
    <w:rsid w:val="00AB707A"/>
    <w:rsid w:val="00AB7F00"/>
    <w:rsid w:val="00AC02E8"/>
    <w:rsid w:val="00AC0A5A"/>
    <w:rsid w:val="00AC0EB6"/>
    <w:rsid w:val="00AC2046"/>
    <w:rsid w:val="00AC5284"/>
    <w:rsid w:val="00AC6460"/>
    <w:rsid w:val="00AD0137"/>
    <w:rsid w:val="00AD04A6"/>
    <w:rsid w:val="00AD203A"/>
    <w:rsid w:val="00AD3094"/>
    <w:rsid w:val="00AD5321"/>
    <w:rsid w:val="00AD70AC"/>
    <w:rsid w:val="00AE3AF0"/>
    <w:rsid w:val="00AE7461"/>
    <w:rsid w:val="00AE7B56"/>
    <w:rsid w:val="00AF064B"/>
    <w:rsid w:val="00AF1302"/>
    <w:rsid w:val="00AF1C2C"/>
    <w:rsid w:val="00AF3509"/>
    <w:rsid w:val="00AF3A32"/>
    <w:rsid w:val="00AF5461"/>
    <w:rsid w:val="00AF7390"/>
    <w:rsid w:val="00B04635"/>
    <w:rsid w:val="00B04E34"/>
    <w:rsid w:val="00B05609"/>
    <w:rsid w:val="00B07138"/>
    <w:rsid w:val="00B10DD9"/>
    <w:rsid w:val="00B111A7"/>
    <w:rsid w:val="00B1208A"/>
    <w:rsid w:val="00B1454C"/>
    <w:rsid w:val="00B17E6A"/>
    <w:rsid w:val="00B23B73"/>
    <w:rsid w:val="00B25A10"/>
    <w:rsid w:val="00B26A90"/>
    <w:rsid w:val="00B31455"/>
    <w:rsid w:val="00B32357"/>
    <w:rsid w:val="00B32984"/>
    <w:rsid w:val="00B338ED"/>
    <w:rsid w:val="00B347E5"/>
    <w:rsid w:val="00B34DC6"/>
    <w:rsid w:val="00B40E45"/>
    <w:rsid w:val="00B418FA"/>
    <w:rsid w:val="00B43033"/>
    <w:rsid w:val="00B45FB4"/>
    <w:rsid w:val="00B500CD"/>
    <w:rsid w:val="00B52D0A"/>
    <w:rsid w:val="00B540EC"/>
    <w:rsid w:val="00B55449"/>
    <w:rsid w:val="00B56A28"/>
    <w:rsid w:val="00B61442"/>
    <w:rsid w:val="00B6181D"/>
    <w:rsid w:val="00B62B25"/>
    <w:rsid w:val="00B62CE5"/>
    <w:rsid w:val="00B62E1B"/>
    <w:rsid w:val="00B643D3"/>
    <w:rsid w:val="00B65BCC"/>
    <w:rsid w:val="00B67673"/>
    <w:rsid w:val="00B71D46"/>
    <w:rsid w:val="00B7227C"/>
    <w:rsid w:val="00B72F9A"/>
    <w:rsid w:val="00B73CA0"/>
    <w:rsid w:val="00B74469"/>
    <w:rsid w:val="00B7483F"/>
    <w:rsid w:val="00B76446"/>
    <w:rsid w:val="00B77DF5"/>
    <w:rsid w:val="00B812A3"/>
    <w:rsid w:val="00B814D0"/>
    <w:rsid w:val="00B81636"/>
    <w:rsid w:val="00B82DC9"/>
    <w:rsid w:val="00B82EDA"/>
    <w:rsid w:val="00B83900"/>
    <w:rsid w:val="00B83CC2"/>
    <w:rsid w:val="00B84EBB"/>
    <w:rsid w:val="00B858EA"/>
    <w:rsid w:val="00B85C9C"/>
    <w:rsid w:val="00B85E14"/>
    <w:rsid w:val="00B877AA"/>
    <w:rsid w:val="00B87C17"/>
    <w:rsid w:val="00B91505"/>
    <w:rsid w:val="00B93E04"/>
    <w:rsid w:val="00BA1CA7"/>
    <w:rsid w:val="00BA3C52"/>
    <w:rsid w:val="00BA3C7E"/>
    <w:rsid w:val="00BA51CC"/>
    <w:rsid w:val="00BB0293"/>
    <w:rsid w:val="00BB0B34"/>
    <w:rsid w:val="00BB7935"/>
    <w:rsid w:val="00BC0C31"/>
    <w:rsid w:val="00BC1578"/>
    <w:rsid w:val="00BC2FD0"/>
    <w:rsid w:val="00BC3141"/>
    <w:rsid w:val="00BC62AC"/>
    <w:rsid w:val="00BC663E"/>
    <w:rsid w:val="00BC714E"/>
    <w:rsid w:val="00BD270D"/>
    <w:rsid w:val="00BD27B3"/>
    <w:rsid w:val="00BD2AE9"/>
    <w:rsid w:val="00BD2CFF"/>
    <w:rsid w:val="00BD5E72"/>
    <w:rsid w:val="00BD61E8"/>
    <w:rsid w:val="00BD7D9A"/>
    <w:rsid w:val="00BE0D01"/>
    <w:rsid w:val="00BE22AB"/>
    <w:rsid w:val="00BE613C"/>
    <w:rsid w:val="00BE75D0"/>
    <w:rsid w:val="00BE78AF"/>
    <w:rsid w:val="00BE7A6C"/>
    <w:rsid w:val="00BF3F60"/>
    <w:rsid w:val="00BF43CB"/>
    <w:rsid w:val="00BF4E65"/>
    <w:rsid w:val="00BF6B64"/>
    <w:rsid w:val="00C000E0"/>
    <w:rsid w:val="00C01962"/>
    <w:rsid w:val="00C027D2"/>
    <w:rsid w:val="00C07D35"/>
    <w:rsid w:val="00C1460A"/>
    <w:rsid w:val="00C16B65"/>
    <w:rsid w:val="00C17407"/>
    <w:rsid w:val="00C17713"/>
    <w:rsid w:val="00C21F75"/>
    <w:rsid w:val="00C22425"/>
    <w:rsid w:val="00C247FD"/>
    <w:rsid w:val="00C26189"/>
    <w:rsid w:val="00C30402"/>
    <w:rsid w:val="00C31F9D"/>
    <w:rsid w:val="00C3248D"/>
    <w:rsid w:val="00C3426D"/>
    <w:rsid w:val="00C3449E"/>
    <w:rsid w:val="00C34998"/>
    <w:rsid w:val="00C3559D"/>
    <w:rsid w:val="00C35727"/>
    <w:rsid w:val="00C36F81"/>
    <w:rsid w:val="00C37FD2"/>
    <w:rsid w:val="00C43333"/>
    <w:rsid w:val="00C4388E"/>
    <w:rsid w:val="00C4443F"/>
    <w:rsid w:val="00C46393"/>
    <w:rsid w:val="00C52185"/>
    <w:rsid w:val="00C53D30"/>
    <w:rsid w:val="00C548FE"/>
    <w:rsid w:val="00C54E0F"/>
    <w:rsid w:val="00C55138"/>
    <w:rsid w:val="00C57CFF"/>
    <w:rsid w:val="00C63BC2"/>
    <w:rsid w:val="00C63DCB"/>
    <w:rsid w:val="00C644EB"/>
    <w:rsid w:val="00C67079"/>
    <w:rsid w:val="00C71BC9"/>
    <w:rsid w:val="00C72556"/>
    <w:rsid w:val="00C729C2"/>
    <w:rsid w:val="00C73C4B"/>
    <w:rsid w:val="00C7524A"/>
    <w:rsid w:val="00C75D85"/>
    <w:rsid w:val="00C7626D"/>
    <w:rsid w:val="00C80A91"/>
    <w:rsid w:val="00C82032"/>
    <w:rsid w:val="00C824DD"/>
    <w:rsid w:val="00C85289"/>
    <w:rsid w:val="00C8529D"/>
    <w:rsid w:val="00C86059"/>
    <w:rsid w:val="00C874DC"/>
    <w:rsid w:val="00C91DEC"/>
    <w:rsid w:val="00C92061"/>
    <w:rsid w:val="00C93AE1"/>
    <w:rsid w:val="00C94AFB"/>
    <w:rsid w:val="00C96FEC"/>
    <w:rsid w:val="00CA1283"/>
    <w:rsid w:val="00CA213A"/>
    <w:rsid w:val="00CA3B05"/>
    <w:rsid w:val="00CA6F6D"/>
    <w:rsid w:val="00CA73D1"/>
    <w:rsid w:val="00CA7818"/>
    <w:rsid w:val="00CB1776"/>
    <w:rsid w:val="00CB4497"/>
    <w:rsid w:val="00CB5078"/>
    <w:rsid w:val="00CB6251"/>
    <w:rsid w:val="00CB6CAF"/>
    <w:rsid w:val="00CB790C"/>
    <w:rsid w:val="00CC10EA"/>
    <w:rsid w:val="00CC1317"/>
    <w:rsid w:val="00CC2CB0"/>
    <w:rsid w:val="00CC49E0"/>
    <w:rsid w:val="00CC5E98"/>
    <w:rsid w:val="00CC6B40"/>
    <w:rsid w:val="00CD04C5"/>
    <w:rsid w:val="00CD2628"/>
    <w:rsid w:val="00CD376A"/>
    <w:rsid w:val="00CD4765"/>
    <w:rsid w:val="00CD7695"/>
    <w:rsid w:val="00CE0AA2"/>
    <w:rsid w:val="00CE404E"/>
    <w:rsid w:val="00CE71C7"/>
    <w:rsid w:val="00CF0A72"/>
    <w:rsid w:val="00CF0DB6"/>
    <w:rsid w:val="00CF39D0"/>
    <w:rsid w:val="00CF4EC4"/>
    <w:rsid w:val="00D01518"/>
    <w:rsid w:val="00D05004"/>
    <w:rsid w:val="00D06AE0"/>
    <w:rsid w:val="00D07C42"/>
    <w:rsid w:val="00D07F46"/>
    <w:rsid w:val="00D15955"/>
    <w:rsid w:val="00D20C7B"/>
    <w:rsid w:val="00D21A06"/>
    <w:rsid w:val="00D248B5"/>
    <w:rsid w:val="00D25CBB"/>
    <w:rsid w:val="00D314EA"/>
    <w:rsid w:val="00D32A25"/>
    <w:rsid w:val="00D32F52"/>
    <w:rsid w:val="00D334C8"/>
    <w:rsid w:val="00D36F97"/>
    <w:rsid w:val="00D402A9"/>
    <w:rsid w:val="00D4130B"/>
    <w:rsid w:val="00D41C8E"/>
    <w:rsid w:val="00D42A23"/>
    <w:rsid w:val="00D43F3C"/>
    <w:rsid w:val="00D43FD0"/>
    <w:rsid w:val="00D44947"/>
    <w:rsid w:val="00D44BC3"/>
    <w:rsid w:val="00D46183"/>
    <w:rsid w:val="00D471B1"/>
    <w:rsid w:val="00D5040E"/>
    <w:rsid w:val="00D514F8"/>
    <w:rsid w:val="00D516C6"/>
    <w:rsid w:val="00D517E4"/>
    <w:rsid w:val="00D524FD"/>
    <w:rsid w:val="00D53500"/>
    <w:rsid w:val="00D54185"/>
    <w:rsid w:val="00D55C02"/>
    <w:rsid w:val="00D57468"/>
    <w:rsid w:val="00D61703"/>
    <w:rsid w:val="00D61EEA"/>
    <w:rsid w:val="00D6372F"/>
    <w:rsid w:val="00D637E2"/>
    <w:rsid w:val="00D63912"/>
    <w:rsid w:val="00D64A19"/>
    <w:rsid w:val="00D64FD0"/>
    <w:rsid w:val="00D70C0D"/>
    <w:rsid w:val="00D76221"/>
    <w:rsid w:val="00D77D97"/>
    <w:rsid w:val="00D77EDE"/>
    <w:rsid w:val="00D802E4"/>
    <w:rsid w:val="00D808B3"/>
    <w:rsid w:val="00D80A2A"/>
    <w:rsid w:val="00D80E4C"/>
    <w:rsid w:val="00D8110A"/>
    <w:rsid w:val="00D81A8A"/>
    <w:rsid w:val="00D82595"/>
    <w:rsid w:val="00D8355F"/>
    <w:rsid w:val="00D83C01"/>
    <w:rsid w:val="00D85042"/>
    <w:rsid w:val="00D858A7"/>
    <w:rsid w:val="00D858AF"/>
    <w:rsid w:val="00D85903"/>
    <w:rsid w:val="00D901D2"/>
    <w:rsid w:val="00D90E50"/>
    <w:rsid w:val="00D915D7"/>
    <w:rsid w:val="00D92305"/>
    <w:rsid w:val="00D9545F"/>
    <w:rsid w:val="00DA5677"/>
    <w:rsid w:val="00DA6BA3"/>
    <w:rsid w:val="00DA730B"/>
    <w:rsid w:val="00DA74F1"/>
    <w:rsid w:val="00DA7CE4"/>
    <w:rsid w:val="00DB15DE"/>
    <w:rsid w:val="00DB3AFB"/>
    <w:rsid w:val="00DB7B00"/>
    <w:rsid w:val="00DC30A1"/>
    <w:rsid w:val="00DC447D"/>
    <w:rsid w:val="00DD0542"/>
    <w:rsid w:val="00DD07E3"/>
    <w:rsid w:val="00DD1685"/>
    <w:rsid w:val="00DD1A89"/>
    <w:rsid w:val="00DD263D"/>
    <w:rsid w:val="00DD4C51"/>
    <w:rsid w:val="00DD5159"/>
    <w:rsid w:val="00DD5759"/>
    <w:rsid w:val="00DD6D5E"/>
    <w:rsid w:val="00DD6DEF"/>
    <w:rsid w:val="00DD7515"/>
    <w:rsid w:val="00DE156A"/>
    <w:rsid w:val="00DE2208"/>
    <w:rsid w:val="00DE2ABE"/>
    <w:rsid w:val="00DE5836"/>
    <w:rsid w:val="00DE7656"/>
    <w:rsid w:val="00DF0CDE"/>
    <w:rsid w:val="00DF10EA"/>
    <w:rsid w:val="00DF1CA8"/>
    <w:rsid w:val="00DF2601"/>
    <w:rsid w:val="00DF2719"/>
    <w:rsid w:val="00DF3FAB"/>
    <w:rsid w:val="00DF6AC5"/>
    <w:rsid w:val="00DF7217"/>
    <w:rsid w:val="00E060A3"/>
    <w:rsid w:val="00E11D27"/>
    <w:rsid w:val="00E1417C"/>
    <w:rsid w:val="00E148F0"/>
    <w:rsid w:val="00E14DAE"/>
    <w:rsid w:val="00E15C67"/>
    <w:rsid w:val="00E16A19"/>
    <w:rsid w:val="00E17ADD"/>
    <w:rsid w:val="00E24C04"/>
    <w:rsid w:val="00E36828"/>
    <w:rsid w:val="00E36C77"/>
    <w:rsid w:val="00E3762E"/>
    <w:rsid w:val="00E37D55"/>
    <w:rsid w:val="00E4159D"/>
    <w:rsid w:val="00E42D67"/>
    <w:rsid w:val="00E4307C"/>
    <w:rsid w:val="00E46C57"/>
    <w:rsid w:val="00E46EEA"/>
    <w:rsid w:val="00E501A2"/>
    <w:rsid w:val="00E509CF"/>
    <w:rsid w:val="00E51F13"/>
    <w:rsid w:val="00E53ED2"/>
    <w:rsid w:val="00E5454E"/>
    <w:rsid w:val="00E55CC3"/>
    <w:rsid w:val="00E608C8"/>
    <w:rsid w:val="00E611E8"/>
    <w:rsid w:val="00E61C4F"/>
    <w:rsid w:val="00E63182"/>
    <w:rsid w:val="00E6455B"/>
    <w:rsid w:val="00E65548"/>
    <w:rsid w:val="00E66699"/>
    <w:rsid w:val="00E70CEC"/>
    <w:rsid w:val="00E745CD"/>
    <w:rsid w:val="00E7511E"/>
    <w:rsid w:val="00E77BD7"/>
    <w:rsid w:val="00E80162"/>
    <w:rsid w:val="00E806CA"/>
    <w:rsid w:val="00E831BE"/>
    <w:rsid w:val="00E92360"/>
    <w:rsid w:val="00E93220"/>
    <w:rsid w:val="00E95844"/>
    <w:rsid w:val="00E96401"/>
    <w:rsid w:val="00E97654"/>
    <w:rsid w:val="00EA0380"/>
    <w:rsid w:val="00EA0939"/>
    <w:rsid w:val="00EA3416"/>
    <w:rsid w:val="00EA37ED"/>
    <w:rsid w:val="00EA38D3"/>
    <w:rsid w:val="00EA44BB"/>
    <w:rsid w:val="00EA6BD8"/>
    <w:rsid w:val="00EB0AF2"/>
    <w:rsid w:val="00EB3033"/>
    <w:rsid w:val="00EB356A"/>
    <w:rsid w:val="00EB37B9"/>
    <w:rsid w:val="00EB76BD"/>
    <w:rsid w:val="00EB7C10"/>
    <w:rsid w:val="00EC1258"/>
    <w:rsid w:val="00EC26D1"/>
    <w:rsid w:val="00EC3910"/>
    <w:rsid w:val="00EC50CA"/>
    <w:rsid w:val="00EC73C9"/>
    <w:rsid w:val="00ED4882"/>
    <w:rsid w:val="00ED73F2"/>
    <w:rsid w:val="00ED77D1"/>
    <w:rsid w:val="00EE249E"/>
    <w:rsid w:val="00EE2EE3"/>
    <w:rsid w:val="00EE4EF0"/>
    <w:rsid w:val="00EE6700"/>
    <w:rsid w:val="00EE7045"/>
    <w:rsid w:val="00EE7078"/>
    <w:rsid w:val="00EE7538"/>
    <w:rsid w:val="00EF0ED6"/>
    <w:rsid w:val="00EF14ED"/>
    <w:rsid w:val="00EF180B"/>
    <w:rsid w:val="00EF2C02"/>
    <w:rsid w:val="00EF2E44"/>
    <w:rsid w:val="00EF644B"/>
    <w:rsid w:val="00EF7BAA"/>
    <w:rsid w:val="00F001BC"/>
    <w:rsid w:val="00F016D2"/>
    <w:rsid w:val="00F016E8"/>
    <w:rsid w:val="00F039FB"/>
    <w:rsid w:val="00F0454B"/>
    <w:rsid w:val="00F04BB7"/>
    <w:rsid w:val="00F10E35"/>
    <w:rsid w:val="00F16BE3"/>
    <w:rsid w:val="00F1767E"/>
    <w:rsid w:val="00F22879"/>
    <w:rsid w:val="00F23E2B"/>
    <w:rsid w:val="00F24CE3"/>
    <w:rsid w:val="00F2505B"/>
    <w:rsid w:val="00F25FD6"/>
    <w:rsid w:val="00F26EC3"/>
    <w:rsid w:val="00F30A89"/>
    <w:rsid w:val="00F31244"/>
    <w:rsid w:val="00F3161A"/>
    <w:rsid w:val="00F316B1"/>
    <w:rsid w:val="00F31A04"/>
    <w:rsid w:val="00F31D44"/>
    <w:rsid w:val="00F323DF"/>
    <w:rsid w:val="00F34004"/>
    <w:rsid w:val="00F34007"/>
    <w:rsid w:val="00F404F9"/>
    <w:rsid w:val="00F421CC"/>
    <w:rsid w:val="00F43C54"/>
    <w:rsid w:val="00F45D2C"/>
    <w:rsid w:val="00F46C6F"/>
    <w:rsid w:val="00F50B85"/>
    <w:rsid w:val="00F51DD6"/>
    <w:rsid w:val="00F60FBD"/>
    <w:rsid w:val="00F61E80"/>
    <w:rsid w:val="00F62E86"/>
    <w:rsid w:val="00F636D7"/>
    <w:rsid w:val="00F64ED9"/>
    <w:rsid w:val="00F65395"/>
    <w:rsid w:val="00F66BBF"/>
    <w:rsid w:val="00F70E0F"/>
    <w:rsid w:val="00F71A07"/>
    <w:rsid w:val="00F7539A"/>
    <w:rsid w:val="00F76D24"/>
    <w:rsid w:val="00F77149"/>
    <w:rsid w:val="00F805C1"/>
    <w:rsid w:val="00F80ED6"/>
    <w:rsid w:val="00F814D3"/>
    <w:rsid w:val="00F82080"/>
    <w:rsid w:val="00F83C8D"/>
    <w:rsid w:val="00F85A6D"/>
    <w:rsid w:val="00F85E1C"/>
    <w:rsid w:val="00F860B3"/>
    <w:rsid w:val="00F90CAE"/>
    <w:rsid w:val="00F92477"/>
    <w:rsid w:val="00F9380A"/>
    <w:rsid w:val="00F93B10"/>
    <w:rsid w:val="00F9491F"/>
    <w:rsid w:val="00F95792"/>
    <w:rsid w:val="00F96890"/>
    <w:rsid w:val="00F96E9B"/>
    <w:rsid w:val="00F97DA2"/>
    <w:rsid w:val="00F97E5E"/>
    <w:rsid w:val="00FA250D"/>
    <w:rsid w:val="00FA3CD5"/>
    <w:rsid w:val="00FA406C"/>
    <w:rsid w:val="00FA411D"/>
    <w:rsid w:val="00FA531B"/>
    <w:rsid w:val="00FA6945"/>
    <w:rsid w:val="00FC0EA1"/>
    <w:rsid w:val="00FC7276"/>
    <w:rsid w:val="00FC729D"/>
    <w:rsid w:val="00FD5394"/>
    <w:rsid w:val="00FD5494"/>
    <w:rsid w:val="00FD5E42"/>
    <w:rsid w:val="00FD72EE"/>
    <w:rsid w:val="00FE18D9"/>
    <w:rsid w:val="00FE3237"/>
    <w:rsid w:val="00FE7821"/>
    <w:rsid w:val="00FE7FFD"/>
    <w:rsid w:val="00FF1BB4"/>
    <w:rsid w:val="00FF4D64"/>
    <w:rsid w:val="00FF7849"/>
    <w:rsid w:val="00FF7CD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3A753"/>
  <w15:docId w15:val="{5594B5CF-411C-41C6-B982-580157A0C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A51D9E"/>
    <w:rPr>
      <w:color w:val="0000FF" w:themeColor="hyperlink"/>
      <w:u w:val="single"/>
    </w:rPr>
  </w:style>
  <w:style w:type="paragraph" w:styleId="Nagwek">
    <w:name w:val="header"/>
    <w:basedOn w:val="Normalny"/>
    <w:link w:val="NagwekZnak"/>
    <w:uiPriority w:val="99"/>
    <w:unhideWhenUsed/>
    <w:rsid w:val="0004714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47147"/>
  </w:style>
  <w:style w:type="paragraph" w:styleId="Stopka">
    <w:name w:val="footer"/>
    <w:basedOn w:val="Normalny"/>
    <w:link w:val="StopkaZnak"/>
    <w:uiPriority w:val="99"/>
    <w:unhideWhenUsed/>
    <w:rsid w:val="0004714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7147"/>
  </w:style>
  <w:style w:type="paragraph" w:styleId="Tekstdymka">
    <w:name w:val="Balloon Text"/>
    <w:basedOn w:val="Normalny"/>
    <w:link w:val="TekstdymkaZnak"/>
    <w:uiPriority w:val="99"/>
    <w:semiHidden/>
    <w:unhideWhenUsed/>
    <w:rsid w:val="00F316B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316B1"/>
    <w:rPr>
      <w:rFonts w:ascii="Tahoma" w:hAnsi="Tahoma" w:cs="Tahoma"/>
      <w:sz w:val="16"/>
      <w:szCs w:val="16"/>
    </w:rPr>
  </w:style>
  <w:style w:type="paragraph" w:styleId="Tekstprzypisukocowego">
    <w:name w:val="endnote text"/>
    <w:basedOn w:val="Normalny"/>
    <w:link w:val="TekstprzypisukocowegoZnak"/>
    <w:uiPriority w:val="99"/>
    <w:semiHidden/>
    <w:unhideWhenUsed/>
    <w:rsid w:val="00B8163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636"/>
    <w:rPr>
      <w:sz w:val="20"/>
      <w:szCs w:val="20"/>
    </w:rPr>
  </w:style>
  <w:style w:type="character" w:styleId="Odwoanieprzypisukocowego">
    <w:name w:val="endnote reference"/>
    <w:basedOn w:val="Domylnaczcionkaakapitu"/>
    <w:uiPriority w:val="99"/>
    <w:semiHidden/>
    <w:unhideWhenUsed/>
    <w:rsid w:val="00B81636"/>
    <w:rPr>
      <w:vertAlign w:val="superscript"/>
    </w:rPr>
  </w:style>
  <w:style w:type="paragraph" w:customStyle="1" w:styleId="ZUSTzmustartykuempunktem">
    <w:name w:val="Z/UST(§) – zm. ust. (§) artykułem (punktem)"/>
    <w:basedOn w:val="Normalny"/>
    <w:uiPriority w:val="30"/>
    <w:qFormat/>
    <w:rsid w:val="00DD7515"/>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Tekstkomentarza">
    <w:name w:val="annotation text"/>
    <w:basedOn w:val="Normalny"/>
    <w:link w:val="TekstkomentarzaZnak"/>
    <w:uiPriority w:val="99"/>
    <w:semiHidden/>
    <w:unhideWhenUsed/>
    <w:rsid w:val="00D43FD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43FD0"/>
    <w:rPr>
      <w:sz w:val="20"/>
      <w:szCs w:val="20"/>
    </w:rPr>
  </w:style>
  <w:style w:type="character" w:styleId="Odwoaniedokomentarza">
    <w:name w:val="annotation reference"/>
    <w:basedOn w:val="Domylnaczcionkaakapitu"/>
    <w:uiPriority w:val="99"/>
    <w:semiHidden/>
    <w:rsid w:val="00D43FD0"/>
    <w:rPr>
      <w:sz w:val="16"/>
      <w:szCs w:val="16"/>
    </w:rPr>
  </w:style>
  <w:style w:type="paragraph" w:styleId="Tematkomentarza">
    <w:name w:val="annotation subject"/>
    <w:basedOn w:val="Tekstkomentarza"/>
    <w:next w:val="Tekstkomentarza"/>
    <w:link w:val="TematkomentarzaZnak"/>
    <w:uiPriority w:val="99"/>
    <w:semiHidden/>
    <w:unhideWhenUsed/>
    <w:rsid w:val="00D43FD0"/>
    <w:rPr>
      <w:b/>
      <w:bCs/>
    </w:rPr>
  </w:style>
  <w:style w:type="character" w:customStyle="1" w:styleId="TematkomentarzaZnak">
    <w:name w:val="Temat komentarza Znak"/>
    <w:basedOn w:val="TekstkomentarzaZnak"/>
    <w:link w:val="Tematkomentarza"/>
    <w:uiPriority w:val="99"/>
    <w:semiHidden/>
    <w:rsid w:val="00D43FD0"/>
    <w:rPr>
      <w:b/>
      <w:bCs/>
      <w:sz w:val="20"/>
      <w:szCs w:val="20"/>
    </w:rPr>
  </w:style>
  <w:style w:type="paragraph" w:customStyle="1" w:styleId="ZPKTzmpktartykuempunktem">
    <w:name w:val="Z/PKT – zm. pkt artykułem (punktem)"/>
    <w:basedOn w:val="Normalny"/>
    <w:uiPriority w:val="31"/>
    <w:qFormat/>
    <w:rsid w:val="00E65548"/>
    <w:pPr>
      <w:spacing w:after="0" w:line="360" w:lineRule="auto"/>
      <w:ind w:left="102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80417C"/>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styleId="Poprawka">
    <w:name w:val="Revision"/>
    <w:hidden/>
    <w:uiPriority w:val="99"/>
    <w:semiHidden/>
    <w:rsid w:val="005D032A"/>
    <w:pPr>
      <w:spacing w:after="0" w:line="240" w:lineRule="auto"/>
    </w:pPr>
  </w:style>
  <w:style w:type="paragraph" w:styleId="NormalnyWeb">
    <w:name w:val="Normal (Web)"/>
    <w:basedOn w:val="Normalny"/>
    <w:uiPriority w:val="99"/>
    <w:unhideWhenUsed/>
    <w:rsid w:val="00A2388C"/>
    <w:pPr>
      <w:spacing w:after="0" w:line="240" w:lineRule="auto"/>
    </w:pPr>
    <w:rPr>
      <w:rFonts w:ascii="Times New Roman" w:hAnsi="Times New Roman" w:cs="Times New Roman"/>
      <w:sz w:val="24"/>
      <w:szCs w:val="24"/>
      <w:lang w:eastAsia="pl-PL"/>
    </w:rPr>
  </w:style>
  <w:style w:type="paragraph" w:styleId="Akapitzlist">
    <w:name w:val="List Paragraph"/>
    <w:basedOn w:val="Normalny"/>
    <w:uiPriority w:val="34"/>
    <w:qFormat/>
    <w:rsid w:val="00CB6251"/>
    <w:pPr>
      <w:ind w:left="720"/>
      <w:contextualSpacing/>
    </w:pPr>
  </w:style>
  <w:style w:type="character" w:customStyle="1" w:styleId="Ppogrubienie">
    <w:name w:val="_P_ – pogrubienie"/>
    <w:basedOn w:val="Domylnaczcionkaakapitu"/>
    <w:uiPriority w:val="1"/>
    <w:qFormat/>
    <w:rsid w:val="00501C5F"/>
    <w:rPr>
      <w:b/>
    </w:rPr>
  </w:style>
  <w:style w:type="paragraph" w:styleId="Zwykytekst">
    <w:name w:val="Plain Text"/>
    <w:basedOn w:val="Normalny"/>
    <w:link w:val="ZwykytekstZnak"/>
    <w:uiPriority w:val="99"/>
    <w:unhideWhenUsed/>
    <w:rsid w:val="00F24CE3"/>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F24CE3"/>
    <w:rPr>
      <w:rFonts w:ascii="Calibri" w:hAnsi="Calibri"/>
      <w:szCs w:val="21"/>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36545"/>
    <w:rPr>
      <w:rFonts w:eastAsiaTheme="minorEastAsia"/>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577171">
      <w:bodyDiv w:val="1"/>
      <w:marLeft w:val="0"/>
      <w:marRight w:val="0"/>
      <w:marTop w:val="0"/>
      <w:marBottom w:val="0"/>
      <w:divBdr>
        <w:top w:val="none" w:sz="0" w:space="0" w:color="auto"/>
        <w:left w:val="none" w:sz="0" w:space="0" w:color="auto"/>
        <w:bottom w:val="none" w:sz="0" w:space="0" w:color="auto"/>
        <w:right w:val="none" w:sz="0" w:space="0" w:color="auto"/>
      </w:divBdr>
    </w:div>
    <w:div w:id="56364590">
      <w:bodyDiv w:val="1"/>
      <w:marLeft w:val="300"/>
      <w:marRight w:val="300"/>
      <w:marTop w:val="300"/>
      <w:marBottom w:val="300"/>
      <w:divBdr>
        <w:top w:val="none" w:sz="0" w:space="0" w:color="auto"/>
        <w:left w:val="none" w:sz="0" w:space="0" w:color="auto"/>
        <w:bottom w:val="none" w:sz="0" w:space="0" w:color="auto"/>
        <w:right w:val="none" w:sz="0" w:space="0" w:color="auto"/>
      </w:divBdr>
      <w:divsChild>
        <w:div w:id="332925676">
          <w:marLeft w:val="0"/>
          <w:marRight w:val="0"/>
          <w:marTop w:val="0"/>
          <w:marBottom w:val="0"/>
          <w:divBdr>
            <w:top w:val="none" w:sz="0" w:space="0" w:color="auto"/>
            <w:left w:val="none" w:sz="0" w:space="0" w:color="auto"/>
            <w:bottom w:val="none" w:sz="0" w:space="0" w:color="auto"/>
            <w:right w:val="none" w:sz="0" w:space="0" w:color="auto"/>
          </w:divBdr>
        </w:div>
      </w:divsChild>
    </w:div>
    <w:div w:id="80882885">
      <w:bodyDiv w:val="1"/>
      <w:marLeft w:val="0"/>
      <w:marRight w:val="0"/>
      <w:marTop w:val="0"/>
      <w:marBottom w:val="0"/>
      <w:divBdr>
        <w:top w:val="none" w:sz="0" w:space="0" w:color="auto"/>
        <w:left w:val="none" w:sz="0" w:space="0" w:color="auto"/>
        <w:bottom w:val="none" w:sz="0" w:space="0" w:color="auto"/>
        <w:right w:val="none" w:sz="0" w:space="0" w:color="auto"/>
      </w:divBdr>
    </w:div>
    <w:div w:id="116338833">
      <w:bodyDiv w:val="1"/>
      <w:marLeft w:val="0"/>
      <w:marRight w:val="0"/>
      <w:marTop w:val="0"/>
      <w:marBottom w:val="0"/>
      <w:divBdr>
        <w:top w:val="none" w:sz="0" w:space="0" w:color="auto"/>
        <w:left w:val="none" w:sz="0" w:space="0" w:color="auto"/>
        <w:bottom w:val="none" w:sz="0" w:space="0" w:color="auto"/>
        <w:right w:val="none" w:sz="0" w:space="0" w:color="auto"/>
      </w:divBdr>
    </w:div>
    <w:div w:id="176312551">
      <w:bodyDiv w:val="1"/>
      <w:marLeft w:val="0"/>
      <w:marRight w:val="0"/>
      <w:marTop w:val="0"/>
      <w:marBottom w:val="0"/>
      <w:divBdr>
        <w:top w:val="none" w:sz="0" w:space="0" w:color="auto"/>
        <w:left w:val="none" w:sz="0" w:space="0" w:color="auto"/>
        <w:bottom w:val="none" w:sz="0" w:space="0" w:color="auto"/>
        <w:right w:val="none" w:sz="0" w:space="0" w:color="auto"/>
      </w:divBdr>
    </w:div>
    <w:div w:id="502626945">
      <w:bodyDiv w:val="1"/>
      <w:marLeft w:val="0"/>
      <w:marRight w:val="0"/>
      <w:marTop w:val="0"/>
      <w:marBottom w:val="0"/>
      <w:divBdr>
        <w:top w:val="none" w:sz="0" w:space="0" w:color="auto"/>
        <w:left w:val="none" w:sz="0" w:space="0" w:color="auto"/>
        <w:bottom w:val="none" w:sz="0" w:space="0" w:color="auto"/>
        <w:right w:val="none" w:sz="0" w:space="0" w:color="auto"/>
      </w:divBdr>
    </w:div>
    <w:div w:id="565383900">
      <w:bodyDiv w:val="1"/>
      <w:marLeft w:val="0"/>
      <w:marRight w:val="0"/>
      <w:marTop w:val="0"/>
      <w:marBottom w:val="0"/>
      <w:divBdr>
        <w:top w:val="none" w:sz="0" w:space="0" w:color="auto"/>
        <w:left w:val="none" w:sz="0" w:space="0" w:color="auto"/>
        <w:bottom w:val="none" w:sz="0" w:space="0" w:color="auto"/>
        <w:right w:val="none" w:sz="0" w:space="0" w:color="auto"/>
      </w:divBdr>
    </w:div>
    <w:div w:id="617106283">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76446136">
          <w:marLeft w:val="0"/>
          <w:marRight w:val="0"/>
          <w:marTop w:val="0"/>
          <w:marBottom w:val="0"/>
          <w:divBdr>
            <w:top w:val="none" w:sz="0" w:space="0" w:color="auto"/>
            <w:left w:val="none" w:sz="0" w:space="0" w:color="auto"/>
            <w:bottom w:val="none" w:sz="0" w:space="0" w:color="auto"/>
            <w:right w:val="none" w:sz="0" w:space="0" w:color="auto"/>
          </w:divBdr>
        </w:div>
      </w:divsChild>
    </w:div>
    <w:div w:id="658652590">
      <w:bodyDiv w:val="1"/>
      <w:marLeft w:val="0"/>
      <w:marRight w:val="0"/>
      <w:marTop w:val="0"/>
      <w:marBottom w:val="0"/>
      <w:divBdr>
        <w:top w:val="none" w:sz="0" w:space="0" w:color="auto"/>
        <w:left w:val="none" w:sz="0" w:space="0" w:color="auto"/>
        <w:bottom w:val="none" w:sz="0" w:space="0" w:color="auto"/>
        <w:right w:val="none" w:sz="0" w:space="0" w:color="auto"/>
      </w:divBdr>
    </w:div>
    <w:div w:id="1014649410">
      <w:bodyDiv w:val="1"/>
      <w:marLeft w:val="0"/>
      <w:marRight w:val="0"/>
      <w:marTop w:val="0"/>
      <w:marBottom w:val="0"/>
      <w:divBdr>
        <w:top w:val="none" w:sz="0" w:space="0" w:color="auto"/>
        <w:left w:val="none" w:sz="0" w:space="0" w:color="auto"/>
        <w:bottom w:val="none" w:sz="0" w:space="0" w:color="auto"/>
        <w:right w:val="none" w:sz="0" w:space="0" w:color="auto"/>
      </w:divBdr>
    </w:div>
    <w:div w:id="1123231704">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057003110">
          <w:marLeft w:val="0"/>
          <w:marRight w:val="0"/>
          <w:marTop w:val="0"/>
          <w:marBottom w:val="0"/>
          <w:divBdr>
            <w:top w:val="none" w:sz="0" w:space="0" w:color="auto"/>
            <w:left w:val="none" w:sz="0" w:space="0" w:color="auto"/>
            <w:bottom w:val="none" w:sz="0" w:space="0" w:color="auto"/>
            <w:right w:val="none" w:sz="0" w:space="0" w:color="auto"/>
          </w:divBdr>
        </w:div>
      </w:divsChild>
    </w:div>
    <w:div w:id="1151092382">
      <w:bodyDiv w:val="1"/>
      <w:marLeft w:val="0"/>
      <w:marRight w:val="0"/>
      <w:marTop w:val="0"/>
      <w:marBottom w:val="0"/>
      <w:divBdr>
        <w:top w:val="none" w:sz="0" w:space="0" w:color="auto"/>
        <w:left w:val="none" w:sz="0" w:space="0" w:color="auto"/>
        <w:bottom w:val="none" w:sz="0" w:space="0" w:color="auto"/>
        <w:right w:val="none" w:sz="0" w:space="0" w:color="auto"/>
      </w:divBdr>
    </w:div>
    <w:div w:id="1182817779">
      <w:bodyDiv w:val="1"/>
      <w:marLeft w:val="0"/>
      <w:marRight w:val="0"/>
      <w:marTop w:val="0"/>
      <w:marBottom w:val="0"/>
      <w:divBdr>
        <w:top w:val="none" w:sz="0" w:space="0" w:color="auto"/>
        <w:left w:val="none" w:sz="0" w:space="0" w:color="auto"/>
        <w:bottom w:val="none" w:sz="0" w:space="0" w:color="auto"/>
        <w:right w:val="none" w:sz="0" w:space="0" w:color="auto"/>
      </w:divBdr>
    </w:div>
    <w:div w:id="1245996742">
      <w:bodyDiv w:val="1"/>
      <w:marLeft w:val="0"/>
      <w:marRight w:val="0"/>
      <w:marTop w:val="0"/>
      <w:marBottom w:val="0"/>
      <w:divBdr>
        <w:top w:val="none" w:sz="0" w:space="0" w:color="auto"/>
        <w:left w:val="none" w:sz="0" w:space="0" w:color="auto"/>
        <w:bottom w:val="none" w:sz="0" w:space="0" w:color="auto"/>
        <w:right w:val="none" w:sz="0" w:space="0" w:color="auto"/>
      </w:divBdr>
    </w:div>
    <w:div w:id="1311524337">
      <w:bodyDiv w:val="1"/>
      <w:marLeft w:val="0"/>
      <w:marRight w:val="0"/>
      <w:marTop w:val="0"/>
      <w:marBottom w:val="0"/>
      <w:divBdr>
        <w:top w:val="none" w:sz="0" w:space="0" w:color="auto"/>
        <w:left w:val="none" w:sz="0" w:space="0" w:color="auto"/>
        <w:bottom w:val="none" w:sz="0" w:space="0" w:color="auto"/>
        <w:right w:val="none" w:sz="0" w:space="0" w:color="auto"/>
      </w:divBdr>
    </w:div>
    <w:div w:id="1334262518">
      <w:bodyDiv w:val="1"/>
      <w:marLeft w:val="0"/>
      <w:marRight w:val="0"/>
      <w:marTop w:val="0"/>
      <w:marBottom w:val="0"/>
      <w:divBdr>
        <w:top w:val="none" w:sz="0" w:space="0" w:color="auto"/>
        <w:left w:val="none" w:sz="0" w:space="0" w:color="auto"/>
        <w:bottom w:val="none" w:sz="0" w:space="0" w:color="auto"/>
        <w:right w:val="none" w:sz="0" w:space="0" w:color="auto"/>
      </w:divBdr>
    </w:div>
    <w:div w:id="1809932566">
      <w:bodyDiv w:val="1"/>
      <w:marLeft w:val="0"/>
      <w:marRight w:val="0"/>
      <w:marTop w:val="0"/>
      <w:marBottom w:val="0"/>
      <w:divBdr>
        <w:top w:val="none" w:sz="0" w:space="0" w:color="auto"/>
        <w:left w:val="none" w:sz="0" w:space="0" w:color="auto"/>
        <w:bottom w:val="none" w:sz="0" w:space="0" w:color="auto"/>
        <w:right w:val="none" w:sz="0" w:space="0" w:color="auto"/>
      </w:divBdr>
    </w:div>
    <w:div w:id="1949193208">
      <w:bodyDiv w:val="1"/>
      <w:marLeft w:val="0"/>
      <w:marRight w:val="0"/>
      <w:marTop w:val="0"/>
      <w:marBottom w:val="0"/>
      <w:divBdr>
        <w:top w:val="none" w:sz="0" w:space="0" w:color="auto"/>
        <w:left w:val="none" w:sz="0" w:space="0" w:color="auto"/>
        <w:bottom w:val="none" w:sz="0" w:space="0" w:color="auto"/>
        <w:right w:val="none" w:sz="0" w:space="0" w:color="auto"/>
      </w:divBdr>
    </w:div>
    <w:div w:id="209809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38C90-022C-4054-A467-341FE023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88</Pages>
  <Words>28801</Words>
  <Characters>172807</Characters>
  <Application>Microsoft Office Word</Application>
  <DocSecurity>0</DocSecurity>
  <Lines>1440</Lines>
  <Paragraphs>402</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201206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Giska Elżbieta</dc:creator>
  <cp:lastModifiedBy>Mróz Anna</cp:lastModifiedBy>
  <cp:revision>6</cp:revision>
  <cp:lastPrinted>2020-07-20T08:40:00Z</cp:lastPrinted>
  <dcterms:created xsi:type="dcterms:W3CDTF">2020-12-04T15:35:00Z</dcterms:created>
  <dcterms:modified xsi:type="dcterms:W3CDTF">2020-12-07T19:03:00Z</dcterms:modified>
</cp:coreProperties>
</file>