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FE190" w14:textId="187F7661" w:rsidR="00500E7E" w:rsidRDefault="00500E7E" w:rsidP="00B06AC5">
      <w:pPr>
        <w:jc w:val="center"/>
        <w:rPr>
          <w:rFonts w:ascii="Times New Roman" w:hAnsi="Times New Roman" w:cs="Times New Roman"/>
        </w:rPr>
      </w:pPr>
      <w:bookmarkStart w:id="0" w:name="_GoBack"/>
      <w:bookmarkEnd w:id="0"/>
      <w:r>
        <w:rPr>
          <w:rFonts w:ascii="Times New Roman" w:hAnsi="Times New Roman" w:cs="Times New Roman"/>
        </w:rPr>
        <w:t>UZASADNIENIE</w:t>
      </w:r>
    </w:p>
    <w:p w14:paraId="03B72D44" w14:textId="77777777" w:rsidR="00927258" w:rsidRDefault="00927258" w:rsidP="00927258">
      <w:pPr>
        <w:spacing w:line="360" w:lineRule="auto"/>
        <w:jc w:val="center"/>
        <w:rPr>
          <w:rFonts w:ascii="Times New Roman" w:hAnsi="Times New Roman" w:cs="Times New Roman"/>
          <w:b/>
          <w:bCs/>
        </w:rPr>
      </w:pPr>
    </w:p>
    <w:p w14:paraId="25502F9E" w14:textId="00162542" w:rsidR="00927258" w:rsidRDefault="00927258" w:rsidP="00927258">
      <w:pPr>
        <w:spacing w:line="360" w:lineRule="auto"/>
        <w:ind w:firstLine="708"/>
        <w:jc w:val="both"/>
        <w:rPr>
          <w:rFonts w:ascii="Times New Roman" w:hAnsi="Times New Roman" w:cs="Times New Roman"/>
        </w:rPr>
      </w:pPr>
      <w:r w:rsidRPr="00F41E8B">
        <w:rPr>
          <w:rFonts w:ascii="Times New Roman" w:hAnsi="Times New Roman" w:cs="Times New Roman"/>
        </w:rPr>
        <w:t xml:space="preserve">Projektowana </w:t>
      </w:r>
      <w:r>
        <w:rPr>
          <w:rFonts w:ascii="Times New Roman" w:hAnsi="Times New Roman" w:cs="Times New Roman"/>
        </w:rPr>
        <w:t xml:space="preserve">ustawa ma na celu usprawnienie postępowania w sprawach </w:t>
      </w:r>
      <w:r>
        <w:rPr>
          <w:rFonts w:ascii="Times New Roman" w:hAnsi="Times New Roman" w:cs="Times New Roman"/>
        </w:rPr>
        <w:br/>
        <w:t>o wykroczenia oraz odciążenie sędziów sądów powszechnych od obowiązków związanych</w:t>
      </w:r>
      <w:r>
        <w:rPr>
          <w:rFonts w:ascii="Times New Roman" w:hAnsi="Times New Roman" w:cs="Times New Roman"/>
        </w:rPr>
        <w:br/>
        <w:t xml:space="preserve"> z rozpoznawaniem spraw o wykroczenia, z zachowaniem konstytucyjnej i konwencyjnej gwarancji prawa do sądu w sprawach o wykroczenia.</w:t>
      </w:r>
    </w:p>
    <w:p w14:paraId="103F96CB" w14:textId="77777777"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Propozycje zawarte w projekcie odnoszą się do dwóch zasadniczych kwestii: nakładania kar wolnościowych za wykroczenia przez referendarzy sądowych oraz zaskarżania mandatów karnych.</w:t>
      </w:r>
    </w:p>
    <w:p w14:paraId="7288ADC7" w14:textId="502C75F0"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 xml:space="preserve">W odniesieniu do pierwszego zagadnienia projekt zmierza do umożliwienia referendarzom sądowym wymierzania kar nagany albo grzywny w postępowaniu nakazowym. Kompetencja ta ma być w założeniu fakultatywna (w zależności od możliwości kadrowych </w:t>
      </w:r>
      <w:r>
        <w:rPr>
          <w:rFonts w:ascii="Times New Roman" w:hAnsi="Times New Roman" w:cs="Times New Roman"/>
        </w:rPr>
        <w:br/>
        <w:t xml:space="preserve">w danym sądzie) i niezależna od możliwości wydawania wyroków nakazowych przez sąd. Aktualnie zdecydowana większość spraw o wykroczenia rozpoznawanych przez sądy zostaje zakończona prawomocnie wyrokiem nakazowym. Oznacza to, że wprowadzenie projektowanych rozwiązań spowoduje istotne odciążenie sędziów od rozpoznawania spraw </w:t>
      </w:r>
      <w:r>
        <w:rPr>
          <w:rFonts w:ascii="Times New Roman" w:hAnsi="Times New Roman" w:cs="Times New Roman"/>
        </w:rPr>
        <w:br/>
        <w:t>o wykroczenia i – w razie całościowego zastosowania ich w danym sądzie – spowoduje, że do kompetencji sędziów zaliczać się będą jedynie sprawy, które muszą zostać rozpoznane na rozprawie.</w:t>
      </w:r>
    </w:p>
    <w:p w14:paraId="007FA8CD" w14:textId="0B7432CB"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 xml:space="preserve">Według niniejszych propozycji referendarz sądowy wydawałby na posiedzeniu </w:t>
      </w:r>
      <w:r w:rsidRPr="000C51C9">
        <w:rPr>
          <w:rFonts w:ascii="Times New Roman" w:hAnsi="Times New Roman" w:cs="Times New Roman"/>
        </w:rPr>
        <w:t xml:space="preserve">nakaz karny w sprawach o wykroczenia, w których wystarczające jest wymierzenie nagany albo grzywny. Nakazem karnym nie można </w:t>
      </w:r>
      <w:r>
        <w:rPr>
          <w:rFonts w:ascii="Times New Roman" w:hAnsi="Times New Roman" w:cs="Times New Roman"/>
        </w:rPr>
        <w:t xml:space="preserve">by było </w:t>
      </w:r>
      <w:r w:rsidRPr="000C51C9">
        <w:rPr>
          <w:rFonts w:ascii="Times New Roman" w:hAnsi="Times New Roman" w:cs="Times New Roman"/>
        </w:rPr>
        <w:t>orzec środka karnego.</w:t>
      </w:r>
      <w:r>
        <w:rPr>
          <w:rFonts w:ascii="Times New Roman" w:hAnsi="Times New Roman" w:cs="Times New Roman"/>
        </w:rPr>
        <w:t xml:space="preserve"> Zachowane by było </w:t>
      </w:r>
      <w:r>
        <w:rPr>
          <w:rFonts w:ascii="Times New Roman" w:hAnsi="Times New Roman" w:cs="Times New Roman"/>
        </w:rPr>
        <w:br/>
        <w:t>w pełni prawo obwinionego i oskarżyciela do drogi sądowej, gdyż – analogicznie do wyroku nakazowego – od nakazu karnego służyłby sprzeciw o charakterze kasatoryjnym. W wyniku wniesienia sprzeciwu sprawa podlegałaby rozpoznaniu przez sąd. Nie byłoby przy tym wykluczone wydanie po wniesieniu sprzeciwu wyroku nakazowego</w:t>
      </w:r>
      <w:r w:rsidRPr="0062206F">
        <w:rPr>
          <w:rFonts w:ascii="Times New Roman" w:hAnsi="Times New Roman" w:cs="Times New Roman"/>
        </w:rPr>
        <w:t xml:space="preserve"> </w:t>
      </w:r>
      <w:r>
        <w:rPr>
          <w:rFonts w:ascii="Times New Roman" w:hAnsi="Times New Roman" w:cs="Times New Roman"/>
        </w:rPr>
        <w:t xml:space="preserve">przez sąd z uwagi na szerszy zakres środków reakcji karnej mogących być stosowanymi w tym trybie przez sąd (kara ograniczenia wolności, środek karny). W każdym zaś razie strona będzie mogła spowodować – poprzez wniesienie sprzeciwu </w:t>
      </w:r>
      <w:r w:rsidR="00B35B25">
        <w:rPr>
          <w:rFonts w:ascii="Times New Roman" w:hAnsi="Times New Roman" w:cs="Times New Roman"/>
        </w:rPr>
        <w:t xml:space="preserve">– </w:t>
      </w:r>
      <w:r>
        <w:rPr>
          <w:rFonts w:ascii="Times New Roman" w:hAnsi="Times New Roman" w:cs="Times New Roman"/>
        </w:rPr>
        <w:t>rozpoznanie każdej sprawy na rozprawie przez niezawisły sąd, co czyni zadość wymogom konstytucyjnym i konwencyjnym.</w:t>
      </w:r>
    </w:p>
    <w:p w14:paraId="3C7B7D8A" w14:textId="77777777"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Przedstawiona konstrukcja jest zgodna z Konstytucją, gdyż referendarze rozstrzygają jedynie co do kar wolnościowych (tak jak organy nakładające mandaty, np. Policja), a od ich rozstrzygnięcia przysługuje żądanie skierowania sprawy na drogę sądową. Aktualnie wyroki nakazowe wydaje się w ponad 90% spraw, w których wszczyna się postępowania w sprawach </w:t>
      </w:r>
      <w:r w:rsidRPr="00636A76">
        <w:rPr>
          <w:rFonts w:ascii="Times New Roman" w:hAnsi="Times New Roman" w:cs="Times New Roman"/>
        </w:rPr>
        <w:lastRenderedPageBreak/>
        <w:t xml:space="preserve">o wykroczenia, z czego w ponad 80% wydane wyroki nakazowe uprawomocniają się bez wniesienia sprzeciwu przez obwinionego. </w:t>
      </w:r>
    </w:p>
    <w:p w14:paraId="688BF265" w14:textId="77777777"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Trybunał Konstytucyjny wielokrotnie podkreślał, że skuteczne ściganie wykroczeń wymaga ustanowienia procedur umożliwiających karanie sprawców nawet bez konieczności wszczynania postępowania przed sądem. Dopuszczalność takich procedur na gruncie Konstytucji uzależniona jest jednak od charakteru wymierzanych w nich kar. Taki tryb jest możliwy przy stosowaniu kar grzywny nieprzekraczających pewnego poziomu kwotowego </w:t>
      </w:r>
      <w:r w:rsidRPr="00636A76">
        <w:rPr>
          <w:rFonts w:ascii="Times New Roman" w:hAnsi="Times New Roman" w:cs="Times New Roman"/>
        </w:rPr>
        <w:br/>
        <w:t xml:space="preserve">i kar łagodniejszych. Również w odniesieniu do postępowania mandatowego Trybunał stwierdził, że może ono prowadzić do różnicowania sprawców wykroczeń w zakresie ponoszonych konsekwencji, w zależności od tego, czy kara została wymierzona </w:t>
      </w:r>
      <w:r w:rsidRPr="00636A76">
        <w:rPr>
          <w:rFonts w:ascii="Times New Roman" w:hAnsi="Times New Roman" w:cs="Times New Roman"/>
        </w:rPr>
        <w:br/>
        <w:t>w postępowaniu mandatowym, czy też w postępowaniu sądowym. Nie może to być jednak podstawą do kwestionowania konstytucyjności rozwiązania polegającego na tym, że takie same sprawy   mogą   być   załatwiane   zarówno   w   postępowaniu   sądowym, jak i mandatowym (por. wyrok z 20 lutego 2008 r., K 30/07, OTK 2008, z. 1, poz. 6).</w:t>
      </w:r>
    </w:p>
    <w:p w14:paraId="5BDEFB22" w14:textId="4DC70E24"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Rozważając charakter prawny postępowania mandatowego w sprawach o wykroczenia i wydawanych w jego toku rozstrzygnięć, Trybunał Konstytucyjny zaznaczył, że ze swej istoty nie jest ono orzekaniem w przedmiocie procesu, lecz zastępczym postępowaniem określającym odpowiedzialność za wykroczenie, prowadzonym zamiast postępowania w sprawach </w:t>
      </w:r>
      <w:r>
        <w:rPr>
          <w:rFonts w:ascii="Times New Roman" w:hAnsi="Times New Roman" w:cs="Times New Roman"/>
        </w:rPr>
        <w:br/>
      </w:r>
      <w:r w:rsidRPr="00636A76">
        <w:rPr>
          <w:rFonts w:ascii="Times New Roman" w:hAnsi="Times New Roman" w:cs="Times New Roman"/>
        </w:rPr>
        <w:t xml:space="preserve">o wykroczenia przed sądem. Tym samym możliwość nakładania grzywny w drodze mandatu nie jest orzekaniem w przedmiocie procesu, choć jest rozstrzyganiem w zakresie odpowiedzialności za wykroczenie. Postępowanie mandatowe ma zastosowanie tylko </w:t>
      </w:r>
      <w:r w:rsidRPr="00636A76">
        <w:rPr>
          <w:rFonts w:ascii="Times New Roman" w:hAnsi="Times New Roman" w:cs="Times New Roman"/>
        </w:rPr>
        <w:br/>
        <w:t>i wyłącznie w stosunku do wykroczeń, a więc czynów zabronionych o stosunkowo niskim stopniu szkodliwości społecznej. Jego podstawową cechą jest zgoda sprawcy na zastosowanie tego trybu, określana jako „przyjęcie mandatu</w:t>
      </w:r>
      <w:r w:rsidR="001949C9">
        <w:rPr>
          <w:rFonts w:ascii="Times New Roman" w:hAnsi="Times New Roman" w:cs="Times New Roman"/>
        </w:rPr>
        <w:t>” (w obowiązującym stanie prawnym)</w:t>
      </w:r>
      <w:r w:rsidRPr="00636A76">
        <w:rPr>
          <w:rFonts w:ascii="Times New Roman" w:hAnsi="Times New Roman" w:cs="Times New Roman"/>
        </w:rPr>
        <w:t xml:space="preserve">, nosi ono zatem cechy konsensualne. Brak zgody, a także wstąpienie innych negatywnych przesłanek zastosowania tego trybu, powoduje obligatoryjny powrót do zasadniczego postępowania sądowego. W postępowaniu mandatowym karę grzywny w drodze mandatu karnego nałożyć można jedynie, gdy osoba sprawcy i okoliczności popełnienia wykroczenia nie budzą wątpliwości, a nie zachodzi potrzeba wymierzenia kary surowszej. Stosowanie sankcji w drodze mandatu karnego nie jest orzekaniem (wymierzaniem kary), ale nakładaniem kary grzywny. Prawomocność w przypadku mandatu karnego oznacza, że wywołuje on skutki </w:t>
      </w:r>
      <w:r w:rsidRPr="00636A76">
        <w:rPr>
          <w:rFonts w:ascii="Times New Roman" w:hAnsi="Times New Roman" w:cs="Times New Roman"/>
          <w:i/>
          <w:iCs/>
        </w:rPr>
        <w:t xml:space="preserve">rei indicatae, </w:t>
      </w:r>
      <w:r w:rsidRPr="00636A76">
        <w:rPr>
          <w:rFonts w:ascii="Times New Roman" w:hAnsi="Times New Roman" w:cs="Times New Roman"/>
        </w:rPr>
        <w:t xml:space="preserve">a zatem w sprawie, w której go wydano, wygasa prawo oskarżyciela do wniesienia oskarżenia (wyjątek stanowi jedynie uchylenie mandatu karnego, jeżeli karę grzywny nałożono za czyn niebędący czynem zabronionym jako wykroczenie). Prawomocność mandatu oznacza, </w:t>
      </w:r>
      <w:r w:rsidRPr="00636A76">
        <w:rPr>
          <w:rFonts w:ascii="Times New Roman" w:hAnsi="Times New Roman" w:cs="Times New Roman"/>
        </w:rPr>
        <w:lastRenderedPageBreak/>
        <w:t xml:space="preserve">że w kwestii odpowiedzialności za dany czyn doszło do prawomocnego rozstrzygnięcia </w:t>
      </w:r>
      <w:r w:rsidR="001949C9">
        <w:rPr>
          <w:rFonts w:ascii="Times New Roman" w:hAnsi="Times New Roman" w:cs="Times New Roman"/>
        </w:rPr>
        <w:br/>
      </w:r>
      <w:r w:rsidRPr="00636A76">
        <w:rPr>
          <w:rFonts w:ascii="Times New Roman" w:hAnsi="Times New Roman" w:cs="Times New Roman"/>
        </w:rPr>
        <w:t>w sposób niejako „zastępczy</w:t>
      </w:r>
      <w:r w:rsidR="001949C9">
        <w:rPr>
          <w:rFonts w:ascii="Times New Roman" w:hAnsi="Times New Roman" w:cs="Times New Roman"/>
        </w:rPr>
        <w:t>”</w:t>
      </w:r>
      <w:r w:rsidRPr="00636A76">
        <w:rPr>
          <w:rFonts w:ascii="Times New Roman" w:hAnsi="Times New Roman" w:cs="Times New Roman"/>
        </w:rPr>
        <w:t xml:space="preserve">, ale określony przez prawo procesowe. Z tej racji prawomocny mandat karny korzysta z powagi rzeczy osądzonej (por. przykładowo wyroki: z 18 maja 2004 r., SK 38/03, OTK 2004, z. 5, poz. 45; z 15 kwietnia 2008, P 26/06, OTK 2008, z. 3, poz. 42). Na tożsamym stanowisku stoi również doktryna (por. np.: T. Grzegorczyk, </w:t>
      </w:r>
      <w:r w:rsidRPr="00636A76">
        <w:rPr>
          <w:rFonts w:ascii="Times New Roman" w:hAnsi="Times New Roman" w:cs="Times New Roman"/>
          <w:i/>
          <w:iCs/>
        </w:rPr>
        <w:t>Kodeks postępowania w sprawach o wykroczenia.</w:t>
      </w:r>
      <w:r w:rsidRPr="00636A76">
        <w:rPr>
          <w:rFonts w:ascii="Times New Roman" w:hAnsi="Times New Roman" w:cs="Times New Roman"/>
          <w:i/>
          <w:iCs/>
          <w:lang w:val="es-ES_tradnl"/>
        </w:rPr>
        <w:t xml:space="preserve"> Komentanrz </w:t>
      </w:r>
      <w:r w:rsidRPr="00636A76">
        <w:rPr>
          <w:rFonts w:ascii="Times New Roman" w:hAnsi="Times New Roman" w:cs="Times New Roman"/>
        </w:rPr>
        <w:t xml:space="preserve">Warszawa 2003, s. 64, 329; A. Swiatłowski (w:) G. Bogdan, A. Nita, J. Raglewski, A. Swiatłowski, </w:t>
      </w:r>
      <w:r w:rsidRPr="00636A76">
        <w:rPr>
          <w:rFonts w:ascii="Times New Roman" w:hAnsi="Times New Roman" w:cs="Times New Roman"/>
          <w:i/>
          <w:iCs/>
        </w:rPr>
        <w:t xml:space="preserve">Kodeks karny skarbowy. Komentarz. </w:t>
      </w:r>
      <w:r w:rsidRPr="00636A76">
        <w:rPr>
          <w:rFonts w:ascii="Times New Roman" w:hAnsi="Times New Roman" w:cs="Times New Roman"/>
        </w:rPr>
        <w:t>Gdańsk 2007, s. 738).</w:t>
      </w:r>
    </w:p>
    <w:p w14:paraId="14553D84" w14:textId="4FCE0578"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Argumentację tę tym bardziej należy odnieść do referendarzy sądowych, których pozycja ustrojowa w zakresie niezależności co do treści wydawanych orzeczeń i zarządzeń, stabilności i trwałości zatrudnienia, jak też tego, że kandydaci na referendarzy sądowych muszą spełnić wymagania stawiane kandydatom na sędziów i ukończyć odpowiednią aplikację, jest </w:t>
      </w:r>
      <w:r w:rsidR="001949C9">
        <w:rPr>
          <w:rFonts w:ascii="Times New Roman" w:hAnsi="Times New Roman" w:cs="Times New Roman"/>
        </w:rPr>
        <w:br/>
      </w:r>
      <w:r w:rsidRPr="00636A76">
        <w:rPr>
          <w:rFonts w:ascii="Times New Roman" w:hAnsi="Times New Roman" w:cs="Times New Roman"/>
        </w:rPr>
        <w:t>o wiele silniejsza niż funkcjonariuszy nakładających grzywny w postępowaniu mandatowym. Trybunał Konstytucyjny uznał w wyroku z dnia 12 maja 2011 r., P 38/08 (OTK 2011, z. 4, poz. 33), że regulacja pozycji ustrojowej referendarzy sądowych należycie służy zapewnieniu ich bezstronności oraz niezależności od innych organów władzy publicznej. Nie sposób zatem odnaleźć żadnych rzeczowych względów przemawiających za uprawnieniem do nakładania grzywien funkcjonariuszy służb i organów, a jednocześnie zakwestionowaniem takiej możliwości w odniesieniu do referendarzy sądowych - oczywiście przy zachowaniu prawa ukaranego do spowodowania skierowania sprawy</w:t>
      </w:r>
      <w:r w:rsidR="003025FC">
        <w:rPr>
          <w:rFonts w:ascii="Times New Roman" w:hAnsi="Times New Roman" w:cs="Times New Roman"/>
        </w:rPr>
        <w:t xml:space="preserve"> </w:t>
      </w:r>
      <w:r w:rsidRPr="00636A76">
        <w:rPr>
          <w:rFonts w:ascii="Times New Roman" w:hAnsi="Times New Roman" w:cs="Times New Roman"/>
        </w:rPr>
        <w:t>- do rozpoznania przez niezawisły sąd.</w:t>
      </w:r>
    </w:p>
    <w:p w14:paraId="2525B597" w14:textId="714D9FA5"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Możliwość nakładania takich kar przez referendarzy sądowych w fazie jurysdykcyjnej (po wniesieniu wniosku o ukaranie) wymaga nadto rozważenia w świetle konstytucyjnej zasady sądowego wymiaru sprawiedliwości, określonej w art. 175 ust. 1 Konstytucji. Wymiar sprawiedliwości stanowi działalność państwa polegającą na sądzeniu, czyli wiążącym rozstrzyganiu sporów o prawo, w których przynajmniej jedną ze stron jest jednostka lub inny podmiot podobny (por. </w:t>
      </w:r>
      <w:r w:rsidR="00EA13C5">
        <w:rPr>
          <w:rFonts w:ascii="Times New Roman" w:hAnsi="Times New Roman" w:cs="Times New Roman"/>
        </w:rPr>
        <w:t>L</w:t>
      </w:r>
      <w:r w:rsidRPr="00636A76">
        <w:rPr>
          <w:rFonts w:ascii="Times New Roman" w:hAnsi="Times New Roman" w:cs="Times New Roman"/>
        </w:rPr>
        <w:t xml:space="preserve">. Garlicki, </w:t>
      </w:r>
      <w:r w:rsidRPr="00636A76">
        <w:rPr>
          <w:rFonts w:ascii="Times New Roman" w:hAnsi="Times New Roman" w:cs="Times New Roman"/>
          <w:i/>
          <w:iCs/>
        </w:rPr>
        <w:t xml:space="preserve">Polskie prawo konstytucyjne. Zarys wykładu, </w:t>
      </w:r>
      <w:r w:rsidRPr="00636A76">
        <w:rPr>
          <w:rFonts w:ascii="Times New Roman" w:hAnsi="Times New Roman" w:cs="Times New Roman"/>
        </w:rPr>
        <w:t xml:space="preserve">Warszawa 2006, s. 342; Z. Czeszejko-Sochacki, </w:t>
      </w:r>
      <w:r w:rsidRPr="00636A76">
        <w:rPr>
          <w:rFonts w:ascii="Times New Roman" w:hAnsi="Times New Roman" w:cs="Times New Roman"/>
          <w:i/>
          <w:iCs/>
        </w:rPr>
        <w:t xml:space="preserve">O wymiarze sprawiedliwości w świetle Konstytucji, międzynarodowych standardów i praktyki, </w:t>
      </w:r>
      <w:r w:rsidR="00EA13C5">
        <w:rPr>
          <w:rFonts w:ascii="Times New Roman" w:hAnsi="Times New Roman" w:cs="Times New Roman"/>
        </w:rPr>
        <w:t>„</w:t>
      </w:r>
      <w:r w:rsidRPr="00636A76">
        <w:rPr>
          <w:rFonts w:ascii="Times New Roman" w:hAnsi="Times New Roman" w:cs="Times New Roman"/>
        </w:rPr>
        <w:t>Państwo i Prawo</w:t>
      </w:r>
      <w:r w:rsidR="00EA13C5">
        <w:rPr>
          <w:rFonts w:ascii="Times New Roman" w:hAnsi="Times New Roman" w:cs="Times New Roman"/>
        </w:rPr>
        <w:t>”</w:t>
      </w:r>
      <w:r w:rsidRPr="00636A76">
        <w:rPr>
          <w:rFonts w:ascii="Times New Roman" w:hAnsi="Times New Roman" w:cs="Times New Roman"/>
        </w:rPr>
        <w:t xml:space="preserve"> 1999, nr 9, s. 3). Tak rozumiany wymiar sprawiedliwości sprawują Sąd Najwyższy, sądy powszechne, sądy administracyjne oraz sądy wojskowe (art. 175 ust. 1 Konstytucji). Monopol sądów w sprawowaniu wymiaru sprawiedliwości rodzi konieczność zagwarantowania sądowego rozstrzygnięcia każdej spraw), której przedmiotem jest spór o prawo, zaś stroną sporu jest jednostka lub inny podmiot podobny. Sądowy wymiar sprawiedliwości nie oznacza jednak, że wszystkie sprawy </w:t>
      </w:r>
      <w:r w:rsidR="001949C9">
        <w:rPr>
          <w:rFonts w:ascii="Times New Roman" w:hAnsi="Times New Roman" w:cs="Times New Roman"/>
        </w:rPr>
        <w:t xml:space="preserve">i kwestie </w:t>
      </w:r>
      <w:r w:rsidRPr="00636A76">
        <w:rPr>
          <w:rFonts w:ascii="Times New Roman" w:hAnsi="Times New Roman" w:cs="Times New Roman"/>
        </w:rPr>
        <w:t xml:space="preserve">dotyczące sytuacji prawnej jednostki muszą być rozstrzygane wyłącznie przez sądy (por. wyrok </w:t>
      </w:r>
      <w:r w:rsidRPr="00636A76">
        <w:rPr>
          <w:rFonts w:ascii="Times New Roman" w:hAnsi="Times New Roman" w:cs="Times New Roman"/>
        </w:rPr>
        <w:lastRenderedPageBreak/>
        <w:t>Trybunału Konstytucyjnego z 8 grudnia 1998 r., K 41/97, OTK 1998 z. 7, poz. 117). Wystarczy, by sądom została zagwarantowana kompetencja do ostatecznej weryfikacji rozstrzygnięcia organu niesądowego. Nic budzi więc wątpliwości, że prawo do sądu jest zachowane na gruncie takich regulacji, które - dopuszczając możliwość uruchomienia postępowania przed sądem powszechnym lub sądem administracyjnym - zapewniają kontrolę sądową rozstrzygnięcia, decyzji czy innego aktu indywidualnego kształtującego sytuację prawną jednostki lub innego podmiotu podobnego (zob. wyroki Trybunału Konstytucyjnego: z 2 czerwca 1999 r., K 34/98, OTK 1999, z. 5, poz. 94; z 14 lipca 2003 r., SK 42/01, OTK 2003, z. 6, poz. 63).</w:t>
      </w:r>
    </w:p>
    <w:p w14:paraId="32B42405" w14:textId="44B19063"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Nie można też przyjąć, że w świetle art. 175 ust. 1 Konstytucji wyłączone jest orzekanie przez organ niebędący sądem po skierowaniu wniosku o ukaranie i uruchomieniu jurysdykcyjnego stadium procesu. Podobna sytuacja ma miejsce w sądowym postępowaniu cywilnym, w którym ustawodawca przewiduje możliwość rozstrzygania przez referendarza sądowego sporu o prawo poprzez wydanie nakazu zapłaty. Wyposażenie referendarzy sądowych w takie uprawnienia w postępowaniu cywilnym nie było kwestionowane </w:t>
      </w:r>
      <w:r w:rsidR="00EA13C5">
        <w:rPr>
          <w:rFonts w:ascii="Times New Roman" w:hAnsi="Times New Roman" w:cs="Times New Roman"/>
        </w:rPr>
        <w:br/>
      </w:r>
      <w:r w:rsidRPr="00636A76">
        <w:rPr>
          <w:rFonts w:ascii="Times New Roman" w:hAnsi="Times New Roman" w:cs="Times New Roman"/>
        </w:rPr>
        <w:t xml:space="preserve">w orzecznictwie Trybunału Konstytucyjnego. Jak wyjaśnił Trybunał w wyroku z 12 maja 2011 r., P 38/08, Konstytucja nie zabrania ustawodawcy podjąć decyzji o zaangażowaniu urzędnika sądowego w rozstrzygnięcie sporu o prawo. Z perspektywy konstytucyjnej istotne jest tylko, aby ostateczne i wiążące rozstrzygnięcie sprawy należało do sądu sprawującego wymiar sprawiedliwości. Beneficjent konstytucyjnego prawa do sądu musi mieć zagwarantowaną proceduralną możliwość przekazania sprawy do właściwego, niezależnego, bezstronnego </w:t>
      </w:r>
      <w:r w:rsidRPr="00636A76">
        <w:rPr>
          <w:rFonts w:ascii="Times New Roman" w:hAnsi="Times New Roman" w:cs="Times New Roman"/>
        </w:rPr>
        <w:br/>
        <w:t>i niezawisłego sądu. W konsekwencji, o ile sprawowanie wymiaru sprawiedliwości zawsze polega na rozstrzygnięciu sporu o prawo, o tyle nie każde rozstrzygnięcie sporu o prawo jest sprawowaniem wymiaru sprawiedliwości.</w:t>
      </w:r>
    </w:p>
    <w:p w14:paraId="43D69634" w14:textId="15C5219E"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Również na gruncie wiążących Polskę standardów ochrony praw człowieka nie powinno ulegać wątpliwości, że dopuszczalne jest nakładanie grzywny za wykroczenia przez organ niebędący sądem, niezależnie od tego, czy zostało już wszczęte postępowanie jurysdykcyjne, pod warunkiem zapewnienia sprawcy wykroczenia możliwości żądania rozpoznania sprawy przez sąd. Wskazać w tym zakresie przede wszystkim należy, że zakres zastosowania art. 6 ust. 1 EKPCz, statuującego prawo do rzetelnego procesu sądowego, obejmuje, zarówno w sprawach cywilnych, jak i karnych, fazę poprzedzającą wszczęcie właściwego postępowania przed sądem, fazę toczącego się postępowania sądowego oraz tę po jego zakończeniu (por. P. Hofmański, A. Wróbel (w:) </w:t>
      </w:r>
      <w:r w:rsidRPr="00636A76">
        <w:rPr>
          <w:rFonts w:ascii="Times New Roman" w:hAnsi="Times New Roman" w:cs="Times New Roman"/>
          <w:i/>
          <w:iCs/>
        </w:rPr>
        <w:t xml:space="preserve">Konwencja o Ochronie Praw Człowieka i Podstawowych Wolności. Tom I. Ko we utarta do art. 1-18, </w:t>
      </w:r>
      <w:r w:rsidRPr="00636A76">
        <w:rPr>
          <w:rFonts w:ascii="Times New Roman" w:hAnsi="Times New Roman" w:cs="Times New Roman"/>
        </w:rPr>
        <w:t>pod red. L. Garlickiego, Warszawa 2010, s. 252). W świetle unormowań</w:t>
      </w:r>
      <w:r w:rsidR="000E0051">
        <w:rPr>
          <w:rFonts w:ascii="Times New Roman" w:hAnsi="Times New Roman" w:cs="Times New Roman"/>
        </w:rPr>
        <w:t xml:space="preserve"> Europejskiej Karty Praw Człowieka, zwanej dalej </w:t>
      </w:r>
      <w:r w:rsidR="000E0051">
        <w:rPr>
          <w:rFonts w:ascii="Times New Roman" w:hAnsi="Times New Roman" w:cs="Times New Roman"/>
        </w:rPr>
        <w:lastRenderedPageBreak/>
        <w:t>„</w:t>
      </w:r>
      <w:r w:rsidRPr="00636A76">
        <w:rPr>
          <w:rFonts w:ascii="Times New Roman" w:hAnsi="Times New Roman" w:cs="Times New Roman"/>
        </w:rPr>
        <w:t>EKPCz</w:t>
      </w:r>
      <w:r w:rsidR="000E0051">
        <w:rPr>
          <w:rFonts w:ascii="Times New Roman" w:hAnsi="Times New Roman" w:cs="Times New Roman"/>
        </w:rPr>
        <w:t>”</w:t>
      </w:r>
      <w:r w:rsidRPr="00636A76">
        <w:rPr>
          <w:rFonts w:ascii="Times New Roman" w:hAnsi="Times New Roman" w:cs="Times New Roman"/>
        </w:rPr>
        <w:t xml:space="preserve"> i przyjętych w orzecznictwie strasburskim kryteriów (por. wyrok Europejskiego Trybunału Praw Człowieka z 23 listopada 1976 r. w sprawie </w:t>
      </w:r>
      <w:r w:rsidRPr="00636A76">
        <w:rPr>
          <w:rFonts w:ascii="Times New Roman" w:hAnsi="Times New Roman" w:cs="Times New Roman"/>
          <w:i/>
          <w:iCs/>
        </w:rPr>
        <w:t xml:space="preserve">Engel i inni przeciwko Niderlandom), </w:t>
      </w:r>
      <w:r w:rsidRPr="00636A76">
        <w:rPr>
          <w:rFonts w:ascii="Times New Roman" w:hAnsi="Times New Roman" w:cs="Times New Roman"/>
        </w:rPr>
        <w:t>„sprawą karną'" w rozumieniu art. 6 ust. 1 jest sprawa, która została tak zakwalifikowana według prawa krajowego, w której chodzi o czyn mający taki charakter, bądź też z uwagi na rodzaj i rozmiar sankcji przewidzianej w ustawodawstwie krajowym. Zatem zasadniczo wykroczenia rozpatrywać należy w tym kontekście z perspektywy „sprawy karnej</w:t>
      </w:r>
      <w:r w:rsidR="003025FC">
        <w:rPr>
          <w:rFonts w:ascii="Times New Roman" w:hAnsi="Times New Roman" w:cs="Times New Roman"/>
        </w:rPr>
        <w:t>”</w:t>
      </w:r>
      <w:r w:rsidRPr="00636A76">
        <w:rPr>
          <w:rFonts w:ascii="Times New Roman" w:hAnsi="Times New Roman" w:cs="Times New Roman"/>
        </w:rPr>
        <w:t xml:space="preserve"> w rozumieniu EKPCz.</w:t>
      </w:r>
    </w:p>
    <w:p w14:paraId="1A4D202F" w14:textId="46A76E5C"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Przysługujące w myśl EKPCz prawo do sądu nie oznacza jednak, że nie są akceptowalne rozwiązania prawne polegające na tym, iż zarówno wina i kara sprawcy rozstrzygana jest początkowo przez organ niesądowy. W szczególnych wypadkach (nawet w odniesieniu do przestępstw) realizacja prawa do sądu w sprawie karnej uzależniona jest od inicjatywy oskarżonego. Dotyczy to sytuacji, gdy prawo dopuszcza możliwość wydania rozstrzygnięcia karnego bez przeprowadzenia rozpraw). Uproszczenie takie, znane większości europejskich porządków proceduralnych, nie stanowi jeszcze naruszenia gwarancji dostępu do sądu, jeżeli tylko oskarżony ma otwartą drogę do żądania rozpatrzenia jego sprawy przez sąd. Dotyczy to na przykład postępowania nakazowego (por. wyrok Europejskiego Trybunału Praw Człowieka z 16 grudnia 1992 r. w sprawie </w:t>
      </w:r>
      <w:r w:rsidRPr="00636A76">
        <w:rPr>
          <w:rFonts w:ascii="Times New Roman" w:hAnsi="Times New Roman" w:cs="Times New Roman"/>
          <w:i/>
          <w:iCs/>
        </w:rPr>
        <w:t xml:space="preserve">Hennings przeciwko Niemcom, </w:t>
      </w:r>
      <w:r w:rsidRPr="00636A76">
        <w:rPr>
          <w:rFonts w:ascii="Times New Roman" w:hAnsi="Times New Roman" w:cs="Times New Roman"/>
        </w:rPr>
        <w:t xml:space="preserve">par. 26), czy mandatowego. </w:t>
      </w:r>
      <w:r w:rsidR="002D6582">
        <w:rPr>
          <w:rFonts w:ascii="Times New Roman" w:hAnsi="Times New Roman" w:cs="Times New Roman"/>
        </w:rPr>
        <w:br/>
      </w:r>
      <w:r w:rsidRPr="00636A76">
        <w:rPr>
          <w:rFonts w:ascii="Times New Roman" w:hAnsi="Times New Roman" w:cs="Times New Roman"/>
        </w:rPr>
        <w:t xml:space="preserve">W świetle orzecznictwa strasburskiego nawet powierzenie rozstrzygania w drobniejszych sprawach karnych organom administracyjnym nie stanowi naruszenia EKPCz, jeżeli tylko </w:t>
      </w:r>
      <w:r w:rsidR="002D6582">
        <w:rPr>
          <w:rFonts w:ascii="Times New Roman" w:hAnsi="Times New Roman" w:cs="Times New Roman"/>
        </w:rPr>
        <w:br/>
      </w:r>
      <w:r w:rsidRPr="00636A76">
        <w:rPr>
          <w:rFonts w:ascii="Times New Roman" w:hAnsi="Times New Roman" w:cs="Times New Roman"/>
        </w:rPr>
        <w:t xml:space="preserve">w pełnym zakresie możliwe jest spowodowanie skontrolowania orzeczenia administracyjnego przez sąd (por. wyroki Europejskiego Trybunału Praw Człowieka </w:t>
      </w:r>
      <w:r w:rsidRPr="00636A76">
        <w:rPr>
          <w:rFonts w:ascii="Times New Roman" w:hAnsi="Times New Roman" w:cs="Times New Roman"/>
          <w:i/>
          <w:iCs/>
        </w:rPr>
        <w:t>w sprawie Ofrturk,</w:t>
      </w:r>
      <w:r w:rsidRPr="00636A76">
        <w:rPr>
          <w:rFonts w:ascii="Times New Roman" w:hAnsi="Times New Roman" w:cs="Times New Roman"/>
        </w:rPr>
        <w:t xml:space="preserve"> par. 56; </w:t>
      </w:r>
      <w:r w:rsidRPr="00636A76">
        <w:rPr>
          <w:rFonts w:ascii="Times New Roman" w:hAnsi="Times New Roman" w:cs="Times New Roman"/>
          <w:i/>
          <w:iCs/>
        </w:rPr>
        <w:t xml:space="preserve">w sprawie Lauko, </w:t>
      </w:r>
      <w:r w:rsidRPr="00636A76">
        <w:rPr>
          <w:rFonts w:ascii="Times New Roman" w:hAnsi="Times New Roman" w:cs="Times New Roman"/>
        </w:rPr>
        <w:t xml:space="preserve">par. 64 i </w:t>
      </w:r>
      <w:r w:rsidRPr="00636A76">
        <w:rPr>
          <w:rFonts w:ascii="Times New Roman" w:hAnsi="Times New Roman" w:cs="Times New Roman"/>
          <w:i/>
          <w:iCs/>
        </w:rPr>
        <w:t xml:space="preserve">w sprawie Kadubec, </w:t>
      </w:r>
      <w:r w:rsidRPr="00636A76">
        <w:rPr>
          <w:rFonts w:ascii="Times New Roman" w:hAnsi="Times New Roman" w:cs="Times New Roman"/>
        </w:rPr>
        <w:t xml:space="preserve">par. 57). Wreszcie w judykaturze podnosi się, że prawo do sądu nie jest absolutne, a z punktu widzenia standardu określonego w art. 6 EKPCz można usprawiedliwić pewne ograniczenia tego dostępu, jeżeli ukształtowane są w zgodzie z zasadą proporcjonalności i nie prowadzą do zanegowania istoty gwarancji wynikającej z tego przepisu (por. wyroki Europejskiego Trybunału Praw Człowieka </w:t>
      </w:r>
      <w:r w:rsidRPr="00636A76">
        <w:rPr>
          <w:rFonts w:ascii="Times New Roman" w:hAnsi="Times New Roman" w:cs="Times New Roman"/>
          <w:i/>
          <w:iCs/>
        </w:rPr>
        <w:t xml:space="preserve">w sprawie Ashingdane, </w:t>
      </w:r>
      <w:r w:rsidRPr="00636A76">
        <w:rPr>
          <w:rFonts w:ascii="Times New Roman" w:hAnsi="Times New Roman" w:cs="Times New Roman"/>
        </w:rPr>
        <w:t xml:space="preserve">par. 57; </w:t>
      </w:r>
      <w:r w:rsidRPr="00636A76">
        <w:rPr>
          <w:rFonts w:ascii="Times New Roman" w:hAnsi="Times New Roman" w:cs="Times New Roman"/>
          <w:i/>
          <w:iCs/>
        </w:rPr>
        <w:t xml:space="preserve">w sprawie Fayed, </w:t>
      </w:r>
      <w:r w:rsidRPr="00636A76">
        <w:rPr>
          <w:rFonts w:ascii="Times New Roman" w:hAnsi="Times New Roman" w:cs="Times New Roman"/>
        </w:rPr>
        <w:t xml:space="preserve">par. 85; </w:t>
      </w:r>
      <w:r w:rsidRPr="00636A76">
        <w:rPr>
          <w:rFonts w:ascii="Times New Roman" w:hAnsi="Times New Roman" w:cs="Times New Roman"/>
          <w:i/>
          <w:iCs/>
        </w:rPr>
        <w:t xml:space="preserve">w sprawie Uthgow i inni, </w:t>
      </w:r>
      <w:r w:rsidRPr="00636A76">
        <w:rPr>
          <w:rFonts w:ascii="Times New Roman" w:hAnsi="Times New Roman" w:cs="Times New Roman"/>
        </w:rPr>
        <w:t xml:space="preserve">par. 194; </w:t>
      </w:r>
      <w:r w:rsidRPr="00636A76">
        <w:rPr>
          <w:rFonts w:ascii="Times New Roman" w:hAnsi="Times New Roman" w:cs="Times New Roman"/>
          <w:i/>
          <w:iCs/>
        </w:rPr>
        <w:t xml:space="preserve">w sprawie Kreu^ </w:t>
      </w:r>
      <w:r w:rsidRPr="00636A76">
        <w:rPr>
          <w:rFonts w:ascii="Times New Roman" w:hAnsi="Times New Roman" w:cs="Times New Roman"/>
        </w:rPr>
        <w:t xml:space="preserve">par. 54; </w:t>
      </w:r>
      <w:r>
        <w:rPr>
          <w:rFonts w:ascii="Times New Roman" w:hAnsi="Times New Roman" w:cs="Times New Roman"/>
        </w:rPr>
        <w:br/>
      </w:r>
      <w:r w:rsidRPr="00636A76">
        <w:rPr>
          <w:rFonts w:ascii="Times New Roman" w:hAnsi="Times New Roman" w:cs="Times New Roman"/>
          <w:i/>
          <w:iCs/>
        </w:rPr>
        <w:t xml:space="preserve">w sprawie Waite i Kennedy przeciwko Niemcom, </w:t>
      </w:r>
      <w:r w:rsidRPr="00636A76">
        <w:rPr>
          <w:rFonts w:ascii="Times New Roman" w:hAnsi="Times New Roman" w:cs="Times New Roman"/>
        </w:rPr>
        <w:t>par. 59). Ograniczenia dostępu do sądu mogą wiązać się w sprawach karnych m. in. z dopuszczalnością pewnych uproszczeń proceduralnych polegających na rozpoznaniu sprawy bez uruchamiania „machiny</w:t>
      </w:r>
      <w:r w:rsidR="002D6582">
        <w:rPr>
          <w:rFonts w:ascii="Times New Roman" w:hAnsi="Times New Roman" w:cs="Times New Roman"/>
        </w:rPr>
        <w:t>”</w:t>
      </w:r>
      <w:r w:rsidRPr="00636A76">
        <w:rPr>
          <w:rFonts w:ascii="Times New Roman" w:hAnsi="Times New Roman" w:cs="Times New Roman"/>
        </w:rPr>
        <w:t xml:space="preserve"> postępowania jurysdykcyjnego. Kwestie te wiążą się z wymaganiem, aby dostęp do sądu był efektywny, </w:t>
      </w:r>
      <w:r>
        <w:rPr>
          <w:rFonts w:ascii="Times New Roman" w:hAnsi="Times New Roman" w:cs="Times New Roman"/>
        </w:rPr>
        <w:br/>
      </w:r>
      <w:r w:rsidRPr="00636A76">
        <w:rPr>
          <w:rFonts w:ascii="Times New Roman" w:hAnsi="Times New Roman" w:cs="Times New Roman"/>
        </w:rPr>
        <w:t>a więc nie tylko zagwarantowany „na papierze</w:t>
      </w:r>
      <w:r w:rsidR="002D6582">
        <w:rPr>
          <w:rFonts w:ascii="Times New Roman" w:hAnsi="Times New Roman" w:cs="Times New Roman"/>
        </w:rPr>
        <w:t>”</w:t>
      </w:r>
      <w:r w:rsidRPr="00636A76">
        <w:rPr>
          <w:rFonts w:ascii="Times New Roman" w:hAnsi="Times New Roman" w:cs="Times New Roman"/>
        </w:rPr>
        <w:t>, ale ukształtowany przez ustawodawstwo krajowe w ta</w:t>
      </w:r>
      <w:r w:rsidR="003025FC">
        <w:rPr>
          <w:rFonts w:ascii="Times New Roman" w:hAnsi="Times New Roman" w:cs="Times New Roman"/>
        </w:rPr>
        <w:t>ki</w:t>
      </w:r>
      <w:r w:rsidRPr="00636A76">
        <w:rPr>
          <w:rFonts w:ascii="Times New Roman" w:hAnsi="Times New Roman" w:cs="Times New Roman"/>
        </w:rPr>
        <w:t xml:space="preserve"> sposób, aby każdy, kto znajdzie się w sytuacji wymagającej ochrony prawnej, mógł rzeczywiście spowodować postępowanie sądowe (por. wyroki Europejskiego Trybunału </w:t>
      </w:r>
      <w:r w:rsidRPr="00636A76">
        <w:rPr>
          <w:rFonts w:ascii="Times New Roman" w:hAnsi="Times New Roman" w:cs="Times New Roman"/>
        </w:rPr>
        <w:lastRenderedPageBreak/>
        <w:t xml:space="preserve">Praw Człowieka </w:t>
      </w:r>
      <w:r w:rsidRPr="00636A76">
        <w:rPr>
          <w:rFonts w:ascii="Times New Roman" w:hAnsi="Times New Roman" w:cs="Times New Roman"/>
          <w:i/>
          <w:iCs/>
        </w:rPr>
        <w:t xml:space="preserve">w sprawie Go/der, </w:t>
      </w:r>
      <w:r w:rsidRPr="00636A76">
        <w:rPr>
          <w:rFonts w:ascii="Times New Roman" w:hAnsi="Times New Roman" w:cs="Times New Roman"/>
        </w:rPr>
        <w:t xml:space="preserve">par. 36 i </w:t>
      </w:r>
      <w:r w:rsidRPr="00636A76">
        <w:rPr>
          <w:rFonts w:ascii="Times New Roman" w:hAnsi="Times New Roman" w:cs="Times New Roman"/>
          <w:i/>
          <w:iCs/>
        </w:rPr>
        <w:t xml:space="preserve">w sprawie Airey, </w:t>
      </w:r>
      <w:r w:rsidRPr="00636A76">
        <w:rPr>
          <w:rFonts w:ascii="Times New Roman" w:hAnsi="Times New Roman" w:cs="Times New Roman"/>
        </w:rPr>
        <w:t>par. 20 i nast).</w:t>
      </w:r>
    </w:p>
    <w:p w14:paraId="1BD87601" w14:textId="6D184722" w:rsidR="00927258" w:rsidRPr="00636A76" w:rsidRDefault="00927258" w:rsidP="00927258">
      <w:pPr>
        <w:spacing w:line="360" w:lineRule="auto"/>
        <w:ind w:firstLine="708"/>
        <w:jc w:val="both"/>
        <w:rPr>
          <w:rFonts w:ascii="Times New Roman" w:hAnsi="Times New Roman" w:cs="Times New Roman"/>
        </w:rPr>
      </w:pPr>
      <w:r w:rsidRPr="00636A76">
        <w:rPr>
          <w:rFonts w:ascii="Times New Roman" w:hAnsi="Times New Roman" w:cs="Times New Roman"/>
        </w:rPr>
        <w:t xml:space="preserve">Uzasadnione jest zatem przekonanie, że projektowane regulacje, przewidujące wprowadzenie po złożeniu wniosku o ukaranie możliwości wymierzenia za wkroczenie </w:t>
      </w:r>
      <w:r>
        <w:rPr>
          <w:rFonts w:ascii="Times New Roman" w:hAnsi="Times New Roman" w:cs="Times New Roman"/>
        </w:rPr>
        <w:br/>
      </w:r>
      <w:r w:rsidRPr="00636A76">
        <w:rPr>
          <w:rFonts w:ascii="Times New Roman" w:hAnsi="Times New Roman" w:cs="Times New Roman"/>
        </w:rPr>
        <w:t>w postępowaniu nakazowym grzywny lub nagany przez referendarza sądowego na posiedzeniu, spełniają wymogi konwencyjne z punktu widzenia zachowania prawa do rzetelnego procesu sądowego.</w:t>
      </w:r>
    </w:p>
    <w:p w14:paraId="5A33D06A" w14:textId="2A83B595"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 xml:space="preserve">W odniesieniu do drugiego zagadnienia w projekcie proponuje się rezygnację </w:t>
      </w:r>
      <w:r>
        <w:rPr>
          <w:rFonts w:ascii="Times New Roman" w:hAnsi="Times New Roman" w:cs="Times New Roman"/>
        </w:rPr>
        <w:br/>
        <w:t xml:space="preserve">z instytucji odmowy przyjęcia mandatu na rzecz możliwości zaskarżenia nałożonego mandatu karnego do sądu. Jak wskazuje praktyka, przeważająca większość spraw o wykroczenia wnoszonych do sądu w związku z odmową przyjęcia mandatu przez sprawcę kończy się wydaniem prawomocnego wyroku skazującego. Poza tym odmowa przyjęcia mandatu przez sprawcę niejednokrotnie ma charakter impulsywny i nieprzemyślany, a w konsekwencji powoduje konieczność podjęcia szeregu czynności związanych z wytoczeniem oskarżenia </w:t>
      </w:r>
      <w:r>
        <w:rPr>
          <w:rFonts w:ascii="Times New Roman" w:hAnsi="Times New Roman" w:cs="Times New Roman"/>
        </w:rPr>
        <w:br/>
        <w:t>w sprawie o wykroczenie. Rozstrzygnięcie w postępowaniu mandatowym po wniesieniu sprawy do sądu nie jest już możliwe.</w:t>
      </w:r>
    </w:p>
    <w:p w14:paraId="10CF5A5D" w14:textId="0790F039"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 xml:space="preserve">Z tych względów proponuje się przyjęcie założenia, że grzywna nałożona mandatem karnym przez funkcjonariusza staje się wykonalna na dotychczasowych zasadach, a ukarany nie może odmówić przyjęcia mandatu. Wyjątkiem jest uprawomocnienie się z chwilą uiszczenia grzywny mandatów zaocznych, o których mowa w art. 98 § 4 pkt 1 k.p.s.w., gdyż </w:t>
      </w:r>
      <w:r w:rsidR="002D6582">
        <w:rPr>
          <w:rFonts w:ascii="Times New Roman" w:hAnsi="Times New Roman" w:cs="Times New Roman"/>
        </w:rPr>
        <w:br/>
      </w:r>
      <w:r>
        <w:rPr>
          <w:rFonts w:ascii="Times New Roman" w:hAnsi="Times New Roman" w:cs="Times New Roman"/>
        </w:rPr>
        <w:t xml:space="preserve">w tym wypadku nie można bezspornie stwierdzić chwili doręczenia mandatu. </w:t>
      </w:r>
      <w:r>
        <w:rPr>
          <w:rFonts w:ascii="Times New Roman" w:hAnsi="Times New Roman" w:cs="Times New Roman"/>
        </w:rPr>
        <w:br/>
        <w:t>W pozostałych sytuacjach ukarany będzie mógł zaskarżyć w terminie 7 dni do sądu rejonowego nałożony mandat karny, w zakresie zarówno co do winy, jak i co do kary. Mandat karny będzie pozostawał w mocy do czasu jego uchylenia. Mandat karny będzie również wykonalny na dotychczasowych zasadach, chyba że sąd wstrzyma jego wykonalność.</w:t>
      </w:r>
    </w:p>
    <w:p w14:paraId="7DCA4BD1" w14:textId="08651865"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Warunkiem formalnym odwołania byłoby</w:t>
      </w:r>
      <w:r w:rsidRPr="00F35D62">
        <w:rPr>
          <w:rFonts w:ascii="Times New Roman" w:hAnsi="Times New Roman" w:cs="Times New Roman"/>
        </w:rPr>
        <w:t xml:space="preserve"> wskaza</w:t>
      </w:r>
      <w:r>
        <w:rPr>
          <w:rFonts w:ascii="Times New Roman" w:hAnsi="Times New Roman" w:cs="Times New Roman"/>
        </w:rPr>
        <w:t>nie, czy</w:t>
      </w:r>
      <w:r w:rsidR="00EA13C5">
        <w:rPr>
          <w:rFonts w:ascii="Times New Roman" w:hAnsi="Times New Roman" w:cs="Times New Roman"/>
        </w:rPr>
        <w:t xml:space="preserve"> ukarany</w:t>
      </w:r>
      <w:r w:rsidRPr="00F35D62">
        <w:rPr>
          <w:rFonts w:ascii="Times New Roman" w:hAnsi="Times New Roman" w:cs="Times New Roman"/>
        </w:rPr>
        <w:t xml:space="preserve"> zaskarża mandat co do winy, czy co do kary. </w:t>
      </w:r>
      <w:r>
        <w:rPr>
          <w:rFonts w:ascii="Times New Roman" w:hAnsi="Times New Roman" w:cs="Times New Roman"/>
        </w:rPr>
        <w:t>Nadto o</w:t>
      </w:r>
      <w:r w:rsidRPr="00F35D62">
        <w:rPr>
          <w:rFonts w:ascii="Times New Roman" w:hAnsi="Times New Roman" w:cs="Times New Roman"/>
        </w:rPr>
        <w:t>dwołanie powinno wskazywać wszystkie znane skarżącemu dowody na poparcie swych twierdzeń</w:t>
      </w:r>
      <w:r>
        <w:rPr>
          <w:rFonts w:ascii="Times New Roman" w:hAnsi="Times New Roman" w:cs="Times New Roman"/>
        </w:rPr>
        <w:t>, pod rygorem utraty prawa do powoływania tych dowodów w dalszym postępowaniu</w:t>
      </w:r>
      <w:r w:rsidRPr="00F35D62">
        <w:rPr>
          <w:rFonts w:ascii="Times New Roman" w:hAnsi="Times New Roman" w:cs="Times New Roman"/>
        </w:rPr>
        <w:t>.</w:t>
      </w:r>
      <w:r w:rsidR="00DA1A29" w:rsidRPr="00DA1A29">
        <w:t xml:space="preserve"> </w:t>
      </w:r>
      <w:r w:rsidR="00DA1A29" w:rsidRPr="00DA1A29">
        <w:rPr>
          <w:rFonts w:ascii="Times New Roman" w:hAnsi="Times New Roman" w:cs="Times New Roman"/>
        </w:rPr>
        <w:t xml:space="preserve">Ukarany nie może w postępowaniu sądowym powoływać innych dowodów, niż wskazane w </w:t>
      </w:r>
      <w:r w:rsidR="00DA1A29">
        <w:rPr>
          <w:rFonts w:ascii="Times New Roman" w:hAnsi="Times New Roman" w:cs="Times New Roman"/>
        </w:rPr>
        <w:t>odwołaniu</w:t>
      </w:r>
      <w:r w:rsidR="00DA1A29" w:rsidRPr="00DA1A29">
        <w:rPr>
          <w:rFonts w:ascii="Times New Roman" w:hAnsi="Times New Roman" w:cs="Times New Roman"/>
        </w:rPr>
        <w:t>, chyba że dowód nie był mu znany w chwili wniesienia odwołania.</w:t>
      </w:r>
    </w:p>
    <w:p w14:paraId="54CB8D4E" w14:textId="20418F99"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 xml:space="preserve">W postępowaniu przed sądem pierwszej instancji nie obowiązywałby zakaz </w:t>
      </w:r>
      <w:r>
        <w:rPr>
          <w:rFonts w:ascii="Times New Roman" w:hAnsi="Times New Roman" w:cs="Times New Roman"/>
          <w:i/>
          <w:iCs/>
        </w:rPr>
        <w:t xml:space="preserve">reformationis in peius, </w:t>
      </w:r>
      <w:r>
        <w:rPr>
          <w:rFonts w:ascii="Times New Roman" w:hAnsi="Times New Roman" w:cs="Times New Roman"/>
        </w:rPr>
        <w:t>z uwagi na to, że prawo do wniesienia odwołania służyłoby wyłącznie ukaranemu, z wyłączeniem strony przeciwnej.</w:t>
      </w:r>
      <w:r w:rsidR="00A4686A">
        <w:rPr>
          <w:rFonts w:ascii="Times New Roman" w:hAnsi="Times New Roman" w:cs="Times New Roman"/>
        </w:rPr>
        <w:t xml:space="preserve"> O możliwości orzeczenia na niekorzyść odwołującego się funkcjonariusz nakładający grzywnę mandatem karnym jest obowiązany </w:t>
      </w:r>
      <w:r w:rsidR="00A4686A">
        <w:rPr>
          <w:rFonts w:ascii="Times New Roman" w:hAnsi="Times New Roman" w:cs="Times New Roman"/>
        </w:rPr>
        <w:lastRenderedPageBreak/>
        <w:t>pouczyć ukaranego.</w:t>
      </w:r>
    </w:p>
    <w:p w14:paraId="7B38EEF4" w14:textId="5EED0CBE" w:rsidR="00820244" w:rsidRDefault="00820244" w:rsidP="00820244">
      <w:pPr>
        <w:spacing w:line="360" w:lineRule="auto"/>
        <w:ind w:firstLine="708"/>
        <w:jc w:val="both"/>
        <w:rPr>
          <w:rFonts w:ascii="Times New Roman" w:hAnsi="Times New Roman" w:cs="Times New Roman"/>
        </w:rPr>
      </w:pPr>
      <w:r>
        <w:rPr>
          <w:rFonts w:ascii="Times New Roman" w:hAnsi="Times New Roman" w:cs="Times New Roman"/>
        </w:rPr>
        <w:t xml:space="preserve">W postępowaniu toczącym się przed sądem w wyniku wniesionego odwołania mógłby wziąć </w:t>
      </w:r>
      <w:r w:rsidR="00D65C97">
        <w:rPr>
          <w:rFonts w:ascii="Times New Roman" w:hAnsi="Times New Roman" w:cs="Times New Roman"/>
        </w:rPr>
        <w:t>udział w charakterze oskarżyciela zarówno organ, którego funkcjonariusz nałożył grzywnę zaskarżonym mandatem karnym, jak i ujawniony pokrzywdzony. Podmioty te sąd musiałby zawiadomić niezwłocznie po wniesieniu odwołania.</w:t>
      </w:r>
    </w:p>
    <w:p w14:paraId="0F825FB7" w14:textId="35F61D78" w:rsidR="00820244" w:rsidRPr="00820244" w:rsidRDefault="00DA1A29" w:rsidP="00820244">
      <w:pPr>
        <w:spacing w:line="360" w:lineRule="auto"/>
        <w:ind w:firstLine="708"/>
        <w:jc w:val="both"/>
        <w:rPr>
          <w:rFonts w:ascii="Times New Roman" w:hAnsi="Times New Roman" w:cs="Times New Roman"/>
        </w:rPr>
      </w:pPr>
      <w:r>
        <w:rPr>
          <w:rFonts w:ascii="Times New Roman" w:hAnsi="Times New Roman" w:cs="Times New Roman"/>
        </w:rPr>
        <w:t>Poza tym w postępowaniu toczącym się w wyniku wniesienia odwołania znajdowałyby odpowiednie zastosowanie przepisy o postępowaniu apelacyjnym.</w:t>
      </w:r>
      <w:r w:rsidR="00820244" w:rsidRPr="00820244">
        <w:rPr>
          <w:rFonts w:ascii="Times New Roman" w:hAnsi="Times New Roman" w:cs="Times New Roman"/>
        </w:rPr>
        <w:t xml:space="preserve"> </w:t>
      </w:r>
      <w:r>
        <w:rPr>
          <w:rFonts w:ascii="Times New Roman" w:hAnsi="Times New Roman" w:cs="Times New Roman"/>
        </w:rPr>
        <w:t>W konsekwencji</w:t>
      </w:r>
      <w:r w:rsidR="00456928">
        <w:rPr>
          <w:rFonts w:ascii="Times New Roman" w:hAnsi="Times New Roman" w:cs="Times New Roman"/>
        </w:rPr>
        <w:t xml:space="preserve"> odwołujący się może w toku tego postępowania cofnąć środek odwoławczy, co skutkowałoby uprawomocnieniem się mandatu karnego (proj. art. 99c k.p.s.w.).</w:t>
      </w:r>
    </w:p>
    <w:p w14:paraId="3F95D7DF" w14:textId="3857BAA2" w:rsidR="00820244" w:rsidRPr="00820244" w:rsidRDefault="00820244" w:rsidP="00B009E5">
      <w:pPr>
        <w:spacing w:line="360" w:lineRule="auto"/>
        <w:ind w:firstLine="708"/>
        <w:jc w:val="both"/>
        <w:rPr>
          <w:rFonts w:ascii="Times New Roman" w:hAnsi="Times New Roman" w:cs="Times New Roman"/>
        </w:rPr>
      </w:pPr>
      <w:r w:rsidRPr="00820244">
        <w:rPr>
          <w:rFonts w:ascii="Times New Roman" w:hAnsi="Times New Roman" w:cs="Times New Roman"/>
        </w:rPr>
        <w:t>Po rozpoznaniu odwołania sąd orzeka o utrzymaniu zaskarżonego mandatu karnego w mocy albo uchyla mandat karny i orzeka co do istoty lub umarza postępowanie.</w:t>
      </w:r>
      <w:r w:rsidR="00456928">
        <w:rPr>
          <w:rFonts w:ascii="Times New Roman" w:hAnsi="Times New Roman" w:cs="Times New Roman"/>
        </w:rPr>
        <w:t xml:space="preserve"> Sąd może w szczególności wymierzyć karę surowszą</w:t>
      </w:r>
      <w:r w:rsidR="0000723F">
        <w:rPr>
          <w:rFonts w:ascii="Times New Roman" w:hAnsi="Times New Roman" w:cs="Times New Roman"/>
        </w:rPr>
        <w:t xml:space="preserve"> lub surowszego rodzaju, jak również orzec środek karny.</w:t>
      </w:r>
    </w:p>
    <w:p w14:paraId="2866C45D" w14:textId="77777777"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Od wydanego w pierwszej instancji wyroku zapadłego w wyniku rozpoznania odwołania przysługiwałaby apelacja do sądu okręgowego. Postępowanie sądowe w sprawach mandatowych musi być bowiem dwuinstancyjne, tak by nie różniło się pod względem standardu z postępowaniami w sprawach o wykroczenia toczącymi się od początku przed sądem w wyniku złożenia wniosku o ukaranie.</w:t>
      </w:r>
    </w:p>
    <w:p w14:paraId="0987DEE8" w14:textId="77777777" w:rsidR="00927258" w:rsidRDefault="00927258" w:rsidP="00927258">
      <w:pPr>
        <w:spacing w:line="360" w:lineRule="auto"/>
        <w:ind w:firstLine="708"/>
        <w:jc w:val="both"/>
        <w:rPr>
          <w:rFonts w:ascii="Times New Roman" w:hAnsi="Times New Roman" w:cs="Times New Roman"/>
        </w:rPr>
      </w:pPr>
      <w:r>
        <w:rPr>
          <w:rFonts w:ascii="Times New Roman" w:hAnsi="Times New Roman" w:cs="Times New Roman"/>
        </w:rPr>
        <w:t>W konsekwencji proponowanych regulacji, w szczególności przerzucenia ciężaru procesowego zaskarżenia mandatu na ukaranego, należałoby się spodziewać znacznego zmniejszenia wpływu spraw o wykroczenia do sądu. Ponadto proponowane postępowanie odciążyłoby funkcjonariuszy od składania dużej liczby wniosków o ukaranie, na rzecz przekazania do sądu materiałów sprawy.</w:t>
      </w:r>
    </w:p>
    <w:p w14:paraId="1E616F89" w14:textId="5A2A8ED8" w:rsidR="008B108F" w:rsidRDefault="00927258" w:rsidP="008B108F">
      <w:pPr>
        <w:spacing w:line="360" w:lineRule="auto"/>
        <w:ind w:firstLine="708"/>
        <w:jc w:val="both"/>
        <w:rPr>
          <w:rFonts w:ascii="Times New Roman" w:hAnsi="Times New Roman" w:cs="Times New Roman"/>
        </w:rPr>
      </w:pPr>
      <w:r>
        <w:rPr>
          <w:rFonts w:ascii="Times New Roman" w:hAnsi="Times New Roman" w:cs="Times New Roman"/>
        </w:rPr>
        <w:t>Z uwagi na wprowadzenie sądowego trybu odwoławczego od mandatów karnych proponuje się zmianę właściwości sądu w zakresie uchylenia prawomocnego mandatu karnego – z uwagi na ekstraordynaryjny charakter tego trybu w porównaniu do proponowanych rozwiązań.</w:t>
      </w:r>
    </w:p>
    <w:p w14:paraId="2DB6D700" w14:textId="123B784C" w:rsidR="0000723F" w:rsidRDefault="0000723F" w:rsidP="00780E58">
      <w:pPr>
        <w:spacing w:line="360" w:lineRule="auto"/>
        <w:ind w:firstLine="708"/>
        <w:jc w:val="both"/>
        <w:rPr>
          <w:rFonts w:ascii="Times New Roman" w:hAnsi="Times New Roman" w:cs="Times New Roman"/>
        </w:rPr>
      </w:pPr>
      <w:r>
        <w:rPr>
          <w:rFonts w:ascii="Times New Roman" w:hAnsi="Times New Roman" w:cs="Times New Roman"/>
        </w:rPr>
        <w:t xml:space="preserve">Jeżeli chodzi o tzw. „punkty karne” przypisywane za wykroczenia w ruchu drogowym na podstawie art. 98 ustawy </w:t>
      </w:r>
      <w:r w:rsidRPr="0000723F">
        <w:rPr>
          <w:rFonts w:ascii="Times New Roman" w:hAnsi="Times New Roman" w:cs="Times New Roman"/>
        </w:rPr>
        <w:t>z dnia 5 stycznia 2011 r.</w:t>
      </w:r>
      <w:r>
        <w:rPr>
          <w:rFonts w:ascii="Times New Roman" w:hAnsi="Times New Roman" w:cs="Times New Roman"/>
        </w:rPr>
        <w:t xml:space="preserve"> </w:t>
      </w:r>
      <w:r w:rsidRPr="0000723F">
        <w:rPr>
          <w:rFonts w:ascii="Times New Roman" w:hAnsi="Times New Roman" w:cs="Times New Roman"/>
        </w:rPr>
        <w:t>o kierujących pojazdami</w:t>
      </w:r>
      <w:r>
        <w:rPr>
          <w:rFonts w:ascii="Times New Roman" w:hAnsi="Times New Roman" w:cs="Times New Roman"/>
        </w:rPr>
        <w:t xml:space="preserve"> (Dz. U. z 2020 r. poz. 1268, z późn. zm.), to projekt </w:t>
      </w:r>
      <w:r w:rsidR="00756905">
        <w:rPr>
          <w:rFonts w:ascii="Times New Roman" w:hAnsi="Times New Roman" w:cs="Times New Roman"/>
        </w:rPr>
        <w:t xml:space="preserve">nie zmienia założenia, zgodnie z którym sprawca </w:t>
      </w:r>
      <w:r w:rsidR="00756905" w:rsidRPr="00756905">
        <w:rPr>
          <w:rFonts w:ascii="Times New Roman" w:hAnsi="Times New Roman" w:cs="Times New Roman"/>
        </w:rPr>
        <w:t>otrzymuje punkty odpowiadające temu naruszeniu z dniem uprawomocnienia się rozstrzygnięcia.</w:t>
      </w:r>
      <w:r w:rsidR="00756905">
        <w:rPr>
          <w:rFonts w:ascii="Times New Roman" w:hAnsi="Times New Roman" w:cs="Times New Roman"/>
        </w:rPr>
        <w:t xml:space="preserve"> Projektodawca wprowadził mechanizm </w:t>
      </w:r>
      <w:r w:rsidR="0016570B">
        <w:rPr>
          <w:rFonts w:ascii="Times New Roman" w:hAnsi="Times New Roman" w:cs="Times New Roman"/>
        </w:rPr>
        <w:t xml:space="preserve">przekazywania właściwym organom Policji informacji o wypadkach, w których mandat karny został zaskarżony (nie uprawomocnił się poprzez niewniesienie odwołania) oraz o treści prawomocnego rozstrzygnięcia sądu w </w:t>
      </w:r>
      <w:r w:rsidR="0016570B">
        <w:rPr>
          <w:rFonts w:ascii="Times New Roman" w:hAnsi="Times New Roman" w:cs="Times New Roman"/>
        </w:rPr>
        <w:lastRenderedPageBreak/>
        <w:t>kwestii odwołania. Zgodnie z projektowanym art. 99a § 3 pkt 1 k.p.s.w. sąd</w:t>
      </w:r>
      <w:r w:rsidR="00780E58" w:rsidRPr="00780E58">
        <w:rPr>
          <w:rFonts w:ascii="Times New Roman" w:hAnsi="Times New Roman" w:cs="Times New Roman"/>
        </w:rPr>
        <w:t xml:space="preserve"> zawiadamia</w:t>
      </w:r>
      <w:r w:rsidR="00780E58">
        <w:rPr>
          <w:rFonts w:ascii="Times New Roman" w:hAnsi="Times New Roman" w:cs="Times New Roman"/>
        </w:rPr>
        <w:t xml:space="preserve"> </w:t>
      </w:r>
      <w:r w:rsidR="00780E58" w:rsidRPr="00780E58">
        <w:rPr>
          <w:rFonts w:ascii="Times New Roman" w:hAnsi="Times New Roman" w:cs="Times New Roman"/>
        </w:rPr>
        <w:t>w terminie 3 dni organ, którego funkcjonariusz nałożył grzywnę zaskarżonym mandatem karnym,</w:t>
      </w:r>
      <w:r w:rsidR="00780E58">
        <w:rPr>
          <w:rFonts w:ascii="Times New Roman" w:hAnsi="Times New Roman" w:cs="Times New Roman"/>
        </w:rPr>
        <w:t xml:space="preserve"> o wniesieniu odwołania. Ponadto, zgodnie z </w:t>
      </w:r>
      <w:r w:rsidR="00780E58" w:rsidRPr="00780E58">
        <w:rPr>
          <w:rFonts w:ascii="Times New Roman" w:hAnsi="Times New Roman" w:cs="Times New Roman"/>
        </w:rPr>
        <w:t>projektowanym art.</w:t>
      </w:r>
      <w:r w:rsidR="00780E58" w:rsidRPr="00780E58">
        <w:t xml:space="preserve"> </w:t>
      </w:r>
      <w:r w:rsidR="00780E58" w:rsidRPr="00780E58">
        <w:rPr>
          <w:rFonts w:ascii="Times New Roman" w:hAnsi="Times New Roman" w:cs="Times New Roman"/>
        </w:rPr>
        <w:t>99d</w:t>
      </w:r>
      <w:r w:rsidR="00780E58">
        <w:rPr>
          <w:rFonts w:ascii="Times New Roman" w:hAnsi="Times New Roman" w:cs="Times New Roman"/>
        </w:rPr>
        <w:t xml:space="preserve"> k.p.s.w.</w:t>
      </w:r>
      <w:r w:rsidR="00427E8A">
        <w:rPr>
          <w:rFonts w:ascii="Times New Roman" w:hAnsi="Times New Roman" w:cs="Times New Roman"/>
        </w:rPr>
        <w:t>,</w:t>
      </w:r>
      <w:r w:rsidR="00780E58">
        <w:rPr>
          <w:rFonts w:ascii="Times New Roman" w:hAnsi="Times New Roman" w:cs="Times New Roman"/>
        </w:rPr>
        <w:t xml:space="preserve"> sąd zawiadamia tenże organ o</w:t>
      </w:r>
      <w:r w:rsidR="00780E58" w:rsidRPr="00780E58">
        <w:rPr>
          <w:rFonts w:ascii="Times New Roman" w:hAnsi="Times New Roman" w:cs="Times New Roman"/>
        </w:rPr>
        <w:t xml:space="preserve"> sposobie zakończenia postępowania zainicjowanego wniesieniem odwołania</w:t>
      </w:r>
      <w:r w:rsidR="00780E58">
        <w:rPr>
          <w:rFonts w:ascii="Times New Roman" w:hAnsi="Times New Roman" w:cs="Times New Roman"/>
        </w:rPr>
        <w:t xml:space="preserve">, </w:t>
      </w:r>
      <w:r w:rsidR="00780E58" w:rsidRPr="00780E58">
        <w:rPr>
          <w:rFonts w:ascii="Times New Roman" w:hAnsi="Times New Roman" w:cs="Times New Roman"/>
        </w:rPr>
        <w:t>przesyłając jednocześnie odpis tego rozstrzygnięcia.</w:t>
      </w:r>
      <w:r w:rsidR="00780E58">
        <w:rPr>
          <w:rFonts w:ascii="Times New Roman" w:hAnsi="Times New Roman" w:cs="Times New Roman"/>
        </w:rPr>
        <w:t xml:space="preserve"> Organ Policji będzie zatem dysponował wszystkimi niezbędnymi danymi do naliczenia, przypisania i wprowadzenia </w:t>
      </w:r>
      <w:r w:rsidR="00237AE0">
        <w:rPr>
          <w:rFonts w:ascii="Times New Roman" w:hAnsi="Times New Roman" w:cs="Times New Roman"/>
        </w:rPr>
        <w:t>punktów do systemu.</w:t>
      </w:r>
    </w:p>
    <w:p w14:paraId="21912D21" w14:textId="473656A1" w:rsidR="00237AE0" w:rsidRDefault="00237AE0" w:rsidP="00780E58">
      <w:pPr>
        <w:spacing w:line="360" w:lineRule="auto"/>
        <w:ind w:firstLine="708"/>
        <w:jc w:val="both"/>
        <w:rPr>
          <w:rFonts w:ascii="Times New Roman" w:hAnsi="Times New Roman" w:cs="Times New Roman"/>
        </w:rPr>
      </w:pPr>
      <w:r>
        <w:rPr>
          <w:rFonts w:ascii="Times New Roman" w:hAnsi="Times New Roman" w:cs="Times New Roman"/>
        </w:rPr>
        <w:t>Jeżeli sąd nie wstrzyma natychmiastowej wykonalności mandatu karnego, wykonanie grzywny nim nałożonej będzie przebiegało na dotychczasowych zasadach i w tych samych terminach. W razie orzeczenia kary przez sąd, na jej poczet zostan</w:t>
      </w:r>
      <w:r w:rsidR="00EC11E8">
        <w:rPr>
          <w:rFonts w:ascii="Times New Roman" w:hAnsi="Times New Roman" w:cs="Times New Roman"/>
        </w:rPr>
        <w:t>ą</w:t>
      </w:r>
      <w:r>
        <w:rPr>
          <w:rFonts w:ascii="Times New Roman" w:hAnsi="Times New Roman" w:cs="Times New Roman"/>
        </w:rPr>
        <w:t xml:space="preserve"> zaliczon</w:t>
      </w:r>
      <w:r w:rsidR="00EC11E8">
        <w:rPr>
          <w:rFonts w:ascii="Times New Roman" w:hAnsi="Times New Roman" w:cs="Times New Roman"/>
        </w:rPr>
        <w:t>e</w:t>
      </w:r>
      <w:r w:rsidR="00EC11E8" w:rsidRPr="00EC11E8">
        <w:t xml:space="preserve"> </w:t>
      </w:r>
      <w:r w:rsidR="00EC11E8" w:rsidRPr="00EC11E8">
        <w:rPr>
          <w:rFonts w:ascii="Times New Roman" w:hAnsi="Times New Roman" w:cs="Times New Roman"/>
        </w:rPr>
        <w:t xml:space="preserve">kwoty uiszczone lub wyegzekwowane z tytułu grzywny nałożonej mandatem karnym </w:t>
      </w:r>
      <w:r w:rsidR="00EC11E8">
        <w:rPr>
          <w:rFonts w:ascii="Times New Roman" w:hAnsi="Times New Roman" w:cs="Times New Roman"/>
        </w:rPr>
        <w:t>(proj. art. 52b k.k.w.).</w:t>
      </w:r>
    </w:p>
    <w:p w14:paraId="021E4678" w14:textId="1BB3200E" w:rsidR="0023614F" w:rsidRDefault="00EC11E8" w:rsidP="00780E58">
      <w:pPr>
        <w:spacing w:line="360" w:lineRule="auto"/>
        <w:ind w:firstLine="708"/>
        <w:jc w:val="both"/>
        <w:rPr>
          <w:rFonts w:ascii="Times New Roman" w:hAnsi="Times New Roman" w:cs="Times New Roman"/>
        </w:rPr>
      </w:pPr>
      <w:r>
        <w:rPr>
          <w:rFonts w:ascii="Times New Roman" w:hAnsi="Times New Roman" w:cs="Times New Roman"/>
        </w:rPr>
        <w:t xml:space="preserve">W związku z wprowadzeniem dodatkowego sposobu wszczęcia postępowania sądowego w sprawie o wykroczenia zaszła konieczność zmiany przepisu art. 45 § 1 k.w. odnośnie do </w:t>
      </w:r>
      <w:r w:rsidR="0023614F">
        <w:rPr>
          <w:rFonts w:ascii="Times New Roman" w:hAnsi="Times New Roman" w:cs="Times New Roman"/>
        </w:rPr>
        <w:t>uwzględnienia tej okoliczności w ustaleniu chwili, od której liczy się przedłużenie terminu przedawnienia karalności wykroczenia.</w:t>
      </w:r>
    </w:p>
    <w:p w14:paraId="41E16D76" w14:textId="5AEA9E62" w:rsidR="0054665B" w:rsidRDefault="0054665B" w:rsidP="0054665B">
      <w:pPr>
        <w:pStyle w:val="Default"/>
        <w:spacing w:line="360" w:lineRule="auto"/>
        <w:jc w:val="both"/>
      </w:pPr>
      <w:r>
        <w:tab/>
        <w:t xml:space="preserve">Zmiany w art. 52 ustawy z dnia 21 listopada 2008 r. o służbie cywilnej (Dz. U. z 2020 r. poz. 265 i 285) podyktowane są tym, że zgodnie z pkt 1 art. 52 wyższymi stanowiskami w służbie cywilnej są m.in. stanowiska podsekretarza stanu w urzędzie ministra. Regulacja ta pozostaje natomiast w sprzeczności z dyspozycją art. 98 § 6 ustawy z dnia 27 lipca 2001 r. Prawo o ustroju sądów powszechnych (Dz. U. z 2020 r., poz. 365, 875 i 1086), który zezwala na pełnienie stanowiska podsekretarza stanu sędziemu delegowanemu na ten czas do Ministerstwa Sprawiedliwości na podstawie art. 77 § 1 ww. ustawy. Jest to konieczne z uwagi na treść art. 9a § 2 </w:t>
      </w:r>
      <w:r>
        <w:rPr>
          <w:i/>
          <w:iCs/>
        </w:rPr>
        <w:t xml:space="preserve">in principio </w:t>
      </w:r>
      <w:r>
        <w:t xml:space="preserve">ww. ustawy, zgodnie z którą: </w:t>
      </w:r>
      <w:r>
        <w:rPr>
          <w:i/>
          <w:iCs/>
          <w:color w:val="333333"/>
          <w:shd w:val="clear" w:color="auto" w:fill="FFFFFF"/>
        </w:rPr>
        <w:t xml:space="preserve">Zewnętrzny nadzór administracyjny nad działalnością sądów, o której mowa w art. 8 pkt 2, sprawuje Minister Sprawiedliwości przez służbę nadzoru, którą stanowią sędziowie delegowani do Ministerstwa Sprawiedliwości w trybie art. 77. </w:t>
      </w:r>
      <w:r>
        <w:rPr>
          <w:color w:val="333333"/>
          <w:shd w:val="clear" w:color="auto" w:fill="FFFFFF"/>
        </w:rPr>
        <w:t xml:space="preserve">Ustawa wymaga zatem, aby zewnętrzny nadzór administracyjny sprawowany był bezpośrednio przez podsekretarza stanu w osobie sędziego delegowanego na ten okres do Ministerstwa Sprawiedliwości. </w:t>
      </w:r>
      <w:r>
        <w:t xml:space="preserve">Oczywistym jest, że sędzia nie może być jednocześnie członkiem korpusu służby cywilnej. Stąd zachodzi potrzeba wyeliminowania przedmiotowej sprzeczności poprzez wyraźne wskazanie, że stanowisko podsekretarza stanu w Ministerstwie Sprawiedliwości sprawującego za nadzór nad działalnością sądów nie należy do wyższych stanowisk w służbie cywilnej.  </w:t>
      </w:r>
    </w:p>
    <w:p w14:paraId="556103AC" w14:textId="68B6484B" w:rsidR="0023614F" w:rsidRPr="0023614F" w:rsidRDefault="0023614F" w:rsidP="00230C91">
      <w:pPr>
        <w:spacing w:line="360" w:lineRule="auto"/>
        <w:ind w:firstLine="708"/>
        <w:jc w:val="both"/>
        <w:rPr>
          <w:rFonts w:ascii="Times New Roman" w:hAnsi="Times New Roman" w:cs="Times New Roman"/>
        </w:rPr>
      </w:pPr>
      <w:r>
        <w:rPr>
          <w:rFonts w:ascii="Times New Roman" w:hAnsi="Times New Roman" w:cs="Times New Roman"/>
        </w:rPr>
        <w:t>Projekt zakłada, że przepisy w nim zawarte wejdą w życie z dniem wejścia w życie ustawy i odtąd regulować będą stosunki społeczne. Ustala się przy tym założenie, że c</w:t>
      </w:r>
      <w:r w:rsidRPr="0023614F">
        <w:rPr>
          <w:rFonts w:ascii="Times New Roman" w:hAnsi="Times New Roman" w:cs="Times New Roman"/>
        </w:rPr>
        <w:t xml:space="preserve">zynności </w:t>
      </w:r>
      <w:r w:rsidRPr="0023614F">
        <w:rPr>
          <w:rFonts w:ascii="Times New Roman" w:hAnsi="Times New Roman" w:cs="Times New Roman"/>
        </w:rPr>
        <w:lastRenderedPageBreak/>
        <w:t xml:space="preserve">procesowe, w tym w postępowaniu mandatowym, dokonane przed dniem wejścia w życie ustawy </w:t>
      </w:r>
      <w:r w:rsidR="00FE277A">
        <w:rPr>
          <w:rFonts w:ascii="Times New Roman" w:hAnsi="Times New Roman" w:cs="Times New Roman"/>
        </w:rPr>
        <w:t>będą</w:t>
      </w:r>
      <w:r w:rsidRPr="0023614F">
        <w:rPr>
          <w:rFonts w:ascii="Times New Roman" w:hAnsi="Times New Roman" w:cs="Times New Roman"/>
        </w:rPr>
        <w:t xml:space="preserve"> skuteczne, jeżeli dokonano ich z zachowaniem przepisów dotychczasowych.</w:t>
      </w:r>
    </w:p>
    <w:p w14:paraId="2BB18FFB" w14:textId="6DD3FCC9" w:rsidR="0023614F" w:rsidRDefault="00FE277A" w:rsidP="00230C91">
      <w:pPr>
        <w:spacing w:line="360" w:lineRule="auto"/>
        <w:ind w:firstLine="708"/>
        <w:jc w:val="both"/>
        <w:rPr>
          <w:rFonts w:ascii="Times New Roman" w:hAnsi="Times New Roman" w:cs="Times New Roman"/>
        </w:rPr>
      </w:pPr>
      <w:r>
        <w:rPr>
          <w:rFonts w:ascii="Times New Roman" w:hAnsi="Times New Roman" w:cs="Times New Roman"/>
        </w:rPr>
        <w:t>Przepis intertemporalny wymagany jest natomiast w związku z toczącymi się podstępowaniami mandatowymi.  Zgodnie z nim j</w:t>
      </w:r>
      <w:r w:rsidR="0023614F" w:rsidRPr="0023614F">
        <w:rPr>
          <w:rFonts w:ascii="Times New Roman" w:hAnsi="Times New Roman" w:cs="Times New Roman"/>
        </w:rPr>
        <w:t xml:space="preserve">eżeli grzywna została nałożona mandatem karnym przed dniem wejścia w życie ustawy, postępowanie mandatowe do czasu jego zakończenia toczy się na podstawie </w:t>
      </w:r>
      <w:r w:rsidR="006353CF">
        <w:rPr>
          <w:rFonts w:ascii="Times New Roman" w:hAnsi="Times New Roman" w:cs="Times New Roman"/>
        </w:rPr>
        <w:t xml:space="preserve">dotychczasowych </w:t>
      </w:r>
      <w:r w:rsidR="0023614F" w:rsidRPr="0023614F">
        <w:rPr>
          <w:rFonts w:ascii="Times New Roman" w:hAnsi="Times New Roman" w:cs="Times New Roman"/>
        </w:rPr>
        <w:t>przepisów</w:t>
      </w:r>
      <w:r w:rsidR="006353CF">
        <w:rPr>
          <w:rFonts w:ascii="Times New Roman" w:hAnsi="Times New Roman" w:cs="Times New Roman"/>
        </w:rPr>
        <w:t>.</w:t>
      </w:r>
    </w:p>
    <w:p w14:paraId="78959304" w14:textId="6AB050B3" w:rsidR="006353CF" w:rsidRDefault="006353CF" w:rsidP="00230C91">
      <w:pPr>
        <w:spacing w:line="360" w:lineRule="auto"/>
        <w:ind w:firstLine="708"/>
        <w:jc w:val="both"/>
        <w:rPr>
          <w:rFonts w:ascii="Times New Roman" w:hAnsi="Times New Roman" w:cs="Times New Roman"/>
        </w:rPr>
      </w:pPr>
      <w:r>
        <w:rPr>
          <w:rFonts w:ascii="Times New Roman" w:hAnsi="Times New Roman" w:cs="Times New Roman"/>
        </w:rPr>
        <w:t>Wejście w życie ustawy będzie również wymagało dostosowania do jej treści przepisów rozporządzenia Prezesa Rady Ministrów wydanego na podstawie delegacji zawartej w art. 96 § 3 k.p.s.w.</w:t>
      </w:r>
    </w:p>
    <w:p w14:paraId="1017DB1C" w14:textId="16795FF5" w:rsidR="008B108F" w:rsidRDefault="006353CF" w:rsidP="00230C91">
      <w:pPr>
        <w:spacing w:line="360" w:lineRule="auto"/>
        <w:ind w:firstLine="708"/>
        <w:jc w:val="both"/>
        <w:rPr>
          <w:rFonts w:ascii="Times New Roman" w:hAnsi="Times New Roman" w:cs="Times New Roman"/>
          <w:bCs/>
        </w:rPr>
      </w:pPr>
      <w:r>
        <w:rPr>
          <w:rFonts w:ascii="Times New Roman" w:hAnsi="Times New Roman" w:cs="Times New Roman"/>
          <w:bCs/>
        </w:rPr>
        <w:t xml:space="preserve">Proponuje się, by </w:t>
      </w:r>
      <w:r w:rsidR="008B108F" w:rsidRPr="008B108F">
        <w:rPr>
          <w:rFonts w:ascii="Times New Roman" w:hAnsi="Times New Roman" w:cs="Times New Roman"/>
          <w:bCs/>
        </w:rPr>
        <w:t>projektowana ustawa we</w:t>
      </w:r>
      <w:r>
        <w:rPr>
          <w:rFonts w:ascii="Times New Roman" w:hAnsi="Times New Roman" w:cs="Times New Roman"/>
          <w:bCs/>
        </w:rPr>
        <w:t>szła</w:t>
      </w:r>
      <w:r w:rsidR="008B108F" w:rsidRPr="008B108F">
        <w:rPr>
          <w:rFonts w:ascii="Times New Roman" w:hAnsi="Times New Roman" w:cs="Times New Roman"/>
          <w:bCs/>
        </w:rPr>
        <w:t xml:space="preserve"> w życie</w:t>
      </w:r>
      <w:r w:rsidR="00091897">
        <w:rPr>
          <w:rFonts w:ascii="Times New Roman" w:hAnsi="Times New Roman" w:cs="Times New Roman"/>
          <w:bCs/>
        </w:rPr>
        <w:t xml:space="preserve">  </w:t>
      </w:r>
      <w:r w:rsidR="00B83FCC">
        <w:rPr>
          <w:rFonts w:ascii="Times New Roman" w:hAnsi="Times New Roman" w:cs="Times New Roman"/>
          <w:bCs/>
        </w:rPr>
        <w:t>po upływie 14 dni od dnia ogłoszenia.</w:t>
      </w:r>
    </w:p>
    <w:p w14:paraId="6B545470" w14:textId="77777777" w:rsidR="00016119" w:rsidRDefault="00016119" w:rsidP="00230C91">
      <w:pPr>
        <w:pStyle w:val="NIEARTTEKSTtekstnieartykuowanynppodstprawnarozplubpreambua"/>
        <w:spacing w:before="0"/>
        <w:ind w:firstLine="709"/>
      </w:pPr>
      <w:r w:rsidRPr="00A57403">
        <w:t>Projekt ustawy nie dotyczy funkcjonowania samorządu terytorialnego</w:t>
      </w:r>
      <w:r>
        <w:t>.</w:t>
      </w:r>
    </w:p>
    <w:p w14:paraId="1D3844A6" w14:textId="77777777" w:rsidR="00016119" w:rsidRPr="00A57403" w:rsidRDefault="00016119" w:rsidP="00230C91">
      <w:pPr>
        <w:pStyle w:val="NIEARTTEKSTtekstnieartykuowanynppodstprawnarozplubpreambua"/>
        <w:spacing w:before="0"/>
        <w:ind w:firstLine="709"/>
      </w:pPr>
      <w:r w:rsidRPr="00A57403">
        <w:t>Projektowana ustawa nie zawiera przepisów technicznych w</w:t>
      </w:r>
      <w:r>
        <w:t> </w:t>
      </w:r>
      <w:r w:rsidRPr="00A57403">
        <w:t>rozumieniu rozporządzenia Rady Ministrów z</w:t>
      </w:r>
      <w:r>
        <w:t> </w:t>
      </w:r>
      <w:r w:rsidRPr="00A57403">
        <w:t>dnia 23</w:t>
      </w:r>
      <w:r>
        <w:t> </w:t>
      </w:r>
      <w:r w:rsidRPr="00A57403">
        <w:t>grudnia 2002</w:t>
      </w:r>
      <w:r>
        <w:t> </w:t>
      </w:r>
      <w:r w:rsidRPr="00A57403">
        <w:t xml:space="preserve">r. </w:t>
      </w:r>
      <w:r w:rsidRPr="00E433F7">
        <w:t>w sprawie sposobu funkcjonowania krajowego systemu notyfikacji norm i aktów prawnych</w:t>
      </w:r>
      <w:r w:rsidRPr="00A57403">
        <w:t xml:space="preserve"> (</w:t>
      </w:r>
      <w:r>
        <w:t>Dz. U. poz. </w:t>
      </w:r>
      <w:r w:rsidRPr="00A57403">
        <w:t>2039</w:t>
      </w:r>
      <w:r>
        <w:t>, z późn. zm.</w:t>
      </w:r>
      <w:r w:rsidRPr="00A57403">
        <w:t>).</w:t>
      </w:r>
    </w:p>
    <w:p w14:paraId="12AE66CE" w14:textId="77777777" w:rsidR="00016119" w:rsidRPr="00A57403" w:rsidRDefault="00016119" w:rsidP="00230C91">
      <w:pPr>
        <w:pStyle w:val="NIEARTTEKSTtekstnieartykuowanynppodstprawnarozplubpreambua"/>
        <w:spacing w:before="0"/>
        <w:ind w:firstLine="709"/>
      </w:pPr>
      <w:r w:rsidRPr="00A57403">
        <w:t>Projekt ustawy nie wymaga przedstawienia właściwym organom i</w:t>
      </w:r>
      <w:r>
        <w:t> </w:t>
      </w:r>
      <w:r w:rsidRPr="00A57403">
        <w:t xml:space="preserve">instytucjom </w:t>
      </w:r>
      <w:r w:rsidRPr="00A57403">
        <w:br/>
        <w:t>Unii Europejskiej, w</w:t>
      </w:r>
      <w:r>
        <w:t> </w:t>
      </w:r>
      <w:r w:rsidRPr="00A57403">
        <w:t>tym Europejskiemu Bankowi Centralnemu, w</w:t>
      </w:r>
      <w:r>
        <w:t> </w:t>
      </w:r>
      <w:r w:rsidRPr="00A57403">
        <w:t>celu uzyskania opinii, dokonania powiadomienia, konsultacji albo uzgodnienia.</w:t>
      </w:r>
    </w:p>
    <w:p w14:paraId="47AA9FC9" w14:textId="07A346B4" w:rsidR="00016119" w:rsidRDefault="00016119" w:rsidP="00230C91">
      <w:pPr>
        <w:pStyle w:val="NIEARTTEKSTtekstnieartykuowanynppodstprawnarozplubpreambua"/>
        <w:spacing w:before="0"/>
        <w:ind w:firstLine="709"/>
      </w:pPr>
      <w:r w:rsidRPr="00A57403">
        <w:t>Projekt ustawy nie wpływa na mikroprzedsiębiorców, małych i</w:t>
      </w:r>
      <w:r>
        <w:t> </w:t>
      </w:r>
      <w:r w:rsidRPr="00A57403">
        <w:t>średnich przedsiębiorców i</w:t>
      </w:r>
      <w:r>
        <w:t> </w:t>
      </w:r>
      <w:r w:rsidRPr="00A57403">
        <w:t>jest zgodny z</w:t>
      </w:r>
      <w:r>
        <w:t> </w:t>
      </w:r>
      <w:r w:rsidRPr="00A57403">
        <w:t>przepisami ustawy z</w:t>
      </w:r>
      <w:r>
        <w:t> </w:t>
      </w:r>
      <w:r w:rsidRPr="00A57403">
        <w:t>dnia 6</w:t>
      </w:r>
      <w:r>
        <w:t> </w:t>
      </w:r>
      <w:r w:rsidRPr="00A57403">
        <w:t>marca 2018</w:t>
      </w:r>
      <w:r>
        <w:t> </w:t>
      </w:r>
      <w:r w:rsidRPr="00A57403">
        <w:t xml:space="preserve">r. </w:t>
      </w:r>
      <w:r>
        <w:noBreakHyphen/>
        <w:t xml:space="preserve"> </w:t>
      </w:r>
      <w:r w:rsidRPr="00E433F7">
        <w:t>Prawo przedsiębiorców</w:t>
      </w:r>
      <w:r w:rsidRPr="00A57403">
        <w:t xml:space="preserve"> (</w:t>
      </w:r>
      <w:r>
        <w:t>Dz. U.</w:t>
      </w:r>
      <w:r w:rsidRPr="00A57403">
        <w:t xml:space="preserve"> z</w:t>
      </w:r>
      <w:r>
        <w:t> </w:t>
      </w:r>
      <w:r w:rsidRPr="00A57403">
        <w:t>2019</w:t>
      </w:r>
      <w:r>
        <w:t> </w:t>
      </w:r>
      <w:r w:rsidRPr="00A57403">
        <w:t>r.</w:t>
      </w:r>
      <w:r>
        <w:t xml:space="preserve"> poz. </w:t>
      </w:r>
      <w:r w:rsidRPr="003170D9">
        <w:rPr>
          <w:rStyle w:val="Ppogrubienie"/>
          <w:b w:val="0"/>
          <w:bCs w:val="0"/>
        </w:rPr>
        <w:t>1292, z późn. zm.</w:t>
      </w:r>
      <w:r w:rsidRPr="00C71719">
        <w:t>).</w:t>
      </w:r>
      <w:r w:rsidRPr="00A57403">
        <w:t xml:space="preserve"> Projektowana ustawa nie zawiera przepisów mających na celu ograniczenie biurokracji lub mogących spowodować jej wzrost.</w:t>
      </w:r>
    </w:p>
    <w:p w14:paraId="77C0CFA3" w14:textId="77777777" w:rsidR="00016119" w:rsidRPr="00737F6A" w:rsidRDefault="00016119" w:rsidP="00230C91">
      <w:pPr>
        <w:pStyle w:val="NIEARTTEKSTtekstnieartykuowanynppodstprawnarozplubpreambua"/>
        <w:spacing w:before="0"/>
      </w:pPr>
      <w:r w:rsidRPr="00A57403">
        <w:t>Projektowana ustawa nie pociąga za sobą skutków dla budżetu Państwa i</w:t>
      </w:r>
      <w:r>
        <w:t> </w:t>
      </w:r>
      <w:r w:rsidRPr="00A57403">
        <w:t>jednostek samorządu terytorialnego. Projekt ustawy jest zgodny z</w:t>
      </w:r>
      <w:r>
        <w:t> </w:t>
      </w:r>
      <w:r w:rsidRPr="00A57403">
        <w:t>prawem Unii Europejskiej.</w:t>
      </w:r>
    </w:p>
    <w:p w14:paraId="3AEA9674" w14:textId="77777777" w:rsidR="00016119" w:rsidRPr="00E433F7" w:rsidRDefault="00016119" w:rsidP="00016119">
      <w:pPr>
        <w:pStyle w:val="DATAAKTUdatauchwalenialubwydaniaaktu"/>
      </w:pPr>
    </w:p>
    <w:p w14:paraId="457127EB" w14:textId="77777777" w:rsidR="008B108F" w:rsidRDefault="008B108F" w:rsidP="00927258">
      <w:pPr>
        <w:spacing w:line="360" w:lineRule="auto"/>
        <w:ind w:firstLine="708"/>
        <w:jc w:val="both"/>
        <w:rPr>
          <w:rFonts w:ascii="Times New Roman" w:hAnsi="Times New Roman" w:cs="Times New Roman"/>
        </w:rPr>
      </w:pPr>
    </w:p>
    <w:p w14:paraId="75743853" w14:textId="77777777" w:rsidR="00927258" w:rsidRDefault="00927258" w:rsidP="00927258">
      <w:pPr>
        <w:spacing w:line="360" w:lineRule="auto"/>
        <w:jc w:val="both"/>
        <w:rPr>
          <w:rFonts w:ascii="Times New Roman" w:hAnsi="Times New Roman" w:cs="Times New Roman"/>
        </w:rPr>
      </w:pPr>
    </w:p>
    <w:p w14:paraId="06A1BC98" w14:textId="77777777" w:rsidR="00927258" w:rsidRDefault="00927258" w:rsidP="00927258">
      <w:pPr>
        <w:spacing w:line="360" w:lineRule="auto"/>
        <w:jc w:val="both"/>
        <w:rPr>
          <w:rFonts w:ascii="Times New Roman" w:hAnsi="Times New Roman" w:cs="Times New Roman"/>
        </w:rPr>
      </w:pPr>
    </w:p>
    <w:p w14:paraId="05CCD130" w14:textId="77777777" w:rsidR="00927258" w:rsidRDefault="00927258" w:rsidP="00927258">
      <w:pPr>
        <w:spacing w:line="360" w:lineRule="auto"/>
        <w:jc w:val="both"/>
        <w:rPr>
          <w:rFonts w:ascii="Times New Roman" w:hAnsi="Times New Roman" w:cs="Times New Roman"/>
        </w:rPr>
      </w:pPr>
    </w:p>
    <w:p w14:paraId="1D81DA3C" w14:textId="77777777" w:rsidR="00927258" w:rsidRDefault="00927258" w:rsidP="00927258">
      <w:pPr>
        <w:spacing w:line="360" w:lineRule="auto"/>
        <w:jc w:val="both"/>
        <w:rPr>
          <w:rFonts w:ascii="Times New Roman" w:hAnsi="Times New Roman" w:cs="Times New Roman"/>
        </w:rPr>
      </w:pPr>
    </w:p>
    <w:p w14:paraId="199DE154" w14:textId="77777777" w:rsidR="00927258" w:rsidRDefault="00927258" w:rsidP="00927258">
      <w:pPr>
        <w:spacing w:line="360" w:lineRule="auto"/>
        <w:jc w:val="both"/>
        <w:rPr>
          <w:rFonts w:ascii="Times New Roman" w:hAnsi="Times New Roman" w:cs="Times New Roman"/>
        </w:rPr>
      </w:pPr>
    </w:p>
    <w:p w14:paraId="6F5452B1" w14:textId="10F55321" w:rsidR="00927258" w:rsidRDefault="00927258" w:rsidP="00500E7E">
      <w:pPr>
        <w:ind w:firstLine="709"/>
        <w:jc w:val="both"/>
        <w:rPr>
          <w:rFonts w:ascii="Times New Roman" w:hAnsi="Times New Roman" w:cs="Times New Roman"/>
        </w:rPr>
      </w:pPr>
    </w:p>
    <w:p w14:paraId="2E82D229" w14:textId="6BC53912" w:rsidR="00927258" w:rsidRDefault="00927258" w:rsidP="00500E7E">
      <w:pPr>
        <w:ind w:firstLine="709"/>
        <w:jc w:val="both"/>
        <w:rPr>
          <w:rFonts w:ascii="Times New Roman" w:hAnsi="Times New Roman" w:cs="Times New Roman"/>
        </w:rPr>
      </w:pPr>
    </w:p>
    <w:p w14:paraId="1F4D0AA8" w14:textId="77777777" w:rsidR="00C169CA" w:rsidRDefault="00C169CA" w:rsidP="00C169CA">
      <w:pPr>
        <w:jc w:val="both"/>
        <w:rPr>
          <w:rFonts w:ascii="Times New Roman" w:hAnsi="Times New Roman" w:cs="Times New Roman"/>
        </w:rPr>
      </w:pPr>
    </w:p>
    <w:sectPr w:rsidR="00C169C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2DCA4" w14:textId="77777777" w:rsidR="007727EA" w:rsidRDefault="007727EA" w:rsidP="00A25D78">
      <w:r>
        <w:separator/>
      </w:r>
    </w:p>
  </w:endnote>
  <w:endnote w:type="continuationSeparator" w:id="0">
    <w:p w14:paraId="75FC081D" w14:textId="77777777" w:rsidR="007727EA" w:rsidRDefault="007727EA" w:rsidP="00A2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Sylfaen">
    <w:panose1 w:val="010A0502050306030303"/>
    <w:charset w:val="EE"/>
    <w:family w:val="roman"/>
    <w:pitch w:val="variable"/>
    <w:sig w:usb0="04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3536160"/>
      <w:docPartObj>
        <w:docPartGallery w:val="Page Numbers (Bottom of Page)"/>
        <w:docPartUnique/>
      </w:docPartObj>
    </w:sdtPr>
    <w:sdtEndPr>
      <w:rPr>
        <w:rFonts w:ascii="Times New Roman" w:hAnsi="Times New Roman" w:cs="Times New Roman"/>
      </w:rPr>
    </w:sdtEndPr>
    <w:sdtContent>
      <w:p w14:paraId="0F7F0C6E" w14:textId="2B472728" w:rsidR="00A25D78" w:rsidRPr="00C95C60" w:rsidRDefault="00A25D78">
        <w:pPr>
          <w:pStyle w:val="Stopka"/>
          <w:jc w:val="center"/>
          <w:rPr>
            <w:rFonts w:ascii="Times New Roman" w:hAnsi="Times New Roman" w:cs="Times New Roman"/>
          </w:rPr>
        </w:pPr>
        <w:r w:rsidRPr="00C95C60">
          <w:rPr>
            <w:rFonts w:ascii="Times New Roman" w:hAnsi="Times New Roman" w:cs="Times New Roman"/>
          </w:rPr>
          <w:fldChar w:fldCharType="begin"/>
        </w:r>
        <w:r w:rsidRPr="00C95C60">
          <w:rPr>
            <w:rFonts w:ascii="Times New Roman" w:hAnsi="Times New Roman" w:cs="Times New Roman"/>
          </w:rPr>
          <w:instrText>PAGE   \* MERGEFORMAT</w:instrText>
        </w:r>
        <w:r w:rsidRPr="00C95C60">
          <w:rPr>
            <w:rFonts w:ascii="Times New Roman" w:hAnsi="Times New Roman" w:cs="Times New Roman"/>
          </w:rPr>
          <w:fldChar w:fldCharType="separate"/>
        </w:r>
        <w:r w:rsidR="000F3B9D">
          <w:rPr>
            <w:rFonts w:ascii="Times New Roman" w:hAnsi="Times New Roman" w:cs="Times New Roman"/>
            <w:noProof/>
          </w:rPr>
          <w:t>1</w:t>
        </w:r>
        <w:r w:rsidRPr="00C95C60">
          <w:rPr>
            <w:rFonts w:ascii="Times New Roman" w:hAnsi="Times New Roman" w:cs="Times New Roman"/>
          </w:rPr>
          <w:fldChar w:fldCharType="end"/>
        </w:r>
      </w:p>
    </w:sdtContent>
  </w:sdt>
  <w:p w14:paraId="49145DFB" w14:textId="77777777" w:rsidR="00A25D78" w:rsidRDefault="00A25D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2622C" w14:textId="77777777" w:rsidR="007727EA" w:rsidRDefault="007727EA" w:rsidP="00A25D78">
      <w:r>
        <w:separator/>
      </w:r>
    </w:p>
  </w:footnote>
  <w:footnote w:type="continuationSeparator" w:id="0">
    <w:p w14:paraId="53E47F03" w14:textId="77777777" w:rsidR="007727EA" w:rsidRDefault="007727EA" w:rsidP="00A25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E7098"/>
    <w:multiLevelType w:val="hybridMultilevel"/>
    <w:tmpl w:val="37B80B00"/>
    <w:lvl w:ilvl="0" w:tplc="D76E40B8">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 w15:restartNumberingAfterBreak="0">
    <w:nsid w:val="2D0E1BC5"/>
    <w:multiLevelType w:val="singleLevel"/>
    <w:tmpl w:val="133C4A0C"/>
    <w:lvl w:ilvl="0">
      <w:start w:val="1"/>
      <w:numFmt w:val="decimal"/>
      <w:lvlText w:val="%1)"/>
      <w:legacy w:legacy="1" w:legacySpace="0" w:legacyIndent="701"/>
      <w:lvlJc w:val="left"/>
      <w:rPr>
        <w:rFonts w:ascii="Garamond" w:hAnsi="Garamond" w:hint="default"/>
      </w:rPr>
    </w:lvl>
  </w:abstractNum>
  <w:abstractNum w:abstractNumId="2" w15:restartNumberingAfterBreak="0">
    <w:nsid w:val="3F7477DA"/>
    <w:multiLevelType w:val="hybridMultilevel"/>
    <w:tmpl w:val="4D02A4BC"/>
    <w:lvl w:ilvl="0" w:tplc="AB8CA97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56BC3051"/>
    <w:multiLevelType w:val="hybridMultilevel"/>
    <w:tmpl w:val="37B80B00"/>
    <w:lvl w:ilvl="0" w:tplc="D76E40B8">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 w15:restartNumberingAfterBreak="0">
    <w:nsid w:val="59AC5FA5"/>
    <w:multiLevelType w:val="hybridMultilevel"/>
    <w:tmpl w:val="86B0A040"/>
    <w:lvl w:ilvl="0" w:tplc="105CFD2E">
      <w:start w:val="1"/>
      <w:numFmt w:val="decimal"/>
      <w:lvlText w:val="%1)"/>
      <w:lvlJc w:val="left"/>
      <w:pPr>
        <w:ind w:left="720" w:hanging="360"/>
      </w:pPr>
      <w:rPr>
        <w:rFonts w:eastAsiaTheme="minorEastAs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A4046C7"/>
    <w:multiLevelType w:val="hybridMultilevel"/>
    <w:tmpl w:val="81DA25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E06"/>
    <w:rsid w:val="0000723F"/>
    <w:rsid w:val="00016119"/>
    <w:rsid w:val="00017AA4"/>
    <w:rsid w:val="00091897"/>
    <w:rsid w:val="000E0051"/>
    <w:rsid w:val="000F3B9D"/>
    <w:rsid w:val="0016570B"/>
    <w:rsid w:val="001949C9"/>
    <w:rsid w:val="001A3B9F"/>
    <w:rsid w:val="00230C91"/>
    <w:rsid w:val="0023614F"/>
    <w:rsid w:val="00237AE0"/>
    <w:rsid w:val="00261E46"/>
    <w:rsid w:val="002C1BB4"/>
    <w:rsid w:val="002D6582"/>
    <w:rsid w:val="003025FC"/>
    <w:rsid w:val="003170D9"/>
    <w:rsid w:val="00325546"/>
    <w:rsid w:val="00346391"/>
    <w:rsid w:val="003B49AE"/>
    <w:rsid w:val="00427E8A"/>
    <w:rsid w:val="00446FA4"/>
    <w:rsid w:val="00456928"/>
    <w:rsid w:val="00460052"/>
    <w:rsid w:val="004D2877"/>
    <w:rsid w:val="00500E7E"/>
    <w:rsid w:val="005011B6"/>
    <w:rsid w:val="00515343"/>
    <w:rsid w:val="0054665B"/>
    <w:rsid w:val="005475A2"/>
    <w:rsid w:val="005622F1"/>
    <w:rsid w:val="005F091D"/>
    <w:rsid w:val="00625786"/>
    <w:rsid w:val="006353CF"/>
    <w:rsid w:val="00695509"/>
    <w:rsid w:val="006E4655"/>
    <w:rsid w:val="006F5A03"/>
    <w:rsid w:val="00723433"/>
    <w:rsid w:val="00756905"/>
    <w:rsid w:val="007727EA"/>
    <w:rsid w:val="00780E58"/>
    <w:rsid w:val="008020BE"/>
    <w:rsid w:val="00812735"/>
    <w:rsid w:val="00816CB7"/>
    <w:rsid w:val="00820244"/>
    <w:rsid w:val="00832C17"/>
    <w:rsid w:val="008B108F"/>
    <w:rsid w:val="00927258"/>
    <w:rsid w:val="00943514"/>
    <w:rsid w:val="00984C90"/>
    <w:rsid w:val="009C76D1"/>
    <w:rsid w:val="009E21BB"/>
    <w:rsid w:val="009E71FE"/>
    <w:rsid w:val="00A10861"/>
    <w:rsid w:val="00A124AF"/>
    <w:rsid w:val="00A25D78"/>
    <w:rsid w:val="00A4686A"/>
    <w:rsid w:val="00A51FEC"/>
    <w:rsid w:val="00B009E5"/>
    <w:rsid w:val="00B06AC5"/>
    <w:rsid w:val="00B22302"/>
    <w:rsid w:val="00B22F6A"/>
    <w:rsid w:val="00B35B25"/>
    <w:rsid w:val="00B64043"/>
    <w:rsid w:val="00B83FCC"/>
    <w:rsid w:val="00B936EB"/>
    <w:rsid w:val="00B979E3"/>
    <w:rsid w:val="00BE7BF4"/>
    <w:rsid w:val="00C169CA"/>
    <w:rsid w:val="00C61E06"/>
    <w:rsid w:val="00C81AF5"/>
    <w:rsid w:val="00C911E0"/>
    <w:rsid w:val="00C9120A"/>
    <w:rsid w:val="00C95C60"/>
    <w:rsid w:val="00D565EF"/>
    <w:rsid w:val="00D65C97"/>
    <w:rsid w:val="00DA1A29"/>
    <w:rsid w:val="00DB591C"/>
    <w:rsid w:val="00E13AE7"/>
    <w:rsid w:val="00E71816"/>
    <w:rsid w:val="00E75278"/>
    <w:rsid w:val="00EA13C5"/>
    <w:rsid w:val="00EC11E8"/>
    <w:rsid w:val="00F20B0A"/>
    <w:rsid w:val="00F42945"/>
    <w:rsid w:val="00FC7E3E"/>
    <w:rsid w:val="00FE2620"/>
    <w:rsid w:val="00FE277A"/>
    <w:rsid w:val="00FE37F2"/>
    <w:rsid w:val="00FF11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48432"/>
  <w15:chartTrackingRefBased/>
  <w15:docId w15:val="{6342F3B0-620A-4E56-B920-323E6D8C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7BF4"/>
    <w:pPr>
      <w:widowControl w:val="0"/>
      <w:autoSpaceDE w:val="0"/>
      <w:autoSpaceDN w:val="0"/>
      <w:adjustRightInd w:val="0"/>
      <w:spacing w:after="0" w:line="240" w:lineRule="auto"/>
    </w:pPr>
    <w:rPr>
      <w:rFonts w:ascii="Book Antiqua" w:eastAsiaTheme="minorEastAsia" w:hAnsi="Book Antiqua"/>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E7BF4"/>
    <w:pPr>
      <w:ind w:left="720"/>
      <w:contextualSpacing/>
    </w:pPr>
  </w:style>
  <w:style w:type="paragraph" w:customStyle="1" w:styleId="ARTartustawynprozporzdzenia">
    <w:name w:val="ART(§) – art. ustawy (§ np. rozporządzenia)"/>
    <w:uiPriority w:val="11"/>
    <w:qFormat/>
    <w:rsid w:val="00BE7BF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BE7BF4"/>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BE7BF4"/>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BE7BF4"/>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BE7BF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BE7BF4"/>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BE7BF4"/>
    <w:rPr>
      <w:b/>
      <w:bCs w:val="0"/>
    </w:rPr>
  </w:style>
  <w:style w:type="character" w:styleId="Odwoaniedokomentarza">
    <w:name w:val="annotation reference"/>
    <w:basedOn w:val="Domylnaczcionkaakapitu"/>
    <w:uiPriority w:val="99"/>
    <w:semiHidden/>
    <w:unhideWhenUsed/>
    <w:rsid w:val="006E4655"/>
    <w:rPr>
      <w:sz w:val="16"/>
      <w:szCs w:val="16"/>
    </w:rPr>
  </w:style>
  <w:style w:type="paragraph" w:styleId="Tekstkomentarza">
    <w:name w:val="annotation text"/>
    <w:basedOn w:val="Normalny"/>
    <w:link w:val="TekstkomentarzaZnak"/>
    <w:uiPriority w:val="99"/>
    <w:semiHidden/>
    <w:unhideWhenUsed/>
    <w:rsid w:val="006E4655"/>
    <w:rPr>
      <w:sz w:val="20"/>
      <w:szCs w:val="20"/>
    </w:rPr>
  </w:style>
  <w:style w:type="character" w:customStyle="1" w:styleId="TekstkomentarzaZnak">
    <w:name w:val="Tekst komentarza Znak"/>
    <w:basedOn w:val="Domylnaczcionkaakapitu"/>
    <w:link w:val="Tekstkomentarza"/>
    <w:uiPriority w:val="99"/>
    <w:semiHidden/>
    <w:rsid w:val="006E4655"/>
    <w:rPr>
      <w:rFonts w:ascii="Book Antiqua" w:eastAsiaTheme="minorEastAsia" w:hAnsi="Book Antiqua"/>
      <w:sz w:val="20"/>
      <w:szCs w:val="20"/>
      <w:lang w:eastAsia="pl-PL"/>
    </w:rPr>
  </w:style>
  <w:style w:type="paragraph" w:styleId="Tematkomentarza">
    <w:name w:val="annotation subject"/>
    <w:basedOn w:val="Tekstkomentarza"/>
    <w:next w:val="Tekstkomentarza"/>
    <w:link w:val="TematkomentarzaZnak"/>
    <w:uiPriority w:val="99"/>
    <w:semiHidden/>
    <w:unhideWhenUsed/>
    <w:rsid w:val="006E4655"/>
    <w:rPr>
      <w:b/>
      <w:bCs/>
    </w:rPr>
  </w:style>
  <w:style w:type="character" w:customStyle="1" w:styleId="TematkomentarzaZnak">
    <w:name w:val="Temat komentarza Znak"/>
    <w:basedOn w:val="TekstkomentarzaZnak"/>
    <w:link w:val="Tematkomentarza"/>
    <w:uiPriority w:val="99"/>
    <w:semiHidden/>
    <w:rsid w:val="006E4655"/>
    <w:rPr>
      <w:rFonts w:ascii="Book Antiqua" w:eastAsiaTheme="minorEastAsia" w:hAnsi="Book Antiqua"/>
      <w:b/>
      <w:bCs/>
      <w:sz w:val="20"/>
      <w:szCs w:val="20"/>
      <w:lang w:eastAsia="pl-PL"/>
    </w:rPr>
  </w:style>
  <w:style w:type="paragraph" w:styleId="Tekstdymka">
    <w:name w:val="Balloon Text"/>
    <w:basedOn w:val="Normalny"/>
    <w:link w:val="TekstdymkaZnak"/>
    <w:uiPriority w:val="99"/>
    <w:semiHidden/>
    <w:unhideWhenUsed/>
    <w:rsid w:val="006E4655"/>
    <w:rPr>
      <w:rFonts w:ascii="Segoe UI" w:hAnsi="Segoe UI" w:cs="Segoe UI"/>
      <w:sz w:val="18"/>
      <w:szCs w:val="18"/>
    </w:rPr>
  </w:style>
  <w:style w:type="character" w:customStyle="1" w:styleId="TekstdymkaZnak">
    <w:name w:val="Tekst dymka Znak"/>
    <w:basedOn w:val="Domylnaczcionkaakapitu"/>
    <w:link w:val="Tekstdymka"/>
    <w:uiPriority w:val="99"/>
    <w:semiHidden/>
    <w:rsid w:val="006E4655"/>
    <w:rPr>
      <w:rFonts w:ascii="Segoe UI" w:eastAsiaTheme="minorEastAsia" w:hAnsi="Segoe UI" w:cs="Segoe UI"/>
      <w:sz w:val="18"/>
      <w:szCs w:val="18"/>
      <w:lang w:eastAsia="pl-PL"/>
    </w:rPr>
  </w:style>
  <w:style w:type="paragraph" w:customStyle="1" w:styleId="Style2">
    <w:name w:val="Style2"/>
    <w:basedOn w:val="Normalny"/>
    <w:uiPriority w:val="99"/>
    <w:rsid w:val="00A10861"/>
    <w:pPr>
      <w:spacing w:line="480" w:lineRule="exact"/>
      <w:ind w:firstLine="710"/>
      <w:jc w:val="both"/>
    </w:pPr>
    <w:rPr>
      <w:rFonts w:ascii="Garamond" w:hAnsi="Garamond"/>
    </w:rPr>
  </w:style>
  <w:style w:type="paragraph" w:customStyle="1" w:styleId="Style3">
    <w:name w:val="Style3"/>
    <w:basedOn w:val="Normalny"/>
    <w:uiPriority w:val="99"/>
    <w:rsid w:val="00A10861"/>
    <w:pPr>
      <w:spacing w:line="473" w:lineRule="exact"/>
      <w:jc w:val="both"/>
    </w:pPr>
    <w:rPr>
      <w:rFonts w:ascii="Garamond" w:hAnsi="Garamond"/>
    </w:rPr>
  </w:style>
  <w:style w:type="character" w:customStyle="1" w:styleId="FontStyle11">
    <w:name w:val="Font Style11"/>
    <w:basedOn w:val="Domylnaczcionkaakapitu"/>
    <w:uiPriority w:val="99"/>
    <w:rsid w:val="00A10861"/>
    <w:rPr>
      <w:rFonts w:ascii="Constantia" w:hAnsi="Constantia" w:cs="Constantia"/>
      <w:sz w:val="26"/>
      <w:szCs w:val="26"/>
    </w:rPr>
  </w:style>
  <w:style w:type="character" w:customStyle="1" w:styleId="FontStyle12">
    <w:name w:val="Font Style12"/>
    <w:basedOn w:val="Domylnaczcionkaakapitu"/>
    <w:uiPriority w:val="99"/>
    <w:rsid w:val="00A10861"/>
    <w:rPr>
      <w:rFonts w:ascii="Sylfaen" w:hAnsi="Sylfaen" w:cs="Sylfaen"/>
      <w:b/>
      <w:bCs/>
      <w:sz w:val="18"/>
      <w:szCs w:val="18"/>
    </w:rPr>
  </w:style>
  <w:style w:type="character" w:customStyle="1" w:styleId="FontStyle13">
    <w:name w:val="Font Style13"/>
    <w:basedOn w:val="Domylnaczcionkaakapitu"/>
    <w:uiPriority w:val="99"/>
    <w:rsid w:val="00A10861"/>
    <w:rPr>
      <w:rFonts w:ascii="Garamond" w:hAnsi="Garamond" w:cs="Garamond"/>
      <w:i/>
      <w:iCs/>
      <w:sz w:val="26"/>
      <w:szCs w:val="26"/>
    </w:rPr>
  </w:style>
  <w:style w:type="character" w:customStyle="1" w:styleId="FontStyle14">
    <w:name w:val="Font Style14"/>
    <w:basedOn w:val="Domylnaczcionkaakapitu"/>
    <w:uiPriority w:val="99"/>
    <w:rsid w:val="00A10861"/>
    <w:rPr>
      <w:rFonts w:ascii="Garamond" w:hAnsi="Garamond" w:cs="Garamond"/>
      <w:sz w:val="26"/>
      <w:szCs w:val="26"/>
    </w:rPr>
  </w:style>
  <w:style w:type="character" w:customStyle="1" w:styleId="FontStyle17">
    <w:name w:val="Font Style17"/>
    <w:basedOn w:val="Domylnaczcionkaakapitu"/>
    <w:uiPriority w:val="99"/>
    <w:rsid w:val="00A10861"/>
    <w:rPr>
      <w:rFonts w:ascii="Garamond" w:hAnsi="Garamond" w:cs="Garamond"/>
      <w:sz w:val="26"/>
      <w:szCs w:val="26"/>
    </w:rPr>
  </w:style>
  <w:style w:type="character" w:customStyle="1" w:styleId="FontStyle18">
    <w:name w:val="Font Style18"/>
    <w:basedOn w:val="Domylnaczcionkaakapitu"/>
    <w:uiPriority w:val="99"/>
    <w:rsid w:val="00A10861"/>
    <w:rPr>
      <w:rFonts w:ascii="Garamond" w:hAnsi="Garamond" w:cs="Garamond"/>
      <w:i/>
      <w:iCs/>
      <w:sz w:val="26"/>
      <w:szCs w:val="26"/>
    </w:rPr>
  </w:style>
  <w:style w:type="paragraph" w:styleId="Nagwek">
    <w:name w:val="header"/>
    <w:basedOn w:val="Normalny"/>
    <w:link w:val="NagwekZnak"/>
    <w:uiPriority w:val="99"/>
    <w:unhideWhenUsed/>
    <w:rsid w:val="00A25D78"/>
    <w:pPr>
      <w:tabs>
        <w:tab w:val="center" w:pos="4536"/>
        <w:tab w:val="right" w:pos="9072"/>
      </w:tabs>
    </w:pPr>
  </w:style>
  <w:style w:type="character" w:customStyle="1" w:styleId="NagwekZnak">
    <w:name w:val="Nagłówek Znak"/>
    <w:basedOn w:val="Domylnaczcionkaakapitu"/>
    <w:link w:val="Nagwek"/>
    <w:uiPriority w:val="99"/>
    <w:rsid w:val="00A25D78"/>
    <w:rPr>
      <w:rFonts w:ascii="Book Antiqua" w:eastAsiaTheme="minorEastAsia" w:hAnsi="Book Antiqua"/>
      <w:sz w:val="24"/>
      <w:szCs w:val="24"/>
      <w:lang w:eastAsia="pl-PL"/>
    </w:rPr>
  </w:style>
  <w:style w:type="paragraph" w:styleId="Stopka">
    <w:name w:val="footer"/>
    <w:basedOn w:val="Normalny"/>
    <w:link w:val="StopkaZnak"/>
    <w:uiPriority w:val="99"/>
    <w:unhideWhenUsed/>
    <w:rsid w:val="00A25D78"/>
    <w:pPr>
      <w:tabs>
        <w:tab w:val="center" w:pos="4536"/>
        <w:tab w:val="right" w:pos="9072"/>
      </w:tabs>
    </w:pPr>
  </w:style>
  <w:style w:type="character" w:customStyle="1" w:styleId="StopkaZnak">
    <w:name w:val="Stopka Znak"/>
    <w:basedOn w:val="Domylnaczcionkaakapitu"/>
    <w:link w:val="Stopka"/>
    <w:uiPriority w:val="99"/>
    <w:rsid w:val="00A25D78"/>
    <w:rPr>
      <w:rFonts w:ascii="Book Antiqua" w:eastAsiaTheme="minorEastAsia" w:hAnsi="Book Antiqua"/>
      <w:sz w:val="24"/>
      <w:szCs w:val="24"/>
      <w:lang w:eastAsia="pl-PL"/>
    </w:rPr>
  </w:style>
  <w:style w:type="paragraph" w:customStyle="1" w:styleId="TitleStyle">
    <w:name w:val="TitleStyle"/>
    <w:rsid w:val="008B108F"/>
    <w:pPr>
      <w:spacing w:after="200" w:line="240" w:lineRule="auto"/>
    </w:pPr>
    <w:rPr>
      <w:rFonts w:ascii="Times New Roman" w:eastAsia="Times New Roman" w:hAnsi="Times New Roman" w:cs="Times New Roman"/>
      <w:b/>
      <w:color w:val="000000"/>
      <w:sz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16119"/>
    <w:rPr>
      <w:bCs/>
    </w:rPr>
  </w:style>
  <w:style w:type="paragraph" w:customStyle="1" w:styleId="Default">
    <w:name w:val="Default"/>
    <w:rsid w:val="005466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09591">
      <w:bodyDiv w:val="1"/>
      <w:marLeft w:val="0"/>
      <w:marRight w:val="0"/>
      <w:marTop w:val="0"/>
      <w:marBottom w:val="0"/>
      <w:divBdr>
        <w:top w:val="none" w:sz="0" w:space="0" w:color="auto"/>
        <w:left w:val="none" w:sz="0" w:space="0" w:color="auto"/>
        <w:bottom w:val="none" w:sz="0" w:space="0" w:color="auto"/>
        <w:right w:val="none" w:sz="0" w:space="0" w:color="auto"/>
      </w:divBdr>
    </w:div>
    <w:div w:id="169103977">
      <w:bodyDiv w:val="1"/>
      <w:marLeft w:val="0"/>
      <w:marRight w:val="0"/>
      <w:marTop w:val="0"/>
      <w:marBottom w:val="0"/>
      <w:divBdr>
        <w:top w:val="none" w:sz="0" w:space="0" w:color="auto"/>
        <w:left w:val="none" w:sz="0" w:space="0" w:color="auto"/>
        <w:bottom w:val="none" w:sz="0" w:space="0" w:color="auto"/>
        <w:right w:val="none" w:sz="0" w:space="0" w:color="auto"/>
      </w:divBdr>
      <w:divsChild>
        <w:div w:id="893540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3383</Words>
  <Characters>20303</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Grażyna D. Grabowska</cp:lastModifiedBy>
  <cp:revision>2</cp:revision>
  <cp:lastPrinted>2020-12-08T11:42:00Z</cp:lastPrinted>
  <dcterms:created xsi:type="dcterms:W3CDTF">2021-01-08T15:38:00Z</dcterms:created>
  <dcterms:modified xsi:type="dcterms:W3CDTF">2021-01-08T15:38:00Z</dcterms:modified>
</cp:coreProperties>
</file>