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5D0D" w:rsidRPr="004540AB" w:rsidRDefault="00E65D0D" w:rsidP="00E65D0D">
      <w:pPr>
        <w:pStyle w:val="OZNPROJEKTUwskazaniedatylubwersjiprojektu"/>
        <w:keepNext/>
        <w:rPr>
          <w:rFonts w:ascii="Tahoma" w:hAnsi="Tahoma" w:cs="Tahoma"/>
        </w:rPr>
      </w:pPr>
      <w:r w:rsidRPr="004540AB">
        <w:rPr>
          <w:rFonts w:ascii="Tahoma" w:hAnsi="Tahoma" w:cs="Tahoma"/>
        </w:rPr>
        <w:t>projekt</w:t>
      </w:r>
    </w:p>
    <w:p w:rsidR="00E65D0D" w:rsidRPr="004540AB" w:rsidRDefault="00E65D0D" w:rsidP="00E65D0D">
      <w:pPr>
        <w:pStyle w:val="OZNRODZAKTUtznustawalubrozporzdzenieiorganwydajcy"/>
        <w:rPr>
          <w:rFonts w:ascii="Tahoma" w:hAnsi="Tahoma" w:cs="Tahoma"/>
        </w:rPr>
      </w:pPr>
      <w:r w:rsidRPr="004540AB">
        <w:rPr>
          <w:rFonts w:ascii="Tahoma" w:hAnsi="Tahoma" w:cs="Tahoma"/>
        </w:rPr>
        <w:t>USTAWA</w:t>
      </w:r>
    </w:p>
    <w:p w:rsidR="00E65D0D" w:rsidRPr="004540AB" w:rsidRDefault="00E65D0D" w:rsidP="00E65D0D">
      <w:pPr>
        <w:pStyle w:val="DATAAKTUdatauchwalenialubwydaniaaktu"/>
        <w:rPr>
          <w:rFonts w:ascii="Tahoma" w:hAnsi="Tahoma" w:cs="Tahoma"/>
        </w:rPr>
      </w:pPr>
      <w:r w:rsidRPr="004540AB">
        <w:rPr>
          <w:rFonts w:ascii="Tahoma" w:hAnsi="Tahoma" w:cs="Tahoma"/>
        </w:rPr>
        <w:t>z dnia</w:t>
      </w:r>
      <w:r w:rsidR="004540AB">
        <w:rPr>
          <w:rFonts w:ascii="Tahoma" w:hAnsi="Tahoma" w:cs="Tahoma"/>
        </w:rPr>
        <w:t xml:space="preserve"> …………………. 2020 r. </w:t>
      </w:r>
    </w:p>
    <w:p w:rsidR="00E65D0D" w:rsidRDefault="00E65D0D" w:rsidP="00E65D0D">
      <w:pPr>
        <w:pStyle w:val="TYTUAKTUprzedmiotregulacjiustawylubrozporzdzenia"/>
        <w:rPr>
          <w:rFonts w:ascii="Tahoma" w:hAnsi="Tahoma" w:cs="Tahoma"/>
        </w:rPr>
      </w:pPr>
      <w:r w:rsidRPr="004540AB">
        <w:rPr>
          <w:rFonts w:ascii="Tahoma" w:hAnsi="Tahoma" w:cs="Tahoma"/>
        </w:rPr>
        <w:t>o dodatkowym finansowaniu świadczeń zdrowotnych w związku z zapobieganiem, przeciwdziałaniem i zwalczaniem COVID</w:t>
      </w:r>
      <w:r w:rsidR="00621DB5">
        <w:rPr>
          <w:rFonts w:ascii="Tahoma" w:hAnsi="Tahoma" w:cs="Tahoma"/>
        </w:rPr>
        <w:t>-19</w:t>
      </w:r>
    </w:p>
    <w:p w:rsidR="004540AB" w:rsidRDefault="004540AB" w:rsidP="004540AB">
      <w:pPr>
        <w:pStyle w:val="ARTartustawynprozporzdzenia"/>
      </w:pPr>
    </w:p>
    <w:p w:rsidR="004540AB" w:rsidRPr="004540AB" w:rsidRDefault="004540AB" w:rsidP="004540AB">
      <w:pPr>
        <w:pStyle w:val="ARTartustawynprozporzdzenia"/>
      </w:pPr>
    </w:p>
    <w:p w:rsidR="00E65D0D" w:rsidRPr="004540AB" w:rsidRDefault="00E65D0D" w:rsidP="00E65D0D">
      <w:pPr>
        <w:pStyle w:val="ARTartustawynprozporzdzenia"/>
        <w:keepNext/>
        <w:rPr>
          <w:rFonts w:ascii="Tahoma" w:hAnsi="Tahoma" w:cs="Tahoma"/>
        </w:rPr>
      </w:pPr>
      <w:r w:rsidRPr="004540AB">
        <w:rPr>
          <w:rStyle w:val="Ppogrubienie"/>
          <w:rFonts w:ascii="Tahoma" w:hAnsi="Tahoma" w:cs="Tahoma"/>
        </w:rPr>
        <w:t>Art. 1.</w:t>
      </w:r>
      <w:r w:rsidRPr="004540AB">
        <w:rPr>
          <w:rFonts w:ascii="Tahoma" w:hAnsi="Tahoma" w:cs="Tahoma"/>
        </w:rPr>
        <w:t xml:space="preserve"> 1. W 2020 r. ponad zaplanowane w planie finansowym Narodowego Funduszu Zdrowia przychody, o których mowa w art. 116 ustawy z dnia 27 sierpnia 2004 r. o świadczeniach opieki zdrowotnej finansowanych ze środków publicznych (Dz. U. z 2019 r. poz. 1373, z późn. zm.</w:t>
      </w:r>
      <w:r w:rsidRPr="004540AB">
        <w:rPr>
          <w:rStyle w:val="IGindeksgrny"/>
          <w:rFonts w:ascii="Tahoma" w:hAnsi="Tahoma" w:cs="Tahoma"/>
        </w:rPr>
        <w:footnoteReference w:id="1"/>
      </w:r>
      <w:r w:rsidRPr="004540AB">
        <w:rPr>
          <w:rStyle w:val="IGindeksgrny"/>
          <w:rFonts w:ascii="Tahoma" w:hAnsi="Tahoma" w:cs="Tahoma"/>
        </w:rPr>
        <w:t>)</w:t>
      </w:r>
      <w:r w:rsidRPr="004540AB">
        <w:rPr>
          <w:rFonts w:ascii="Tahoma" w:hAnsi="Tahoma" w:cs="Tahoma"/>
        </w:rPr>
        <w:t>), Narodowy Fundusz Zdrowia otrzymuje skarbowe papiery wartościowe z przeznaczeniem prognozowanych w związku z tym przychodów na dofinansowanie świadczeń opieki zdrowotnej finansowanych ze środków publicznych, świadczonych w związku z zapobieganiem, przeciwdziałaniem i zwalczaniem COVID-19.</w:t>
      </w:r>
    </w:p>
    <w:p w:rsidR="00E65D0D" w:rsidRPr="004540AB" w:rsidRDefault="00E65D0D" w:rsidP="00E65D0D">
      <w:pPr>
        <w:pStyle w:val="USTustnpkodeksu"/>
        <w:rPr>
          <w:rFonts w:ascii="Tahoma" w:hAnsi="Tahoma" w:cs="Tahoma"/>
        </w:rPr>
      </w:pPr>
      <w:r w:rsidRPr="004540AB">
        <w:rPr>
          <w:rFonts w:ascii="Tahoma" w:hAnsi="Tahoma" w:cs="Tahoma"/>
        </w:rPr>
        <w:t>2. Łączna wartość nominalna skarbowych papierów wartościowych</w:t>
      </w:r>
      <w:r w:rsidR="00A111A9">
        <w:rPr>
          <w:rFonts w:ascii="Tahoma" w:hAnsi="Tahoma" w:cs="Tahoma"/>
        </w:rPr>
        <w:t xml:space="preserve"> nie może przekroczyć kwoty 2 00</w:t>
      </w:r>
      <w:r w:rsidRPr="004540AB">
        <w:rPr>
          <w:rFonts w:ascii="Tahoma" w:hAnsi="Tahoma" w:cs="Tahoma"/>
        </w:rPr>
        <w:t>0 000 tys. zł.</w:t>
      </w:r>
    </w:p>
    <w:p w:rsidR="00E65D0D" w:rsidRPr="004540AB" w:rsidRDefault="00E65D0D" w:rsidP="00E65D0D">
      <w:pPr>
        <w:pStyle w:val="USTustnpkodeksu"/>
        <w:rPr>
          <w:rFonts w:ascii="Tahoma" w:hAnsi="Tahoma" w:cs="Tahoma"/>
        </w:rPr>
      </w:pPr>
      <w:r w:rsidRPr="004540AB">
        <w:rPr>
          <w:rFonts w:ascii="Tahoma" w:hAnsi="Tahoma" w:cs="Tahoma"/>
        </w:rPr>
        <w:t>3. Minister właściwy do spraw budżetu określi w liście emisyjnym warunki emisji skarbowych papierów wartościowych oraz sposób realizacji świadczeń z nich wynikających.</w:t>
      </w:r>
    </w:p>
    <w:p w:rsidR="00E65D0D" w:rsidRPr="004540AB" w:rsidRDefault="00E65D0D" w:rsidP="00E65D0D">
      <w:pPr>
        <w:pStyle w:val="USTustnpkodeksu"/>
        <w:rPr>
          <w:rFonts w:ascii="Tahoma" w:hAnsi="Tahoma" w:cs="Tahoma"/>
        </w:rPr>
      </w:pPr>
      <w:r w:rsidRPr="004540AB">
        <w:rPr>
          <w:rFonts w:ascii="Tahoma" w:hAnsi="Tahoma" w:cs="Tahoma"/>
        </w:rPr>
        <w:t>4. List emisyjny zawiera w szczególności:</w:t>
      </w:r>
    </w:p>
    <w:p w:rsidR="00E65D0D" w:rsidRPr="004540AB" w:rsidRDefault="00E65D0D" w:rsidP="00E65D0D">
      <w:pPr>
        <w:pStyle w:val="PKTpunkt"/>
        <w:rPr>
          <w:rFonts w:ascii="Tahoma" w:hAnsi="Tahoma" w:cs="Tahoma"/>
        </w:rPr>
      </w:pPr>
      <w:r w:rsidRPr="004540AB">
        <w:rPr>
          <w:rFonts w:ascii="Tahoma" w:hAnsi="Tahoma" w:cs="Tahoma"/>
        </w:rPr>
        <w:t>1)</w:t>
      </w:r>
      <w:r w:rsidRPr="004540AB">
        <w:rPr>
          <w:rFonts w:ascii="Tahoma" w:hAnsi="Tahoma" w:cs="Tahoma"/>
        </w:rPr>
        <w:tab/>
        <w:t>datę emisji;</w:t>
      </w:r>
    </w:p>
    <w:p w:rsidR="00E65D0D" w:rsidRPr="004540AB" w:rsidRDefault="00E65D0D" w:rsidP="00E65D0D">
      <w:pPr>
        <w:pStyle w:val="PKTpunkt"/>
        <w:rPr>
          <w:rFonts w:ascii="Tahoma" w:hAnsi="Tahoma" w:cs="Tahoma"/>
        </w:rPr>
      </w:pPr>
      <w:r w:rsidRPr="004540AB">
        <w:rPr>
          <w:rFonts w:ascii="Tahoma" w:hAnsi="Tahoma" w:cs="Tahoma"/>
        </w:rPr>
        <w:t>2)</w:t>
      </w:r>
      <w:r w:rsidRPr="004540AB">
        <w:rPr>
          <w:rFonts w:ascii="Tahoma" w:hAnsi="Tahoma" w:cs="Tahoma"/>
        </w:rPr>
        <w:tab/>
        <w:t>powołanie podstawy prawnej emisji;</w:t>
      </w:r>
    </w:p>
    <w:p w:rsidR="00E65D0D" w:rsidRPr="004540AB" w:rsidRDefault="00E65D0D" w:rsidP="00E65D0D">
      <w:pPr>
        <w:pStyle w:val="PKTpunkt"/>
        <w:rPr>
          <w:rFonts w:ascii="Tahoma" w:hAnsi="Tahoma" w:cs="Tahoma"/>
        </w:rPr>
      </w:pPr>
      <w:r w:rsidRPr="004540AB">
        <w:rPr>
          <w:rFonts w:ascii="Tahoma" w:hAnsi="Tahoma" w:cs="Tahoma"/>
        </w:rPr>
        <w:t>3)</w:t>
      </w:r>
      <w:r w:rsidRPr="004540AB">
        <w:rPr>
          <w:rFonts w:ascii="Tahoma" w:hAnsi="Tahoma" w:cs="Tahoma"/>
        </w:rPr>
        <w:tab/>
        <w:t>jednostkową wartość nominalną w złotych;</w:t>
      </w:r>
    </w:p>
    <w:p w:rsidR="00E65D0D" w:rsidRPr="004540AB" w:rsidRDefault="00E65D0D" w:rsidP="00E65D0D">
      <w:pPr>
        <w:pStyle w:val="PKTpunkt"/>
        <w:rPr>
          <w:rFonts w:ascii="Tahoma" w:hAnsi="Tahoma" w:cs="Tahoma"/>
        </w:rPr>
      </w:pPr>
      <w:r w:rsidRPr="004540AB">
        <w:rPr>
          <w:rFonts w:ascii="Tahoma" w:hAnsi="Tahoma" w:cs="Tahoma"/>
        </w:rPr>
        <w:t>4)</w:t>
      </w:r>
      <w:r w:rsidRPr="004540AB">
        <w:rPr>
          <w:rFonts w:ascii="Tahoma" w:hAnsi="Tahoma" w:cs="Tahoma"/>
        </w:rPr>
        <w:tab/>
        <w:t>cenę i sposób jej ustalenia;</w:t>
      </w:r>
    </w:p>
    <w:p w:rsidR="00E65D0D" w:rsidRPr="004540AB" w:rsidRDefault="00E65D0D" w:rsidP="00E65D0D">
      <w:pPr>
        <w:pStyle w:val="PKTpunkt"/>
        <w:rPr>
          <w:rFonts w:ascii="Tahoma" w:hAnsi="Tahoma" w:cs="Tahoma"/>
        </w:rPr>
      </w:pPr>
      <w:r w:rsidRPr="004540AB">
        <w:rPr>
          <w:rFonts w:ascii="Tahoma" w:hAnsi="Tahoma" w:cs="Tahoma"/>
        </w:rPr>
        <w:t>5)</w:t>
      </w:r>
      <w:r w:rsidRPr="004540AB">
        <w:rPr>
          <w:rFonts w:ascii="Tahoma" w:hAnsi="Tahoma" w:cs="Tahoma"/>
        </w:rPr>
        <w:tab/>
        <w:t>stopę procentową lub sposób jej obliczania;</w:t>
      </w:r>
    </w:p>
    <w:p w:rsidR="00E65D0D" w:rsidRPr="004540AB" w:rsidRDefault="00E65D0D" w:rsidP="00E65D0D">
      <w:pPr>
        <w:pStyle w:val="PKTpunkt"/>
        <w:rPr>
          <w:rFonts w:ascii="Tahoma" w:hAnsi="Tahoma" w:cs="Tahoma"/>
        </w:rPr>
      </w:pPr>
      <w:r w:rsidRPr="004540AB">
        <w:rPr>
          <w:rFonts w:ascii="Tahoma" w:hAnsi="Tahoma" w:cs="Tahoma"/>
        </w:rPr>
        <w:t>6)</w:t>
      </w:r>
      <w:r w:rsidRPr="004540AB">
        <w:rPr>
          <w:rFonts w:ascii="Tahoma" w:hAnsi="Tahoma" w:cs="Tahoma"/>
        </w:rPr>
        <w:tab/>
        <w:t>określenie sposobu i terminów wypłaty należności głównej oraz należności ubocznych;</w:t>
      </w:r>
    </w:p>
    <w:p w:rsidR="00E65D0D" w:rsidRPr="004540AB" w:rsidRDefault="00E65D0D" w:rsidP="00E65D0D">
      <w:pPr>
        <w:pStyle w:val="PKTpunkt"/>
        <w:rPr>
          <w:rFonts w:ascii="Tahoma" w:hAnsi="Tahoma" w:cs="Tahoma"/>
        </w:rPr>
      </w:pPr>
      <w:r w:rsidRPr="004540AB">
        <w:rPr>
          <w:rFonts w:ascii="Tahoma" w:hAnsi="Tahoma" w:cs="Tahoma"/>
        </w:rPr>
        <w:lastRenderedPageBreak/>
        <w:t>7)</w:t>
      </w:r>
      <w:r w:rsidRPr="004540AB">
        <w:rPr>
          <w:rFonts w:ascii="Tahoma" w:hAnsi="Tahoma" w:cs="Tahoma"/>
        </w:rPr>
        <w:tab/>
        <w:t>datę, od której nalicza się oprocentowanie skarbowych papierów wartościowych tej emisji;</w:t>
      </w:r>
    </w:p>
    <w:p w:rsidR="00E65D0D" w:rsidRPr="004540AB" w:rsidRDefault="00E65D0D" w:rsidP="00E65D0D">
      <w:pPr>
        <w:pStyle w:val="PKTpunkt"/>
        <w:rPr>
          <w:rFonts w:ascii="Tahoma" w:hAnsi="Tahoma" w:cs="Tahoma"/>
        </w:rPr>
      </w:pPr>
      <w:r w:rsidRPr="004540AB">
        <w:rPr>
          <w:rFonts w:ascii="Tahoma" w:hAnsi="Tahoma" w:cs="Tahoma"/>
        </w:rPr>
        <w:t>8)</w:t>
      </w:r>
      <w:r w:rsidRPr="004540AB">
        <w:rPr>
          <w:rFonts w:ascii="Tahoma" w:hAnsi="Tahoma" w:cs="Tahoma"/>
        </w:rPr>
        <w:tab/>
        <w:t>termin wykupu oraz zastrzeżenia w przedmiocie możliwości wcześniejszego wykupu.</w:t>
      </w:r>
    </w:p>
    <w:p w:rsidR="00E65D0D" w:rsidRPr="004540AB" w:rsidRDefault="00E65D0D" w:rsidP="00E65D0D">
      <w:pPr>
        <w:pStyle w:val="USTustnpkodeksu"/>
        <w:rPr>
          <w:rFonts w:ascii="Tahoma" w:hAnsi="Tahoma" w:cs="Tahoma"/>
        </w:rPr>
      </w:pPr>
      <w:r w:rsidRPr="004540AB">
        <w:rPr>
          <w:rFonts w:ascii="Tahoma" w:hAnsi="Tahoma" w:cs="Tahoma"/>
        </w:rPr>
        <w:t>5. Emisja skarbowych papierów wartościowych następuje z dniem zarejestrowania skarbowych papierów wartościowych w depozycie papierów wartościowych oraz w kwocie równej wartości nominalnej wyemitowanych papierów wartościowych.</w:t>
      </w:r>
    </w:p>
    <w:p w:rsidR="00E65D0D" w:rsidRPr="004540AB" w:rsidRDefault="00E65D0D" w:rsidP="00E65D0D">
      <w:pPr>
        <w:pStyle w:val="USTustnpkodeksu"/>
        <w:rPr>
          <w:rFonts w:ascii="Tahoma" w:hAnsi="Tahoma" w:cs="Tahoma"/>
        </w:rPr>
      </w:pPr>
      <w:r w:rsidRPr="004540AB">
        <w:rPr>
          <w:rFonts w:ascii="Tahoma" w:hAnsi="Tahoma" w:cs="Tahoma"/>
        </w:rPr>
        <w:t>6. Do emisji skarbowych papierów wartościowych nie stosuje się przepisów art. 98 i art. 102 ustawy z dnia 27 sierpnia 2009 r. o finansach publicznych (Dz. U. z 2019 poz. 869, 1622, 1649 i 2020) oraz przepisów wydanych na podstawie art. 97 tej ustawy.</w:t>
      </w:r>
    </w:p>
    <w:p w:rsidR="00E65D0D" w:rsidRPr="004540AB" w:rsidRDefault="00E65D0D" w:rsidP="00E65D0D">
      <w:pPr>
        <w:pStyle w:val="USTustnpkodeksu"/>
        <w:rPr>
          <w:rFonts w:ascii="Tahoma" w:hAnsi="Tahoma" w:cs="Tahoma"/>
        </w:rPr>
      </w:pPr>
      <w:r w:rsidRPr="004540AB">
        <w:rPr>
          <w:rFonts w:ascii="Tahoma" w:hAnsi="Tahoma" w:cs="Tahoma"/>
        </w:rPr>
        <w:t>7. Rozporządzanie skarbowymi papierami wartościowymi wymaga zgody ministra właściwego do spraw finansów publicznych.</w:t>
      </w:r>
    </w:p>
    <w:p w:rsidR="00E65D0D" w:rsidRPr="004540AB" w:rsidRDefault="00E65D0D" w:rsidP="00E65D0D">
      <w:pPr>
        <w:pStyle w:val="USTustnpkodeksu"/>
        <w:rPr>
          <w:rFonts w:ascii="Tahoma" w:hAnsi="Tahoma" w:cs="Tahoma"/>
        </w:rPr>
      </w:pPr>
      <w:r w:rsidRPr="004540AB">
        <w:rPr>
          <w:rFonts w:ascii="Tahoma" w:hAnsi="Tahoma" w:cs="Tahoma"/>
        </w:rPr>
        <w:t>8. Minister właściwy do spraw budżetu przekaże do Narodowego Funduszu Zdrowia skarbowe papiery wartościowe w ciągu 30 dni od dnia wejścia w życie niniejszej ustawy.</w:t>
      </w:r>
    </w:p>
    <w:p w:rsidR="00E65D0D" w:rsidRPr="004540AB" w:rsidRDefault="00E65D0D" w:rsidP="00E65D0D">
      <w:pPr>
        <w:pStyle w:val="USTustnpkodeksu"/>
        <w:rPr>
          <w:rFonts w:ascii="Tahoma" w:hAnsi="Tahoma" w:cs="Tahoma"/>
        </w:rPr>
      </w:pPr>
      <w:r w:rsidRPr="004540AB">
        <w:rPr>
          <w:rFonts w:ascii="Tahoma" w:hAnsi="Tahoma" w:cs="Tahoma"/>
        </w:rPr>
        <w:t>9. Prezes Narodowego Funduszu Zdrowia zmieni plan finansowy Funduszu na 2020 rok, uwzględniając podział prognozowanych przychodów z przekazanych skarbowych papierów wartościowych w ciągu 14 dni od dnia ich przekazania.</w:t>
      </w:r>
    </w:p>
    <w:p w:rsidR="00E65D0D" w:rsidRPr="004540AB" w:rsidRDefault="00E65D0D" w:rsidP="00E65D0D">
      <w:pPr>
        <w:pStyle w:val="ARTartustawynprozporzdzenia"/>
        <w:rPr>
          <w:rFonts w:ascii="Tahoma" w:hAnsi="Tahoma" w:cs="Tahoma"/>
        </w:rPr>
      </w:pPr>
      <w:r w:rsidRPr="004540AB">
        <w:rPr>
          <w:rStyle w:val="Ppogrubienie"/>
          <w:rFonts w:ascii="Tahoma" w:hAnsi="Tahoma" w:cs="Tahoma"/>
        </w:rPr>
        <w:t>Art. 2.</w:t>
      </w:r>
      <w:r w:rsidRPr="004540AB">
        <w:rPr>
          <w:rFonts w:ascii="Tahoma" w:hAnsi="Tahoma" w:cs="Tahoma"/>
        </w:rPr>
        <w:t> Ustawa wchodzi w życie z dniem ogłoszenia.</w:t>
      </w:r>
    </w:p>
    <w:p w:rsidR="00E65D0D" w:rsidRPr="004540AB" w:rsidRDefault="00E65D0D" w:rsidP="00E65D0D">
      <w:pPr>
        <w:widowControl/>
        <w:autoSpaceDE/>
        <w:autoSpaceDN/>
        <w:adjustRightInd/>
        <w:jc w:val="left"/>
        <w:rPr>
          <w:rFonts w:ascii="Tahoma" w:hAnsi="Tahoma" w:cs="Tahoma"/>
        </w:rPr>
      </w:pPr>
      <w:bookmarkStart w:id="0" w:name="_GoBack"/>
      <w:bookmarkEnd w:id="0"/>
    </w:p>
    <w:sectPr w:rsidR="00E65D0D" w:rsidRPr="004540AB" w:rsidSect="001A7F15">
      <w:headerReference w:type="default" r:id="rId7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4AE5" w:rsidRDefault="007C4AE5" w:rsidP="00E65D0D">
      <w:pPr>
        <w:spacing w:line="240" w:lineRule="auto"/>
      </w:pPr>
      <w:r>
        <w:separator/>
      </w:r>
    </w:p>
  </w:endnote>
  <w:endnote w:type="continuationSeparator" w:id="0">
    <w:p w:rsidR="007C4AE5" w:rsidRDefault="007C4AE5" w:rsidP="00E65D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4AE5" w:rsidRDefault="007C4AE5" w:rsidP="00E65D0D">
      <w:pPr>
        <w:spacing w:line="240" w:lineRule="auto"/>
      </w:pPr>
      <w:r>
        <w:separator/>
      </w:r>
    </w:p>
  </w:footnote>
  <w:footnote w:type="continuationSeparator" w:id="0">
    <w:p w:rsidR="007C4AE5" w:rsidRDefault="007C4AE5" w:rsidP="00E65D0D">
      <w:pPr>
        <w:spacing w:line="240" w:lineRule="auto"/>
      </w:pPr>
      <w:r>
        <w:continuationSeparator/>
      </w:r>
    </w:p>
  </w:footnote>
  <w:footnote w:id="1">
    <w:p w:rsidR="00E65D0D" w:rsidRPr="00ED0252" w:rsidRDefault="00E65D0D" w:rsidP="00E65D0D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 U. z 2019 r. poz. 1394, 1590, 1694, 1726, 1818, 1905 i 2020.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7C4AE5" w:rsidP="00B371CC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D0D"/>
    <w:rsid w:val="001B12D4"/>
    <w:rsid w:val="003705C4"/>
    <w:rsid w:val="004540AB"/>
    <w:rsid w:val="005039F7"/>
    <w:rsid w:val="005E3CEC"/>
    <w:rsid w:val="00621DB5"/>
    <w:rsid w:val="007C4AE5"/>
    <w:rsid w:val="007F612E"/>
    <w:rsid w:val="008B666D"/>
    <w:rsid w:val="00916387"/>
    <w:rsid w:val="00A111A9"/>
    <w:rsid w:val="00AD05EC"/>
    <w:rsid w:val="00AF2F7B"/>
    <w:rsid w:val="00DF2751"/>
    <w:rsid w:val="00E65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E73BCD-1626-42CE-A551-64B7D5FF0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65D0D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uiPriority w:val="99"/>
    <w:semiHidden/>
    <w:rsid w:val="00E65D0D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E65D0D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E65D0D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E65D0D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E65D0D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E65D0D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E65D0D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E65D0D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E65D0D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ODNONIKtreodnonika">
    <w:name w:val="ODNOŚNIK – treść odnośnika"/>
    <w:uiPriority w:val="19"/>
    <w:qFormat/>
    <w:rsid w:val="00E65D0D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E65D0D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  <w:style w:type="character" w:customStyle="1" w:styleId="IGindeksgrny">
    <w:name w:val="_IG_ – indeks górny"/>
    <w:basedOn w:val="Domylnaczcionkaakapitu"/>
    <w:uiPriority w:val="2"/>
    <w:qFormat/>
    <w:rsid w:val="00E65D0D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E65D0D"/>
    <w:rPr>
      <w:b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E65D0D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E65D0D"/>
    <w:rPr>
      <w:rFonts w:ascii="Times New Roman" w:eastAsiaTheme="minorEastAsia" w:hAnsi="Times New Roman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B666D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B666D"/>
    <w:rPr>
      <w:rFonts w:ascii="Times New Roman" w:eastAsiaTheme="minorEastAsia" w:hAnsi="Times New Roman" w:cs="Arial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DDD976-7766-4ED4-A235-8251CA055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358</Words>
  <Characters>2150</Characters>
  <Application>Microsoft Office Word</Application>
  <DocSecurity>0</DocSecurity>
  <Lines>17</Lines>
  <Paragraphs>5</Paragraphs>
  <ScaleCrop>false</ScaleCrop>
  <Company>Hewlett-Packard</Company>
  <LinksUpToDate>false</LinksUpToDate>
  <CharactersWithSpaces>2503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o.bułhak</dc:creator>
  <cp:lastModifiedBy>Grzegorz Molesztak</cp:lastModifiedBy>
  <cp:revision>3</cp:revision>
  <cp:lastPrinted>2020-10-19T16:57:00Z</cp:lastPrinted>
  <dcterms:created xsi:type="dcterms:W3CDTF">2020-10-19T16:59:00Z</dcterms:created>
  <dcterms:modified xsi:type="dcterms:W3CDTF">2021-01-13T15:16:00Z</dcterms:modified>
</cp:coreProperties>
</file>