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D0D" w:rsidRPr="004540AB" w:rsidRDefault="00E65D0D" w:rsidP="00E65D0D">
      <w:pPr>
        <w:pStyle w:val="OZNRODZAKTUtznustawalubrozporzdzenieiorganwydajcy"/>
        <w:rPr>
          <w:rFonts w:ascii="Tahoma" w:hAnsi="Tahoma" w:cs="Tahoma"/>
        </w:rPr>
      </w:pPr>
      <w:bookmarkStart w:id="0" w:name="_GoBack"/>
      <w:bookmarkEnd w:id="0"/>
      <w:r w:rsidRPr="004540AB">
        <w:rPr>
          <w:rFonts w:ascii="Tahoma" w:hAnsi="Tahoma" w:cs="Tahoma"/>
        </w:rPr>
        <w:t>Uzasadnienie</w:t>
      </w:r>
    </w:p>
    <w:p w:rsidR="00E65D0D" w:rsidRPr="004540AB" w:rsidRDefault="00E65D0D" w:rsidP="00E65D0D">
      <w:pPr>
        <w:pStyle w:val="ARTartustawynprozporzdzenia"/>
        <w:rPr>
          <w:rFonts w:ascii="Tahoma" w:hAnsi="Tahoma" w:cs="Tahoma"/>
        </w:rPr>
      </w:pPr>
    </w:p>
    <w:p w:rsidR="00E65D0D" w:rsidRPr="004540AB" w:rsidRDefault="00E65D0D" w:rsidP="008B666D">
      <w:pPr>
        <w:pStyle w:val="ARTartustawynprozporzdzenia"/>
        <w:ind w:firstLine="0"/>
        <w:rPr>
          <w:rFonts w:ascii="Tahoma" w:hAnsi="Tahoma" w:cs="Tahoma"/>
        </w:rPr>
      </w:pPr>
    </w:p>
    <w:p w:rsidR="00E65D0D" w:rsidRPr="004540AB" w:rsidRDefault="00E65D0D" w:rsidP="00E65D0D">
      <w:pPr>
        <w:pStyle w:val="ARTartustawynprozporzdzenia"/>
        <w:rPr>
          <w:rFonts w:ascii="Tahoma" w:hAnsi="Tahoma" w:cs="Tahoma"/>
        </w:rPr>
      </w:pPr>
      <w:r w:rsidRPr="004540AB">
        <w:rPr>
          <w:rFonts w:ascii="Tahoma" w:hAnsi="Tahoma" w:cs="Tahoma"/>
        </w:rPr>
        <w:t xml:space="preserve">Mając na względzie obecne obciążenie, niewydolność systemu opieki zdrowotnej w związku </w:t>
      </w:r>
      <w:r w:rsidR="004540AB">
        <w:rPr>
          <w:rFonts w:ascii="Tahoma" w:hAnsi="Tahoma" w:cs="Tahoma"/>
        </w:rPr>
        <w:t>z bardzo wysoką liczbą</w:t>
      </w:r>
      <w:r w:rsidRPr="004540AB">
        <w:rPr>
          <w:rFonts w:ascii="Tahoma" w:hAnsi="Tahoma" w:cs="Tahoma"/>
        </w:rPr>
        <w:t xml:space="preserve"> zakażeń wisusem SARS-COV -2 oraz wciąż wzrastającą liczbę pacjentów wymagających </w:t>
      </w:r>
      <w:r w:rsidR="004540AB">
        <w:rPr>
          <w:rFonts w:ascii="Tahoma" w:hAnsi="Tahoma" w:cs="Tahoma"/>
        </w:rPr>
        <w:t xml:space="preserve">pilnej </w:t>
      </w:r>
      <w:r w:rsidRPr="004540AB">
        <w:rPr>
          <w:rFonts w:ascii="Tahoma" w:hAnsi="Tahoma" w:cs="Tahoma"/>
        </w:rPr>
        <w:t xml:space="preserve">hospitalizacji, </w:t>
      </w:r>
      <w:r w:rsidR="004540AB">
        <w:rPr>
          <w:rFonts w:ascii="Tahoma" w:hAnsi="Tahoma" w:cs="Tahoma"/>
        </w:rPr>
        <w:t xml:space="preserve">jak również z uwagi </w:t>
      </w:r>
      <w:r w:rsidRPr="004540AB">
        <w:rPr>
          <w:rFonts w:ascii="Tahoma" w:hAnsi="Tahoma" w:cs="Tahoma"/>
        </w:rPr>
        <w:t xml:space="preserve">prognozowany wzrost zachorowań, proponuje się by Narodowy Fundusz Zdrowia otrzymał w 2020 r., ponad zaplanowane w planie finansowym Narodowego Funduszu Zdrowia przychody, skarbowe papiery wartościowe </w:t>
      </w:r>
      <w:r w:rsidR="004540AB">
        <w:rPr>
          <w:rFonts w:ascii="Tahoma" w:hAnsi="Tahoma" w:cs="Tahoma"/>
        </w:rPr>
        <w:t xml:space="preserve">o wartości 2 000 000 tys zł </w:t>
      </w:r>
      <w:r w:rsidRPr="004540AB">
        <w:rPr>
          <w:rFonts w:ascii="Tahoma" w:hAnsi="Tahoma" w:cs="Tahoma"/>
        </w:rPr>
        <w:t xml:space="preserve">z przeznaczeniem prognozowanych w związku z tym przychodów na dofinansowanie świadczeń opieki zdrowotnej finansowanych ze środków publicznych, świadczonych w zakresie. z </w:t>
      </w:r>
      <w:r w:rsidR="004540AB">
        <w:rPr>
          <w:rFonts w:ascii="Tahoma" w:hAnsi="Tahoma" w:cs="Tahoma"/>
        </w:rPr>
        <w:t>zapobiegania</w:t>
      </w:r>
      <w:r w:rsidRPr="004540AB">
        <w:rPr>
          <w:rFonts w:ascii="Tahoma" w:hAnsi="Tahoma" w:cs="Tahoma"/>
        </w:rPr>
        <w:t>, przeciwdziała</w:t>
      </w:r>
      <w:r w:rsidR="004540AB">
        <w:rPr>
          <w:rFonts w:ascii="Tahoma" w:hAnsi="Tahoma" w:cs="Tahoma"/>
        </w:rPr>
        <w:t xml:space="preserve">nia </w:t>
      </w:r>
      <w:r w:rsidRPr="004540AB">
        <w:rPr>
          <w:rFonts w:ascii="Tahoma" w:hAnsi="Tahoma" w:cs="Tahoma"/>
        </w:rPr>
        <w:t>i zwalczani</w:t>
      </w:r>
      <w:r w:rsidR="004540AB">
        <w:rPr>
          <w:rFonts w:ascii="Tahoma" w:hAnsi="Tahoma" w:cs="Tahoma"/>
        </w:rPr>
        <w:t>a</w:t>
      </w:r>
      <w:r w:rsidRPr="004540AB">
        <w:rPr>
          <w:rFonts w:ascii="Tahoma" w:hAnsi="Tahoma" w:cs="Tahoma"/>
        </w:rPr>
        <w:t xml:space="preserve"> COVID-19</w:t>
      </w:r>
    </w:p>
    <w:p w:rsidR="00E65D0D" w:rsidRDefault="00E65D0D" w:rsidP="00E65D0D">
      <w:pPr>
        <w:pStyle w:val="ARTartustawynprozporzdzenia"/>
        <w:rPr>
          <w:rFonts w:ascii="Tahoma" w:hAnsi="Tahoma" w:cs="Tahoma"/>
        </w:rPr>
      </w:pPr>
      <w:r w:rsidRPr="004540AB">
        <w:rPr>
          <w:rFonts w:ascii="Tahoma" w:hAnsi="Tahoma" w:cs="Tahoma"/>
        </w:rPr>
        <w:t xml:space="preserve">Zasilenie Narodowego Funduszu Zdrowia skarbowymi papierami wartościowymi o łącznej wartości nominalnej nie wyższej niż </w:t>
      </w:r>
      <w:r w:rsidR="004540AB">
        <w:rPr>
          <w:rFonts w:ascii="Tahoma" w:hAnsi="Tahoma" w:cs="Tahoma"/>
        </w:rPr>
        <w:t xml:space="preserve">2 000 000 </w:t>
      </w:r>
      <w:r w:rsidRPr="004540AB">
        <w:rPr>
          <w:rFonts w:ascii="Tahoma" w:hAnsi="Tahoma" w:cs="Tahoma"/>
        </w:rPr>
        <w:t xml:space="preserve">tys. zł. nie spowoduje pogłębienia deficytu w budżecie państwa w 2020 r. Ograniczenie nominalnej wartości skarbowych papierów wartościowych ma na celu ograniczenie skutków finansowych ustawy, które nie przekroczą powyższej wartości. </w:t>
      </w:r>
    </w:p>
    <w:p w:rsidR="004540AB" w:rsidRPr="00632B19" w:rsidRDefault="004540AB" w:rsidP="004540AB">
      <w:pPr>
        <w:ind w:firstLine="510"/>
        <w:rPr>
          <w:rFonts w:ascii="Tahoma" w:hAnsi="Tahoma" w:cs="Tahoma"/>
          <w:color w:val="333333"/>
          <w:szCs w:val="24"/>
          <w:shd w:val="clear" w:color="auto" w:fill="FFFFFF"/>
        </w:rPr>
      </w:pPr>
      <w:r w:rsidRPr="000B3D4D">
        <w:rPr>
          <w:rFonts w:ascii="Tahoma" w:hAnsi="Tahoma" w:cs="Tahoma"/>
          <w:szCs w:val="24"/>
        </w:rPr>
        <w:t>Zgodnie z art. 4 ust. 2 ustawy o ogłaszaniu aktów n</w:t>
      </w:r>
      <w:r w:rsidRPr="000B3D4D">
        <w:rPr>
          <w:rFonts w:ascii="Tahoma" w:hAnsi="Tahoma" w:cs="Tahoma"/>
          <w:szCs w:val="24"/>
          <w:shd w:val="clear" w:color="auto" w:fill="FFFFFF"/>
        </w:rPr>
        <w:t xml:space="preserve">ormatywnych i niektórych innych aktów prawnych, jeżeli ważny interes państwa wymaga natychmiastowego wejścia w życie aktu normatywnego i zasady demokratycznego państwa prawnego nie stoją temu na przeszkodzie, dniem wejścia w życie może być dzień ogłoszenia aktu prawnego. </w:t>
      </w:r>
      <w:r w:rsidRPr="000B3D4D">
        <w:rPr>
          <w:rFonts w:ascii="Tahoma" w:hAnsi="Tahoma" w:cs="Tahoma"/>
          <w:szCs w:val="24"/>
        </w:rPr>
        <w:t>Projektodawcy proponują</w:t>
      </w:r>
      <w:r w:rsidRPr="00FD162A">
        <w:rPr>
          <w:rFonts w:ascii="Tahoma" w:hAnsi="Tahoma" w:cs="Tahoma"/>
          <w:szCs w:val="24"/>
        </w:rPr>
        <w:t xml:space="preserve">, aby ustawa weszła w życie w dniu ogłoszenia, jest to uzasadnione pilną potrzebą wdrożenia rozwiązań które przyczynią się </w:t>
      </w:r>
      <w:r>
        <w:rPr>
          <w:rFonts w:ascii="Tahoma" w:hAnsi="Tahoma" w:cs="Tahoma"/>
          <w:szCs w:val="24"/>
        </w:rPr>
        <w:t xml:space="preserve">do </w:t>
      </w:r>
      <w:r w:rsidRPr="00FD162A">
        <w:rPr>
          <w:rFonts w:ascii="Tahoma" w:hAnsi="Tahoma" w:cs="Tahoma"/>
          <w:szCs w:val="24"/>
        </w:rPr>
        <w:t>ochron</w:t>
      </w:r>
      <w:r>
        <w:rPr>
          <w:rFonts w:ascii="Tahoma" w:hAnsi="Tahoma" w:cs="Tahoma"/>
          <w:szCs w:val="24"/>
        </w:rPr>
        <w:t xml:space="preserve">y </w:t>
      </w:r>
      <w:r w:rsidRPr="00FD162A">
        <w:rPr>
          <w:rFonts w:ascii="Tahoma" w:hAnsi="Tahoma" w:cs="Tahoma"/>
          <w:szCs w:val="24"/>
        </w:rPr>
        <w:t xml:space="preserve">zdrowia i życia osób przebywających na terytorium RP. </w:t>
      </w:r>
    </w:p>
    <w:p w:rsidR="004540AB" w:rsidRPr="00FD162A" w:rsidRDefault="004540AB" w:rsidP="004540AB">
      <w:pPr>
        <w:ind w:firstLine="510"/>
        <w:rPr>
          <w:rFonts w:ascii="Tahoma" w:hAnsi="Tahoma" w:cs="Tahoma"/>
          <w:szCs w:val="24"/>
        </w:rPr>
      </w:pPr>
      <w:r w:rsidRPr="00FD162A">
        <w:rPr>
          <w:rFonts w:ascii="Tahoma" w:hAnsi="Tahoma" w:cs="Tahoma"/>
          <w:szCs w:val="24"/>
        </w:rPr>
        <w:t>Z uwagi na trwający stan epidemii oraz coraz szybszy wzrost zachorowań  na COVID-19 wejście w życie przedmiotowego projektu będzie miało pozytywne skutki społeczne, ponieważ</w:t>
      </w:r>
      <w:r>
        <w:rPr>
          <w:rFonts w:ascii="Tahoma" w:hAnsi="Tahoma" w:cs="Tahoma"/>
          <w:szCs w:val="24"/>
        </w:rPr>
        <w:t xml:space="preserve"> system ochrony zdrowia zostanie zasilony dodatkowymi środkami finansowymi które przeznaczone zostaną na walkę z pandemią. </w:t>
      </w:r>
    </w:p>
    <w:p w:rsidR="00E65D0D" w:rsidRPr="004540AB" w:rsidRDefault="00E65D0D" w:rsidP="00E65D0D">
      <w:pPr>
        <w:pStyle w:val="ARTartustawynprozporzdzenia"/>
        <w:rPr>
          <w:rFonts w:ascii="Tahoma" w:hAnsi="Tahoma" w:cs="Tahoma"/>
        </w:rPr>
      </w:pPr>
      <w:r w:rsidRPr="004540AB">
        <w:rPr>
          <w:rFonts w:ascii="Tahoma" w:hAnsi="Tahoma" w:cs="Tahoma"/>
        </w:rPr>
        <w:t>Przedmiot projektowanej regulacji nie jest objęty prawem Unii Europejskiej.</w:t>
      </w:r>
    </w:p>
    <w:p w:rsidR="005E3CEC" w:rsidRPr="004540AB" w:rsidRDefault="005E3CEC">
      <w:pPr>
        <w:rPr>
          <w:rFonts w:ascii="Tahoma" w:hAnsi="Tahoma" w:cs="Tahoma"/>
        </w:rPr>
      </w:pPr>
    </w:p>
    <w:sectPr w:rsidR="005E3CEC" w:rsidRPr="004540AB" w:rsidSect="001A7F15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B1A" w:rsidRDefault="003F2B1A" w:rsidP="00E65D0D">
      <w:pPr>
        <w:spacing w:line="240" w:lineRule="auto"/>
      </w:pPr>
      <w:r>
        <w:separator/>
      </w:r>
    </w:p>
  </w:endnote>
  <w:endnote w:type="continuationSeparator" w:id="0">
    <w:p w:rsidR="003F2B1A" w:rsidRDefault="003F2B1A" w:rsidP="00E65D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B1A" w:rsidRDefault="003F2B1A" w:rsidP="00E65D0D">
      <w:pPr>
        <w:spacing w:line="240" w:lineRule="auto"/>
      </w:pPr>
      <w:r>
        <w:separator/>
      </w:r>
    </w:p>
  </w:footnote>
  <w:footnote w:type="continuationSeparator" w:id="0">
    <w:p w:rsidR="003F2B1A" w:rsidRDefault="003F2B1A" w:rsidP="00E65D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3F2B1A" w:rsidP="00B371CC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D0D"/>
    <w:rsid w:val="001B12D4"/>
    <w:rsid w:val="003705C4"/>
    <w:rsid w:val="003F2B1A"/>
    <w:rsid w:val="004540AB"/>
    <w:rsid w:val="005039F7"/>
    <w:rsid w:val="005E3CEC"/>
    <w:rsid w:val="00621DB5"/>
    <w:rsid w:val="007F612E"/>
    <w:rsid w:val="008B666D"/>
    <w:rsid w:val="00A111A9"/>
    <w:rsid w:val="00A13187"/>
    <w:rsid w:val="00AD05EC"/>
    <w:rsid w:val="00AF2F7B"/>
    <w:rsid w:val="00DF2751"/>
    <w:rsid w:val="00E6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E73BCD-1626-42CE-A551-64B7D5FF0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5D0D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E65D0D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E65D0D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65D0D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65D0D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E65D0D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E65D0D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E65D0D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E65D0D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E65D0D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ODNONIKtreodnonika">
    <w:name w:val="ODNOŚNIK – treść odnośnika"/>
    <w:uiPriority w:val="19"/>
    <w:qFormat/>
    <w:rsid w:val="00E65D0D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E65D0D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E65D0D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E65D0D"/>
    <w:rPr>
      <w:b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E65D0D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E65D0D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B666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666D"/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F86ED-8DC1-4FA8-B97F-C526C389B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1691</Characters>
  <Application>Microsoft Office Word</Application>
  <DocSecurity>0</DocSecurity>
  <Lines>14</Lines>
  <Paragraphs>3</Paragraphs>
  <ScaleCrop>false</ScaleCrop>
  <Company>Hewlett-Packard</Company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o.bułhak</dc:creator>
  <cp:lastModifiedBy>Grzegorz Molesztak</cp:lastModifiedBy>
  <cp:revision>3</cp:revision>
  <cp:lastPrinted>2020-10-19T16:57:00Z</cp:lastPrinted>
  <dcterms:created xsi:type="dcterms:W3CDTF">2020-10-19T16:59:00Z</dcterms:created>
  <dcterms:modified xsi:type="dcterms:W3CDTF">2021-01-13T15:17:00Z</dcterms:modified>
</cp:coreProperties>
</file>