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54B" w:rsidRPr="005852E8" w:rsidRDefault="00B6754B" w:rsidP="00B6754B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2E8">
        <w:rPr>
          <w:rFonts w:ascii="Times New Roman" w:hAnsi="Times New Roman" w:cs="Times New Roman"/>
          <w:sz w:val="24"/>
          <w:szCs w:val="24"/>
        </w:rPr>
        <w:t>UZASADNIENIE</w:t>
      </w:r>
    </w:p>
    <w:p w:rsidR="00967D9B" w:rsidRPr="006124C9" w:rsidRDefault="00967D9B" w:rsidP="00967D9B">
      <w:pPr>
        <w:spacing w:before="12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24C9">
        <w:rPr>
          <w:rFonts w:ascii="Times New Roman" w:hAnsi="Times New Roman" w:cs="Times New Roman"/>
          <w:b/>
          <w:sz w:val="24"/>
          <w:szCs w:val="24"/>
        </w:rPr>
        <w:t>Diagnoza stanu obecnego</w:t>
      </w:r>
    </w:p>
    <w:p w:rsidR="00AA36A1" w:rsidRDefault="00A87B57" w:rsidP="00967D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Dzisiejszy stan prawny funkcjonujący</w:t>
      </w:r>
      <w:r w:rsidR="00967D9B" w:rsidRPr="006124C9">
        <w:rPr>
          <w:rFonts w:ascii="Times New Roman" w:hAnsi="Times New Roman" w:cs="Times New Roman"/>
          <w:sz w:val="24"/>
          <w:szCs w:val="24"/>
        </w:rPr>
        <w:t xml:space="preserve"> w obecnym kształcie organizacyjnym i funkcjonalnym prawie dwie dekady tj. od dnia 10 maja 2002 r., kiedy weszła w życie ustawa z dnia 27 lipca 2001 r. o służbie zagranicznej</w:t>
      </w:r>
      <w:r w:rsidR="00967D9B" w:rsidRPr="006124C9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967D9B" w:rsidRPr="006124C9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F3303">
        <w:rPr>
          <w:rFonts w:ascii="Times New Roman" w:hAnsi="Times New Roman" w:cs="Times New Roman"/>
          <w:sz w:val="24"/>
          <w:szCs w:val="24"/>
        </w:rPr>
        <w:t>jest efektem hybrydy</w:t>
      </w:r>
      <w:r>
        <w:rPr>
          <w:rFonts w:ascii="Times New Roman" w:hAnsi="Times New Roman" w:cs="Times New Roman"/>
          <w:sz w:val="24"/>
          <w:szCs w:val="24"/>
        </w:rPr>
        <w:t xml:space="preserve"> składającej się z elementów służby dyplomatyczno-konsularnej zakorzenionej systemowo w czasach PRL i różnych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właściwych dla procesu transformacji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prób ingerencji nie naruszających spuścizny PRL. </w:t>
      </w:r>
      <w:r w:rsidR="00967D9B">
        <w:rPr>
          <w:rFonts w:ascii="Times New Roman" w:hAnsi="Times New Roman" w:cs="Times New Roman"/>
          <w:sz w:val="24"/>
          <w:szCs w:val="24"/>
        </w:rPr>
        <w:t>Wywodząc</w:t>
      </w:r>
      <w:r w:rsidR="00D70A25">
        <w:rPr>
          <w:rFonts w:ascii="Times New Roman" w:hAnsi="Times New Roman" w:cs="Times New Roman"/>
          <w:sz w:val="24"/>
          <w:szCs w:val="24"/>
        </w:rPr>
        <w:t>e</w:t>
      </w:r>
      <w:r w:rsidR="00967D9B">
        <w:rPr>
          <w:rFonts w:ascii="Times New Roman" w:hAnsi="Times New Roman" w:cs="Times New Roman"/>
          <w:sz w:val="24"/>
          <w:szCs w:val="24"/>
        </w:rPr>
        <w:t xml:space="preserve"> się z PRL rozwiązania sprawiają, że czynnik polityczny i urzędniczy są </w:t>
      </w:r>
      <w:r>
        <w:rPr>
          <w:rFonts w:ascii="Times New Roman" w:hAnsi="Times New Roman" w:cs="Times New Roman"/>
          <w:sz w:val="24"/>
          <w:szCs w:val="24"/>
        </w:rPr>
        <w:t xml:space="preserve">ze sobą </w:t>
      </w:r>
      <w:r w:rsidR="00967D9B">
        <w:rPr>
          <w:rFonts w:ascii="Times New Roman" w:hAnsi="Times New Roman" w:cs="Times New Roman"/>
          <w:sz w:val="24"/>
          <w:szCs w:val="24"/>
        </w:rPr>
        <w:t xml:space="preserve">połączone. Nie ma w tym wymiarze charakterystycznego dla demokratycznych standardów rozdzielenia. </w:t>
      </w:r>
      <w:r>
        <w:rPr>
          <w:rFonts w:ascii="Times New Roman" w:hAnsi="Times New Roman" w:cs="Times New Roman"/>
          <w:sz w:val="24"/>
          <w:szCs w:val="24"/>
        </w:rPr>
        <w:t>Zmieszanie ze sobą komponentów politycznego i urzędniczego doprowadziło do sytuacji, w której kryteria sukcesu i awansu, a także</w:t>
      </w:r>
      <w:r w:rsidR="00AA36A1">
        <w:rPr>
          <w:rFonts w:ascii="Times New Roman" w:hAnsi="Times New Roman" w:cs="Times New Roman"/>
          <w:sz w:val="24"/>
          <w:szCs w:val="24"/>
        </w:rPr>
        <w:t xml:space="preserve"> komponenty tego,</w:t>
      </w:r>
      <w:r>
        <w:rPr>
          <w:rFonts w:ascii="Times New Roman" w:hAnsi="Times New Roman" w:cs="Times New Roman"/>
          <w:sz w:val="24"/>
          <w:szCs w:val="24"/>
        </w:rPr>
        <w:t xml:space="preserve"> co można </w:t>
      </w:r>
      <w:r w:rsidR="00AA36A1">
        <w:rPr>
          <w:rFonts w:ascii="Times New Roman" w:hAnsi="Times New Roman" w:cs="Times New Roman"/>
          <w:sz w:val="24"/>
          <w:szCs w:val="24"/>
        </w:rPr>
        <w:t xml:space="preserve">w dniu dzisiejszym </w:t>
      </w:r>
      <w:r>
        <w:rPr>
          <w:rFonts w:ascii="Times New Roman" w:hAnsi="Times New Roman" w:cs="Times New Roman"/>
          <w:sz w:val="24"/>
          <w:szCs w:val="24"/>
        </w:rPr>
        <w:t>nazwać</w:t>
      </w:r>
      <w:r w:rsidR="00AA36A1">
        <w:rPr>
          <w:rFonts w:ascii="Times New Roman" w:hAnsi="Times New Roman" w:cs="Times New Roman"/>
          <w:sz w:val="24"/>
          <w:szCs w:val="24"/>
        </w:rPr>
        <w:t xml:space="preserve"> jedynie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quasi etosem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 w:rsidR="00AA36A1">
        <w:rPr>
          <w:rFonts w:ascii="Times New Roman" w:hAnsi="Times New Roman" w:cs="Times New Roman"/>
          <w:sz w:val="24"/>
          <w:szCs w:val="24"/>
        </w:rPr>
        <w:t xml:space="preserve"> są</w:t>
      </w:r>
      <w:r>
        <w:rPr>
          <w:rFonts w:ascii="Times New Roman" w:hAnsi="Times New Roman" w:cs="Times New Roman"/>
          <w:sz w:val="24"/>
          <w:szCs w:val="24"/>
        </w:rPr>
        <w:t xml:space="preserve"> niejasne.</w:t>
      </w:r>
      <w:r w:rsidR="00AA36A1">
        <w:rPr>
          <w:rFonts w:ascii="Times New Roman" w:hAnsi="Times New Roman" w:cs="Times New Roman"/>
          <w:sz w:val="24"/>
          <w:szCs w:val="24"/>
        </w:rPr>
        <w:t xml:space="preserve"> Wynika z tego swoista hermetyczność zawodowego korpusu dyplomatycznego, zagwarantowana przez systemowo zablokowany dostęp do kariery dyplomatycznej, a także niejasne nominacje wynikające raz z ekspertyzy urzędniczej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 w:rsidR="00AA36A1">
        <w:rPr>
          <w:rFonts w:ascii="Times New Roman" w:hAnsi="Times New Roman" w:cs="Times New Roman"/>
          <w:sz w:val="24"/>
          <w:szCs w:val="24"/>
        </w:rPr>
        <w:t xml:space="preserve"> a raz z decyzji politycznej o nieznanych kryteriach i nieznanej przejrzystości. Sprawia to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 w:rsidR="00AA36A1">
        <w:rPr>
          <w:rFonts w:ascii="Times New Roman" w:hAnsi="Times New Roman" w:cs="Times New Roman"/>
          <w:sz w:val="24"/>
          <w:szCs w:val="24"/>
        </w:rPr>
        <w:t xml:space="preserve"> między innymi, iż zwieńczeniem urzędniczej kariery jest stanowisko ambasadora, które </w:t>
      </w:r>
      <w:r w:rsidR="005852E8">
        <w:rPr>
          <w:rFonts w:ascii="Times New Roman" w:hAnsi="Times New Roman" w:cs="Times New Roman"/>
          <w:sz w:val="24"/>
          <w:szCs w:val="24"/>
        </w:rPr>
        <w:t>–</w:t>
      </w:r>
      <w:r w:rsidR="00AA36A1">
        <w:rPr>
          <w:rFonts w:ascii="Times New Roman" w:hAnsi="Times New Roman" w:cs="Times New Roman"/>
          <w:sz w:val="24"/>
          <w:szCs w:val="24"/>
        </w:rPr>
        <w:t xml:space="preserve"> co wynika z zapisów konstytucyjnych </w:t>
      </w:r>
      <w:r w:rsidR="005852E8">
        <w:rPr>
          <w:rFonts w:ascii="Times New Roman" w:hAnsi="Times New Roman" w:cs="Times New Roman"/>
          <w:sz w:val="24"/>
          <w:szCs w:val="24"/>
        </w:rPr>
        <w:t>–</w:t>
      </w:r>
      <w:r w:rsidR="00AA36A1">
        <w:rPr>
          <w:rFonts w:ascii="Times New Roman" w:hAnsi="Times New Roman" w:cs="Times New Roman"/>
          <w:sz w:val="24"/>
          <w:szCs w:val="24"/>
        </w:rPr>
        <w:t xml:space="preserve"> jest stanowiskiem </w:t>
      </w:r>
      <w:r w:rsidR="007F3303">
        <w:rPr>
          <w:rFonts w:ascii="Times New Roman" w:hAnsi="Times New Roman" w:cs="Times New Roman"/>
          <w:sz w:val="24"/>
          <w:szCs w:val="24"/>
        </w:rPr>
        <w:t xml:space="preserve">o charakterze ściśle </w:t>
      </w:r>
      <w:r w:rsidR="00AA36A1">
        <w:rPr>
          <w:rFonts w:ascii="Times New Roman" w:hAnsi="Times New Roman" w:cs="Times New Roman"/>
          <w:sz w:val="24"/>
          <w:szCs w:val="24"/>
        </w:rPr>
        <w:t>politycznym.</w:t>
      </w:r>
    </w:p>
    <w:p w:rsidR="00AA36A1" w:rsidRDefault="00967D9B" w:rsidP="00967D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>W dzisiejszych czasach niezwykle ważna jest interdyscyplinarność służby zagranicznej oparta o wszechstronne kompetencje  oraz szeroką</w:t>
      </w:r>
      <w:r w:rsidR="007F3303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stale aktualizowaną wiedzę. Rozwiązania dotychczasowe</w:t>
      </w:r>
      <w:r w:rsidR="00AA36A1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gdzie młodych dyplomatów szkolili do przys</w:t>
      </w:r>
      <w:r w:rsidR="007F3303">
        <w:rPr>
          <w:rFonts w:ascii="Times New Roman" w:hAnsi="Times New Roman" w:cs="Times New Roman"/>
          <w:sz w:val="24"/>
          <w:szCs w:val="24"/>
        </w:rPr>
        <w:t xml:space="preserve">złej pracy doświadczeni koledzy </w:t>
      </w:r>
      <w:r w:rsidRPr="006124C9">
        <w:rPr>
          <w:rFonts w:ascii="Times New Roman" w:hAnsi="Times New Roman" w:cs="Times New Roman"/>
          <w:sz w:val="24"/>
          <w:szCs w:val="24"/>
        </w:rPr>
        <w:t>wyczerpał swoje możliwości rozwojowe. Popularne aplikacje prawnicze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jak aplikacja radcowska oraz adwokacka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trwają w Polsce 3 lat</w:t>
      </w:r>
      <w:r w:rsidR="007F3303">
        <w:rPr>
          <w:rFonts w:ascii="Times New Roman" w:hAnsi="Times New Roman" w:cs="Times New Roman"/>
          <w:sz w:val="24"/>
          <w:szCs w:val="24"/>
        </w:rPr>
        <w:t>a</w:t>
      </w:r>
      <w:r w:rsidRPr="006124C9">
        <w:rPr>
          <w:rFonts w:ascii="Times New Roman" w:hAnsi="Times New Roman" w:cs="Times New Roman"/>
          <w:sz w:val="24"/>
          <w:szCs w:val="24"/>
        </w:rPr>
        <w:t xml:space="preserve">, specjalizacje lekarskie </w:t>
      </w:r>
      <w:r w:rsidR="00D70A25">
        <w:rPr>
          <w:rFonts w:ascii="Times New Roman" w:hAnsi="Times New Roman" w:cs="Times New Roman"/>
          <w:sz w:val="24"/>
          <w:szCs w:val="24"/>
        </w:rPr>
        <w:t xml:space="preserve">– </w:t>
      </w:r>
      <w:r w:rsidRPr="006124C9">
        <w:rPr>
          <w:rFonts w:ascii="Times New Roman" w:hAnsi="Times New Roman" w:cs="Times New Roman"/>
          <w:sz w:val="24"/>
          <w:szCs w:val="24"/>
        </w:rPr>
        <w:t>często kilka lat dłużej, natomiast roczny kurs w Akademii Dyplomatycznej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w formule dotychczasowej aplikacji dyplomatyczno-konsularnej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miał sprostać znacznie bardziej interdyscyplinarnemu przygotowaniu kandydatów do zawodu dyplo</w:t>
      </w:r>
      <w:r w:rsidR="00AA36A1">
        <w:rPr>
          <w:rFonts w:ascii="Times New Roman" w:hAnsi="Times New Roman" w:cs="Times New Roman"/>
          <w:sz w:val="24"/>
          <w:szCs w:val="24"/>
        </w:rPr>
        <w:t xml:space="preserve">maty, </w:t>
      </w:r>
      <w:r w:rsidRPr="006124C9">
        <w:rPr>
          <w:rFonts w:ascii="Times New Roman" w:hAnsi="Times New Roman" w:cs="Times New Roman"/>
          <w:sz w:val="24"/>
          <w:szCs w:val="24"/>
        </w:rPr>
        <w:t>dla którego ścieżka aplikacji jest dziś praktycznie jedyną do zawodu.</w:t>
      </w:r>
      <w:r w:rsidR="00A95F0E">
        <w:rPr>
          <w:rFonts w:ascii="Times New Roman" w:hAnsi="Times New Roman" w:cs="Times New Roman"/>
          <w:sz w:val="24"/>
          <w:szCs w:val="24"/>
        </w:rPr>
        <w:t xml:space="preserve"> </w:t>
      </w:r>
      <w:r w:rsidR="00A95F0E" w:rsidRPr="006124C9">
        <w:rPr>
          <w:rFonts w:ascii="Times New Roman" w:hAnsi="Times New Roman" w:cs="Times New Roman"/>
          <w:sz w:val="24"/>
          <w:szCs w:val="24"/>
        </w:rPr>
        <w:t>Sama Akademia Dyplomatyczna musi przejść głęboką zmianę</w:t>
      </w:r>
      <w:r w:rsidR="00D70A25">
        <w:rPr>
          <w:rFonts w:ascii="Times New Roman" w:hAnsi="Times New Roman" w:cs="Times New Roman"/>
          <w:sz w:val="24"/>
          <w:szCs w:val="24"/>
        </w:rPr>
        <w:t>,</w:t>
      </w:r>
      <w:r w:rsidR="00A95F0E" w:rsidRPr="006124C9">
        <w:rPr>
          <w:rFonts w:ascii="Times New Roman" w:hAnsi="Times New Roman" w:cs="Times New Roman"/>
          <w:sz w:val="24"/>
          <w:szCs w:val="24"/>
        </w:rPr>
        <w:t xml:space="preserve"> tak by </w:t>
      </w:r>
      <w:r w:rsidR="00D70A25">
        <w:rPr>
          <w:rFonts w:ascii="Times New Roman" w:hAnsi="Times New Roman" w:cs="Times New Roman"/>
          <w:sz w:val="24"/>
          <w:szCs w:val="24"/>
        </w:rPr>
        <w:t>wyjść</w:t>
      </w:r>
      <w:r w:rsidR="00D70A25" w:rsidRPr="006124C9">
        <w:rPr>
          <w:rFonts w:ascii="Times New Roman" w:hAnsi="Times New Roman" w:cs="Times New Roman"/>
          <w:sz w:val="24"/>
          <w:szCs w:val="24"/>
        </w:rPr>
        <w:t xml:space="preserve"> </w:t>
      </w:r>
      <w:r w:rsidR="00A95F0E" w:rsidRPr="006124C9">
        <w:rPr>
          <w:rFonts w:ascii="Times New Roman" w:hAnsi="Times New Roman" w:cs="Times New Roman"/>
          <w:sz w:val="24"/>
          <w:szCs w:val="24"/>
        </w:rPr>
        <w:t>z modelu ogólnego czuwania nad programem aplikacji dyplomatyczno-konsularnej oraz podstawowych szkoleń</w:t>
      </w:r>
      <w:r w:rsidR="00D70A25">
        <w:rPr>
          <w:rFonts w:ascii="Times New Roman" w:hAnsi="Times New Roman" w:cs="Times New Roman"/>
          <w:sz w:val="24"/>
          <w:szCs w:val="24"/>
        </w:rPr>
        <w:t xml:space="preserve"> i</w:t>
      </w:r>
      <w:r w:rsidR="00A95F0E" w:rsidRPr="006124C9">
        <w:rPr>
          <w:rFonts w:ascii="Times New Roman" w:hAnsi="Times New Roman" w:cs="Times New Roman"/>
          <w:sz w:val="24"/>
          <w:szCs w:val="24"/>
        </w:rPr>
        <w:t xml:space="preserve"> stać się wyspecjalizowaną jednostką prowadzącą wysoko specjalistyczne szkolenia.  </w:t>
      </w:r>
    </w:p>
    <w:p w:rsidR="00967D9B" w:rsidRPr="006124C9" w:rsidRDefault="00967D9B" w:rsidP="00967D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 xml:space="preserve">Rozwiązanie powyższych problemów jest możliwe tylko przez przyjęcie nowej, całościowej regulacji określającej zadania, organizację i funkcjonowanie służby zagranicznej, a także </w:t>
      </w:r>
      <w:r w:rsidRPr="006124C9">
        <w:rPr>
          <w:rFonts w:ascii="Times New Roman" w:hAnsi="Times New Roman" w:cs="Times New Roman"/>
          <w:sz w:val="24"/>
          <w:szCs w:val="24"/>
        </w:rPr>
        <w:lastRenderedPageBreak/>
        <w:t>szczególne prawa i obowiązki osób wchodzących w jej skład. Nowa ustawa poprawi obecną strukturę służby zagranicznej, zwiększy jej funkcjonalność, przejrzystość w zatrudnieniu do  służby, oraz wprowadzi nowe rozwiązania dotyczące wynagradzania jej członków.</w:t>
      </w:r>
    </w:p>
    <w:p w:rsidR="00AF0BE5" w:rsidRPr="006124C9" w:rsidRDefault="00AF0BE5" w:rsidP="00AF0BE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BE5" w:rsidRPr="00F647F2" w:rsidRDefault="00AF0BE5" w:rsidP="00AF0BE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4C9">
        <w:rPr>
          <w:rFonts w:ascii="Times New Roman" w:hAnsi="Times New Roman" w:cs="Times New Roman"/>
          <w:b/>
          <w:sz w:val="24"/>
          <w:szCs w:val="24"/>
        </w:rPr>
        <w:t>Wprowadzone zmiany</w:t>
      </w:r>
    </w:p>
    <w:p w:rsidR="00A1514D" w:rsidRPr="006124C9" w:rsidRDefault="000C4EEA" w:rsidP="004729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>Projekt ustawy ma na celu wprowadzenie nowej struktury</w:t>
      </w:r>
      <w:r w:rsidR="00AF0BE5" w:rsidRPr="006124C9">
        <w:rPr>
          <w:rFonts w:ascii="Times New Roman" w:hAnsi="Times New Roman" w:cs="Times New Roman"/>
          <w:sz w:val="24"/>
          <w:szCs w:val="24"/>
        </w:rPr>
        <w:t xml:space="preserve"> służby zagranicznej</w:t>
      </w:r>
      <w:r w:rsidRPr="006124C9">
        <w:rPr>
          <w:rFonts w:ascii="Times New Roman" w:hAnsi="Times New Roman" w:cs="Times New Roman"/>
          <w:sz w:val="24"/>
          <w:szCs w:val="24"/>
        </w:rPr>
        <w:t xml:space="preserve"> i dostosowanie jej </w:t>
      </w:r>
      <w:r w:rsidR="00AF0BE5" w:rsidRPr="006124C9">
        <w:rPr>
          <w:rFonts w:ascii="Times New Roman" w:hAnsi="Times New Roman" w:cs="Times New Roman"/>
          <w:sz w:val="24"/>
          <w:szCs w:val="24"/>
        </w:rPr>
        <w:t>do potrzeb</w:t>
      </w:r>
      <w:r w:rsidRPr="006124C9">
        <w:rPr>
          <w:rFonts w:ascii="Times New Roman" w:hAnsi="Times New Roman" w:cs="Times New Roman"/>
          <w:sz w:val="24"/>
          <w:szCs w:val="24"/>
        </w:rPr>
        <w:t xml:space="preserve"> i wyzwań współczesnego świata</w:t>
      </w:r>
      <w:r w:rsidR="00AF0BE5" w:rsidRPr="006124C9">
        <w:rPr>
          <w:rFonts w:ascii="Times New Roman" w:hAnsi="Times New Roman" w:cs="Times New Roman"/>
          <w:sz w:val="24"/>
          <w:szCs w:val="24"/>
        </w:rPr>
        <w:t xml:space="preserve">. </w:t>
      </w:r>
      <w:r w:rsidRPr="006124C9">
        <w:rPr>
          <w:rFonts w:ascii="Times New Roman" w:hAnsi="Times New Roman" w:cs="Times New Roman"/>
          <w:sz w:val="24"/>
          <w:szCs w:val="24"/>
        </w:rPr>
        <w:t>Ustawa w sposób klarowny oddziela czynnik polityczny</w:t>
      </w:r>
      <w:r w:rsidR="0037395A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reprezentowany przez ambasadorów i kierownictwo resortu</w:t>
      </w:r>
      <w:r w:rsidR="0037395A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od profesjonaln</w:t>
      </w:r>
      <w:r w:rsidR="00D50642" w:rsidRPr="006124C9">
        <w:rPr>
          <w:rFonts w:ascii="Times New Roman" w:hAnsi="Times New Roman" w:cs="Times New Roman"/>
          <w:sz w:val="24"/>
          <w:szCs w:val="24"/>
        </w:rPr>
        <w:t>ego urzędniczego komponentu</w:t>
      </w:r>
      <w:r w:rsidR="0037395A">
        <w:rPr>
          <w:rFonts w:ascii="Times New Roman" w:hAnsi="Times New Roman" w:cs="Times New Roman"/>
          <w:sz w:val="24"/>
          <w:szCs w:val="24"/>
        </w:rPr>
        <w:t>,</w:t>
      </w:r>
      <w:r w:rsidR="00D50642" w:rsidRPr="006124C9">
        <w:rPr>
          <w:rFonts w:ascii="Times New Roman" w:hAnsi="Times New Roman" w:cs="Times New Roman"/>
          <w:sz w:val="24"/>
          <w:szCs w:val="24"/>
        </w:rPr>
        <w:t xml:space="preserve"> </w:t>
      </w:r>
      <w:r w:rsidR="00A1514D" w:rsidRPr="006124C9">
        <w:rPr>
          <w:rFonts w:ascii="Times New Roman" w:hAnsi="Times New Roman" w:cs="Times New Roman"/>
          <w:sz w:val="24"/>
          <w:szCs w:val="24"/>
        </w:rPr>
        <w:t xml:space="preserve">złożonego </w:t>
      </w:r>
      <w:r w:rsidRPr="006124C9">
        <w:rPr>
          <w:rFonts w:ascii="Times New Roman" w:hAnsi="Times New Roman" w:cs="Times New Roman"/>
          <w:sz w:val="24"/>
          <w:szCs w:val="24"/>
        </w:rPr>
        <w:t>z zawodowego korpusu dyplomatycznego</w:t>
      </w:r>
      <w:r w:rsidR="00A1514D" w:rsidRPr="006124C9">
        <w:rPr>
          <w:rFonts w:ascii="Times New Roman" w:hAnsi="Times New Roman" w:cs="Times New Roman"/>
          <w:sz w:val="24"/>
          <w:szCs w:val="24"/>
        </w:rPr>
        <w:t xml:space="preserve"> oraz pozostałych członków służby zagranicznej</w:t>
      </w:r>
      <w:r w:rsidRPr="006124C9">
        <w:rPr>
          <w:rFonts w:ascii="Times New Roman" w:hAnsi="Times New Roman" w:cs="Times New Roman"/>
          <w:sz w:val="24"/>
          <w:szCs w:val="24"/>
        </w:rPr>
        <w:t>.</w:t>
      </w:r>
    </w:p>
    <w:p w:rsidR="00A1514D" w:rsidRPr="006124C9" w:rsidRDefault="007F3303" w:rsidP="00A1514D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Ambasador powinien być osobą, której doświadczenie zawodowe, życiowe,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czy naukowe odpowiada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porzebom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realizacji polityki państwa polskiego w danym kraju w danym czasie. Może zatem to być osoba wywodząca się z biznesu, nauki, a czasem również z polityki. Ambasador, tak jak kierownictwo resortu, jest nominatem politycznym, odpowiedzialnym za realizację polskiej polityki zagranicznej</w:t>
      </w:r>
      <w:r w:rsidR="003739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musi być predysponowany do realizowania określonych priorytetów państwa polskiego. Aby tak było, ambasador musi być wyłaniany w transparentny sposób</w:t>
      </w:r>
      <w:r w:rsidR="003739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 drodze budowania woli politycznej. Dlatego o</w:t>
      </w:r>
      <w:r w:rsidR="00A1514D" w:rsidRPr="006124C9">
        <w:rPr>
          <w:rFonts w:ascii="Times New Roman" w:hAnsi="Times New Roman" w:cs="Times New Roman"/>
          <w:sz w:val="24"/>
          <w:szCs w:val="24"/>
        </w:rPr>
        <w:t>bjęcie funkcji ambasadora w państwie przyjmującym albo ambasadora przy organizacji międzynarodowej wymagało będzie oceny nowego ciała</w:t>
      </w:r>
      <w:r w:rsidR="0037395A">
        <w:rPr>
          <w:rFonts w:ascii="Times New Roman" w:hAnsi="Times New Roman" w:cs="Times New Roman"/>
          <w:sz w:val="24"/>
          <w:szCs w:val="24"/>
        </w:rPr>
        <w:t>,</w:t>
      </w:r>
      <w:r w:rsidR="00A1514D" w:rsidRPr="006124C9">
        <w:rPr>
          <w:rFonts w:ascii="Times New Roman" w:hAnsi="Times New Roman" w:cs="Times New Roman"/>
          <w:sz w:val="24"/>
          <w:szCs w:val="24"/>
        </w:rPr>
        <w:t xml:space="preserve"> jakim będzie Konwent Służby Zagranicznej. Pozwoli to w sposób maksymalnie zobiektywizowany ujednolicić kryteria oraz ocen</w:t>
      </w:r>
      <w:r w:rsidR="0037395A">
        <w:rPr>
          <w:rFonts w:ascii="Times New Roman" w:hAnsi="Times New Roman" w:cs="Times New Roman"/>
          <w:sz w:val="24"/>
          <w:szCs w:val="24"/>
        </w:rPr>
        <w:t>ę</w:t>
      </w:r>
      <w:r w:rsidR="00A1514D" w:rsidRPr="006124C9">
        <w:rPr>
          <w:rFonts w:ascii="Times New Roman" w:hAnsi="Times New Roman" w:cs="Times New Roman"/>
          <w:sz w:val="24"/>
          <w:szCs w:val="24"/>
        </w:rPr>
        <w:t xml:space="preserve"> kandydatów do objęcia tak ważnej funkcji. Wprowadzenie formuły Konwentu Służby Zagranicznej stanowi dopełnienie konstytucyjnego procesu jego powołania</w:t>
      </w:r>
      <w:r w:rsidR="0037395A">
        <w:rPr>
          <w:rFonts w:ascii="Times New Roman" w:hAnsi="Times New Roman" w:cs="Times New Roman"/>
          <w:sz w:val="24"/>
          <w:szCs w:val="24"/>
        </w:rPr>
        <w:t>,</w:t>
      </w:r>
      <w:r w:rsidR="00A1514D" w:rsidRPr="006124C9">
        <w:rPr>
          <w:rFonts w:ascii="Times New Roman" w:hAnsi="Times New Roman" w:cs="Times New Roman"/>
          <w:sz w:val="24"/>
          <w:szCs w:val="24"/>
        </w:rPr>
        <w:t xml:space="preserve"> a także realizuje jego pełną przejrzystość jako nominata politycznego.</w:t>
      </w:r>
    </w:p>
    <w:p w:rsidR="00184EF2" w:rsidRDefault="004729CF" w:rsidP="00184EF2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Ambasadorzy oraz kierownictwo resortu powinno być wspierane przez dobrze wyszkolonych, apolitycznych profesjonalistów posiadających określone kompetencje w sferze stosunków międzynarodowych, a także w prowadzeniu spraw administracyjnych i finansowych. </w:t>
      </w:r>
      <w:r w:rsidR="00184EF2">
        <w:rPr>
          <w:rFonts w:ascii="Times New Roman" w:hAnsi="Times New Roman" w:cs="Times New Roman"/>
          <w:color w:val="000000" w:themeColor="text1"/>
          <w:sz w:val="24"/>
          <w:szCs w:val="24"/>
        </w:rPr>
        <w:t>Aby sprawnie realizować określone zadania należy w transparentny sposób rozdzielić</w:t>
      </w:r>
      <w:r w:rsidR="0037395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8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ramach resortu</w:t>
      </w:r>
      <w:r w:rsidR="0037395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84E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członków służby zagranicznej od korpusu służby cywilnej. </w:t>
      </w:r>
    </w:p>
    <w:p w:rsidR="007F3303" w:rsidRPr="00A95F0E" w:rsidRDefault="00184EF2" w:rsidP="00D50642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 xml:space="preserve">Rozwiązaniem tej kwestii </w:t>
      </w:r>
      <w:r>
        <w:rPr>
          <w:rFonts w:ascii="Times New Roman" w:hAnsi="Times New Roman" w:cs="Times New Roman"/>
          <w:sz w:val="24"/>
          <w:szCs w:val="24"/>
        </w:rPr>
        <w:t>będzie utworzenie odrębnego od dyrektora g</w:t>
      </w:r>
      <w:r w:rsidRPr="006124C9">
        <w:rPr>
          <w:rFonts w:ascii="Times New Roman" w:hAnsi="Times New Roman" w:cs="Times New Roman"/>
          <w:sz w:val="24"/>
          <w:szCs w:val="24"/>
        </w:rPr>
        <w:t>eneralnego</w:t>
      </w:r>
      <w:r>
        <w:rPr>
          <w:rFonts w:ascii="Times New Roman" w:hAnsi="Times New Roman" w:cs="Times New Roman"/>
          <w:sz w:val="24"/>
          <w:szCs w:val="24"/>
        </w:rPr>
        <w:t xml:space="preserve"> urzędu</w:t>
      </w:r>
      <w:r w:rsidRPr="006124C9">
        <w:rPr>
          <w:rFonts w:ascii="Times New Roman" w:hAnsi="Times New Roman" w:cs="Times New Roman"/>
          <w:sz w:val="24"/>
          <w:szCs w:val="24"/>
        </w:rPr>
        <w:t xml:space="preserve"> stanowiska Szefa Służby Zagranicznej na wzór Szefa Służby Cywilnej, który będzie w sposób spójny, całościowy i wizerunkowy kierował służbą zagraniczną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395A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budował jej etos oparty na zasadach spójności, </w:t>
      </w:r>
      <w:proofErr w:type="spellStart"/>
      <w:r>
        <w:rPr>
          <w:rFonts w:ascii="Times New Roman" w:hAnsi="Times New Roman" w:cs="Times New Roman"/>
          <w:sz w:val="24"/>
          <w:szCs w:val="24"/>
        </w:rPr>
        <w:t>dyspozycycyjności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dyscypliny, dyskrecji, służbie państwu, profesjonalizmu, permanentnego podnoszenia kompetencji oraz jasnych kryteriach sukcesu i awansu. Szef Służby Zagranicznej osiągnie powyższe cele poprzez </w:t>
      </w:r>
      <w:r w:rsidRPr="006124C9">
        <w:rPr>
          <w:rFonts w:ascii="Times New Roman" w:hAnsi="Times New Roman" w:cs="Times New Roman"/>
          <w:sz w:val="24"/>
          <w:szCs w:val="24"/>
        </w:rPr>
        <w:t>organizację s</w:t>
      </w:r>
      <w:r>
        <w:rPr>
          <w:rFonts w:ascii="Times New Roman" w:hAnsi="Times New Roman" w:cs="Times New Roman"/>
          <w:sz w:val="24"/>
          <w:szCs w:val="24"/>
        </w:rPr>
        <w:t xml:space="preserve">zkoleń 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wskazanie odpowiednich </w:t>
      </w:r>
      <w:r w:rsidRPr="006124C9">
        <w:rPr>
          <w:rFonts w:ascii="Times New Roman" w:hAnsi="Times New Roman" w:cs="Times New Roman"/>
          <w:sz w:val="24"/>
          <w:szCs w:val="24"/>
        </w:rPr>
        <w:t>kryteriów ocen</w:t>
      </w:r>
      <w:r>
        <w:rPr>
          <w:rFonts w:ascii="Times New Roman" w:hAnsi="Times New Roman" w:cs="Times New Roman"/>
          <w:sz w:val="24"/>
          <w:szCs w:val="24"/>
        </w:rPr>
        <w:t>y członków służby zagranicznej, kierowanie</w:t>
      </w:r>
      <w:r w:rsidRPr="006124C9">
        <w:rPr>
          <w:rFonts w:ascii="Times New Roman" w:hAnsi="Times New Roman" w:cs="Times New Roman"/>
          <w:sz w:val="24"/>
          <w:szCs w:val="24"/>
        </w:rPr>
        <w:t xml:space="preserve"> procesem zarządzania zasobami ludzkim</w:t>
      </w:r>
      <w:r>
        <w:rPr>
          <w:rFonts w:ascii="Times New Roman" w:hAnsi="Times New Roman" w:cs="Times New Roman"/>
          <w:sz w:val="24"/>
          <w:szCs w:val="24"/>
        </w:rPr>
        <w:t>i w służbie zagranicznej, czuwanie</w:t>
      </w:r>
      <w:r w:rsidRPr="006124C9">
        <w:rPr>
          <w:rFonts w:ascii="Times New Roman" w:hAnsi="Times New Roman" w:cs="Times New Roman"/>
          <w:sz w:val="24"/>
          <w:szCs w:val="24"/>
        </w:rPr>
        <w:t xml:space="preserve">  nad przestrzeganiem za</w:t>
      </w:r>
      <w:r>
        <w:rPr>
          <w:rFonts w:ascii="Times New Roman" w:hAnsi="Times New Roman" w:cs="Times New Roman"/>
          <w:sz w:val="24"/>
          <w:szCs w:val="24"/>
        </w:rPr>
        <w:t>sad służby zagranicznej, nadawanie</w:t>
      </w:r>
      <w:r w:rsidRPr="006124C9">
        <w:rPr>
          <w:rFonts w:ascii="Times New Roman" w:hAnsi="Times New Roman" w:cs="Times New Roman"/>
          <w:sz w:val="24"/>
          <w:szCs w:val="24"/>
        </w:rPr>
        <w:t xml:space="preserve"> stopni</w:t>
      </w:r>
      <w:r>
        <w:rPr>
          <w:rFonts w:ascii="Times New Roman" w:hAnsi="Times New Roman" w:cs="Times New Roman"/>
          <w:sz w:val="24"/>
          <w:szCs w:val="24"/>
        </w:rPr>
        <w:t xml:space="preserve"> dyplomatycznych, kierowanie</w:t>
      </w:r>
      <w:r w:rsidRPr="006124C9">
        <w:rPr>
          <w:rFonts w:ascii="Times New Roman" w:hAnsi="Times New Roman" w:cs="Times New Roman"/>
          <w:sz w:val="24"/>
          <w:szCs w:val="24"/>
        </w:rPr>
        <w:t xml:space="preserve"> Akade</w:t>
      </w:r>
      <w:r>
        <w:rPr>
          <w:rFonts w:ascii="Times New Roman" w:hAnsi="Times New Roman" w:cs="Times New Roman"/>
          <w:sz w:val="24"/>
          <w:szCs w:val="24"/>
        </w:rPr>
        <w:t>mią Dyplomatyczną, monitorowanie i nadzorowanie wykorzystania</w:t>
      </w:r>
      <w:r w:rsidRPr="006124C9">
        <w:rPr>
          <w:rFonts w:ascii="Times New Roman" w:hAnsi="Times New Roman" w:cs="Times New Roman"/>
          <w:sz w:val="24"/>
          <w:szCs w:val="24"/>
        </w:rPr>
        <w:t xml:space="preserve"> środków finansowych na wynagrodzenia członków korpusu służby zagranicznej, przy jednoczesnej podległości Szefa Służby Zagranicznej Ministr</w:t>
      </w:r>
      <w:r w:rsidR="003E6CBE">
        <w:rPr>
          <w:rFonts w:ascii="Times New Roman" w:hAnsi="Times New Roman" w:cs="Times New Roman"/>
          <w:sz w:val="24"/>
          <w:szCs w:val="24"/>
        </w:rPr>
        <w:t>owi</w:t>
      </w:r>
      <w:r w:rsidRPr="006124C9">
        <w:rPr>
          <w:rFonts w:ascii="Times New Roman" w:hAnsi="Times New Roman" w:cs="Times New Roman"/>
          <w:sz w:val="24"/>
          <w:szCs w:val="24"/>
        </w:rPr>
        <w:t xml:space="preserve"> Spraw Zagranicznych. Podsumowując, zadania Szefa Służby Zagranicznej są odrębne od kwestii związanych typowo z dokonywaniem czynności z zakresu prawa pracy, zapewnianiem funkcjonowania i ciągłości pracy urzędu, warunków jego działania, a także organizacją pracy, a zatem są inne niż zadania właściwe dla dyrektora generalnego urzędu w rozumieniu art. 25 ust. 1 ustawy z dnia 21 listopada 2008 r</w:t>
      </w:r>
      <w:r w:rsidR="006C743D">
        <w:rPr>
          <w:rFonts w:ascii="Times New Roman" w:hAnsi="Times New Roman" w:cs="Times New Roman"/>
          <w:sz w:val="24"/>
          <w:szCs w:val="24"/>
        </w:rPr>
        <w:t>.</w:t>
      </w:r>
      <w:r w:rsidRPr="006124C9">
        <w:rPr>
          <w:rFonts w:ascii="Times New Roman" w:hAnsi="Times New Roman" w:cs="Times New Roman"/>
          <w:sz w:val="24"/>
          <w:szCs w:val="24"/>
        </w:rPr>
        <w:t xml:space="preserve"> o służbie cywilnej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3E6CB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A95F0E">
        <w:rPr>
          <w:rFonts w:ascii="Times New Roman" w:hAnsi="Times New Roman" w:cs="Times New Roman"/>
          <w:sz w:val="24"/>
          <w:szCs w:val="24"/>
        </w:rPr>
        <w:t>.</w:t>
      </w:r>
    </w:p>
    <w:p w:rsidR="004729CF" w:rsidRPr="006124C9" w:rsidRDefault="00A95F0E" w:rsidP="00D50642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Fundamentem funkcjonowania zawodowego korpusu dyplomatycznego musi być jego apolityczność, zatem w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projektowanym </w:t>
      </w:r>
      <w:r w:rsidR="00713A6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rt. 16 </w:t>
      </w:r>
      <w:r w:rsidR="003C1A37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stawa wprowadza cały szereg ograniczeń nakładanych na dyplomatów zawodowych, których celem jest zapewnienie ich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obiektywizmu 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prawidłowej realizacji prowadzenia przez Rzeczpospolitą </w:t>
      </w:r>
      <w:r w:rsidR="003C1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Polską 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skutecznej i sprawnej polityki zagranicznej. Regulacja ta jest analogiczna regulacją występującą w </w:t>
      </w:r>
      <w:r w:rsidR="003C1A37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>staw</w:t>
      </w:r>
      <w:r w:rsidR="003C1A37">
        <w:rPr>
          <w:rFonts w:ascii="Times New Roman" w:hAnsi="Times New Roman" w:cs="Times New Roman"/>
          <w:color w:val="000000" w:themeColor="text1"/>
          <w:sz w:val="24"/>
          <w:szCs w:val="24"/>
        </w:rPr>
        <w:t>ie z dnia 21 listopada 2008 r.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służbie cywilnej, a której do tej pory brakowało w dotychczas obowiązujących przepisach. Na podstawie proponowanych regulacji dyplomata zawodowy</w:t>
      </w:r>
      <w:r w:rsidR="006C743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 wykonywaniu obowiązków służbowych</w:t>
      </w:r>
      <w:r w:rsidR="006C743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może kierować się interesem </w:t>
      </w:r>
      <w:r w:rsidR="006C743D">
        <w:rPr>
          <w:rFonts w:ascii="Times New Roman" w:hAnsi="Times New Roman" w:cs="Times New Roman"/>
          <w:color w:val="000000" w:themeColor="text1"/>
          <w:sz w:val="24"/>
          <w:szCs w:val="24"/>
        </w:rPr>
        <w:t>osobistym,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wolno publicznie manifestować poglądów politycznych</w:t>
      </w:r>
      <w:r w:rsidR="006C743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wolno uczestniczyć w strajku lub akcji protestacyjnej zakłócającej normalne funkcjonowanie urzędu. Dyplomata zawodowy nie może łączyć zatrudnienia w służbie zagranicznej z mandatem posła, senatora oraz ze sprawowaniem jakiejkolwiek funkcji w organach jednostek samorządu terytorialnego</w:t>
      </w:r>
      <w:r w:rsidR="006C743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729CF"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ma prawa tworzenia partii politycznych ani uczestniczenia w nich, nie może pełnić funkcji w związkach zawodowych. Dyplomata zawodowy nie może również podejmować pracy ani wykonywać zadań na rzecz lub w urzędach administracji obcego państwa, chyba że do wykonywania takiej pracy lub zadań został skierowany przez Szefa Służby Zagranicznej. </w:t>
      </w:r>
    </w:p>
    <w:p w:rsidR="006124C9" w:rsidRPr="006124C9" w:rsidRDefault="006124C9" w:rsidP="004729CF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4C9">
        <w:rPr>
          <w:rFonts w:ascii="Times New Roman" w:hAnsi="Times New Roman" w:cs="Times New Roman"/>
          <w:color w:val="000000"/>
          <w:sz w:val="24"/>
          <w:szCs w:val="24"/>
        </w:rPr>
        <w:t>Ponadto na każdej placówce tworzy się stanowisko zastępcy kierownika placówki, który będąc członkiem zawodowego korpusu dyplomatycznego</w:t>
      </w:r>
      <w:r w:rsidRPr="006124C9">
        <w:rPr>
          <w:rFonts w:ascii="Times New Roman" w:hAnsi="Times New Roman" w:cs="Times New Roman"/>
          <w:sz w:val="24"/>
          <w:szCs w:val="24"/>
        </w:rPr>
        <w:t xml:space="preserve"> </w:t>
      </w:r>
      <w:r w:rsidR="006C743D" w:rsidRPr="006124C9">
        <w:rPr>
          <w:rFonts w:ascii="Times New Roman" w:hAnsi="Times New Roman" w:cs="Times New Roman"/>
          <w:sz w:val="24"/>
          <w:szCs w:val="24"/>
        </w:rPr>
        <w:t xml:space="preserve">jest </w:t>
      </w:r>
      <w:r w:rsidRPr="006124C9">
        <w:rPr>
          <w:rFonts w:ascii="Times New Roman" w:hAnsi="Times New Roman" w:cs="Times New Roman"/>
          <w:sz w:val="24"/>
          <w:szCs w:val="24"/>
        </w:rPr>
        <w:t>jednocześnie osobą odpowiedzialną przed dyrektorem generalnym za prawidłowe gospodarowanie mieniem, przestrzeganie dyscypliny finansów publicznych, przestrzeganie przepisów, w szczególności przepisów prawa pracy oraz przepisów dotyczących tajemnic ustawowo chronionych. </w:t>
      </w:r>
    </w:p>
    <w:p w:rsidR="00AF0BE5" w:rsidRPr="00A95F0E" w:rsidRDefault="00AF0BE5" w:rsidP="00AF0B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lastRenderedPageBreak/>
        <w:t>Niezbędne jest również w akcie prawnym rangi ustawowej dokonanie korekty stopni dyplomatycznych oraz uporządkowanie praw członków służby zagranicznej dotyczących uposażeń oraz awansów. Najwyższym stopniem dyplomatycznym dla zawodowego korpusu służby zagranicznej</w:t>
      </w:r>
      <w:r w:rsidR="00A95F0E">
        <w:rPr>
          <w:rFonts w:ascii="Times New Roman" w:hAnsi="Times New Roman" w:cs="Times New Roman"/>
          <w:sz w:val="24"/>
          <w:szCs w:val="24"/>
        </w:rPr>
        <w:t xml:space="preserve"> i</w:t>
      </w:r>
      <w:r w:rsidRPr="006124C9">
        <w:rPr>
          <w:rFonts w:ascii="Times New Roman" w:hAnsi="Times New Roman" w:cs="Times New Roman"/>
          <w:sz w:val="24"/>
          <w:szCs w:val="24"/>
        </w:rPr>
        <w:t xml:space="preserve"> swoistym zwieńczeniem kariery zawodowej przestanie być stopień ambasadora, będzie to tytuł ministra pełnomocnego. Uregulowana też zostanie kwestia nazewnictwa i od </w:t>
      </w:r>
      <w:r w:rsidR="006C743D">
        <w:rPr>
          <w:rFonts w:ascii="Times New Roman" w:hAnsi="Times New Roman" w:cs="Times New Roman"/>
          <w:sz w:val="24"/>
          <w:szCs w:val="24"/>
        </w:rPr>
        <w:t xml:space="preserve">dnia </w:t>
      </w:r>
      <w:r w:rsidRPr="006124C9">
        <w:rPr>
          <w:rFonts w:ascii="Times New Roman" w:hAnsi="Times New Roman" w:cs="Times New Roman"/>
          <w:sz w:val="24"/>
          <w:szCs w:val="24"/>
        </w:rPr>
        <w:t xml:space="preserve">wejścia w życie ustawy tytuł ambasadora będzie przysługiwał tylko ambasadorom sprawującym funkcję </w:t>
      </w:r>
      <w:r w:rsidR="006C743D">
        <w:rPr>
          <w:rFonts w:ascii="Times New Roman" w:hAnsi="Times New Roman" w:cs="Times New Roman"/>
          <w:sz w:val="24"/>
          <w:szCs w:val="24"/>
        </w:rPr>
        <w:t>(</w:t>
      </w:r>
      <w:r w:rsidRPr="006124C9">
        <w:rPr>
          <w:rFonts w:ascii="Times New Roman" w:hAnsi="Times New Roman" w:cs="Times New Roman"/>
          <w:sz w:val="24"/>
          <w:szCs w:val="24"/>
        </w:rPr>
        <w:t>na czas pełnienia funkcji</w:t>
      </w:r>
      <w:r w:rsidR="006C743D">
        <w:rPr>
          <w:rFonts w:ascii="Times New Roman" w:hAnsi="Times New Roman" w:cs="Times New Roman"/>
          <w:sz w:val="24"/>
          <w:szCs w:val="24"/>
        </w:rPr>
        <w:t>)</w:t>
      </w:r>
      <w:r w:rsidRPr="006124C9">
        <w:rPr>
          <w:rFonts w:ascii="Times New Roman" w:hAnsi="Times New Roman" w:cs="Times New Roman"/>
          <w:sz w:val="24"/>
          <w:szCs w:val="24"/>
        </w:rPr>
        <w:t xml:space="preserve"> ambasadora na placówce zagranicznej. Ustaw</w:t>
      </w:r>
      <w:r w:rsidR="006C743D">
        <w:rPr>
          <w:rFonts w:ascii="Times New Roman" w:hAnsi="Times New Roman" w:cs="Times New Roman"/>
          <w:sz w:val="24"/>
          <w:szCs w:val="24"/>
        </w:rPr>
        <w:t>a</w:t>
      </w:r>
      <w:r w:rsidRPr="006124C9">
        <w:rPr>
          <w:rFonts w:ascii="Times New Roman" w:hAnsi="Times New Roman" w:cs="Times New Roman"/>
          <w:sz w:val="24"/>
          <w:szCs w:val="24"/>
        </w:rPr>
        <w:t xml:space="preserve"> wprowadzi także konkretne wymogi dla uzyskania poszczególnych stopni dyplomatycznych</w:t>
      </w:r>
      <w:r w:rsidR="006C743D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takie jak: wykształcenie, doświadczenie czy znajomość języków obcych. </w:t>
      </w:r>
    </w:p>
    <w:p w:rsidR="00A95F0E" w:rsidRDefault="00A95F0E" w:rsidP="006124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Aby służba zagraniczna sprawnie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realizowałe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cele polskiej polityki zagranicznej</w:t>
      </w:r>
      <w:r w:rsidR="006C74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C9">
        <w:rPr>
          <w:rFonts w:ascii="Times New Roman" w:hAnsi="Times New Roman" w:cs="Times New Roman"/>
          <w:sz w:val="24"/>
          <w:szCs w:val="24"/>
        </w:rPr>
        <w:t xml:space="preserve">musi sięgnąć po doświadczonych w środowisku międzynarodowym specjalistów z rynku, </w:t>
      </w:r>
      <w:r>
        <w:rPr>
          <w:rFonts w:ascii="Times New Roman" w:hAnsi="Times New Roman" w:cs="Times New Roman"/>
          <w:sz w:val="24"/>
          <w:szCs w:val="24"/>
        </w:rPr>
        <w:t>a także młodych energicznych ludzi, dla których rekrutacja na Aplikację Dyplomatyczną</w:t>
      </w:r>
      <w:r w:rsidRPr="006124C9">
        <w:rPr>
          <w:rFonts w:ascii="Times New Roman" w:hAnsi="Times New Roman" w:cs="Times New Roman"/>
          <w:sz w:val="24"/>
          <w:szCs w:val="24"/>
        </w:rPr>
        <w:t xml:space="preserve"> w obecnym momencie kariery byłaby zawodowym krokiem wstecz, a których MSZ potrzebuje dla sprostania nadchodzącym wyzwaniom.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24C9" w:rsidRPr="006124C9">
        <w:rPr>
          <w:rFonts w:ascii="Times New Roman" w:hAnsi="Times New Roman" w:cs="Times New Roman"/>
          <w:sz w:val="24"/>
          <w:szCs w:val="24"/>
        </w:rPr>
        <w:t xml:space="preserve">Proponowany projekt ustawy umożliwia </w:t>
      </w:r>
      <w:r>
        <w:rPr>
          <w:rFonts w:ascii="Times New Roman" w:hAnsi="Times New Roman" w:cs="Times New Roman"/>
          <w:sz w:val="24"/>
          <w:szCs w:val="24"/>
        </w:rPr>
        <w:t xml:space="preserve">zatem </w:t>
      </w:r>
      <w:r w:rsidR="006124C9" w:rsidRPr="006124C9">
        <w:rPr>
          <w:rFonts w:ascii="Times New Roman" w:hAnsi="Times New Roman" w:cs="Times New Roman"/>
          <w:sz w:val="24"/>
          <w:szCs w:val="24"/>
        </w:rPr>
        <w:t>otwarcie dostępu do karier dyplomatycznych przedstawicielom nauki, ekspertom, ludziom biznesu, urzędnikom z doświadczeniem międzynarodowym</w:t>
      </w:r>
      <w:r w:rsidR="006C743D">
        <w:rPr>
          <w:rFonts w:ascii="Times New Roman" w:hAnsi="Times New Roman" w:cs="Times New Roman"/>
          <w:sz w:val="24"/>
          <w:szCs w:val="24"/>
        </w:rPr>
        <w:t>,</w:t>
      </w:r>
      <w:r w:rsidR="006124C9" w:rsidRPr="006124C9">
        <w:rPr>
          <w:rFonts w:ascii="Times New Roman" w:hAnsi="Times New Roman" w:cs="Times New Roman"/>
          <w:sz w:val="24"/>
          <w:szCs w:val="24"/>
        </w:rPr>
        <w:t xml:space="preserve"> </w:t>
      </w:r>
      <w:r w:rsidR="006124C9" w:rsidRPr="006124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przez umożliwienie zwolnienia z wymogu ukończenia aplikacji dyplomatyczno-konsularnej lub seminarium dyplomatyczno-konsularnego osób, których doświadczenie gwarantuje fachowe </w:t>
      </w:r>
      <w:proofErr w:type="spellStart"/>
      <w:r w:rsidR="006124C9" w:rsidRPr="006124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wykonywnie</w:t>
      </w:r>
      <w:proofErr w:type="spellEnd"/>
      <w:r w:rsidR="006124C9" w:rsidRPr="006124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obowiązków </w:t>
      </w:r>
      <w:r w:rsidR="006124C9" w:rsidRPr="006124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członka zawodowe</w:t>
      </w:r>
      <w:r w:rsidR="00713A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j</w:t>
      </w:r>
      <w:r w:rsidR="006124C9" w:rsidRPr="006124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6468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służby zagranicznej</w:t>
      </w:r>
      <w:r w:rsidR="006124C9" w:rsidRPr="006124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  <w:r w:rsidR="006124C9" w:rsidRPr="006124C9">
        <w:rPr>
          <w:rFonts w:ascii="Times New Roman" w:hAnsi="Times New Roman" w:cs="Times New Roman"/>
          <w:sz w:val="24"/>
          <w:szCs w:val="24"/>
        </w:rPr>
        <w:t>Ustawa wprowadza także nową</w:t>
      </w:r>
      <w:r w:rsidR="006124C9" w:rsidRPr="006124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kategorię pracownika zagranicznego</w:t>
      </w:r>
      <w:r w:rsidR="006124C9" w:rsidRPr="006124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51057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która umożliwia zatrudnienie na placówce osoby znajdującej się dotychczas poza służbą </w:t>
      </w:r>
      <w:proofErr w:type="spellStart"/>
      <w:r w:rsidR="0051057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zagraniczą</w:t>
      </w:r>
      <w:proofErr w:type="spellEnd"/>
      <w:r w:rsidR="0051057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która</w:t>
      </w:r>
      <w:r w:rsidR="006124C9" w:rsidRPr="006124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wraz z osiągnięciem 3-letniego stażu pracy </w:t>
      </w:r>
      <w:r w:rsidR="0051057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będzie mogła </w:t>
      </w:r>
      <w:r w:rsidR="006124C9" w:rsidRPr="006124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przystąpić do zawodowe</w:t>
      </w:r>
      <w:r w:rsidR="006468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 służby zagranicznej</w:t>
      </w:r>
      <w:r w:rsidR="006124C9" w:rsidRPr="006124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</w:p>
    <w:p w:rsidR="00AF0BE5" w:rsidRPr="006124C9" w:rsidRDefault="006124C9" w:rsidP="006124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>Proponowana ustawa przekazuje z mocy prawa archiwum Ministerstwa Spraw Zagranicznych do dyspozycji Instytutu Pamięci Narodowej, a tym samym udostępnienie go zainteresowanym podmiotom na  rzecz dociekań naukowych i publicystycznych na zasadach opisanych w przepisach o IPN.</w:t>
      </w:r>
    </w:p>
    <w:p w:rsidR="00A95F0E" w:rsidRPr="0051057D" w:rsidRDefault="00A1514D" w:rsidP="00E61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>Doprecyzowano także</w:t>
      </w:r>
      <w:r w:rsidR="0051057D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kto jest członkiem korpusu służby cywilnej zatrudnionym w urzędzie obsługującym ministra właściwego do spraw zagranicznych.  Pojawiły się nowe definicje: dyplomaty zawodowego, pracownika krajowego, pracownika zagranicznego, dyplomaty delegowanego. Określono dokładnie</w:t>
      </w:r>
      <w:r w:rsidR="0076222C">
        <w:rPr>
          <w:rFonts w:ascii="Times New Roman" w:hAnsi="Times New Roman" w:cs="Times New Roman"/>
          <w:sz w:val="24"/>
          <w:szCs w:val="24"/>
        </w:rPr>
        <w:t>,</w:t>
      </w:r>
      <w:r w:rsidRPr="006124C9">
        <w:rPr>
          <w:rFonts w:ascii="Times New Roman" w:hAnsi="Times New Roman" w:cs="Times New Roman"/>
          <w:sz w:val="24"/>
          <w:szCs w:val="24"/>
        </w:rPr>
        <w:t xml:space="preserve"> w jakim wieku wskazane jest przejście członka służby zagranicznej na emeryturę i jasne zasady ewentualnego opóźnienia przejścia na emeryturę. Wprowadzono także definicję tajemnicy dyplomatycznej. </w:t>
      </w:r>
      <w:r w:rsidR="00A95F0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DE0F37" w:rsidRDefault="00A95F0E" w:rsidP="00E61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Nowa ustawa doprecyzowuje </w:t>
      </w:r>
      <w:r w:rsidR="005105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również </w:t>
      </w:r>
      <w:r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>wiele kwestii</w:t>
      </w:r>
      <w:r w:rsidR="0014101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jak np.: uszczegóławia przepisy dotyczące aplikacji dyplomatyczno-konsularnej</w:t>
      </w:r>
      <w:r w:rsidR="0014101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czy doprecyzowuje prawa przysługujące członkowi </w:t>
      </w:r>
      <w:r w:rsidR="0014101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łużby </w:t>
      </w:r>
      <w:r w:rsidR="0014101E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>agranicznej na placówce zagraniczne</w:t>
      </w:r>
      <w:r w:rsidR="0014101E">
        <w:rPr>
          <w:rFonts w:ascii="Times New Roman" w:hAnsi="Times New Roman" w:cs="Times New Roman"/>
          <w:color w:val="000000" w:themeColor="text1"/>
          <w:sz w:val="24"/>
          <w:szCs w:val="24"/>
        </w:rPr>
        <w:t>j,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także wiele innych zagadnień pracowniczych</w:t>
      </w:r>
      <w:r w:rsidRPr="006124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95F0E" w:rsidRPr="006124C9" w:rsidRDefault="00A95F0E" w:rsidP="00E61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3396" w:rsidRPr="006124C9" w:rsidRDefault="00A23396" w:rsidP="00E614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4C9">
        <w:rPr>
          <w:rFonts w:ascii="Times New Roman" w:hAnsi="Times New Roman" w:cs="Times New Roman"/>
          <w:b/>
          <w:sz w:val="24"/>
          <w:szCs w:val="24"/>
        </w:rPr>
        <w:t xml:space="preserve">Skutki </w:t>
      </w:r>
      <w:r w:rsidR="00DE0F37" w:rsidRPr="006124C9">
        <w:rPr>
          <w:rFonts w:ascii="Times New Roman" w:hAnsi="Times New Roman" w:cs="Times New Roman"/>
          <w:b/>
          <w:sz w:val="24"/>
          <w:szCs w:val="24"/>
        </w:rPr>
        <w:t>finansowe</w:t>
      </w:r>
    </w:p>
    <w:p w:rsidR="00A23396" w:rsidRPr="006124C9" w:rsidRDefault="00A23396" w:rsidP="008945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 xml:space="preserve">Zakłada się, że skutki finansowe zmian w zakresie powołania Szefa Służby Zagranicznej (w ramach dotychczasowych rozwiązań stanowisko powiązane z obecnym </w:t>
      </w:r>
      <w:r w:rsidR="00DE0F37" w:rsidRPr="006124C9">
        <w:rPr>
          <w:rFonts w:ascii="Times New Roman" w:hAnsi="Times New Roman" w:cs="Times New Roman"/>
          <w:sz w:val="24"/>
          <w:szCs w:val="24"/>
        </w:rPr>
        <w:t xml:space="preserve">Dyrektorem </w:t>
      </w:r>
      <w:proofErr w:type="spellStart"/>
      <w:r w:rsidR="00DE0F37" w:rsidRPr="006124C9">
        <w:rPr>
          <w:rFonts w:ascii="Times New Roman" w:hAnsi="Times New Roman" w:cs="Times New Roman"/>
          <w:sz w:val="24"/>
          <w:szCs w:val="24"/>
        </w:rPr>
        <w:t>Akademi</w:t>
      </w:r>
      <w:proofErr w:type="spellEnd"/>
      <w:r w:rsidR="00DE0F37" w:rsidRPr="006124C9">
        <w:rPr>
          <w:rFonts w:ascii="Times New Roman" w:hAnsi="Times New Roman" w:cs="Times New Roman"/>
          <w:sz w:val="24"/>
          <w:szCs w:val="24"/>
        </w:rPr>
        <w:t xml:space="preserve"> Dyplomatycznej)</w:t>
      </w:r>
      <w:r w:rsidRPr="006124C9">
        <w:rPr>
          <w:rFonts w:ascii="Times New Roman" w:hAnsi="Times New Roman" w:cs="Times New Roman"/>
          <w:sz w:val="24"/>
          <w:szCs w:val="24"/>
        </w:rPr>
        <w:t xml:space="preserve"> zostaną pokryte w ramach limitu środków przyznanego Ministerstwu Spraw Zagranicznych w 2021 r.</w:t>
      </w:r>
    </w:p>
    <w:p w:rsidR="00A23396" w:rsidRPr="006124C9" w:rsidRDefault="00A23396" w:rsidP="008945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>Wejście w życie ustawy nie spowoduje zatem skutków w postaci zwiększenia wydatków budżetu państwa.</w:t>
      </w:r>
    </w:p>
    <w:p w:rsidR="00F647F2" w:rsidRDefault="00F647F2" w:rsidP="0089450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0F37" w:rsidRPr="006124C9" w:rsidRDefault="00DE0F37" w:rsidP="0089450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4C9">
        <w:rPr>
          <w:rFonts w:ascii="Times New Roman" w:hAnsi="Times New Roman" w:cs="Times New Roman"/>
          <w:b/>
          <w:sz w:val="24"/>
          <w:szCs w:val="24"/>
        </w:rPr>
        <w:t>Oświadczenie o zgodności projektu ustawy z prawem europejskim</w:t>
      </w:r>
    </w:p>
    <w:p w:rsidR="0014101E" w:rsidRDefault="00DE0F37" w:rsidP="008945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 xml:space="preserve">Projekt ustawy jest zgodny z prawem Unii Europejskiej. </w:t>
      </w:r>
    </w:p>
    <w:p w:rsidR="00DE0F37" w:rsidRDefault="00DE0F37" w:rsidP="008945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4C9">
        <w:rPr>
          <w:rFonts w:ascii="Times New Roman" w:hAnsi="Times New Roman" w:cs="Times New Roman"/>
          <w:sz w:val="24"/>
          <w:szCs w:val="24"/>
        </w:rPr>
        <w:t xml:space="preserve">Istota proponowanej regulacji dotyczy stosunków pracy wewnątrz administracji rządowej państwa członkowskiego i dlatego pozostaje poza zakresem objętym </w:t>
      </w:r>
      <w:proofErr w:type="spellStart"/>
      <w:r w:rsidRPr="006124C9">
        <w:rPr>
          <w:rFonts w:ascii="Times New Roman" w:hAnsi="Times New Roman" w:cs="Times New Roman"/>
          <w:sz w:val="24"/>
          <w:szCs w:val="24"/>
        </w:rPr>
        <w:t>acquis</w:t>
      </w:r>
      <w:proofErr w:type="spellEnd"/>
      <w:r w:rsidRPr="006124C9">
        <w:rPr>
          <w:rFonts w:ascii="Times New Roman" w:hAnsi="Times New Roman" w:cs="Times New Roman"/>
          <w:sz w:val="24"/>
          <w:szCs w:val="24"/>
        </w:rPr>
        <w:t xml:space="preserve">. W szczególności proponowane rozwiązania nie naruszają zasady swobodnego przepływu pracowników z uwagi na to, że zgodnie z art. 39 ust. 4 TUE przepisy traktatu nie mają zastosowania do zatrudnienia w administracji publicznej. </w:t>
      </w:r>
    </w:p>
    <w:p w:rsidR="009F6E0E" w:rsidRDefault="009F6E0E" w:rsidP="008945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E0E" w:rsidRPr="009F6E0E" w:rsidRDefault="009F6E0E" w:rsidP="009F6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0E">
        <w:rPr>
          <w:rFonts w:ascii="Times New Roman" w:hAnsi="Times New Roman" w:cs="Times New Roman"/>
          <w:sz w:val="24"/>
          <w:szCs w:val="24"/>
        </w:rPr>
        <w:t>Zawarte w projekcie regulacje nie stanowią przepisów technicznych w rozumieniu rozporządzenia Rady Ministrów z dnia 23 grudnia 2002 r. w sprawie sposobu funkcjonowania krajowego systemu notyfikacji norm i aktów prawnych (Dz. U. poz. 2039, z późn. zm.), dlatego też projekt ustawy nie podlega procedurze notyfikacji.</w:t>
      </w:r>
    </w:p>
    <w:p w:rsidR="009F6E0E" w:rsidRPr="009F6E0E" w:rsidRDefault="009F6E0E" w:rsidP="009F6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E0E" w:rsidRPr="009F6E0E" w:rsidRDefault="009F6E0E" w:rsidP="009F6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0E">
        <w:rPr>
          <w:rFonts w:ascii="Times New Roman" w:hAnsi="Times New Roman" w:cs="Times New Roman"/>
          <w:sz w:val="24"/>
          <w:szCs w:val="24"/>
        </w:rPr>
        <w:t>Projekt nie wymaga przedstawiania organom i instytucjom Unii Europejskiej w celu uzyskania opinii, dokonania powiadomienia, konsultacji albo uzgodnienia. W szczególności, zgodnie z art. 2 ust. 1 decyzji Rady 98/415/WE z dnia 29 czerwca 1998 r. w sprawie konsultacji Europejskiego Banku Centralnego udzielanych władzom krajowym w sprawie projektów przepisów prawnych (Dz. Urz. WE L 189 z 03.07.1998, str. 42), projekt nie podlega konsultacji z Europejskim Bankiem Centralnym.</w:t>
      </w:r>
    </w:p>
    <w:p w:rsidR="009F6E0E" w:rsidRPr="009F6E0E" w:rsidRDefault="009F6E0E" w:rsidP="009F6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E0E" w:rsidRPr="009F6E0E" w:rsidRDefault="009F6E0E" w:rsidP="009F6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0E">
        <w:rPr>
          <w:rFonts w:ascii="Times New Roman" w:hAnsi="Times New Roman" w:cs="Times New Roman"/>
          <w:sz w:val="24"/>
          <w:szCs w:val="24"/>
        </w:rPr>
        <w:lastRenderedPageBreak/>
        <w:t>Zgodnie z art. 5 ustawy z dnia 7 lipca 2005 r. o działalności lobbingowej w procesie stanowienia prawa oraz § 52 uchwały nr 190 Rady Ministrów z dnia 29 października 2013 r. – Regulamin pracy Rady Ministrów (M.P. z 2016 r. poz. 1006, z późn. zm.) projekt ustawy zosta</w:t>
      </w:r>
      <w:r w:rsidR="00661BFA">
        <w:rPr>
          <w:rFonts w:ascii="Times New Roman" w:hAnsi="Times New Roman" w:cs="Times New Roman"/>
          <w:sz w:val="24"/>
          <w:szCs w:val="24"/>
        </w:rPr>
        <w:t>ł</w:t>
      </w:r>
      <w:r w:rsidRPr="009F6E0E">
        <w:rPr>
          <w:rFonts w:ascii="Times New Roman" w:hAnsi="Times New Roman" w:cs="Times New Roman"/>
          <w:sz w:val="24"/>
          <w:szCs w:val="24"/>
        </w:rPr>
        <w:t xml:space="preserve"> udostępniony w Biuletynie Informacji Publicznej na stronie podmiotowej Rządowego Centrum Legislacji, w serwisie Rządowy Proces Legislacyjny. </w:t>
      </w:r>
    </w:p>
    <w:p w:rsidR="009F6E0E" w:rsidRPr="006124C9" w:rsidRDefault="009F6E0E" w:rsidP="009F6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0E">
        <w:rPr>
          <w:rFonts w:ascii="Times New Roman" w:hAnsi="Times New Roman" w:cs="Times New Roman"/>
          <w:sz w:val="24"/>
          <w:szCs w:val="24"/>
        </w:rPr>
        <w:t>Zawarte w projekcie regulacje nie będą miały wpływu na działalność mikroprzedsiębiorców, małych i średnich przedsiębiorców zgodnie z ustawą z dnia 6 marca 2018 r. – Prawo przedsiębiorców (Dz. U. z 2019 r. poz. 1292, z późn. zm.).</w:t>
      </w:r>
    </w:p>
    <w:sectPr w:rsidR="009F6E0E" w:rsidRPr="006124C9" w:rsidSect="005852E8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E90" w:rsidRDefault="00083E90" w:rsidP="00B6754B">
      <w:pPr>
        <w:spacing w:after="0" w:line="240" w:lineRule="auto"/>
      </w:pPr>
      <w:r>
        <w:separator/>
      </w:r>
    </w:p>
  </w:endnote>
  <w:endnote w:type="continuationSeparator" w:id="0">
    <w:p w:rsidR="00083E90" w:rsidRDefault="00083E90" w:rsidP="00B67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199130953"/>
      <w:docPartObj>
        <w:docPartGallery w:val="Page Numbers (Bottom of Page)"/>
        <w:docPartUnique/>
      </w:docPartObj>
    </w:sdtPr>
    <w:sdtEndPr/>
    <w:sdtContent>
      <w:p w:rsidR="005852E8" w:rsidRPr="005852E8" w:rsidRDefault="005852E8" w:rsidP="005852E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852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52E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52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77B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852E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E90" w:rsidRDefault="00083E90" w:rsidP="00B6754B">
      <w:pPr>
        <w:spacing w:after="0" w:line="240" w:lineRule="auto"/>
      </w:pPr>
      <w:r>
        <w:separator/>
      </w:r>
    </w:p>
  </w:footnote>
  <w:footnote w:type="continuationSeparator" w:id="0">
    <w:p w:rsidR="00083E90" w:rsidRDefault="00083E90" w:rsidP="00B6754B">
      <w:pPr>
        <w:spacing w:after="0" w:line="240" w:lineRule="auto"/>
      </w:pPr>
      <w:r>
        <w:continuationSeparator/>
      </w:r>
    </w:p>
  </w:footnote>
  <w:footnote w:id="1">
    <w:p w:rsidR="00967D9B" w:rsidRPr="005852E8" w:rsidRDefault="00967D9B" w:rsidP="00967D9B">
      <w:pPr>
        <w:pStyle w:val="NormalnyWeb"/>
        <w:tabs>
          <w:tab w:val="left" w:pos="210"/>
        </w:tabs>
        <w:rPr>
          <w:b/>
        </w:rPr>
      </w:pPr>
      <w:r w:rsidRPr="005852E8">
        <w:rPr>
          <w:rStyle w:val="Odwoanieprzypisudolnego"/>
          <w:b/>
          <w:sz w:val="20"/>
          <w:szCs w:val="20"/>
        </w:rPr>
        <w:footnoteRef/>
      </w:r>
      <w:r w:rsidRPr="005852E8">
        <w:rPr>
          <w:b/>
          <w:sz w:val="20"/>
          <w:szCs w:val="20"/>
          <w:vertAlign w:val="superscript"/>
        </w:rPr>
        <w:t>)</w:t>
      </w:r>
      <w:r w:rsidRPr="005852E8">
        <w:rPr>
          <w:b/>
          <w:sz w:val="20"/>
          <w:szCs w:val="20"/>
        </w:rPr>
        <w:tab/>
      </w:r>
      <w:r w:rsidRPr="005852E8">
        <w:rPr>
          <w:rStyle w:val="Pogrubienie"/>
          <w:b w:val="0"/>
          <w:color w:val="000000" w:themeColor="text1"/>
          <w:sz w:val="20"/>
          <w:szCs w:val="20"/>
        </w:rPr>
        <w:t>Dz.</w:t>
      </w:r>
      <w:r w:rsidR="00D70A25" w:rsidRPr="005852E8">
        <w:rPr>
          <w:rStyle w:val="Pogrubienie"/>
          <w:b w:val="0"/>
          <w:color w:val="000000" w:themeColor="text1"/>
          <w:sz w:val="20"/>
          <w:szCs w:val="20"/>
        </w:rPr>
        <w:t xml:space="preserve"> </w:t>
      </w:r>
      <w:r w:rsidRPr="005852E8">
        <w:rPr>
          <w:rStyle w:val="Pogrubienie"/>
          <w:b w:val="0"/>
          <w:color w:val="000000" w:themeColor="text1"/>
          <w:sz w:val="20"/>
          <w:szCs w:val="20"/>
        </w:rPr>
        <w:t>U.</w:t>
      </w:r>
      <w:r w:rsidR="00D70A25" w:rsidRPr="005852E8">
        <w:rPr>
          <w:rStyle w:val="Pogrubienie"/>
          <w:b w:val="0"/>
          <w:color w:val="000000" w:themeColor="text1"/>
          <w:sz w:val="20"/>
          <w:szCs w:val="20"/>
        </w:rPr>
        <w:t xml:space="preserve"> z </w:t>
      </w:r>
      <w:r w:rsidRPr="005852E8">
        <w:rPr>
          <w:rStyle w:val="Pogrubienie"/>
          <w:b w:val="0"/>
          <w:color w:val="000000" w:themeColor="text1"/>
          <w:sz w:val="20"/>
          <w:szCs w:val="20"/>
        </w:rPr>
        <w:t>2020</w:t>
      </w:r>
      <w:r w:rsidR="00D70A25" w:rsidRPr="005852E8">
        <w:rPr>
          <w:rStyle w:val="Pogrubienie"/>
          <w:b w:val="0"/>
          <w:color w:val="000000" w:themeColor="text1"/>
          <w:sz w:val="20"/>
          <w:szCs w:val="20"/>
        </w:rPr>
        <w:t xml:space="preserve"> r</w:t>
      </w:r>
      <w:r w:rsidRPr="005852E8">
        <w:rPr>
          <w:rStyle w:val="Pogrubienie"/>
          <w:b w:val="0"/>
          <w:color w:val="000000" w:themeColor="text1"/>
          <w:sz w:val="20"/>
          <w:szCs w:val="20"/>
        </w:rPr>
        <w:t>.</w:t>
      </w:r>
      <w:r w:rsidR="00D70A25" w:rsidRPr="005852E8">
        <w:rPr>
          <w:rStyle w:val="Pogrubienie"/>
          <w:b w:val="0"/>
          <w:color w:val="000000" w:themeColor="text1"/>
          <w:sz w:val="20"/>
          <w:szCs w:val="20"/>
        </w:rPr>
        <w:t xml:space="preserve"> poz. </w:t>
      </w:r>
      <w:r w:rsidRPr="005852E8">
        <w:rPr>
          <w:rStyle w:val="Pogrubienie"/>
          <w:b w:val="0"/>
          <w:color w:val="000000" w:themeColor="text1"/>
          <w:sz w:val="20"/>
          <w:szCs w:val="20"/>
        </w:rPr>
        <w:t>1854</w:t>
      </w:r>
      <w:r w:rsidR="005852E8">
        <w:rPr>
          <w:rStyle w:val="Pogrubienie"/>
          <w:b w:val="0"/>
          <w:color w:val="000000" w:themeColor="text1"/>
          <w:sz w:val="20"/>
          <w:szCs w:val="20"/>
        </w:rPr>
        <w:t>.</w:t>
      </w:r>
      <w:r w:rsidRPr="005852E8">
        <w:rPr>
          <w:rStyle w:val="Pogrubienie"/>
          <w:b w:val="0"/>
          <w:color w:val="000000" w:themeColor="text1"/>
          <w:sz w:val="20"/>
          <w:szCs w:val="20"/>
        </w:rPr>
        <w:t xml:space="preserve"> </w:t>
      </w:r>
    </w:p>
  </w:footnote>
  <w:footnote w:id="2">
    <w:p w:rsidR="00184EF2" w:rsidRPr="005852E8" w:rsidRDefault="00184EF2" w:rsidP="00184EF2">
      <w:pPr>
        <w:pStyle w:val="Tekstprzypisudolnego"/>
        <w:rPr>
          <w:rFonts w:ascii="Times New Roman" w:hAnsi="Times New Roman" w:cs="Times New Roman"/>
        </w:rPr>
      </w:pPr>
      <w:r w:rsidRPr="005852E8">
        <w:rPr>
          <w:rStyle w:val="Odwoanieprzypisudolnego"/>
          <w:rFonts w:ascii="Times New Roman" w:hAnsi="Times New Roman" w:cs="Times New Roman"/>
        </w:rPr>
        <w:footnoteRef/>
      </w:r>
      <w:r w:rsidR="006C743D" w:rsidRPr="005852E8">
        <w:rPr>
          <w:rFonts w:ascii="Times New Roman" w:hAnsi="Times New Roman" w:cs="Times New Roman"/>
          <w:vertAlign w:val="superscript"/>
        </w:rPr>
        <w:t>)</w:t>
      </w:r>
      <w:r w:rsidRPr="005852E8">
        <w:rPr>
          <w:rFonts w:ascii="Times New Roman" w:hAnsi="Times New Roman" w:cs="Times New Roman"/>
        </w:rPr>
        <w:t xml:space="preserve"> </w:t>
      </w:r>
      <w:hyperlink r:id="rId1" w:history="1">
        <w:r w:rsidRPr="005852E8">
          <w:rPr>
            <w:rStyle w:val="Hipercze"/>
            <w:rFonts w:ascii="Times New Roman" w:hAnsi="Times New Roman" w:cs="Times New Roman"/>
            <w:color w:val="auto"/>
            <w:u w:val="none"/>
          </w:rPr>
          <w:t>Dz.</w:t>
        </w:r>
        <w:r w:rsidR="005852E8">
          <w:rPr>
            <w:rStyle w:val="Hipercze"/>
            <w:rFonts w:ascii="Times New Roman" w:hAnsi="Times New Roman" w:cs="Times New Roman"/>
            <w:color w:val="auto"/>
            <w:u w:val="none"/>
          </w:rPr>
          <w:t xml:space="preserve"> </w:t>
        </w:r>
        <w:r w:rsidRPr="005852E8">
          <w:rPr>
            <w:rStyle w:val="Hipercze"/>
            <w:rFonts w:ascii="Times New Roman" w:hAnsi="Times New Roman" w:cs="Times New Roman"/>
            <w:color w:val="auto"/>
            <w:u w:val="none"/>
          </w:rPr>
          <w:t>U. z 2020 r. poz. 265</w:t>
        </w:r>
      </w:hyperlink>
      <w:bookmarkStart w:id="0" w:name="_GoBack"/>
      <w:r w:rsidR="005852E8">
        <w:rPr>
          <w:rStyle w:val="Hipercze"/>
          <w:rFonts w:ascii="Times New Roman" w:hAnsi="Times New Roman" w:cs="Times New Roman"/>
          <w:color w:val="auto"/>
          <w:u w:val="none"/>
        </w:rPr>
        <w:t>.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627F5"/>
    <w:multiLevelType w:val="multilevel"/>
    <w:tmpl w:val="50FE7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3B4CB4"/>
    <w:multiLevelType w:val="hybridMultilevel"/>
    <w:tmpl w:val="334EC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6411D1"/>
    <w:multiLevelType w:val="multilevel"/>
    <w:tmpl w:val="79402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54B"/>
    <w:rsid w:val="00003AA6"/>
    <w:rsid w:val="00083E90"/>
    <w:rsid w:val="000C4EEA"/>
    <w:rsid w:val="0014101E"/>
    <w:rsid w:val="00151BB6"/>
    <w:rsid w:val="00184EF2"/>
    <w:rsid w:val="00202248"/>
    <w:rsid w:val="00215366"/>
    <w:rsid w:val="002343F5"/>
    <w:rsid w:val="002777BD"/>
    <w:rsid w:val="00286BEB"/>
    <w:rsid w:val="002F0549"/>
    <w:rsid w:val="003504C6"/>
    <w:rsid w:val="0037395A"/>
    <w:rsid w:val="003C1A37"/>
    <w:rsid w:val="003E6CBE"/>
    <w:rsid w:val="00412537"/>
    <w:rsid w:val="00426BA1"/>
    <w:rsid w:val="004729CF"/>
    <w:rsid w:val="00481F36"/>
    <w:rsid w:val="004A69D6"/>
    <w:rsid w:val="004B1D45"/>
    <w:rsid w:val="0051057D"/>
    <w:rsid w:val="005852E8"/>
    <w:rsid w:val="006124C9"/>
    <w:rsid w:val="006404B9"/>
    <w:rsid w:val="00646826"/>
    <w:rsid w:val="006574A7"/>
    <w:rsid w:val="00661BFA"/>
    <w:rsid w:val="00670BDF"/>
    <w:rsid w:val="006C743D"/>
    <w:rsid w:val="006D0564"/>
    <w:rsid w:val="0071195D"/>
    <w:rsid w:val="00713A68"/>
    <w:rsid w:val="0076222C"/>
    <w:rsid w:val="007D1E27"/>
    <w:rsid w:val="007F3303"/>
    <w:rsid w:val="00837594"/>
    <w:rsid w:val="008443D7"/>
    <w:rsid w:val="0085571B"/>
    <w:rsid w:val="00857C3B"/>
    <w:rsid w:val="008758EC"/>
    <w:rsid w:val="008769C0"/>
    <w:rsid w:val="00876CCB"/>
    <w:rsid w:val="00880FDE"/>
    <w:rsid w:val="0089450B"/>
    <w:rsid w:val="00952DC1"/>
    <w:rsid w:val="00967D9B"/>
    <w:rsid w:val="009A227D"/>
    <w:rsid w:val="009D3640"/>
    <w:rsid w:val="009F6E0E"/>
    <w:rsid w:val="00A1514D"/>
    <w:rsid w:val="00A23396"/>
    <w:rsid w:val="00A87B57"/>
    <w:rsid w:val="00A952AC"/>
    <w:rsid w:val="00A95F0E"/>
    <w:rsid w:val="00AA36A1"/>
    <w:rsid w:val="00AF0BE5"/>
    <w:rsid w:val="00B02582"/>
    <w:rsid w:val="00B02A3B"/>
    <w:rsid w:val="00B45B91"/>
    <w:rsid w:val="00B6754B"/>
    <w:rsid w:val="00B85296"/>
    <w:rsid w:val="00BF5EAC"/>
    <w:rsid w:val="00C005C4"/>
    <w:rsid w:val="00C06368"/>
    <w:rsid w:val="00C341C0"/>
    <w:rsid w:val="00C4745D"/>
    <w:rsid w:val="00C62A6A"/>
    <w:rsid w:val="00CD5091"/>
    <w:rsid w:val="00D50642"/>
    <w:rsid w:val="00D70A25"/>
    <w:rsid w:val="00DE0F37"/>
    <w:rsid w:val="00E20670"/>
    <w:rsid w:val="00E614EA"/>
    <w:rsid w:val="00E6758F"/>
    <w:rsid w:val="00E76B93"/>
    <w:rsid w:val="00EC20F9"/>
    <w:rsid w:val="00EF789F"/>
    <w:rsid w:val="00F6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A2B708-AACA-40EF-BB55-53EC0E8F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754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B6754B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754B"/>
    <w:rPr>
      <w:b/>
      <w:bCs/>
    </w:rPr>
  </w:style>
  <w:style w:type="paragraph" w:styleId="NormalnyWeb">
    <w:name w:val="Normal (Web)"/>
    <w:basedOn w:val="Normalny"/>
    <w:uiPriority w:val="99"/>
    <w:unhideWhenUsed/>
    <w:rsid w:val="00B6754B"/>
    <w:pPr>
      <w:spacing w:after="0" w:line="384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1BB6"/>
    <w:pPr>
      <w:spacing w:after="160" w:line="259" w:lineRule="auto"/>
      <w:ind w:left="720"/>
      <w:contextualSpacing/>
    </w:pPr>
    <w:rPr>
      <w:lang w:val="en-GB"/>
    </w:rPr>
  </w:style>
  <w:style w:type="character" w:styleId="Hipercze">
    <w:name w:val="Hyperlink"/>
    <w:basedOn w:val="Domylnaczcionkaakapitu"/>
    <w:uiPriority w:val="99"/>
    <w:unhideWhenUsed/>
    <w:rsid w:val="00876CCB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47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47F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0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0A25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C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C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C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C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CB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85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2E8"/>
  </w:style>
  <w:style w:type="paragraph" w:styleId="Stopka">
    <w:name w:val="footer"/>
    <w:basedOn w:val="Normalny"/>
    <w:link w:val="StopkaZnak"/>
    <w:uiPriority w:val="99"/>
    <w:unhideWhenUsed/>
    <w:rsid w:val="00585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isap.sejm.gov.pl/isap.nsf/DocDetails.xsp?id=WDU2020000026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539E5-F06F-4655-B353-57B850F8C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1862</Words>
  <Characters>11177</Characters>
  <Application>Microsoft Office Word</Application>
  <DocSecurity>0</DocSecurity>
  <Lines>93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Osajda Jakub</dc:creator>
  <cp:lastModifiedBy>Binkowska Joanna</cp:lastModifiedBy>
  <cp:revision>2</cp:revision>
  <dcterms:created xsi:type="dcterms:W3CDTF">2021-01-13T17:25:00Z</dcterms:created>
  <dcterms:modified xsi:type="dcterms:W3CDTF">2021-01-13T17:25:00Z</dcterms:modified>
</cp:coreProperties>
</file>