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DA1F5" w14:textId="77777777" w:rsidR="00BB641E" w:rsidRPr="00C6045B" w:rsidRDefault="00BB641E" w:rsidP="00C3388F">
      <w:pPr>
        <w:spacing w:before="120" w:after="120" w:line="400" w:lineRule="atLeast"/>
        <w:jc w:val="center"/>
        <w:rPr>
          <w:rFonts w:ascii="Times New Roman" w:hAnsi="Times New Roman" w:cs="Times New Roman"/>
          <w:sz w:val="24"/>
          <w:szCs w:val="24"/>
        </w:rPr>
      </w:pPr>
      <w:bookmarkStart w:id="0" w:name="_GoBack"/>
      <w:bookmarkEnd w:id="0"/>
      <w:r w:rsidRPr="00C6045B">
        <w:rPr>
          <w:rFonts w:ascii="Times New Roman" w:hAnsi="Times New Roman" w:cs="Times New Roman"/>
          <w:sz w:val="24"/>
          <w:szCs w:val="24"/>
        </w:rPr>
        <w:t>UZASADNIENIE</w:t>
      </w:r>
    </w:p>
    <w:p w14:paraId="35EF0E80" w14:textId="417C349F" w:rsidR="00BD458D" w:rsidRPr="0018524B" w:rsidRDefault="00BB641E"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W dniu 19 czerwca 2018 r. w </w:t>
      </w:r>
      <w:r w:rsidR="00F774C8" w:rsidRPr="0018524B">
        <w:rPr>
          <w:rFonts w:ascii="Times New Roman" w:hAnsi="Times New Roman" w:cs="Times New Roman"/>
          <w:sz w:val="24"/>
          <w:szCs w:val="24"/>
        </w:rPr>
        <w:t xml:space="preserve">Dzienniku Urzędowym UE opublikowana </w:t>
      </w:r>
      <w:r w:rsidRPr="0018524B">
        <w:rPr>
          <w:rFonts w:ascii="Times New Roman" w:hAnsi="Times New Roman" w:cs="Times New Roman"/>
          <w:sz w:val="24"/>
          <w:szCs w:val="24"/>
        </w:rPr>
        <w:t xml:space="preserve">została </w:t>
      </w:r>
      <w:r w:rsidR="001C16B6">
        <w:rPr>
          <w:rFonts w:ascii="Times New Roman" w:hAnsi="Times New Roman" w:cs="Times New Roman"/>
          <w:sz w:val="24"/>
          <w:szCs w:val="24"/>
        </w:rPr>
        <w:t>d</w:t>
      </w:r>
      <w:r w:rsidRPr="0018524B">
        <w:rPr>
          <w:rFonts w:ascii="Times New Roman" w:hAnsi="Times New Roman" w:cs="Times New Roman"/>
          <w:sz w:val="24"/>
          <w:szCs w:val="24"/>
        </w:rPr>
        <w:t>yrektywa Parlamentu Europejskiego i Rady (UE)</w:t>
      </w:r>
      <w:r w:rsidR="00F774C8" w:rsidRPr="0018524B">
        <w:rPr>
          <w:rFonts w:ascii="Times New Roman" w:hAnsi="Times New Roman" w:cs="Times New Roman"/>
          <w:sz w:val="24"/>
          <w:szCs w:val="24"/>
        </w:rPr>
        <w:t xml:space="preserve"> </w:t>
      </w:r>
      <w:r w:rsidR="001C16B6">
        <w:rPr>
          <w:rFonts w:ascii="Times New Roman" w:hAnsi="Times New Roman" w:cs="Times New Roman"/>
          <w:sz w:val="24"/>
          <w:szCs w:val="24"/>
        </w:rPr>
        <w:t xml:space="preserve">2018/843 </w:t>
      </w:r>
      <w:r w:rsidR="00F774C8" w:rsidRPr="0018524B">
        <w:rPr>
          <w:rFonts w:ascii="Times New Roman" w:hAnsi="Times New Roman" w:cs="Times New Roman"/>
          <w:sz w:val="24"/>
          <w:szCs w:val="24"/>
        </w:rPr>
        <w:t>z dnia 30 maja 2018 r.</w:t>
      </w:r>
      <w:r w:rsidRPr="0018524B">
        <w:rPr>
          <w:rFonts w:ascii="Times New Roman" w:hAnsi="Times New Roman" w:cs="Times New Roman"/>
          <w:sz w:val="24"/>
          <w:szCs w:val="24"/>
        </w:rPr>
        <w:t xml:space="preserve"> </w:t>
      </w:r>
      <w:r w:rsidRPr="0018524B">
        <w:rPr>
          <w:rFonts w:ascii="Times New Roman" w:hAnsi="Times New Roman" w:cs="Times New Roman"/>
          <w:i/>
          <w:sz w:val="24"/>
          <w:szCs w:val="24"/>
        </w:rPr>
        <w:t>zmieniająca dyrektywę (UE) 2015/849 w sprawie zapobiegania wykorzystywaniu systemu finansowego do prania pieniędzy lub finansowania terroryzmu oraz zmieniająca dyrektywy 2009/138/WE i 2013/36/UE</w:t>
      </w:r>
      <w:r w:rsidRPr="0018524B">
        <w:rPr>
          <w:rFonts w:ascii="Times New Roman" w:hAnsi="Times New Roman" w:cs="Times New Roman"/>
          <w:sz w:val="24"/>
          <w:szCs w:val="24"/>
        </w:rPr>
        <w:t xml:space="preserve"> (dalej, jako dyrektywa 2018/843</w:t>
      </w:r>
      <w:r w:rsidR="0050334F" w:rsidRPr="0018524B">
        <w:rPr>
          <w:rFonts w:ascii="Times New Roman" w:hAnsi="Times New Roman" w:cs="Times New Roman"/>
          <w:sz w:val="24"/>
          <w:szCs w:val="24"/>
        </w:rPr>
        <w:t xml:space="preserve"> lub 5AMLD</w:t>
      </w:r>
      <w:r w:rsidRPr="0018524B">
        <w:rPr>
          <w:rFonts w:ascii="Times New Roman" w:hAnsi="Times New Roman" w:cs="Times New Roman"/>
          <w:sz w:val="24"/>
          <w:szCs w:val="24"/>
        </w:rPr>
        <w:t xml:space="preserve">). </w:t>
      </w:r>
      <w:r w:rsidR="0050334F" w:rsidRPr="0018524B">
        <w:rPr>
          <w:rFonts w:ascii="Times New Roman" w:hAnsi="Times New Roman" w:cs="Times New Roman"/>
          <w:sz w:val="24"/>
          <w:szCs w:val="24"/>
        </w:rPr>
        <w:t>Ramy prawne Unii Europejskiej w zakresie przeciwdziałania praniu pieniędzy oraz finan</w:t>
      </w:r>
      <w:r w:rsidR="00BD458D" w:rsidRPr="0018524B">
        <w:rPr>
          <w:rFonts w:ascii="Times New Roman" w:hAnsi="Times New Roman" w:cs="Times New Roman"/>
          <w:sz w:val="24"/>
          <w:szCs w:val="24"/>
        </w:rPr>
        <w:t>sowaniu</w:t>
      </w:r>
      <w:r w:rsidR="0050334F" w:rsidRPr="0018524B">
        <w:rPr>
          <w:rFonts w:ascii="Times New Roman" w:hAnsi="Times New Roman" w:cs="Times New Roman"/>
          <w:sz w:val="24"/>
          <w:szCs w:val="24"/>
        </w:rPr>
        <w:t xml:space="preserve"> terroryzmu oparte są przede wszystkim na </w:t>
      </w:r>
      <w:r w:rsidR="001C16B6">
        <w:rPr>
          <w:rFonts w:ascii="Times New Roman" w:hAnsi="Times New Roman" w:cs="Times New Roman"/>
          <w:sz w:val="24"/>
          <w:szCs w:val="24"/>
        </w:rPr>
        <w:t>d</w:t>
      </w:r>
      <w:r w:rsidR="0050334F" w:rsidRPr="0018524B">
        <w:rPr>
          <w:rFonts w:ascii="Times New Roman" w:hAnsi="Times New Roman" w:cs="Times New Roman"/>
          <w:sz w:val="24"/>
          <w:szCs w:val="24"/>
        </w:rPr>
        <w:t xml:space="preserve">yrektywie Parlamentu Europejskiego i Rady (UE) 2015/849 z dnia 20 maja 2015 r. </w:t>
      </w:r>
      <w:r w:rsidR="0050334F" w:rsidRPr="0018524B">
        <w:rPr>
          <w:rFonts w:ascii="Times New Roman" w:hAnsi="Times New Roman" w:cs="Times New Roman"/>
          <w:i/>
          <w:sz w:val="24"/>
          <w:szCs w:val="24"/>
        </w:rPr>
        <w:t>w sprawie zapobiegania wykorzystywaniu systemu finansowego do prania pieniędzy lub finansowania terroryzmu, zmieniając</w:t>
      </w:r>
      <w:r w:rsidR="001C16B6">
        <w:rPr>
          <w:rFonts w:ascii="Times New Roman" w:hAnsi="Times New Roman" w:cs="Times New Roman"/>
          <w:i/>
          <w:sz w:val="24"/>
          <w:szCs w:val="24"/>
        </w:rPr>
        <w:t>ej</w:t>
      </w:r>
      <w:r w:rsidR="0050334F" w:rsidRPr="0018524B">
        <w:rPr>
          <w:rFonts w:ascii="Times New Roman" w:hAnsi="Times New Roman" w:cs="Times New Roman"/>
          <w:i/>
          <w:sz w:val="24"/>
          <w:szCs w:val="24"/>
        </w:rPr>
        <w:t xml:space="preserve"> rozporządzenie Parlamentu Europejskiego i Rady (UE) nr 648/2012 i uchylając</w:t>
      </w:r>
      <w:r w:rsidR="001C16B6">
        <w:rPr>
          <w:rFonts w:ascii="Times New Roman" w:hAnsi="Times New Roman" w:cs="Times New Roman"/>
          <w:i/>
          <w:sz w:val="24"/>
          <w:szCs w:val="24"/>
        </w:rPr>
        <w:t>ej</w:t>
      </w:r>
      <w:r w:rsidR="0050334F" w:rsidRPr="0018524B">
        <w:rPr>
          <w:rFonts w:ascii="Times New Roman" w:hAnsi="Times New Roman" w:cs="Times New Roman"/>
          <w:i/>
          <w:sz w:val="24"/>
          <w:szCs w:val="24"/>
        </w:rPr>
        <w:t xml:space="preserve"> dyrektywę Parlamentu Europejskiego i Rady 2005/60/WE oraz dyrektywę Komisji 2006/70/WE</w:t>
      </w:r>
      <w:r w:rsidR="0050334F" w:rsidRPr="0018524B">
        <w:rPr>
          <w:rFonts w:ascii="Times New Roman" w:hAnsi="Times New Roman" w:cs="Times New Roman"/>
          <w:sz w:val="24"/>
          <w:szCs w:val="24"/>
        </w:rPr>
        <w:t xml:space="preserve"> (dalej, jako dyrektywa 2015/849 lub 4AMLD). </w:t>
      </w:r>
    </w:p>
    <w:p w14:paraId="2F0C18F2" w14:textId="77777777" w:rsidR="0068703E" w:rsidRPr="0018524B" w:rsidRDefault="00BD458D"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Impulsem do podjęcia inicjatywy związanej z </w:t>
      </w:r>
      <w:r w:rsidR="00A7438A" w:rsidRPr="0018524B">
        <w:rPr>
          <w:rFonts w:ascii="Times New Roman" w:hAnsi="Times New Roman" w:cs="Times New Roman"/>
          <w:sz w:val="24"/>
          <w:szCs w:val="24"/>
        </w:rPr>
        <w:t>nowelizacją dyrektywy 2015/849 była</w:t>
      </w:r>
      <w:r w:rsidRPr="0018524B">
        <w:rPr>
          <w:rFonts w:ascii="Times New Roman" w:hAnsi="Times New Roman" w:cs="Times New Roman"/>
          <w:sz w:val="24"/>
          <w:szCs w:val="24"/>
        </w:rPr>
        <w:t xml:space="preserve"> </w:t>
      </w:r>
      <w:r w:rsidR="00A7438A" w:rsidRPr="0018524B">
        <w:rPr>
          <w:rFonts w:ascii="Times New Roman" w:hAnsi="Times New Roman" w:cs="Times New Roman"/>
          <w:sz w:val="24"/>
          <w:szCs w:val="24"/>
        </w:rPr>
        <w:t xml:space="preserve">m.in. </w:t>
      </w:r>
      <w:r w:rsidRPr="0018524B">
        <w:rPr>
          <w:rFonts w:ascii="Times New Roman" w:hAnsi="Times New Roman" w:cs="Times New Roman"/>
          <w:sz w:val="24"/>
          <w:szCs w:val="24"/>
        </w:rPr>
        <w:t xml:space="preserve">analiza </w:t>
      </w:r>
      <w:r w:rsidR="00A7438A" w:rsidRPr="0018524B">
        <w:rPr>
          <w:rFonts w:ascii="Times New Roman" w:hAnsi="Times New Roman" w:cs="Times New Roman"/>
          <w:sz w:val="24"/>
          <w:szCs w:val="24"/>
        </w:rPr>
        <w:t>działań podjętych w celu sfinansowania zamachów terrorystycznych, które miały miejsce we Francji oraz Belgii</w:t>
      </w:r>
      <w:r w:rsidR="009138B0" w:rsidRPr="0018524B">
        <w:rPr>
          <w:rFonts w:ascii="Times New Roman" w:hAnsi="Times New Roman" w:cs="Times New Roman"/>
          <w:sz w:val="24"/>
          <w:szCs w:val="24"/>
        </w:rPr>
        <w:t xml:space="preserve">. Komisja Europejska w Komunikacie Komisji do Parlamentu Europejskiego i Rady z dnia 2 lutego 2016 r. </w:t>
      </w:r>
      <w:r w:rsidR="009138B0" w:rsidRPr="0018524B">
        <w:rPr>
          <w:rFonts w:ascii="Times New Roman" w:hAnsi="Times New Roman" w:cs="Times New Roman"/>
          <w:i/>
          <w:sz w:val="24"/>
          <w:szCs w:val="24"/>
        </w:rPr>
        <w:t xml:space="preserve">w sprawie planu działania na rzecz skuteczniejszego zwalczania finansowania terroryzmu </w:t>
      </w:r>
      <w:r w:rsidR="009138B0" w:rsidRPr="0018524B">
        <w:rPr>
          <w:rFonts w:ascii="Times New Roman" w:hAnsi="Times New Roman" w:cs="Times New Roman"/>
          <w:sz w:val="24"/>
          <w:szCs w:val="24"/>
        </w:rPr>
        <w:t xml:space="preserve">zobowiązała się do przedstawienia inicjatywy dotyczącej nowelizacji 4AMLD, jako kluczowego elementu planu na rzecz poprawy zwalczania finansowania terroryzmu. Asumpt do nowelizacji dyrektywy 2015/849 dały również </w:t>
      </w:r>
      <w:r w:rsidR="00A7438A" w:rsidRPr="0018524B">
        <w:rPr>
          <w:rFonts w:ascii="Times New Roman" w:hAnsi="Times New Roman" w:cs="Times New Roman"/>
          <w:sz w:val="24"/>
          <w:szCs w:val="24"/>
        </w:rPr>
        <w:t>informacje</w:t>
      </w:r>
      <w:r w:rsidR="0088237C" w:rsidRPr="0018524B">
        <w:rPr>
          <w:rFonts w:ascii="Times New Roman" w:hAnsi="Times New Roman" w:cs="Times New Roman"/>
          <w:sz w:val="24"/>
          <w:szCs w:val="24"/>
        </w:rPr>
        <w:t xml:space="preserve"> ujawnione w tzw. „dokumentach panamskich”</w:t>
      </w:r>
      <w:r w:rsidR="00A7438A" w:rsidRPr="0018524B">
        <w:rPr>
          <w:rFonts w:ascii="Times New Roman" w:hAnsi="Times New Roman" w:cs="Times New Roman"/>
          <w:sz w:val="24"/>
          <w:szCs w:val="24"/>
        </w:rPr>
        <w:t xml:space="preserve">, wskazujące na słabe punkty światowego systemu </w:t>
      </w:r>
      <w:r w:rsidR="0088237C" w:rsidRPr="0018524B">
        <w:rPr>
          <w:rFonts w:ascii="Times New Roman" w:hAnsi="Times New Roman" w:cs="Times New Roman"/>
          <w:sz w:val="24"/>
          <w:szCs w:val="24"/>
        </w:rPr>
        <w:t>finansowego. Celem dyrektywy 2018/843 jest taka modyfikacja unijnych ram prawnych</w:t>
      </w:r>
      <w:r w:rsidR="00A10C9E" w:rsidRPr="0018524B">
        <w:rPr>
          <w:rFonts w:ascii="Times New Roman" w:hAnsi="Times New Roman" w:cs="Times New Roman"/>
          <w:sz w:val="24"/>
          <w:szCs w:val="24"/>
        </w:rPr>
        <w:t xml:space="preserve"> dotyczących przeciwdziałania praniu pieniędzy oraz finansowaniu terroryzmu</w:t>
      </w:r>
      <w:r w:rsidR="0088237C" w:rsidRPr="0018524B">
        <w:rPr>
          <w:rFonts w:ascii="Times New Roman" w:hAnsi="Times New Roman" w:cs="Times New Roman"/>
          <w:sz w:val="24"/>
          <w:szCs w:val="24"/>
        </w:rPr>
        <w:t xml:space="preserve">, która </w:t>
      </w:r>
      <w:r w:rsidR="00A10C9E" w:rsidRPr="0018524B">
        <w:rPr>
          <w:rFonts w:ascii="Times New Roman" w:hAnsi="Times New Roman" w:cs="Times New Roman"/>
          <w:sz w:val="24"/>
          <w:szCs w:val="24"/>
        </w:rPr>
        <w:t>pozwoli na zwiększenie transparentności przepływów finansowych dokonywanych w systemie finansowym, a co za tym idzie na skuteczniejsze funkcjonowanie organów odpowiedzialnych za detekcję środków finansowych</w:t>
      </w:r>
      <w:r w:rsidR="004F2E0D" w:rsidRPr="0018524B">
        <w:rPr>
          <w:rFonts w:ascii="Times New Roman" w:hAnsi="Times New Roman" w:cs="Times New Roman"/>
          <w:sz w:val="24"/>
          <w:szCs w:val="24"/>
        </w:rPr>
        <w:t xml:space="preserve"> pochodzących z działalności o charakterze przestępczym lub</w:t>
      </w:r>
      <w:r w:rsidR="00A10C9E" w:rsidRPr="0018524B">
        <w:rPr>
          <w:rFonts w:ascii="Times New Roman" w:hAnsi="Times New Roman" w:cs="Times New Roman"/>
          <w:sz w:val="24"/>
          <w:szCs w:val="24"/>
        </w:rPr>
        <w:t xml:space="preserve"> </w:t>
      </w:r>
      <w:r w:rsidR="004F2E0D" w:rsidRPr="0018524B">
        <w:rPr>
          <w:rFonts w:ascii="Times New Roman" w:hAnsi="Times New Roman" w:cs="Times New Roman"/>
          <w:sz w:val="24"/>
          <w:szCs w:val="24"/>
        </w:rPr>
        <w:t xml:space="preserve">służących finansowaniu działalności terrorystycznej. </w:t>
      </w:r>
    </w:p>
    <w:p w14:paraId="7E25CA96" w14:textId="77777777" w:rsidR="0068703E" w:rsidRPr="0018524B" w:rsidRDefault="004F2E0D"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Rozwiązania zawarte w 5AMLD, służące realizacji tego celu obejmują: (1) doprecyzowanie przepisów dotyczących działań podejmowanych przez podmioty zobowiązane w odniesieniu do relacji związanych z pańs</w:t>
      </w:r>
      <w:r w:rsidR="00F95A3C" w:rsidRPr="0018524B">
        <w:rPr>
          <w:rFonts w:ascii="Times New Roman" w:hAnsi="Times New Roman" w:cs="Times New Roman"/>
          <w:sz w:val="24"/>
          <w:szCs w:val="24"/>
        </w:rPr>
        <w:t>twami trzecimi wysokiego ryzyka;</w:t>
      </w:r>
      <w:r w:rsidRPr="0018524B">
        <w:rPr>
          <w:rFonts w:ascii="Times New Roman" w:hAnsi="Times New Roman" w:cs="Times New Roman"/>
          <w:sz w:val="24"/>
          <w:szCs w:val="24"/>
        </w:rPr>
        <w:t xml:space="preserve"> (2) poprawę wykrywania </w:t>
      </w:r>
      <w:r w:rsidR="00F95A3C" w:rsidRPr="0018524B">
        <w:rPr>
          <w:rFonts w:ascii="Times New Roman" w:hAnsi="Times New Roman" w:cs="Times New Roman"/>
          <w:sz w:val="24"/>
          <w:szCs w:val="24"/>
        </w:rPr>
        <w:t>transakcji</w:t>
      </w:r>
      <w:r w:rsidR="009C207B" w:rsidRPr="0018524B">
        <w:rPr>
          <w:rFonts w:ascii="Times New Roman" w:hAnsi="Times New Roman" w:cs="Times New Roman"/>
          <w:sz w:val="24"/>
          <w:szCs w:val="24"/>
        </w:rPr>
        <w:t xml:space="preserve"> </w:t>
      </w:r>
      <w:r w:rsidR="00F95A3C" w:rsidRPr="0018524B">
        <w:rPr>
          <w:rFonts w:ascii="Times New Roman" w:hAnsi="Times New Roman" w:cs="Times New Roman"/>
          <w:sz w:val="24"/>
          <w:szCs w:val="24"/>
        </w:rPr>
        <w:t>podejrzanych wykonywanych przy użyciu walut wirtualnych; (3) ograniczenie wykorzystania anonimowych instrumentów przedpłaconych; (4) poprawę dostępu jednostek analityki finansowej do informacji pozostających w dyspozycji podmiotów zobowiązanych oraz zwiększenie możliwości wymiany tych informacji; (5)</w:t>
      </w:r>
      <w:r w:rsidR="00DC3369" w:rsidRPr="0018524B">
        <w:rPr>
          <w:rFonts w:ascii="Times New Roman" w:hAnsi="Times New Roman" w:cs="Times New Roman"/>
          <w:sz w:val="24"/>
          <w:szCs w:val="24"/>
        </w:rPr>
        <w:t xml:space="preserve"> stworzenie uprawnionym organom </w:t>
      </w:r>
      <w:r w:rsidR="00DC3369" w:rsidRPr="0018524B">
        <w:rPr>
          <w:rFonts w:ascii="Times New Roman" w:hAnsi="Times New Roman" w:cs="Times New Roman"/>
          <w:sz w:val="24"/>
          <w:szCs w:val="24"/>
        </w:rPr>
        <w:lastRenderedPageBreak/>
        <w:t>możliwości szybkiego dostępu do informacji o tożsamości posiadaczy rachunków bankowych oraz płatniczych; (6) zwiększenie</w:t>
      </w:r>
      <w:r w:rsidR="009C207B" w:rsidRPr="0018524B">
        <w:rPr>
          <w:rFonts w:ascii="Times New Roman" w:hAnsi="Times New Roman" w:cs="Times New Roman"/>
          <w:sz w:val="24"/>
          <w:szCs w:val="24"/>
        </w:rPr>
        <w:t xml:space="preserve"> </w:t>
      </w:r>
      <w:r w:rsidR="00DC3369" w:rsidRPr="0018524B">
        <w:rPr>
          <w:rFonts w:ascii="Times New Roman" w:hAnsi="Times New Roman" w:cs="Times New Roman"/>
          <w:sz w:val="24"/>
          <w:szCs w:val="24"/>
        </w:rPr>
        <w:t>transparentności informacji o beneficjentach</w:t>
      </w:r>
      <w:r w:rsidR="009C207B" w:rsidRPr="0018524B">
        <w:rPr>
          <w:rFonts w:ascii="Times New Roman" w:hAnsi="Times New Roman" w:cs="Times New Roman"/>
          <w:sz w:val="24"/>
          <w:szCs w:val="24"/>
        </w:rPr>
        <w:t xml:space="preserve"> </w:t>
      </w:r>
      <w:r w:rsidR="00DC3369" w:rsidRPr="0018524B">
        <w:rPr>
          <w:rFonts w:ascii="Times New Roman" w:hAnsi="Times New Roman" w:cs="Times New Roman"/>
          <w:sz w:val="24"/>
          <w:szCs w:val="24"/>
        </w:rPr>
        <w:t>rzeczywistych</w:t>
      </w:r>
      <w:r w:rsidR="009C207B" w:rsidRPr="0018524B">
        <w:rPr>
          <w:rFonts w:ascii="Times New Roman" w:hAnsi="Times New Roman" w:cs="Times New Roman"/>
          <w:sz w:val="24"/>
          <w:szCs w:val="24"/>
        </w:rPr>
        <w:t xml:space="preserve"> </w:t>
      </w:r>
      <w:r w:rsidR="00DC3369" w:rsidRPr="0018524B">
        <w:rPr>
          <w:rFonts w:ascii="Times New Roman" w:hAnsi="Times New Roman" w:cs="Times New Roman"/>
          <w:sz w:val="24"/>
          <w:szCs w:val="24"/>
        </w:rPr>
        <w:t>podmiotów</w:t>
      </w:r>
      <w:r w:rsidR="009C207B" w:rsidRPr="0018524B">
        <w:rPr>
          <w:rFonts w:ascii="Times New Roman" w:hAnsi="Times New Roman" w:cs="Times New Roman"/>
          <w:sz w:val="24"/>
          <w:szCs w:val="24"/>
        </w:rPr>
        <w:t xml:space="preserve"> </w:t>
      </w:r>
      <w:r w:rsidR="00DC3369" w:rsidRPr="0018524B">
        <w:rPr>
          <w:rFonts w:ascii="Times New Roman" w:hAnsi="Times New Roman" w:cs="Times New Roman"/>
          <w:sz w:val="24"/>
          <w:szCs w:val="24"/>
        </w:rPr>
        <w:t>o</w:t>
      </w:r>
      <w:r w:rsidR="009C207B" w:rsidRPr="0018524B">
        <w:rPr>
          <w:rFonts w:ascii="Times New Roman" w:hAnsi="Times New Roman" w:cs="Times New Roman"/>
          <w:sz w:val="24"/>
          <w:szCs w:val="24"/>
        </w:rPr>
        <w:t xml:space="preserve"> </w:t>
      </w:r>
      <w:r w:rsidR="00DC3369" w:rsidRPr="0018524B">
        <w:rPr>
          <w:rFonts w:ascii="Times New Roman" w:hAnsi="Times New Roman" w:cs="Times New Roman"/>
          <w:sz w:val="24"/>
          <w:szCs w:val="24"/>
        </w:rPr>
        <w:t>charakterze</w:t>
      </w:r>
      <w:r w:rsidR="009C207B" w:rsidRPr="0018524B">
        <w:rPr>
          <w:rFonts w:ascii="Times New Roman" w:hAnsi="Times New Roman" w:cs="Times New Roman"/>
          <w:sz w:val="24"/>
          <w:szCs w:val="24"/>
        </w:rPr>
        <w:t xml:space="preserve"> </w:t>
      </w:r>
      <w:r w:rsidR="00DC3369" w:rsidRPr="0018524B">
        <w:rPr>
          <w:rFonts w:ascii="Times New Roman" w:hAnsi="Times New Roman" w:cs="Times New Roman"/>
          <w:sz w:val="24"/>
          <w:szCs w:val="24"/>
        </w:rPr>
        <w:t xml:space="preserve">korporacyjnym oraz porozumień prawnych. </w:t>
      </w:r>
    </w:p>
    <w:p w14:paraId="765D90EC" w14:textId="73E23A1A" w:rsidR="00B94C95" w:rsidRPr="0018524B" w:rsidRDefault="003E0635"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Obecnie priorytetem Komisji Europejskiej jest zapewnienie, że aktualnie obowiązujące unijne przepisy o przeciwdziałaniu praniu pieniędzy oraz finansowaniu terroryzmu są w pełni i w sposób właściwy implementowane. W tym celu, w odniesieniu do transpozycji dyrektywy 2015/849 Komisja Europejska przyjęła politykę „zerowej tolerancji” i wszczęła postępowania naruszeniowe w stosunku do wszystkich państw członkowskich, które chociażby częściowo naruszyły obowiązek implementacji 4AMLD. Postępowanie naruszeniowe wszczęte przeciwko Rzeczypospolitej Polskiej zostało zamknięte po przekazaniu przez stronę polską kilkuset stron szczegółowych wyjaśnień, dokonaniu nowelizacji szeregu przepisów ustawy z dnia 1 marca 2018 r. </w:t>
      </w:r>
      <w:r w:rsidRPr="0018524B">
        <w:rPr>
          <w:rFonts w:ascii="Times New Roman" w:hAnsi="Times New Roman" w:cs="Times New Roman"/>
          <w:i/>
          <w:sz w:val="24"/>
          <w:szCs w:val="24"/>
        </w:rPr>
        <w:t>o przeciwdziałaniu praniu pieniędzy oraz finansowaniu terroryzmu</w:t>
      </w:r>
      <w:r w:rsidRPr="0018524B">
        <w:rPr>
          <w:rFonts w:ascii="Times New Roman" w:hAnsi="Times New Roman" w:cs="Times New Roman"/>
          <w:sz w:val="24"/>
          <w:szCs w:val="24"/>
        </w:rPr>
        <w:t xml:space="preserve"> (Dz. U. z 20</w:t>
      </w:r>
      <w:r w:rsidR="006A1D89">
        <w:rPr>
          <w:rFonts w:ascii="Times New Roman" w:hAnsi="Times New Roman" w:cs="Times New Roman"/>
          <w:sz w:val="24"/>
          <w:szCs w:val="24"/>
        </w:rPr>
        <w:t>20</w:t>
      </w:r>
      <w:r w:rsidRPr="0018524B">
        <w:rPr>
          <w:rFonts w:ascii="Times New Roman" w:hAnsi="Times New Roman" w:cs="Times New Roman"/>
          <w:sz w:val="24"/>
          <w:szCs w:val="24"/>
        </w:rPr>
        <w:t xml:space="preserve"> r.</w:t>
      </w:r>
      <w:r w:rsidR="00C6045B">
        <w:rPr>
          <w:rFonts w:ascii="Times New Roman" w:hAnsi="Times New Roman" w:cs="Times New Roman"/>
          <w:sz w:val="24"/>
          <w:szCs w:val="24"/>
        </w:rPr>
        <w:t xml:space="preserve"> </w:t>
      </w:r>
      <w:r w:rsidRPr="0018524B">
        <w:rPr>
          <w:rFonts w:ascii="Times New Roman" w:hAnsi="Times New Roman" w:cs="Times New Roman"/>
          <w:sz w:val="24"/>
          <w:szCs w:val="24"/>
        </w:rPr>
        <w:t xml:space="preserve">poz. </w:t>
      </w:r>
      <w:r w:rsidR="006A1D89">
        <w:rPr>
          <w:rFonts w:ascii="Times New Roman" w:hAnsi="Times New Roman" w:cs="Times New Roman"/>
          <w:sz w:val="24"/>
          <w:szCs w:val="24"/>
        </w:rPr>
        <w:t>971</w:t>
      </w:r>
      <w:r w:rsidRPr="0018524B">
        <w:rPr>
          <w:rFonts w:ascii="Times New Roman" w:hAnsi="Times New Roman" w:cs="Times New Roman"/>
          <w:sz w:val="24"/>
          <w:szCs w:val="24"/>
        </w:rPr>
        <w:t>, z późn. zm.) (dalej, jako ustawa o p.p.p.f.t.) oraz zobowiązaniu się do dokonani</w:t>
      </w:r>
      <w:r w:rsidR="001C16B6">
        <w:rPr>
          <w:rFonts w:ascii="Times New Roman" w:hAnsi="Times New Roman" w:cs="Times New Roman"/>
          <w:sz w:val="24"/>
          <w:szCs w:val="24"/>
        </w:rPr>
        <w:t>a</w:t>
      </w:r>
      <w:r w:rsidRPr="0018524B">
        <w:rPr>
          <w:rFonts w:ascii="Times New Roman" w:hAnsi="Times New Roman" w:cs="Times New Roman"/>
          <w:sz w:val="24"/>
          <w:szCs w:val="24"/>
        </w:rPr>
        <w:t xml:space="preserve"> kolejnych zmian w przepisach. Z doświadczeń związanych z wspomnianym postępowaniem naruszeniowym wynika, że Komisja Europejska interpretuje przepisy prawa europejskiego oraz odpowiedni</w:t>
      </w:r>
      <w:r w:rsidR="00E93401" w:rsidRPr="0018524B">
        <w:rPr>
          <w:rFonts w:ascii="Times New Roman" w:hAnsi="Times New Roman" w:cs="Times New Roman"/>
          <w:sz w:val="24"/>
          <w:szCs w:val="24"/>
        </w:rPr>
        <w:t>e</w:t>
      </w:r>
      <w:r w:rsidRPr="0018524B">
        <w:rPr>
          <w:rFonts w:ascii="Times New Roman" w:hAnsi="Times New Roman" w:cs="Times New Roman"/>
          <w:sz w:val="24"/>
          <w:szCs w:val="24"/>
        </w:rPr>
        <w:t xml:space="preserve"> przepis</w:t>
      </w:r>
      <w:r w:rsidR="00E93401" w:rsidRPr="0018524B">
        <w:rPr>
          <w:rFonts w:ascii="Times New Roman" w:hAnsi="Times New Roman" w:cs="Times New Roman"/>
          <w:sz w:val="24"/>
          <w:szCs w:val="24"/>
        </w:rPr>
        <w:t>y</w:t>
      </w:r>
      <w:r w:rsidRPr="0018524B">
        <w:rPr>
          <w:rFonts w:ascii="Times New Roman" w:hAnsi="Times New Roman" w:cs="Times New Roman"/>
          <w:sz w:val="24"/>
          <w:szCs w:val="24"/>
        </w:rPr>
        <w:t xml:space="preserve"> krajow</w:t>
      </w:r>
      <w:r w:rsidR="00E93401" w:rsidRPr="0018524B">
        <w:rPr>
          <w:rFonts w:ascii="Times New Roman" w:hAnsi="Times New Roman" w:cs="Times New Roman"/>
          <w:sz w:val="24"/>
          <w:szCs w:val="24"/>
        </w:rPr>
        <w:t>e</w:t>
      </w:r>
      <w:r w:rsidRPr="0018524B">
        <w:rPr>
          <w:rFonts w:ascii="Times New Roman" w:hAnsi="Times New Roman" w:cs="Times New Roman"/>
          <w:sz w:val="24"/>
          <w:szCs w:val="24"/>
        </w:rPr>
        <w:t xml:space="preserve"> w sposób restrykcyjny. Brak posłużenia się w przepisach krajowych zwrotem</w:t>
      </w:r>
      <w:r w:rsidR="00E93401" w:rsidRPr="0018524B">
        <w:rPr>
          <w:rFonts w:ascii="Times New Roman" w:hAnsi="Times New Roman" w:cs="Times New Roman"/>
          <w:sz w:val="24"/>
          <w:szCs w:val="24"/>
        </w:rPr>
        <w:t xml:space="preserve"> analogicznym do</w:t>
      </w:r>
      <w:r w:rsidRPr="0018524B">
        <w:rPr>
          <w:rFonts w:ascii="Times New Roman" w:hAnsi="Times New Roman" w:cs="Times New Roman"/>
          <w:sz w:val="24"/>
          <w:szCs w:val="24"/>
        </w:rPr>
        <w:t xml:space="preserve"> </w:t>
      </w:r>
      <w:r w:rsidR="00E93401" w:rsidRPr="0018524B">
        <w:rPr>
          <w:rFonts w:ascii="Times New Roman" w:hAnsi="Times New Roman" w:cs="Times New Roman"/>
          <w:sz w:val="24"/>
          <w:szCs w:val="24"/>
        </w:rPr>
        <w:t xml:space="preserve">zwrotu </w:t>
      </w:r>
      <w:r w:rsidRPr="0018524B">
        <w:rPr>
          <w:rFonts w:ascii="Times New Roman" w:hAnsi="Times New Roman" w:cs="Times New Roman"/>
          <w:sz w:val="24"/>
          <w:szCs w:val="24"/>
        </w:rPr>
        <w:t>używan</w:t>
      </w:r>
      <w:r w:rsidR="00E93401" w:rsidRPr="0018524B">
        <w:rPr>
          <w:rFonts w:ascii="Times New Roman" w:hAnsi="Times New Roman" w:cs="Times New Roman"/>
          <w:sz w:val="24"/>
          <w:szCs w:val="24"/>
        </w:rPr>
        <w:t>ego</w:t>
      </w:r>
      <w:r w:rsidRPr="0018524B">
        <w:rPr>
          <w:rFonts w:ascii="Times New Roman" w:hAnsi="Times New Roman" w:cs="Times New Roman"/>
          <w:sz w:val="24"/>
          <w:szCs w:val="24"/>
        </w:rPr>
        <w:t xml:space="preserve"> w 4AMLD lub niezachowanie układu jednostek redakcyjnych dyrektywy kwalifikowane było jako brak implementacji. Zasadne argumenty ze strony Rzeczypospolitej Polskiej, odwołujące się do polskiej kultury prawnej, zasad wykładni przepisów czy zasad techniki legislacyjnej nie spotykały się ze zrozumieniem. Podobne, rygorystyczne działania Komisja Europejska podjęła już w stosunku do państw członkowskich, które dotychczas nie poinformowały, o chociażby częściowej implementacji przepisów dyrektywy 5AMLD.</w:t>
      </w:r>
      <w:r w:rsidR="00FC32A8" w:rsidRPr="0018524B">
        <w:rPr>
          <w:rFonts w:ascii="Times New Roman" w:hAnsi="Times New Roman" w:cs="Times New Roman"/>
          <w:sz w:val="24"/>
          <w:szCs w:val="24"/>
        </w:rPr>
        <w:t xml:space="preserve"> W związku z powyższym, w odniesieniu do obecn</w:t>
      </w:r>
      <w:r w:rsidR="000C028B" w:rsidRPr="0018524B">
        <w:rPr>
          <w:rFonts w:ascii="Times New Roman" w:hAnsi="Times New Roman" w:cs="Times New Roman"/>
          <w:sz w:val="24"/>
          <w:szCs w:val="24"/>
        </w:rPr>
        <w:t xml:space="preserve">ie procedowanego projektu </w:t>
      </w:r>
      <w:r w:rsidR="00FC32A8" w:rsidRPr="0018524B">
        <w:rPr>
          <w:rFonts w:ascii="Times New Roman" w:hAnsi="Times New Roman" w:cs="Times New Roman"/>
          <w:i/>
          <w:sz w:val="24"/>
          <w:szCs w:val="24"/>
        </w:rPr>
        <w:t>ustawy o zmianie ustawy o przeciwdziałaniu praniu pieniędzy oraz finansowaniu terroryzmu oraz niektórych innych ustaw</w:t>
      </w:r>
      <w:r w:rsidR="00FC32A8" w:rsidRPr="0018524B">
        <w:rPr>
          <w:rFonts w:ascii="Times New Roman" w:hAnsi="Times New Roman" w:cs="Times New Roman"/>
          <w:sz w:val="24"/>
          <w:szCs w:val="24"/>
        </w:rPr>
        <w:t xml:space="preserve"> (dalej, jako projekt),</w:t>
      </w:r>
      <w:r w:rsidR="000C028B" w:rsidRPr="0018524B">
        <w:t xml:space="preserve"> </w:t>
      </w:r>
      <w:r w:rsidR="000C028B" w:rsidRPr="0018524B">
        <w:rPr>
          <w:rFonts w:ascii="Times New Roman" w:hAnsi="Times New Roman" w:cs="Times New Roman"/>
          <w:sz w:val="24"/>
          <w:szCs w:val="24"/>
        </w:rPr>
        <w:t>intencją projektodawcy jest opracowanie projektu,</w:t>
      </w:r>
      <w:r w:rsidR="00FC32A8" w:rsidRPr="0018524B">
        <w:rPr>
          <w:rFonts w:ascii="Times New Roman" w:hAnsi="Times New Roman" w:cs="Times New Roman"/>
          <w:sz w:val="24"/>
          <w:szCs w:val="24"/>
        </w:rPr>
        <w:t xml:space="preserve"> który </w:t>
      </w:r>
      <w:r w:rsidR="00E93401" w:rsidRPr="0018524B">
        <w:rPr>
          <w:rFonts w:ascii="Times New Roman" w:hAnsi="Times New Roman" w:cs="Times New Roman"/>
          <w:sz w:val="24"/>
          <w:szCs w:val="24"/>
        </w:rPr>
        <w:t>poza nadrzędnym celem w postaci</w:t>
      </w:r>
      <w:r w:rsidR="00FC32A8" w:rsidRPr="0018524B">
        <w:rPr>
          <w:rFonts w:ascii="Times New Roman" w:hAnsi="Times New Roman" w:cs="Times New Roman"/>
          <w:sz w:val="24"/>
          <w:szCs w:val="24"/>
        </w:rPr>
        <w:t xml:space="preserve"> prawidłow</w:t>
      </w:r>
      <w:r w:rsidR="00E93401" w:rsidRPr="0018524B">
        <w:rPr>
          <w:rFonts w:ascii="Times New Roman" w:hAnsi="Times New Roman" w:cs="Times New Roman"/>
          <w:sz w:val="24"/>
          <w:szCs w:val="24"/>
        </w:rPr>
        <w:t>ej</w:t>
      </w:r>
      <w:r w:rsidR="00FC32A8" w:rsidRPr="0018524B">
        <w:rPr>
          <w:rFonts w:ascii="Times New Roman" w:hAnsi="Times New Roman" w:cs="Times New Roman"/>
          <w:sz w:val="24"/>
          <w:szCs w:val="24"/>
        </w:rPr>
        <w:t xml:space="preserve"> transpo</w:t>
      </w:r>
      <w:r w:rsidR="00E93401" w:rsidRPr="0018524B">
        <w:rPr>
          <w:rFonts w:ascii="Times New Roman" w:hAnsi="Times New Roman" w:cs="Times New Roman"/>
          <w:sz w:val="24"/>
          <w:szCs w:val="24"/>
        </w:rPr>
        <w:t>zycji</w:t>
      </w:r>
      <w:r w:rsidR="00FC32A8" w:rsidRPr="0018524B">
        <w:rPr>
          <w:rFonts w:ascii="Times New Roman" w:hAnsi="Times New Roman" w:cs="Times New Roman"/>
          <w:sz w:val="24"/>
          <w:szCs w:val="24"/>
        </w:rPr>
        <w:t xml:space="preserve"> do krajowego porządku prawnego wymog</w:t>
      </w:r>
      <w:r w:rsidR="00E93401" w:rsidRPr="0018524B">
        <w:rPr>
          <w:rFonts w:ascii="Times New Roman" w:hAnsi="Times New Roman" w:cs="Times New Roman"/>
          <w:sz w:val="24"/>
          <w:szCs w:val="24"/>
        </w:rPr>
        <w:t>ów</w:t>
      </w:r>
      <w:r w:rsidR="00FC32A8" w:rsidRPr="0018524B">
        <w:rPr>
          <w:rFonts w:ascii="Times New Roman" w:hAnsi="Times New Roman" w:cs="Times New Roman"/>
          <w:sz w:val="24"/>
          <w:szCs w:val="24"/>
        </w:rPr>
        <w:t xml:space="preserve"> wynikając</w:t>
      </w:r>
      <w:r w:rsidR="00E93401" w:rsidRPr="0018524B">
        <w:rPr>
          <w:rFonts w:ascii="Times New Roman" w:hAnsi="Times New Roman" w:cs="Times New Roman"/>
          <w:sz w:val="24"/>
          <w:szCs w:val="24"/>
        </w:rPr>
        <w:t>ych</w:t>
      </w:r>
      <w:r w:rsidR="00FC32A8" w:rsidRPr="0018524B">
        <w:rPr>
          <w:rFonts w:ascii="Times New Roman" w:hAnsi="Times New Roman" w:cs="Times New Roman"/>
          <w:sz w:val="24"/>
          <w:szCs w:val="24"/>
        </w:rPr>
        <w:t xml:space="preserve"> z dyrektywy 2018/843, </w:t>
      </w:r>
      <w:r w:rsidR="00E93401" w:rsidRPr="0018524B">
        <w:rPr>
          <w:rFonts w:ascii="Times New Roman" w:hAnsi="Times New Roman" w:cs="Times New Roman"/>
          <w:sz w:val="24"/>
          <w:szCs w:val="24"/>
        </w:rPr>
        <w:t xml:space="preserve">jednocześnie </w:t>
      </w:r>
      <w:r w:rsidR="00FC32A8" w:rsidRPr="0018524B">
        <w:rPr>
          <w:rFonts w:ascii="Times New Roman" w:hAnsi="Times New Roman" w:cs="Times New Roman"/>
          <w:sz w:val="24"/>
          <w:szCs w:val="24"/>
        </w:rPr>
        <w:t>w sposób możliw</w:t>
      </w:r>
      <w:r w:rsidR="00E93401" w:rsidRPr="0018524B">
        <w:rPr>
          <w:rFonts w:ascii="Times New Roman" w:hAnsi="Times New Roman" w:cs="Times New Roman"/>
          <w:sz w:val="24"/>
          <w:szCs w:val="24"/>
        </w:rPr>
        <w:t>i</w:t>
      </w:r>
      <w:r w:rsidR="00FC32A8" w:rsidRPr="0018524B">
        <w:rPr>
          <w:rFonts w:ascii="Times New Roman" w:hAnsi="Times New Roman" w:cs="Times New Roman"/>
          <w:sz w:val="24"/>
          <w:szCs w:val="24"/>
        </w:rPr>
        <w:t>e zbliżony oddaje układ jednostek redakcyjnych oraz siatkę pojęciową 5AMLD.</w:t>
      </w:r>
    </w:p>
    <w:p w14:paraId="531CF482" w14:textId="0E3CF0E5" w:rsidR="00E93401" w:rsidRPr="0018524B" w:rsidRDefault="0068703E" w:rsidP="00E93401">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Przepisy krajowe regulujące przeciwdziałanie praniu pieniędzy zawarte są przede wszystkim w ustawie o p</w:t>
      </w:r>
      <w:r w:rsidR="00C4722A" w:rsidRPr="0018524B">
        <w:rPr>
          <w:rFonts w:ascii="Times New Roman" w:hAnsi="Times New Roman" w:cs="Times New Roman"/>
          <w:sz w:val="24"/>
          <w:szCs w:val="24"/>
        </w:rPr>
        <w:t>.</w:t>
      </w:r>
      <w:r w:rsidRPr="0018524B">
        <w:rPr>
          <w:rFonts w:ascii="Times New Roman" w:hAnsi="Times New Roman" w:cs="Times New Roman"/>
          <w:sz w:val="24"/>
          <w:szCs w:val="24"/>
        </w:rPr>
        <w:t>p</w:t>
      </w:r>
      <w:r w:rsidR="00C4722A" w:rsidRPr="0018524B">
        <w:rPr>
          <w:rFonts w:ascii="Times New Roman" w:hAnsi="Times New Roman" w:cs="Times New Roman"/>
          <w:sz w:val="24"/>
          <w:szCs w:val="24"/>
        </w:rPr>
        <w:t>.</w:t>
      </w:r>
      <w:r w:rsidRPr="0018524B">
        <w:rPr>
          <w:rFonts w:ascii="Times New Roman" w:hAnsi="Times New Roman" w:cs="Times New Roman"/>
          <w:sz w:val="24"/>
          <w:szCs w:val="24"/>
        </w:rPr>
        <w:t>p</w:t>
      </w:r>
      <w:r w:rsidR="00C4722A" w:rsidRPr="0018524B">
        <w:rPr>
          <w:rFonts w:ascii="Times New Roman" w:hAnsi="Times New Roman" w:cs="Times New Roman"/>
          <w:sz w:val="24"/>
          <w:szCs w:val="24"/>
        </w:rPr>
        <w:t>.</w:t>
      </w:r>
      <w:r w:rsidRPr="0018524B">
        <w:rPr>
          <w:rFonts w:ascii="Times New Roman" w:hAnsi="Times New Roman" w:cs="Times New Roman"/>
          <w:sz w:val="24"/>
          <w:szCs w:val="24"/>
        </w:rPr>
        <w:t>f</w:t>
      </w:r>
      <w:r w:rsidR="00C4722A" w:rsidRPr="0018524B">
        <w:rPr>
          <w:rFonts w:ascii="Times New Roman" w:hAnsi="Times New Roman" w:cs="Times New Roman"/>
          <w:sz w:val="24"/>
          <w:szCs w:val="24"/>
        </w:rPr>
        <w:t>.</w:t>
      </w:r>
      <w:r w:rsidRPr="0018524B">
        <w:rPr>
          <w:rFonts w:ascii="Times New Roman" w:hAnsi="Times New Roman" w:cs="Times New Roman"/>
          <w:sz w:val="24"/>
          <w:szCs w:val="24"/>
        </w:rPr>
        <w:t>t</w:t>
      </w:r>
      <w:r w:rsidR="00C4722A" w:rsidRPr="0018524B">
        <w:rPr>
          <w:rFonts w:ascii="Times New Roman" w:hAnsi="Times New Roman" w:cs="Times New Roman"/>
          <w:sz w:val="24"/>
          <w:szCs w:val="24"/>
        </w:rPr>
        <w:t>.</w:t>
      </w:r>
      <w:r w:rsidR="007C2402" w:rsidRPr="0018524B">
        <w:rPr>
          <w:rFonts w:ascii="Times New Roman" w:hAnsi="Times New Roman" w:cs="Times New Roman"/>
          <w:sz w:val="24"/>
          <w:szCs w:val="24"/>
        </w:rPr>
        <w:t>. Prawidłowa transpozycja do krajowego porządku prawnego wymogów prawa unijnego wynikających ze zmienionej przez 5AMLD, dyrektywy 2015/849 wymaga nowelizacji ustawy o p</w:t>
      </w:r>
      <w:r w:rsidR="00C4722A" w:rsidRPr="0018524B">
        <w:rPr>
          <w:rFonts w:ascii="Times New Roman" w:hAnsi="Times New Roman" w:cs="Times New Roman"/>
          <w:sz w:val="24"/>
          <w:szCs w:val="24"/>
        </w:rPr>
        <w:t>.</w:t>
      </w:r>
      <w:r w:rsidR="007C2402" w:rsidRPr="0018524B">
        <w:rPr>
          <w:rFonts w:ascii="Times New Roman" w:hAnsi="Times New Roman" w:cs="Times New Roman"/>
          <w:sz w:val="24"/>
          <w:szCs w:val="24"/>
        </w:rPr>
        <w:t>p</w:t>
      </w:r>
      <w:r w:rsidR="00C4722A" w:rsidRPr="0018524B">
        <w:rPr>
          <w:rFonts w:ascii="Times New Roman" w:hAnsi="Times New Roman" w:cs="Times New Roman"/>
          <w:sz w:val="24"/>
          <w:szCs w:val="24"/>
        </w:rPr>
        <w:t>.</w:t>
      </w:r>
      <w:r w:rsidR="007C2402" w:rsidRPr="0018524B">
        <w:rPr>
          <w:rFonts w:ascii="Times New Roman" w:hAnsi="Times New Roman" w:cs="Times New Roman"/>
          <w:sz w:val="24"/>
          <w:szCs w:val="24"/>
        </w:rPr>
        <w:t>p</w:t>
      </w:r>
      <w:r w:rsidR="00C4722A" w:rsidRPr="0018524B">
        <w:rPr>
          <w:rFonts w:ascii="Times New Roman" w:hAnsi="Times New Roman" w:cs="Times New Roman"/>
          <w:sz w:val="24"/>
          <w:szCs w:val="24"/>
        </w:rPr>
        <w:t>.</w:t>
      </w:r>
      <w:r w:rsidR="007C2402" w:rsidRPr="0018524B">
        <w:rPr>
          <w:rFonts w:ascii="Times New Roman" w:hAnsi="Times New Roman" w:cs="Times New Roman"/>
          <w:sz w:val="24"/>
          <w:szCs w:val="24"/>
        </w:rPr>
        <w:t>f</w:t>
      </w:r>
      <w:r w:rsidR="00C4722A" w:rsidRPr="0018524B">
        <w:rPr>
          <w:rFonts w:ascii="Times New Roman" w:hAnsi="Times New Roman" w:cs="Times New Roman"/>
          <w:sz w:val="24"/>
          <w:szCs w:val="24"/>
        </w:rPr>
        <w:t>.</w:t>
      </w:r>
      <w:r w:rsidR="007C2402" w:rsidRPr="0018524B">
        <w:rPr>
          <w:rFonts w:ascii="Times New Roman" w:hAnsi="Times New Roman" w:cs="Times New Roman"/>
          <w:sz w:val="24"/>
          <w:szCs w:val="24"/>
        </w:rPr>
        <w:t>t</w:t>
      </w:r>
      <w:r w:rsidR="00C4722A" w:rsidRPr="0018524B">
        <w:rPr>
          <w:rFonts w:ascii="Times New Roman" w:hAnsi="Times New Roman" w:cs="Times New Roman"/>
          <w:sz w:val="24"/>
          <w:szCs w:val="24"/>
        </w:rPr>
        <w:t>.</w:t>
      </w:r>
      <w:r w:rsidR="007C2402" w:rsidRPr="0018524B">
        <w:rPr>
          <w:rFonts w:ascii="Times New Roman" w:hAnsi="Times New Roman" w:cs="Times New Roman"/>
          <w:sz w:val="24"/>
          <w:szCs w:val="24"/>
        </w:rPr>
        <w:t>, a także niektórych innych ustaw</w:t>
      </w:r>
      <w:r w:rsidR="00FD467C" w:rsidRPr="0018524B">
        <w:rPr>
          <w:rFonts w:ascii="Times New Roman" w:hAnsi="Times New Roman" w:cs="Times New Roman"/>
          <w:sz w:val="24"/>
          <w:szCs w:val="24"/>
        </w:rPr>
        <w:t>, czemu dedykowany jest przedmiotowy projekt</w:t>
      </w:r>
      <w:r w:rsidR="00FB46D6" w:rsidRPr="0018524B">
        <w:rPr>
          <w:rFonts w:ascii="Times New Roman" w:hAnsi="Times New Roman" w:cs="Times New Roman"/>
          <w:sz w:val="24"/>
          <w:szCs w:val="24"/>
        </w:rPr>
        <w:t>.</w:t>
      </w:r>
      <w:r w:rsidR="003046BB" w:rsidRPr="0018524B">
        <w:rPr>
          <w:rFonts w:ascii="Times New Roman" w:hAnsi="Times New Roman" w:cs="Times New Roman"/>
          <w:sz w:val="24"/>
          <w:szCs w:val="24"/>
        </w:rPr>
        <w:t xml:space="preserve"> Projekt zawiera również przepisy o charakterze doprecyzowującym, </w:t>
      </w:r>
      <w:r w:rsidR="003046BB" w:rsidRPr="0018524B">
        <w:rPr>
          <w:rFonts w:ascii="Times New Roman" w:hAnsi="Times New Roman" w:cs="Times New Roman"/>
          <w:sz w:val="24"/>
          <w:szCs w:val="24"/>
        </w:rPr>
        <w:lastRenderedPageBreak/>
        <w:t>modyfikujące treść obecnie obowiązujących przepisów ustawy o p.p.p.f.t. transponujących dyrektywę 2015/849 (w jej pierwotnym brzmieniu). Zmiana redakcji powyższych przepisów jest zabiegiem o charakterze technicznym lub podyktowana jest potrzebą wyeliminowania pewnych wątpliwości o charakterze interpretacyjnym ale nie przesądza w swojej istocie o wdrożeniu przepisów dyrektywy 2015/849.</w:t>
      </w:r>
      <w:r w:rsidR="00C6045B">
        <w:rPr>
          <w:rFonts w:ascii="Times New Roman" w:hAnsi="Times New Roman" w:cs="Times New Roman"/>
          <w:sz w:val="24"/>
          <w:szCs w:val="24"/>
        </w:rPr>
        <w:t xml:space="preserve"> </w:t>
      </w:r>
    </w:p>
    <w:p w14:paraId="57BF9F98" w14:textId="6BCB008A" w:rsidR="00E93401" w:rsidRPr="0018524B" w:rsidRDefault="00E93401" w:rsidP="00E93401">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W związku z dodaniem do przepisów ustawy o p.p.p.f.t. </w:t>
      </w:r>
      <w:r w:rsidR="001C16B6">
        <w:rPr>
          <w:rFonts w:ascii="Times New Roman" w:hAnsi="Times New Roman" w:cs="Times New Roman"/>
          <w:sz w:val="24"/>
          <w:szCs w:val="24"/>
        </w:rPr>
        <w:t>r</w:t>
      </w:r>
      <w:r w:rsidRPr="0018524B">
        <w:rPr>
          <w:rFonts w:ascii="Times New Roman" w:hAnsi="Times New Roman" w:cs="Times New Roman"/>
          <w:sz w:val="24"/>
          <w:szCs w:val="24"/>
        </w:rPr>
        <w:t>ozdziału 11a zawierającego przepisy regulujące reglamentacje wykonywania działalności gospodarczej przez instytucje obowiązane wykonujące działalność na rzecz spółek lub trustów oraz działalność w zakresie walut wirtualnych uszczegółowiony zostanie art. 1 ustawy o p.p.p.f.t., określający zakres przedmiotowy ustawy.</w:t>
      </w:r>
    </w:p>
    <w:p w14:paraId="615C3CC6" w14:textId="158B1F78" w:rsidR="00C65A1D" w:rsidRPr="0018524B" w:rsidRDefault="006666BA"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Art. 1 pkt 1 lit. a dyrektywy 2018/843</w:t>
      </w:r>
      <w:r w:rsidR="008C2FE0" w:rsidRPr="0018524B">
        <w:rPr>
          <w:rFonts w:ascii="Times New Roman" w:hAnsi="Times New Roman" w:cs="Times New Roman"/>
          <w:sz w:val="24"/>
          <w:szCs w:val="24"/>
        </w:rPr>
        <w:t xml:space="preserve"> nadający nowe brzmienie art. 2 ust. 1 pkt 3 lit. a dyrektywy 2015/849</w:t>
      </w:r>
      <w:r w:rsidRPr="0018524B">
        <w:rPr>
          <w:rFonts w:ascii="Times New Roman" w:hAnsi="Times New Roman" w:cs="Times New Roman"/>
          <w:sz w:val="24"/>
          <w:szCs w:val="24"/>
        </w:rPr>
        <w:t xml:space="preserve"> zostanie transponowany do krajowego porządku prawnego poprzez </w:t>
      </w:r>
      <w:r w:rsidR="008F39C3" w:rsidRPr="0018524B">
        <w:rPr>
          <w:rFonts w:ascii="Times New Roman" w:hAnsi="Times New Roman" w:cs="Times New Roman"/>
          <w:sz w:val="24"/>
          <w:szCs w:val="24"/>
        </w:rPr>
        <w:t xml:space="preserve">dodanie </w:t>
      </w:r>
      <w:r w:rsidR="008F39C3" w:rsidRPr="0018524B">
        <w:rPr>
          <w:rFonts w:ascii="Times New Roman" w:hAnsi="Times New Roman" w:cs="Times New Roman"/>
          <w:b/>
          <w:sz w:val="24"/>
          <w:szCs w:val="24"/>
        </w:rPr>
        <w:t>pkt 15a do</w:t>
      </w:r>
      <w:r w:rsidRPr="0018524B">
        <w:rPr>
          <w:rFonts w:ascii="Times New Roman" w:hAnsi="Times New Roman" w:cs="Times New Roman"/>
          <w:sz w:val="24"/>
          <w:szCs w:val="24"/>
        </w:rPr>
        <w:t xml:space="preserve"> </w:t>
      </w:r>
      <w:r w:rsidRPr="0018524B">
        <w:rPr>
          <w:rFonts w:ascii="Times New Roman" w:hAnsi="Times New Roman" w:cs="Times New Roman"/>
          <w:b/>
          <w:sz w:val="24"/>
          <w:szCs w:val="24"/>
        </w:rPr>
        <w:t>art. 2 ust. 1 ustawy o p.p.p.f.t.</w:t>
      </w:r>
      <w:r w:rsidRPr="0018524B">
        <w:rPr>
          <w:rFonts w:ascii="Times New Roman" w:hAnsi="Times New Roman" w:cs="Times New Roman"/>
          <w:sz w:val="24"/>
          <w:szCs w:val="24"/>
        </w:rPr>
        <w:t xml:space="preserve"> Zgodnie</w:t>
      </w:r>
      <w:r w:rsidR="009C207B" w:rsidRPr="0018524B">
        <w:rPr>
          <w:rFonts w:ascii="Times New Roman" w:hAnsi="Times New Roman" w:cs="Times New Roman"/>
          <w:sz w:val="24"/>
          <w:szCs w:val="24"/>
        </w:rPr>
        <w:t xml:space="preserve"> </w:t>
      </w:r>
      <w:r w:rsidRPr="0018524B">
        <w:rPr>
          <w:rFonts w:ascii="Times New Roman" w:hAnsi="Times New Roman" w:cs="Times New Roman"/>
          <w:sz w:val="24"/>
          <w:szCs w:val="24"/>
        </w:rPr>
        <w:t>z</w:t>
      </w:r>
      <w:r w:rsidR="008C2FE0" w:rsidRPr="0018524B">
        <w:rPr>
          <w:rFonts w:ascii="Times New Roman" w:hAnsi="Times New Roman" w:cs="Times New Roman"/>
          <w:sz w:val="24"/>
          <w:szCs w:val="24"/>
        </w:rPr>
        <w:t>e znowelizowanym</w:t>
      </w:r>
      <w:r w:rsidRPr="0018524B">
        <w:rPr>
          <w:rFonts w:ascii="Times New Roman" w:hAnsi="Times New Roman" w:cs="Times New Roman"/>
          <w:sz w:val="24"/>
          <w:szCs w:val="24"/>
        </w:rPr>
        <w:t xml:space="preserve"> przepisem dyrektywy 201</w:t>
      </w:r>
      <w:r w:rsidR="008C2FE0" w:rsidRPr="0018524B">
        <w:rPr>
          <w:rFonts w:ascii="Times New Roman" w:hAnsi="Times New Roman" w:cs="Times New Roman"/>
          <w:sz w:val="24"/>
          <w:szCs w:val="24"/>
        </w:rPr>
        <w:t>5</w:t>
      </w:r>
      <w:r w:rsidRPr="0018524B">
        <w:rPr>
          <w:rFonts w:ascii="Times New Roman" w:hAnsi="Times New Roman" w:cs="Times New Roman"/>
          <w:sz w:val="24"/>
          <w:szCs w:val="24"/>
        </w:rPr>
        <w:t>/84</w:t>
      </w:r>
      <w:r w:rsidR="008C2FE0" w:rsidRPr="0018524B">
        <w:rPr>
          <w:rFonts w:ascii="Times New Roman" w:hAnsi="Times New Roman" w:cs="Times New Roman"/>
          <w:sz w:val="24"/>
          <w:szCs w:val="24"/>
        </w:rPr>
        <w:t>9</w:t>
      </w:r>
      <w:r w:rsidRPr="0018524B">
        <w:rPr>
          <w:rFonts w:ascii="Times New Roman" w:hAnsi="Times New Roman" w:cs="Times New Roman"/>
          <w:sz w:val="24"/>
          <w:szCs w:val="24"/>
        </w:rPr>
        <w:t xml:space="preserve"> obowiązki związane z przeciwdziałaniem praniu pieniędzy oraz finansowaniu terroryzmu ciążyć powinny nie tylko na </w:t>
      </w:r>
      <w:r w:rsidR="000F7D62" w:rsidRPr="0018524B">
        <w:rPr>
          <w:rFonts w:ascii="Times New Roman" w:hAnsi="Times New Roman" w:cs="Times New Roman"/>
          <w:sz w:val="24"/>
          <w:szCs w:val="24"/>
        </w:rPr>
        <w:t xml:space="preserve">biegłych rewidentach, zewnętrznych księgowych oraz </w:t>
      </w:r>
      <w:r w:rsidRPr="0018524B">
        <w:rPr>
          <w:rFonts w:ascii="Times New Roman" w:hAnsi="Times New Roman" w:cs="Times New Roman"/>
          <w:sz w:val="24"/>
          <w:szCs w:val="24"/>
        </w:rPr>
        <w:t xml:space="preserve">doradcach podatkowych, ale również na </w:t>
      </w:r>
      <w:r w:rsidR="00EF1789" w:rsidRPr="0018524B">
        <w:rPr>
          <w:rFonts w:ascii="Times New Roman" w:hAnsi="Times New Roman" w:cs="Times New Roman"/>
          <w:sz w:val="24"/>
          <w:szCs w:val="24"/>
        </w:rPr>
        <w:t xml:space="preserve">innych osobach </w:t>
      </w:r>
      <w:r w:rsidRPr="0018524B">
        <w:rPr>
          <w:rFonts w:ascii="Times New Roman" w:hAnsi="Times New Roman" w:cs="Times New Roman"/>
          <w:sz w:val="24"/>
          <w:szCs w:val="24"/>
        </w:rPr>
        <w:t>świadczących</w:t>
      </w:r>
      <w:r w:rsidR="00EF1789" w:rsidRPr="0018524B">
        <w:rPr>
          <w:rFonts w:ascii="Times New Roman" w:hAnsi="Times New Roman" w:cs="Times New Roman"/>
          <w:sz w:val="24"/>
          <w:szCs w:val="24"/>
        </w:rPr>
        <w:t xml:space="preserve"> w ramach prowadzonej </w:t>
      </w:r>
      <w:r w:rsidR="00F31450" w:rsidRPr="0018524B">
        <w:rPr>
          <w:rFonts w:ascii="Times New Roman" w:hAnsi="Times New Roman" w:cs="Times New Roman"/>
          <w:sz w:val="24"/>
          <w:szCs w:val="24"/>
        </w:rPr>
        <w:t xml:space="preserve">podstawowej </w:t>
      </w:r>
      <w:r w:rsidR="00EF1789" w:rsidRPr="0018524B">
        <w:rPr>
          <w:rFonts w:ascii="Times New Roman" w:hAnsi="Times New Roman" w:cs="Times New Roman"/>
          <w:sz w:val="24"/>
          <w:szCs w:val="24"/>
        </w:rPr>
        <w:t xml:space="preserve">działalności gospodarczej lub zawodowej usługi obejmujące świadczenie porad w sprawach podatkowych. </w:t>
      </w:r>
      <w:r w:rsidR="00F54AC1" w:rsidRPr="0018524B">
        <w:rPr>
          <w:rFonts w:ascii="Times New Roman" w:hAnsi="Times New Roman" w:cs="Times New Roman"/>
          <w:sz w:val="24"/>
          <w:szCs w:val="24"/>
        </w:rPr>
        <w:t>Przepis d</w:t>
      </w:r>
      <w:r w:rsidR="008C2FE0" w:rsidRPr="0018524B">
        <w:rPr>
          <w:rFonts w:ascii="Times New Roman" w:hAnsi="Times New Roman" w:cs="Times New Roman"/>
          <w:sz w:val="24"/>
          <w:szCs w:val="24"/>
        </w:rPr>
        <w:t>yrektywy 2015/849</w:t>
      </w:r>
      <w:r w:rsidR="00F54AC1" w:rsidRPr="0018524B">
        <w:rPr>
          <w:rFonts w:ascii="Times New Roman" w:hAnsi="Times New Roman" w:cs="Times New Roman"/>
          <w:sz w:val="24"/>
          <w:szCs w:val="24"/>
        </w:rPr>
        <w:t xml:space="preserve"> wymaga nadania statusu instytucji obowiązanej „</w:t>
      </w:r>
      <w:r w:rsidR="00F54AC1" w:rsidRPr="0018524B">
        <w:rPr>
          <w:rFonts w:ascii="Times New Roman" w:hAnsi="Times New Roman" w:cs="Times New Roman"/>
          <w:i/>
          <w:sz w:val="24"/>
          <w:szCs w:val="24"/>
        </w:rPr>
        <w:t>jakiejkolwiek innej osobie, która zobowiązuje się udzielić, bezpośrednio lub za pośrednictwem innych osób, z którymi ta inna osoba jest powiązana, pomocy materialnej, wsparcia lub porad w sprawach podatkowych w ramach podstawowej działalności gospodarczej lub zawodowej</w:t>
      </w:r>
      <w:r w:rsidR="00F54AC1" w:rsidRPr="0018524B">
        <w:rPr>
          <w:rFonts w:ascii="Times New Roman" w:hAnsi="Times New Roman" w:cs="Times New Roman"/>
          <w:sz w:val="24"/>
          <w:szCs w:val="24"/>
        </w:rPr>
        <w:t xml:space="preserve">”. </w:t>
      </w:r>
      <w:r w:rsidR="00A865DC" w:rsidRPr="0018524B">
        <w:rPr>
          <w:rFonts w:ascii="Times New Roman" w:hAnsi="Times New Roman" w:cs="Times New Roman"/>
          <w:sz w:val="24"/>
          <w:szCs w:val="24"/>
        </w:rPr>
        <w:t>P</w:t>
      </w:r>
      <w:r w:rsidR="00F54AC1" w:rsidRPr="0018524B">
        <w:rPr>
          <w:rFonts w:ascii="Times New Roman" w:hAnsi="Times New Roman" w:cs="Times New Roman"/>
          <w:sz w:val="24"/>
          <w:szCs w:val="24"/>
        </w:rPr>
        <w:t>rawidłowa transpozycja przepisu</w:t>
      </w:r>
      <w:r w:rsidR="008C2FE0" w:rsidRPr="0018524B">
        <w:rPr>
          <w:rFonts w:ascii="Times New Roman" w:hAnsi="Times New Roman" w:cs="Times New Roman"/>
          <w:sz w:val="24"/>
          <w:szCs w:val="24"/>
        </w:rPr>
        <w:t xml:space="preserve"> dyrektywy 2015/849</w:t>
      </w:r>
      <w:r w:rsidR="00F54AC1" w:rsidRPr="0018524B">
        <w:rPr>
          <w:rFonts w:ascii="Times New Roman" w:hAnsi="Times New Roman" w:cs="Times New Roman"/>
          <w:sz w:val="24"/>
          <w:szCs w:val="24"/>
        </w:rPr>
        <w:t xml:space="preserve"> oprócz czynności obejmujących udzielenie porad w sprawach podatkowych wymaga uwzględnienia również pomocy materialnej lub wsparcia w sprawach podatkowych obejmujących sporz</w:t>
      </w:r>
      <w:r w:rsidR="00B04B01" w:rsidRPr="0018524B">
        <w:rPr>
          <w:rFonts w:ascii="Times New Roman" w:hAnsi="Times New Roman" w:cs="Times New Roman"/>
          <w:sz w:val="24"/>
          <w:szCs w:val="24"/>
        </w:rPr>
        <w:t xml:space="preserve">ądzanie deklaracji podatkowych lub </w:t>
      </w:r>
      <w:r w:rsidR="00F54AC1" w:rsidRPr="0018524B">
        <w:rPr>
          <w:rFonts w:ascii="Times New Roman" w:hAnsi="Times New Roman" w:cs="Times New Roman"/>
          <w:sz w:val="24"/>
          <w:szCs w:val="24"/>
        </w:rPr>
        <w:t>prowadzenie ksiąg podatkowych</w:t>
      </w:r>
      <w:r w:rsidR="00B04B01" w:rsidRPr="0018524B">
        <w:rPr>
          <w:rFonts w:ascii="Times New Roman" w:hAnsi="Times New Roman" w:cs="Times New Roman"/>
          <w:sz w:val="24"/>
          <w:szCs w:val="24"/>
        </w:rPr>
        <w:t>.</w:t>
      </w:r>
      <w:r w:rsidR="00ED2B96" w:rsidRPr="0018524B">
        <w:rPr>
          <w:rFonts w:ascii="Times New Roman" w:hAnsi="Times New Roman" w:cs="Times New Roman"/>
          <w:sz w:val="24"/>
          <w:szCs w:val="24"/>
        </w:rPr>
        <w:t xml:space="preserve"> Księgi podatkowe to księgi rachunkowe, podatkowa księga przychodów i rozchodów, ewidencje oraz rejestry, do których prowadzenia, do celów podatkowych, na podstawie odrębnych przepisów, obowiązani są podatnicy, płatnicy lub inkasenci, natomiast deklaracje to zeznania, wykazy, zestawienia oraz informacje, do których składania obowiązani są, na podstawie przepisów prawa podatkowego, podatnicy, płatnicy i inkasenci (art. 3 pkt 4 oraz art. 3 pkt 5 ustawy z dnia 29 sierpnia 1997 r. </w:t>
      </w:r>
      <w:r w:rsidR="00C6045B">
        <w:rPr>
          <w:rFonts w:ascii="Times New Roman" w:hAnsi="Times New Roman" w:cs="Times New Roman"/>
          <w:sz w:val="24"/>
          <w:szCs w:val="24"/>
        </w:rPr>
        <w:t>–</w:t>
      </w:r>
      <w:r w:rsidR="00ED2B96" w:rsidRPr="0018524B">
        <w:rPr>
          <w:rFonts w:ascii="Times New Roman" w:hAnsi="Times New Roman" w:cs="Times New Roman"/>
          <w:sz w:val="24"/>
          <w:szCs w:val="24"/>
        </w:rPr>
        <w:t xml:space="preserve"> </w:t>
      </w:r>
      <w:r w:rsidR="00ED2B96" w:rsidRPr="006A1D89">
        <w:rPr>
          <w:rFonts w:ascii="Times New Roman" w:hAnsi="Times New Roman" w:cs="Times New Roman"/>
          <w:i/>
          <w:sz w:val="24"/>
          <w:szCs w:val="24"/>
        </w:rPr>
        <w:t>Ordynacja podatkowa</w:t>
      </w:r>
      <w:r w:rsidR="006A1D89">
        <w:rPr>
          <w:rFonts w:ascii="Times New Roman" w:hAnsi="Times New Roman" w:cs="Times New Roman"/>
          <w:i/>
          <w:sz w:val="24"/>
          <w:szCs w:val="24"/>
        </w:rPr>
        <w:t xml:space="preserve"> </w:t>
      </w:r>
      <w:r w:rsidR="00C6045B">
        <w:rPr>
          <w:rFonts w:ascii="Times New Roman" w:hAnsi="Times New Roman" w:cs="Times New Roman"/>
          <w:sz w:val="24"/>
          <w:szCs w:val="24"/>
        </w:rPr>
        <w:t>–</w:t>
      </w:r>
      <w:r w:rsidR="006A1D89" w:rsidRPr="006A1D89">
        <w:rPr>
          <w:rFonts w:ascii="Times New Roman" w:hAnsi="Times New Roman" w:cs="Times New Roman"/>
          <w:sz w:val="24"/>
          <w:szCs w:val="24"/>
        </w:rPr>
        <w:t xml:space="preserve"> Dz. U. z 2020 r. poz. 1325,</w:t>
      </w:r>
      <w:r w:rsidR="00C6045B">
        <w:rPr>
          <w:rFonts w:ascii="Times New Roman" w:hAnsi="Times New Roman" w:cs="Times New Roman"/>
          <w:sz w:val="24"/>
          <w:szCs w:val="24"/>
        </w:rPr>
        <w:t xml:space="preserve"> </w:t>
      </w:r>
      <w:r w:rsidR="006A1D89" w:rsidRPr="006A1D89">
        <w:rPr>
          <w:rFonts w:ascii="Times New Roman" w:hAnsi="Times New Roman" w:cs="Times New Roman"/>
          <w:sz w:val="24"/>
          <w:szCs w:val="24"/>
        </w:rPr>
        <w:t>z późn. zm.</w:t>
      </w:r>
      <w:r w:rsidR="00ED2B96" w:rsidRPr="006A1D89">
        <w:rPr>
          <w:rFonts w:ascii="Times New Roman" w:hAnsi="Times New Roman" w:cs="Times New Roman"/>
          <w:sz w:val="24"/>
          <w:szCs w:val="24"/>
        </w:rPr>
        <w:t>)</w:t>
      </w:r>
      <w:r w:rsidR="00ED2B96" w:rsidRPr="0018524B">
        <w:rPr>
          <w:rFonts w:ascii="Times New Roman" w:hAnsi="Times New Roman" w:cs="Times New Roman"/>
          <w:sz w:val="24"/>
          <w:szCs w:val="24"/>
        </w:rPr>
        <w:t xml:space="preserve">. W ocenie projektodawcy, </w:t>
      </w:r>
      <w:r w:rsidR="00EA44DE" w:rsidRPr="0018524B">
        <w:rPr>
          <w:rFonts w:ascii="Times New Roman" w:hAnsi="Times New Roman" w:cs="Times New Roman"/>
          <w:sz w:val="24"/>
          <w:szCs w:val="24"/>
        </w:rPr>
        <w:t xml:space="preserve">prowadzenie ksiąg podatkowych </w:t>
      </w:r>
      <w:r w:rsidR="00ED2B96" w:rsidRPr="0018524B">
        <w:rPr>
          <w:rFonts w:ascii="Times New Roman" w:hAnsi="Times New Roman" w:cs="Times New Roman"/>
          <w:sz w:val="24"/>
          <w:szCs w:val="24"/>
        </w:rPr>
        <w:t>oraz sporządzanie deklaracji należy uznać za udzielenie pomocy materialnej lub wsparcia w sprawach podatkowych</w:t>
      </w:r>
      <w:r w:rsidR="00E51358" w:rsidRPr="0018524B">
        <w:rPr>
          <w:rFonts w:ascii="Times New Roman" w:hAnsi="Times New Roman" w:cs="Times New Roman"/>
          <w:sz w:val="24"/>
          <w:szCs w:val="24"/>
        </w:rPr>
        <w:t>. Ponadto</w:t>
      </w:r>
      <w:r w:rsidR="0031766A" w:rsidRPr="0018524B">
        <w:rPr>
          <w:rFonts w:ascii="Times New Roman" w:hAnsi="Times New Roman" w:cs="Times New Roman"/>
          <w:sz w:val="24"/>
          <w:szCs w:val="24"/>
        </w:rPr>
        <w:t xml:space="preserve"> wskazać należy</w:t>
      </w:r>
      <w:r w:rsidR="00E51358" w:rsidRPr="0018524B">
        <w:rPr>
          <w:rFonts w:ascii="Times New Roman" w:hAnsi="Times New Roman" w:cs="Times New Roman"/>
          <w:sz w:val="24"/>
          <w:szCs w:val="24"/>
        </w:rPr>
        <w:t xml:space="preserve">, że pojęcie „księgi podatkowe” jest pojęciem </w:t>
      </w:r>
      <w:r w:rsidR="00E51358" w:rsidRPr="0018524B">
        <w:rPr>
          <w:rFonts w:ascii="Times New Roman" w:hAnsi="Times New Roman" w:cs="Times New Roman"/>
          <w:sz w:val="24"/>
          <w:szCs w:val="24"/>
        </w:rPr>
        <w:lastRenderedPageBreak/>
        <w:t>szerszym od regulowanego w przepisach o rachunkowości pojęcia „księgi ra</w:t>
      </w:r>
      <w:r w:rsidR="00692029" w:rsidRPr="0018524B">
        <w:rPr>
          <w:rFonts w:ascii="Times New Roman" w:hAnsi="Times New Roman" w:cs="Times New Roman"/>
          <w:sz w:val="24"/>
          <w:szCs w:val="24"/>
        </w:rPr>
        <w:t>chunkowe”. Na podstawie art. 2 ust. 1 pkt 17 ustawy o p.p.p.f.t. instytucjami obowiązanymi są podmioty prowadzące działalność w zakresie usługowego prowadzenia ksiąg rachunkowych.</w:t>
      </w:r>
      <w:r w:rsidR="00EA44DE" w:rsidRPr="0018524B">
        <w:rPr>
          <w:rFonts w:ascii="Times New Roman" w:hAnsi="Times New Roman" w:cs="Times New Roman"/>
          <w:sz w:val="24"/>
          <w:szCs w:val="24"/>
        </w:rPr>
        <w:t xml:space="preserve"> </w:t>
      </w:r>
      <w:r w:rsidR="00EF1789" w:rsidRPr="0018524B">
        <w:rPr>
          <w:rFonts w:ascii="Times New Roman" w:hAnsi="Times New Roman" w:cs="Times New Roman"/>
          <w:sz w:val="24"/>
          <w:szCs w:val="24"/>
        </w:rPr>
        <w:t xml:space="preserve">Należy zauważyć, że zakres usług, których świadczenie </w:t>
      </w:r>
      <w:r w:rsidR="00DD65B6" w:rsidRPr="0018524B">
        <w:rPr>
          <w:rFonts w:ascii="Times New Roman" w:hAnsi="Times New Roman" w:cs="Times New Roman"/>
          <w:sz w:val="24"/>
          <w:szCs w:val="24"/>
        </w:rPr>
        <w:t>powodować będzie nabycie statusu instytucji obowiązanej mieści się w zakresie czynności doradztwa podatkowego</w:t>
      </w:r>
      <w:r w:rsidR="00692029" w:rsidRPr="0018524B">
        <w:rPr>
          <w:rFonts w:ascii="Times New Roman" w:hAnsi="Times New Roman" w:cs="Times New Roman"/>
          <w:sz w:val="24"/>
          <w:szCs w:val="24"/>
        </w:rPr>
        <w:t>,</w:t>
      </w:r>
      <w:r w:rsidR="00DD65B6" w:rsidRPr="0018524B">
        <w:rPr>
          <w:rFonts w:ascii="Times New Roman" w:hAnsi="Times New Roman" w:cs="Times New Roman"/>
          <w:sz w:val="24"/>
          <w:szCs w:val="24"/>
        </w:rPr>
        <w:t xml:space="preserve"> </w:t>
      </w:r>
      <w:r w:rsidR="00692029" w:rsidRPr="0018524B">
        <w:rPr>
          <w:rFonts w:ascii="Times New Roman" w:hAnsi="Times New Roman" w:cs="Times New Roman"/>
          <w:sz w:val="24"/>
          <w:szCs w:val="24"/>
        </w:rPr>
        <w:t>określonym</w:t>
      </w:r>
      <w:r w:rsidR="00DD65B6" w:rsidRPr="0018524B">
        <w:rPr>
          <w:rFonts w:ascii="Times New Roman" w:hAnsi="Times New Roman" w:cs="Times New Roman"/>
          <w:sz w:val="24"/>
          <w:szCs w:val="24"/>
        </w:rPr>
        <w:t xml:space="preserve"> w art. 2 ust. 1 pkt 1</w:t>
      </w:r>
      <w:r w:rsidR="00C6045B">
        <w:rPr>
          <w:rFonts w:ascii="Times New Roman" w:hAnsi="Times New Roman" w:cs="Times New Roman"/>
          <w:sz w:val="24"/>
          <w:szCs w:val="24"/>
        </w:rPr>
        <w:t>–</w:t>
      </w:r>
      <w:r w:rsidR="00F1022F" w:rsidRPr="0018524B">
        <w:rPr>
          <w:rFonts w:ascii="Times New Roman" w:hAnsi="Times New Roman" w:cs="Times New Roman"/>
          <w:sz w:val="24"/>
          <w:szCs w:val="24"/>
        </w:rPr>
        <w:t>5</w:t>
      </w:r>
      <w:r w:rsidR="00DD65B6" w:rsidRPr="0018524B">
        <w:rPr>
          <w:rFonts w:ascii="Times New Roman" w:hAnsi="Times New Roman" w:cs="Times New Roman"/>
          <w:sz w:val="24"/>
          <w:szCs w:val="24"/>
        </w:rPr>
        <w:t xml:space="preserve"> ustawy z dnia 5 lipca 1996 r. </w:t>
      </w:r>
      <w:r w:rsidR="00DD65B6" w:rsidRPr="0018524B">
        <w:rPr>
          <w:rFonts w:ascii="Times New Roman" w:hAnsi="Times New Roman" w:cs="Times New Roman"/>
          <w:i/>
          <w:sz w:val="24"/>
          <w:szCs w:val="24"/>
        </w:rPr>
        <w:t>o doradztwie podatkowym</w:t>
      </w:r>
      <w:r w:rsidR="00DD65B6" w:rsidRPr="0018524B">
        <w:rPr>
          <w:rFonts w:ascii="Times New Roman" w:hAnsi="Times New Roman" w:cs="Times New Roman"/>
          <w:sz w:val="24"/>
          <w:szCs w:val="24"/>
        </w:rPr>
        <w:t xml:space="preserve"> (Dz. U. z 20</w:t>
      </w:r>
      <w:r w:rsidR="006A1D89">
        <w:rPr>
          <w:rFonts w:ascii="Times New Roman" w:hAnsi="Times New Roman" w:cs="Times New Roman"/>
          <w:sz w:val="24"/>
          <w:szCs w:val="24"/>
        </w:rPr>
        <w:t>20</w:t>
      </w:r>
      <w:r w:rsidR="00DD65B6" w:rsidRPr="0018524B">
        <w:rPr>
          <w:rFonts w:ascii="Times New Roman" w:hAnsi="Times New Roman" w:cs="Times New Roman"/>
          <w:sz w:val="24"/>
          <w:szCs w:val="24"/>
        </w:rPr>
        <w:t xml:space="preserve"> r. poz. </w:t>
      </w:r>
      <w:r w:rsidR="006A1D89">
        <w:rPr>
          <w:rFonts w:ascii="Times New Roman" w:hAnsi="Times New Roman" w:cs="Times New Roman"/>
          <w:sz w:val="24"/>
          <w:szCs w:val="24"/>
        </w:rPr>
        <w:t>130</w:t>
      </w:r>
      <w:r w:rsidR="00B2574E">
        <w:rPr>
          <w:rFonts w:ascii="Times New Roman" w:hAnsi="Times New Roman" w:cs="Times New Roman"/>
          <w:sz w:val="24"/>
          <w:szCs w:val="24"/>
        </w:rPr>
        <w:t>, z późn. zm.</w:t>
      </w:r>
      <w:r w:rsidR="00DD65B6" w:rsidRPr="0018524B">
        <w:rPr>
          <w:rFonts w:ascii="Times New Roman" w:hAnsi="Times New Roman" w:cs="Times New Roman"/>
          <w:sz w:val="24"/>
          <w:szCs w:val="24"/>
        </w:rPr>
        <w:t>).</w:t>
      </w:r>
      <w:r w:rsidR="009C207B" w:rsidRPr="0018524B">
        <w:rPr>
          <w:rFonts w:ascii="Times New Roman" w:hAnsi="Times New Roman" w:cs="Times New Roman"/>
          <w:sz w:val="24"/>
          <w:szCs w:val="24"/>
        </w:rPr>
        <w:t xml:space="preserve"> </w:t>
      </w:r>
      <w:r w:rsidR="00F1022F" w:rsidRPr="0018524B">
        <w:rPr>
          <w:rFonts w:ascii="Times New Roman" w:hAnsi="Times New Roman" w:cs="Times New Roman"/>
          <w:sz w:val="24"/>
          <w:szCs w:val="24"/>
        </w:rPr>
        <w:t>Niemniej czynności wskazane w art. 2 ust. 1 pkt 2</w:t>
      </w:r>
      <w:r w:rsidR="00C6045B">
        <w:rPr>
          <w:rFonts w:ascii="Times New Roman" w:hAnsi="Times New Roman" w:cs="Times New Roman"/>
          <w:sz w:val="24"/>
          <w:szCs w:val="24"/>
        </w:rPr>
        <w:t>–</w:t>
      </w:r>
      <w:r w:rsidR="00F1022F" w:rsidRPr="0018524B">
        <w:rPr>
          <w:rFonts w:ascii="Times New Roman" w:hAnsi="Times New Roman" w:cs="Times New Roman"/>
          <w:sz w:val="24"/>
          <w:szCs w:val="24"/>
        </w:rPr>
        <w:t xml:space="preserve">3 ustawy o doradztwie podatkowym </w:t>
      </w:r>
      <w:r w:rsidR="008F39C3" w:rsidRPr="0018524B">
        <w:rPr>
          <w:rFonts w:ascii="Times New Roman" w:hAnsi="Times New Roman" w:cs="Times New Roman"/>
          <w:sz w:val="24"/>
          <w:szCs w:val="24"/>
        </w:rPr>
        <w:t xml:space="preserve">nie zostały zastrzeżone </w:t>
      </w:r>
      <w:r w:rsidR="00593F65" w:rsidRPr="0018524B">
        <w:rPr>
          <w:rFonts w:ascii="Times New Roman" w:hAnsi="Times New Roman" w:cs="Times New Roman"/>
          <w:sz w:val="24"/>
          <w:szCs w:val="24"/>
        </w:rPr>
        <w:t>jedynie</w:t>
      </w:r>
      <w:r w:rsidR="008F39C3" w:rsidRPr="0018524B">
        <w:rPr>
          <w:rFonts w:ascii="Times New Roman" w:hAnsi="Times New Roman" w:cs="Times New Roman"/>
          <w:sz w:val="24"/>
          <w:szCs w:val="24"/>
        </w:rPr>
        <w:t xml:space="preserve"> dla doradców podatkowych</w:t>
      </w:r>
      <w:r w:rsidR="00527EEB" w:rsidRPr="0018524B">
        <w:rPr>
          <w:rFonts w:ascii="Times New Roman" w:hAnsi="Times New Roman" w:cs="Times New Roman"/>
          <w:sz w:val="24"/>
          <w:szCs w:val="24"/>
        </w:rPr>
        <w:t xml:space="preserve">. </w:t>
      </w:r>
      <w:r w:rsidR="008F39C3" w:rsidRPr="0018524B">
        <w:rPr>
          <w:rFonts w:ascii="Times New Roman" w:hAnsi="Times New Roman" w:cs="Times New Roman"/>
          <w:sz w:val="24"/>
          <w:szCs w:val="24"/>
        </w:rPr>
        <w:t>Prawidłowa implementacja dyrektywy 2018/849 nie może zatem ograniczać się do uznania za instytucje obowiązane jedynie doradców podatkowych, a musi również uwzględniać wszelkie inne osoby wykonujące czynności mieszczące się w granicach czynności doradztwa podatkowego, dla których wykonywania nie jest wymagany wpis na listę doradców podatkowych.</w:t>
      </w:r>
      <w:r w:rsidR="008F39C3" w:rsidRPr="0018524B" w:rsidDel="00527EEB">
        <w:rPr>
          <w:rFonts w:ascii="Times New Roman" w:hAnsi="Times New Roman" w:cs="Times New Roman"/>
          <w:sz w:val="24"/>
          <w:szCs w:val="24"/>
        </w:rPr>
        <w:t xml:space="preserve"> </w:t>
      </w:r>
      <w:r w:rsidR="00527EEB" w:rsidRPr="0018524B">
        <w:rPr>
          <w:rFonts w:ascii="Times New Roman" w:hAnsi="Times New Roman" w:cs="Times New Roman"/>
          <w:sz w:val="24"/>
          <w:szCs w:val="24"/>
        </w:rPr>
        <w:t>Zauważyć ponadto należy, iż art. 138d Ordynacji podatkowej dopuszcza możliwość złożenia przez stronę postępowania podatkowego pełnomocnictwa ogólnego upoważniającego do działania we wszystkich sprawach podatkowych oraz w innych sprawach należących do właściwości organów podatkowych. Przedsiębiorca, który został ustanowiony pełnomocnikiem ogólnym na podstawie art.</w:t>
      </w:r>
      <w:r w:rsidR="00A66CE5" w:rsidRPr="0018524B">
        <w:rPr>
          <w:rFonts w:ascii="Times New Roman" w:hAnsi="Times New Roman" w:cs="Times New Roman"/>
          <w:sz w:val="24"/>
          <w:szCs w:val="24"/>
        </w:rPr>
        <w:t xml:space="preserve"> 138d Ordynacji podatkowej, w związku z czym zobowiązał się do udzielenia w jakiejkolwiek formie wsparcia w sprawach podatkowych</w:t>
      </w:r>
      <w:r w:rsidR="008F39C3" w:rsidRPr="0018524B">
        <w:rPr>
          <w:rFonts w:ascii="Times New Roman" w:hAnsi="Times New Roman" w:cs="Times New Roman"/>
          <w:sz w:val="24"/>
          <w:szCs w:val="24"/>
        </w:rPr>
        <w:t>,</w:t>
      </w:r>
      <w:r w:rsidR="00A66CE5" w:rsidRPr="0018524B">
        <w:rPr>
          <w:rFonts w:ascii="Times New Roman" w:hAnsi="Times New Roman" w:cs="Times New Roman"/>
          <w:sz w:val="24"/>
          <w:szCs w:val="24"/>
        </w:rPr>
        <w:t xml:space="preserve"> musi zostać uznany za instytucję obowiązaną zgodnie z art. 2 ust. 1 pkt 15a ustawy o</w:t>
      </w:r>
      <w:r w:rsidR="008F39C3" w:rsidRPr="0018524B">
        <w:rPr>
          <w:rFonts w:ascii="Times New Roman" w:hAnsi="Times New Roman" w:cs="Times New Roman"/>
          <w:sz w:val="24"/>
          <w:szCs w:val="24"/>
        </w:rPr>
        <w:t xml:space="preserve"> p.</w:t>
      </w:r>
      <w:r w:rsidR="00A66CE5" w:rsidRPr="0018524B">
        <w:rPr>
          <w:rFonts w:ascii="Times New Roman" w:hAnsi="Times New Roman" w:cs="Times New Roman"/>
          <w:sz w:val="24"/>
          <w:szCs w:val="24"/>
        </w:rPr>
        <w:t>p.p.f.t.</w:t>
      </w:r>
      <w:r w:rsidR="008F39C3" w:rsidRPr="0018524B">
        <w:rPr>
          <w:rFonts w:ascii="Times New Roman" w:hAnsi="Times New Roman" w:cs="Times New Roman"/>
          <w:sz w:val="24"/>
          <w:szCs w:val="24"/>
        </w:rPr>
        <w:t xml:space="preserve"> (co wynika ze znowelizowanego art. 2 ust. 1 pkt 3 lit. a dyrektywy 2015/849).</w:t>
      </w:r>
      <w:r w:rsidR="00C6045B">
        <w:rPr>
          <w:rFonts w:ascii="Times New Roman" w:hAnsi="Times New Roman" w:cs="Times New Roman"/>
          <w:sz w:val="24"/>
          <w:szCs w:val="24"/>
        </w:rPr>
        <w:t xml:space="preserve"> </w:t>
      </w:r>
      <w:r w:rsidR="008F39C3" w:rsidRPr="0018524B">
        <w:rPr>
          <w:rFonts w:ascii="Times New Roman" w:hAnsi="Times New Roman" w:cs="Times New Roman"/>
          <w:sz w:val="24"/>
          <w:szCs w:val="24"/>
        </w:rPr>
        <w:t xml:space="preserve">Zgodnie z art. 4 ust. 1 ustawy o doradztwie podatkowym, czynności doradztwa podatkowego mogą być wykonywane również przez takie podmioty jak stowarzyszenia, spółdzielnie, spółki z ograniczoną odpowiedzialnością, czy spółki akcyjne (na warunkach określonych w tej ustawie). Jednocześnie zgodnie z art. 4 ust. 2 ustawy o doradztwie podatkowym, dopuszczalne jest wykonywanie przez takie podmioty działalności polegającej na świadczeniu usług w zakresie doradztwa podatkowego, z udziałem osób niebędących doradcami podatkowymi. </w:t>
      </w:r>
      <w:r w:rsidR="000F7D62" w:rsidRPr="0018524B">
        <w:rPr>
          <w:rFonts w:ascii="Times New Roman" w:hAnsi="Times New Roman" w:cs="Times New Roman"/>
          <w:sz w:val="24"/>
          <w:szCs w:val="24"/>
        </w:rPr>
        <w:t>Prawidłowa transpozycja przepisów dyrektywy 201</w:t>
      </w:r>
      <w:r w:rsidR="00B32F6A" w:rsidRPr="0018524B">
        <w:rPr>
          <w:rFonts w:ascii="Times New Roman" w:hAnsi="Times New Roman" w:cs="Times New Roman"/>
          <w:sz w:val="24"/>
          <w:szCs w:val="24"/>
        </w:rPr>
        <w:t>8</w:t>
      </w:r>
      <w:r w:rsidR="000F7D62" w:rsidRPr="0018524B">
        <w:rPr>
          <w:rFonts w:ascii="Times New Roman" w:hAnsi="Times New Roman" w:cs="Times New Roman"/>
          <w:sz w:val="24"/>
          <w:szCs w:val="24"/>
        </w:rPr>
        <w:t xml:space="preserve">/843 </w:t>
      </w:r>
      <w:r w:rsidR="00527EEB" w:rsidRPr="0018524B">
        <w:rPr>
          <w:rFonts w:ascii="Times New Roman" w:hAnsi="Times New Roman" w:cs="Times New Roman"/>
          <w:sz w:val="24"/>
          <w:szCs w:val="24"/>
        </w:rPr>
        <w:t xml:space="preserve">nie może zatem ograniczać się do uznania za instytucje obowiązane jedynie doradców podatkowych, a musi również uwzględniać wszelkie inne osoby wykonujące czynności </w:t>
      </w:r>
      <w:r w:rsidR="008F39C3" w:rsidRPr="0018524B">
        <w:rPr>
          <w:rFonts w:ascii="Times New Roman" w:hAnsi="Times New Roman" w:cs="Times New Roman"/>
          <w:sz w:val="24"/>
          <w:szCs w:val="24"/>
        </w:rPr>
        <w:t>polegające na udzielaniu wsparcia lub porad w sprawach podatkowych (jak wynika ze znowelizowanego art. 2 ust. 1 pkt 3 lit. a dyrektywy 2015/849), co znajduje odzwierciedlenie w art. 1 ust. 2 pkt 15a ustawy o p.p.p.f.t.</w:t>
      </w:r>
      <w:r w:rsidR="00692029" w:rsidRPr="0018524B">
        <w:t xml:space="preserve"> </w:t>
      </w:r>
    </w:p>
    <w:p w14:paraId="2A946208" w14:textId="7E889ACB" w:rsidR="00F4607E" w:rsidRPr="0018524B" w:rsidRDefault="00F4607E"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Zmiana w </w:t>
      </w:r>
      <w:r w:rsidRPr="0018524B">
        <w:rPr>
          <w:rFonts w:ascii="Times New Roman" w:hAnsi="Times New Roman" w:cs="Times New Roman"/>
          <w:b/>
          <w:sz w:val="24"/>
          <w:szCs w:val="24"/>
        </w:rPr>
        <w:t>art. 2 ust. 1 pkt 18 ustawy o p.p.p.f.t.</w:t>
      </w:r>
      <w:r w:rsidRPr="0018524B">
        <w:rPr>
          <w:rFonts w:ascii="Times New Roman" w:hAnsi="Times New Roman" w:cs="Times New Roman"/>
          <w:sz w:val="24"/>
          <w:szCs w:val="24"/>
        </w:rPr>
        <w:t xml:space="preserve"> jest zmianą o charakterze technicznym. Pośrednicy nieruchomości są instytucjami obowiązanymi na podstawie obecnie obowiązujących przepisów</w:t>
      </w:r>
      <w:r w:rsidR="00564B0D">
        <w:rPr>
          <w:rFonts w:ascii="Times New Roman" w:hAnsi="Times New Roman" w:cs="Times New Roman"/>
          <w:sz w:val="24"/>
          <w:szCs w:val="24"/>
        </w:rPr>
        <w:t>,</w:t>
      </w:r>
      <w:r w:rsidR="00564B0D" w:rsidRPr="00564B0D">
        <w:rPr>
          <w:rFonts w:ascii="Times New Roman" w:hAnsi="Times New Roman" w:cs="Times New Roman"/>
          <w:sz w:val="24"/>
          <w:szCs w:val="24"/>
        </w:rPr>
        <w:t xml:space="preserve"> </w:t>
      </w:r>
      <w:r w:rsidR="00564B0D">
        <w:rPr>
          <w:rFonts w:ascii="Times New Roman" w:hAnsi="Times New Roman" w:cs="Times New Roman"/>
          <w:sz w:val="24"/>
          <w:szCs w:val="24"/>
        </w:rPr>
        <w:t xml:space="preserve">zgodnie z którymi status pośredników nieruchomości dotyczy </w:t>
      </w:r>
      <w:r w:rsidR="00564B0D">
        <w:rPr>
          <w:rFonts w:ascii="Times New Roman" w:hAnsi="Times New Roman" w:cs="Times New Roman"/>
          <w:sz w:val="24"/>
          <w:szCs w:val="24"/>
        </w:rPr>
        <w:lastRenderedPageBreak/>
        <w:t>wszystkich czynności pośrednictwa w obrocie nieruchomościami i nie jest ograniczony kwotowo. Zmiana obejmuje jedynie,</w:t>
      </w:r>
      <w:r w:rsidRPr="0018524B">
        <w:rPr>
          <w:rFonts w:ascii="Times New Roman" w:hAnsi="Times New Roman" w:cs="Times New Roman"/>
          <w:sz w:val="24"/>
          <w:szCs w:val="24"/>
        </w:rPr>
        <w:t xml:space="preserve"> </w:t>
      </w:r>
      <w:r w:rsidR="00564B0D">
        <w:rPr>
          <w:rFonts w:ascii="Times New Roman" w:hAnsi="Times New Roman" w:cs="Times New Roman"/>
          <w:sz w:val="24"/>
          <w:szCs w:val="24"/>
        </w:rPr>
        <w:t>z</w:t>
      </w:r>
      <w:r w:rsidRPr="0018524B">
        <w:rPr>
          <w:rFonts w:ascii="Times New Roman" w:hAnsi="Times New Roman" w:cs="Times New Roman"/>
          <w:sz w:val="24"/>
          <w:szCs w:val="24"/>
        </w:rPr>
        <w:t>godne z zasadami techniki legislacyjnej</w:t>
      </w:r>
      <w:r w:rsidR="00564B0D">
        <w:rPr>
          <w:rFonts w:ascii="Times New Roman" w:hAnsi="Times New Roman" w:cs="Times New Roman"/>
          <w:sz w:val="24"/>
          <w:szCs w:val="24"/>
        </w:rPr>
        <w:t>,</w:t>
      </w:r>
      <w:r w:rsidRPr="0018524B">
        <w:rPr>
          <w:rFonts w:ascii="Times New Roman" w:hAnsi="Times New Roman" w:cs="Times New Roman"/>
          <w:sz w:val="24"/>
          <w:szCs w:val="24"/>
        </w:rPr>
        <w:t xml:space="preserve"> przywołan</w:t>
      </w:r>
      <w:r w:rsidR="00564B0D">
        <w:rPr>
          <w:rFonts w:ascii="Times New Roman" w:hAnsi="Times New Roman" w:cs="Times New Roman"/>
          <w:sz w:val="24"/>
          <w:szCs w:val="24"/>
        </w:rPr>
        <w:t>ie</w:t>
      </w:r>
      <w:r w:rsidRPr="0018524B">
        <w:rPr>
          <w:rFonts w:ascii="Times New Roman" w:hAnsi="Times New Roman" w:cs="Times New Roman"/>
          <w:sz w:val="24"/>
          <w:szCs w:val="24"/>
        </w:rPr>
        <w:t xml:space="preserve"> peł</w:t>
      </w:r>
      <w:r w:rsidR="00564B0D">
        <w:rPr>
          <w:rFonts w:ascii="Times New Roman" w:hAnsi="Times New Roman" w:cs="Times New Roman"/>
          <w:sz w:val="24"/>
          <w:szCs w:val="24"/>
        </w:rPr>
        <w:t>n</w:t>
      </w:r>
      <w:r w:rsidRPr="0018524B">
        <w:rPr>
          <w:rFonts w:ascii="Times New Roman" w:hAnsi="Times New Roman" w:cs="Times New Roman"/>
          <w:sz w:val="24"/>
          <w:szCs w:val="24"/>
        </w:rPr>
        <w:t>e</w:t>
      </w:r>
      <w:r w:rsidR="00564B0D">
        <w:rPr>
          <w:rFonts w:ascii="Times New Roman" w:hAnsi="Times New Roman" w:cs="Times New Roman"/>
          <w:sz w:val="24"/>
          <w:szCs w:val="24"/>
        </w:rPr>
        <w:t>go</w:t>
      </w:r>
      <w:r w:rsidRPr="0018524B">
        <w:rPr>
          <w:rFonts w:ascii="Times New Roman" w:hAnsi="Times New Roman" w:cs="Times New Roman"/>
          <w:sz w:val="24"/>
          <w:szCs w:val="24"/>
        </w:rPr>
        <w:t xml:space="preserve"> tytuł</w:t>
      </w:r>
      <w:r w:rsidR="00564B0D">
        <w:rPr>
          <w:rFonts w:ascii="Times New Roman" w:hAnsi="Times New Roman" w:cs="Times New Roman"/>
          <w:sz w:val="24"/>
          <w:szCs w:val="24"/>
        </w:rPr>
        <w:t>u</w:t>
      </w:r>
      <w:r w:rsidRPr="0018524B">
        <w:rPr>
          <w:rFonts w:ascii="Times New Roman" w:hAnsi="Times New Roman" w:cs="Times New Roman"/>
          <w:sz w:val="24"/>
          <w:szCs w:val="24"/>
        </w:rPr>
        <w:t xml:space="preserve"> ustawy z dnia 21 sierpnia 1997 r. </w:t>
      </w:r>
      <w:r w:rsidRPr="0018524B">
        <w:rPr>
          <w:rFonts w:ascii="Times New Roman" w:hAnsi="Times New Roman" w:cs="Times New Roman"/>
          <w:i/>
          <w:sz w:val="24"/>
          <w:szCs w:val="24"/>
        </w:rPr>
        <w:t>o gospodarce nieruchomościami</w:t>
      </w:r>
      <w:r w:rsidRPr="0018524B">
        <w:rPr>
          <w:rFonts w:ascii="Times New Roman" w:hAnsi="Times New Roman" w:cs="Times New Roman"/>
          <w:sz w:val="24"/>
          <w:szCs w:val="24"/>
        </w:rPr>
        <w:t xml:space="preserve">. </w:t>
      </w:r>
    </w:p>
    <w:p w14:paraId="1981882D" w14:textId="2F376251" w:rsidR="00C44827" w:rsidRPr="0018524B" w:rsidRDefault="00840C8D"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Transpozycja do prawa krajowego art. 2 ust. 1 lit. c dyrektywy 2018/843, modyfikującego art. 2 ust. 1 pkt 3 4AMLD, poprzez dodanie do niego liter „i” oraz „j” nastąpi poprzez nowelizację </w:t>
      </w:r>
      <w:r w:rsidRPr="0018524B">
        <w:rPr>
          <w:rFonts w:ascii="Times New Roman" w:hAnsi="Times New Roman" w:cs="Times New Roman"/>
          <w:b/>
          <w:sz w:val="24"/>
          <w:szCs w:val="24"/>
        </w:rPr>
        <w:t xml:space="preserve">art. 2 ust. 1 </w:t>
      </w:r>
      <w:r w:rsidR="00B0130E" w:rsidRPr="0018524B">
        <w:rPr>
          <w:rFonts w:ascii="Times New Roman" w:hAnsi="Times New Roman" w:cs="Times New Roman"/>
          <w:b/>
          <w:sz w:val="24"/>
          <w:szCs w:val="24"/>
        </w:rPr>
        <w:t>ustawy o p.p.p.f.t.</w:t>
      </w:r>
      <w:r w:rsidR="00B0130E" w:rsidRPr="0018524B">
        <w:rPr>
          <w:rFonts w:ascii="Times New Roman" w:hAnsi="Times New Roman" w:cs="Times New Roman"/>
          <w:sz w:val="24"/>
          <w:szCs w:val="24"/>
        </w:rPr>
        <w:t xml:space="preserve"> polegającą na dodaniu</w:t>
      </w:r>
      <w:r w:rsidR="00B0130E" w:rsidRPr="0018524B">
        <w:rPr>
          <w:rFonts w:ascii="Times New Roman" w:hAnsi="Times New Roman" w:cs="Times New Roman"/>
          <w:b/>
          <w:sz w:val="24"/>
          <w:szCs w:val="24"/>
        </w:rPr>
        <w:t xml:space="preserve"> </w:t>
      </w:r>
      <w:r w:rsidRPr="0018524B">
        <w:rPr>
          <w:rFonts w:ascii="Times New Roman" w:hAnsi="Times New Roman" w:cs="Times New Roman"/>
          <w:b/>
          <w:sz w:val="24"/>
          <w:szCs w:val="24"/>
        </w:rPr>
        <w:t>pkt 24a</w:t>
      </w:r>
      <w:r w:rsidR="00B0130E" w:rsidRPr="0018524B">
        <w:rPr>
          <w:rFonts w:ascii="Times New Roman" w:hAnsi="Times New Roman" w:cs="Times New Roman"/>
          <w:b/>
          <w:sz w:val="24"/>
          <w:szCs w:val="24"/>
        </w:rPr>
        <w:t>.</w:t>
      </w:r>
      <w:r w:rsidRPr="0018524B">
        <w:rPr>
          <w:rFonts w:ascii="Times New Roman" w:hAnsi="Times New Roman" w:cs="Times New Roman"/>
          <w:b/>
          <w:sz w:val="24"/>
          <w:szCs w:val="24"/>
        </w:rPr>
        <w:t xml:space="preserve"> </w:t>
      </w:r>
      <w:r w:rsidRPr="0018524B">
        <w:rPr>
          <w:rFonts w:ascii="Times New Roman" w:hAnsi="Times New Roman" w:cs="Times New Roman"/>
          <w:sz w:val="24"/>
          <w:szCs w:val="24"/>
        </w:rPr>
        <w:t xml:space="preserve">Przepis 5AMLD zakłada nadanie statusu podmiotu zobowiązanego </w:t>
      </w:r>
      <w:r w:rsidR="00B73349" w:rsidRPr="0018524B">
        <w:rPr>
          <w:rFonts w:ascii="Times New Roman" w:hAnsi="Times New Roman" w:cs="Times New Roman"/>
          <w:sz w:val="24"/>
          <w:szCs w:val="24"/>
        </w:rPr>
        <w:t xml:space="preserve">osobom prowadzącym handel dziełami sztuki lub występującym w charakterze pośredników w handlu dziełami sztuki, w tym gdy handel taki </w:t>
      </w:r>
      <w:r w:rsidR="00B32F6A" w:rsidRPr="0018524B">
        <w:rPr>
          <w:rFonts w:ascii="Times New Roman" w:hAnsi="Times New Roman" w:cs="Times New Roman"/>
          <w:sz w:val="24"/>
          <w:szCs w:val="24"/>
        </w:rPr>
        <w:t xml:space="preserve">jest </w:t>
      </w:r>
      <w:r w:rsidR="00B73349" w:rsidRPr="0018524B">
        <w:rPr>
          <w:rFonts w:ascii="Times New Roman" w:hAnsi="Times New Roman" w:cs="Times New Roman"/>
          <w:sz w:val="24"/>
          <w:szCs w:val="24"/>
        </w:rPr>
        <w:t>prowadzony przez galerie sztuki i domy aukcyjne, jeżeli wartość transakcji lub szeregu powiązanych transakcji wynosi co najmniej 10 000 EUR oraz osobom przechowującym dzieła sztuki, prowadzącym handel dziełami sztuki lub występujących w charakterze pośredników w handlu dziełami sztuki, gdy działalność taka prowadzona jest przez wolne porty, jeżeli wartość transakcji lub szeregu powiązanych transakcji wynosi co najmniej 10 000 EUR.</w:t>
      </w:r>
      <w:r w:rsidR="005171C1" w:rsidRPr="0018524B">
        <w:rPr>
          <w:rFonts w:ascii="Times New Roman" w:hAnsi="Times New Roman" w:cs="Times New Roman"/>
          <w:sz w:val="24"/>
          <w:szCs w:val="24"/>
        </w:rPr>
        <w:t xml:space="preserve"> </w:t>
      </w:r>
      <w:r w:rsidR="008C2FE0" w:rsidRPr="0018524B">
        <w:rPr>
          <w:rFonts w:ascii="Times New Roman" w:hAnsi="Times New Roman" w:cs="Times New Roman"/>
          <w:sz w:val="24"/>
          <w:szCs w:val="24"/>
        </w:rPr>
        <w:t>Prawodawca unijny nie zdecydował się na ujęcie w przepisach dyrektywy 2015/849 pojęcia dzieł sztuki, pozostawiając zdefiniowanie tego pojęcia przepisom prawa krajowego. Niemniej, w trakcie prac grupy roboczej Komisji Europejskiej ds. ISIL stwierdzono, że antyki i artefakty o charakterze archeologicznym były istotnym źródłem finansowania ISIL.</w:t>
      </w:r>
      <w:r w:rsidR="00C6045B">
        <w:rPr>
          <w:rFonts w:ascii="Times New Roman" w:hAnsi="Times New Roman" w:cs="Times New Roman"/>
          <w:sz w:val="24"/>
          <w:szCs w:val="24"/>
        </w:rPr>
        <w:t xml:space="preserve"> </w:t>
      </w:r>
      <w:r w:rsidR="008C2FE0" w:rsidRPr="0018524B">
        <w:rPr>
          <w:rFonts w:ascii="Times New Roman" w:hAnsi="Times New Roman" w:cs="Times New Roman"/>
          <w:sz w:val="24"/>
          <w:szCs w:val="24"/>
        </w:rPr>
        <w:t>Komisja Europejska rozważa utworzenie grupy roboczej ds. zwalczania przemytu dóbr kultury i związanych z tym ryzyka prania pieniędzy oraz finansowania terroryzmu. Z raportów organizacji międzynarodowych zajmujących się przeciwdziałaniem praniu pieniędzy oraz finansowani</w:t>
      </w:r>
      <w:r w:rsidR="009C6120">
        <w:rPr>
          <w:rFonts w:ascii="Times New Roman" w:hAnsi="Times New Roman" w:cs="Times New Roman"/>
          <w:sz w:val="24"/>
          <w:szCs w:val="24"/>
        </w:rPr>
        <w:t>u</w:t>
      </w:r>
      <w:r w:rsidR="008C2FE0" w:rsidRPr="0018524B">
        <w:rPr>
          <w:rFonts w:ascii="Times New Roman" w:hAnsi="Times New Roman" w:cs="Times New Roman"/>
          <w:sz w:val="24"/>
          <w:szCs w:val="24"/>
        </w:rPr>
        <w:t xml:space="preserve"> terroryzmu wynika, że dzieła sztuki, antyki, przedmioty o charakterze kolekcjonerskim są obecnie powszechnie wykorzystywane w procederze prania pieniędzy oraz finansowania terroryzmu, jako nośniki wartości. Potwierdza to chociażby treść </w:t>
      </w:r>
      <w:r w:rsidR="00C6045B">
        <w:rPr>
          <w:rFonts w:ascii="Times New Roman" w:hAnsi="Times New Roman" w:cs="Times New Roman"/>
          <w:sz w:val="24"/>
          <w:szCs w:val="24"/>
        </w:rPr>
        <w:t>–</w:t>
      </w:r>
      <w:r w:rsidR="008C2FE0" w:rsidRPr="0018524B">
        <w:rPr>
          <w:rFonts w:ascii="Times New Roman" w:hAnsi="Times New Roman" w:cs="Times New Roman"/>
          <w:sz w:val="24"/>
          <w:szCs w:val="24"/>
        </w:rPr>
        <w:t xml:space="preserve"> modyfikowanego przez art. 1 pkt 44 lit. b ppkt ii dyrektywy 2018/843 </w:t>
      </w:r>
      <w:r w:rsidR="00C6045B">
        <w:rPr>
          <w:rFonts w:ascii="Times New Roman" w:hAnsi="Times New Roman" w:cs="Times New Roman"/>
          <w:sz w:val="24"/>
          <w:szCs w:val="24"/>
        </w:rPr>
        <w:t>–</w:t>
      </w:r>
      <w:r w:rsidR="008C2FE0" w:rsidRPr="0018524B">
        <w:rPr>
          <w:rFonts w:ascii="Times New Roman" w:hAnsi="Times New Roman" w:cs="Times New Roman"/>
          <w:sz w:val="24"/>
          <w:szCs w:val="24"/>
        </w:rPr>
        <w:t xml:space="preserve"> pkt 2 lit. f Załącznika III dyrektywy 2015/849, który jako sytuacje potencjalnie związane z wyższym ryz</w:t>
      </w:r>
      <w:r w:rsidR="009C6120">
        <w:rPr>
          <w:rFonts w:ascii="Times New Roman" w:hAnsi="Times New Roman" w:cs="Times New Roman"/>
          <w:sz w:val="24"/>
          <w:szCs w:val="24"/>
        </w:rPr>
        <w:t>y</w:t>
      </w:r>
      <w:r w:rsidR="008C2FE0" w:rsidRPr="0018524B">
        <w:rPr>
          <w:rFonts w:ascii="Times New Roman" w:hAnsi="Times New Roman" w:cs="Times New Roman"/>
          <w:sz w:val="24"/>
          <w:szCs w:val="24"/>
        </w:rPr>
        <w:t>kiem prania pieniędzy lub finansowania terroryzmu każe traktować m.in. transakcje związane z metalami szlachetnymi, artefaktami kulturowymi i innymi przedmiotami o znaczeniu archeologicznym, historycznym, kulturowym i religijnym lub o szczególnej wartości naukowej, a także kością słoniową i gatunkami chronionymi. W</w:t>
      </w:r>
      <w:r w:rsidR="005171C1" w:rsidRPr="0018524B">
        <w:rPr>
          <w:rFonts w:ascii="Times New Roman" w:hAnsi="Times New Roman" w:cs="Times New Roman"/>
          <w:sz w:val="24"/>
          <w:szCs w:val="24"/>
        </w:rPr>
        <w:t xml:space="preserve"> celu precyzyjnego określenia zakresu podmiotowego art. 2 ust. 1 pkt 24a ustawy o p.p.p.f.t. w projekcie zdecydowano się na odwołanie do przepisów ustawy z dnia 11 marca 2004 r. </w:t>
      </w:r>
      <w:r w:rsidR="005171C1" w:rsidRPr="0018524B">
        <w:rPr>
          <w:rFonts w:ascii="Times New Roman" w:hAnsi="Times New Roman" w:cs="Times New Roman"/>
          <w:i/>
          <w:sz w:val="24"/>
          <w:szCs w:val="24"/>
        </w:rPr>
        <w:t>o podatku od towarów i usług</w:t>
      </w:r>
      <w:r w:rsidR="005171C1" w:rsidRPr="0018524B">
        <w:rPr>
          <w:rFonts w:ascii="Times New Roman" w:hAnsi="Times New Roman" w:cs="Times New Roman"/>
          <w:sz w:val="24"/>
          <w:szCs w:val="24"/>
        </w:rPr>
        <w:t xml:space="preserve"> (</w:t>
      </w:r>
      <w:r w:rsidR="00F457EC" w:rsidRPr="00F457EC">
        <w:rPr>
          <w:rFonts w:ascii="Times New Roman" w:hAnsi="Times New Roman" w:cs="Times New Roman"/>
          <w:sz w:val="24"/>
          <w:szCs w:val="24"/>
        </w:rPr>
        <w:t xml:space="preserve">Dz. U. z 2020 r. poz. 106, </w:t>
      </w:r>
      <w:r w:rsidR="006A1D89">
        <w:rPr>
          <w:rFonts w:ascii="Times New Roman" w:hAnsi="Times New Roman" w:cs="Times New Roman"/>
          <w:sz w:val="24"/>
          <w:szCs w:val="24"/>
        </w:rPr>
        <w:t>z późn. zm.</w:t>
      </w:r>
      <w:r w:rsidR="005171C1" w:rsidRPr="0018524B">
        <w:rPr>
          <w:rFonts w:ascii="Times New Roman" w:hAnsi="Times New Roman" w:cs="Times New Roman"/>
          <w:sz w:val="24"/>
          <w:szCs w:val="24"/>
        </w:rPr>
        <w:t xml:space="preserve">) i precyzyjne wskazanie przedmiotów, kwalifikowanych jako dzieła sztuki </w:t>
      </w:r>
      <w:r w:rsidR="00091256" w:rsidRPr="0018524B">
        <w:rPr>
          <w:rFonts w:ascii="Times New Roman" w:hAnsi="Times New Roman" w:cs="Times New Roman"/>
          <w:sz w:val="24"/>
          <w:szCs w:val="24"/>
        </w:rPr>
        <w:t xml:space="preserve">na </w:t>
      </w:r>
      <w:r w:rsidR="005171C1" w:rsidRPr="0018524B">
        <w:rPr>
          <w:rFonts w:ascii="Times New Roman" w:hAnsi="Times New Roman" w:cs="Times New Roman"/>
          <w:sz w:val="24"/>
          <w:szCs w:val="24"/>
        </w:rPr>
        <w:t>potrzeby określenia statusu danego przedsiębiorcy, jako instytucji obowiązanej.</w:t>
      </w:r>
      <w:r w:rsidR="008C2FE0" w:rsidRPr="0018524B">
        <w:rPr>
          <w:rFonts w:ascii="Times New Roman" w:hAnsi="Times New Roman" w:cs="Times New Roman"/>
          <w:sz w:val="24"/>
          <w:szCs w:val="24"/>
        </w:rPr>
        <w:t xml:space="preserve"> W prawie krajowym brak jest uniwersalnej definicji pojęcia dzieł sztuki. Definicja dzieł sztuki zawarta w art. 120 ust. 1 pkt 1 </w:t>
      </w:r>
      <w:r w:rsidR="008C2FE0" w:rsidRPr="0018524B">
        <w:rPr>
          <w:rFonts w:ascii="Times New Roman" w:hAnsi="Times New Roman" w:cs="Times New Roman"/>
          <w:sz w:val="24"/>
          <w:szCs w:val="24"/>
        </w:rPr>
        <w:lastRenderedPageBreak/>
        <w:t xml:space="preserve">ustawy </w:t>
      </w:r>
      <w:r w:rsidR="008C2FE0" w:rsidRPr="0018524B">
        <w:rPr>
          <w:rFonts w:ascii="Times New Roman" w:hAnsi="Times New Roman" w:cs="Times New Roman"/>
          <w:i/>
          <w:sz w:val="24"/>
          <w:szCs w:val="24"/>
        </w:rPr>
        <w:t>o podatku od towarów i usług</w:t>
      </w:r>
      <w:r w:rsidR="008C2FE0" w:rsidRPr="0018524B">
        <w:rPr>
          <w:rFonts w:ascii="Times New Roman" w:hAnsi="Times New Roman" w:cs="Times New Roman"/>
          <w:sz w:val="24"/>
          <w:szCs w:val="24"/>
        </w:rPr>
        <w:t xml:space="preserve"> jest definicją sformułowaną wyłącznie na potrzeby podatku do towarów i usług. Nie ulega jednak wątpliwości, że również</w:t>
      </w:r>
      <w:r w:rsidR="00C6045B">
        <w:rPr>
          <w:rFonts w:ascii="Times New Roman" w:hAnsi="Times New Roman" w:cs="Times New Roman"/>
          <w:sz w:val="24"/>
          <w:szCs w:val="24"/>
        </w:rPr>
        <w:t xml:space="preserve"> </w:t>
      </w:r>
      <w:r w:rsidR="008C2FE0" w:rsidRPr="0018524B">
        <w:rPr>
          <w:rFonts w:ascii="Times New Roman" w:hAnsi="Times New Roman" w:cs="Times New Roman"/>
          <w:sz w:val="24"/>
          <w:szCs w:val="24"/>
        </w:rPr>
        <w:t xml:space="preserve">z obrotem, określonymi w art. 120 ust. 1 pkt 2 i 3 ustawy </w:t>
      </w:r>
      <w:r w:rsidR="008C2FE0" w:rsidRPr="0018524B">
        <w:rPr>
          <w:rFonts w:ascii="Times New Roman" w:hAnsi="Times New Roman" w:cs="Times New Roman"/>
          <w:i/>
          <w:sz w:val="24"/>
          <w:szCs w:val="24"/>
        </w:rPr>
        <w:t>o podatku od towarów i usług</w:t>
      </w:r>
      <w:r w:rsidR="008C2FE0" w:rsidRPr="0018524B">
        <w:rPr>
          <w:rFonts w:ascii="Times New Roman" w:hAnsi="Times New Roman" w:cs="Times New Roman"/>
          <w:sz w:val="24"/>
          <w:szCs w:val="24"/>
        </w:rPr>
        <w:t xml:space="preserve"> przedmiotami kolekcjonerskimi oraz antykami wiąże się podobny poziom ryzyka prania pieniędzy oraz finansowania terroryzmu. </w:t>
      </w:r>
      <w:r w:rsidR="008B4254">
        <w:rPr>
          <w:rFonts w:ascii="Times New Roman" w:hAnsi="Times New Roman" w:cs="Times New Roman"/>
          <w:sz w:val="24"/>
          <w:szCs w:val="24"/>
        </w:rPr>
        <w:t xml:space="preserve">W związku z powyższym, należy uznać, że zakres podmiotowy instytucji obowiązanych został określony w art. 2 ust. 1 pkt 24a ustawy o p.p.p.f.t. prawidłowo, w granicach wskazanych przez cel przepisów implementujących dyrektywę 2015/849, jakim jest </w:t>
      </w:r>
      <w:r w:rsidR="008B4254" w:rsidRPr="005B23E6">
        <w:rPr>
          <w:rFonts w:ascii="Times New Roman" w:hAnsi="Times New Roman" w:cs="Times New Roman"/>
          <w:sz w:val="24"/>
          <w:szCs w:val="24"/>
        </w:rPr>
        <w:t xml:space="preserve">przeciwdziałanie popełnianiu przestępstw prania pieniędzy oraz finansowania terroryzmu. </w:t>
      </w:r>
      <w:r w:rsidR="008B4254">
        <w:rPr>
          <w:rFonts w:ascii="Times New Roman" w:hAnsi="Times New Roman" w:cs="Times New Roman"/>
          <w:sz w:val="24"/>
          <w:szCs w:val="24"/>
        </w:rPr>
        <w:t>Ograniczenie zakresu podmiotowego tych instytucji obowiązanych wyłącznie do przedsiębiorców prowadzących obrót dziełami sztuki w rozumieniu przepisów podatkowych, spowodowałoby, że cel przepisów implementujących dyrektywę 2015/849 nie zostałby osiągnięty w stosunku do obar</w:t>
      </w:r>
      <w:r w:rsidR="0022768D">
        <w:rPr>
          <w:rFonts w:ascii="Times New Roman" w:hAnsi="Times New Roman" w:cs="Times New Roman"/>
          <w:sz w:val="24"/>
          <w:szCs w:val="24"/>
        </w:rPr>
        <w:t>czonego tożsamym ryzykiem prania</w:t>
      </w:r>
      <w:r w:rsidR="008B4254">
        <w:rPr>
          <w:rFonts w:ascii="Times New Roman" w:hAnsi="Times New Roman" w:cs="Times New Roman"/>
          <w:sz w:val="24"/>
          <w:szCs w:val="24"/>
        </w:rPr>
        <w:t xml:space="preserve"> pieniędzy lub finansowania terroryzmu obrotu antykami i przedmiotami kolekcjonerskimi. </w:t>
      </w:r>
      <w:r w:rsidR="005171C1" w:rsidRPr="0018524B">
        <w:rPr>
          <w:rFonts w:ascii="Times New Roman" w:hAnsi="Times New Roman" w:cs="Times New Roman"/>
          <w:sz w:val="24"/>
          <w:szCs w:val="24"/>
        </w:rPr>
        <w:t>Ponadto, podjęto próbę doprecyzowania, wskazanego</w:t>
      </w:r>
      <w:r w:rsidR="00030539" w:rsidRPr="0018524B">
        <w:rPr>
          <w:rFonts w:ascii="Times New Roman" w:hAnsi="Times New Roman" w:cs="Times New Roman"/>
          <w:sz w:val="24"/>
          <w:szCs w:val="24"/>
        </w:rPr>
        <w:t>, lecz niezdefiniowanego</w:t>
      </w:r>
      <w:r w:rsidR="005171C1" w:rsidRPr="0018524B">
        <w:rPr>
          <w:rFonts w:ascii="Times New Roman" w:hAnsi="Times New Roman" w:cs="Times New Roman"/>
          <w:sz w:val="24"/>
          <w:szCs w:val="24"/>
        </w:rPr>
        <w:t xml:space="preserve"> w dyrektywie 2018/843 pojęcia „wolne porty”. </w:t>
      </w:r>
      <w:r w:rsidR="00030539" w:rsidRPr="0018524B">
        <w:rPr>
          <w:rFonts w:ascii="Times New Roman" w:hAnsi="Times New Roman" w:cs="Times New Roman"/>
          <w:sz w:val="24"/>
          <w:szCs w:val="24"/>
        </w:rPr>
        <w:t>Wolne porty to rodzaj strefy</w:t>
      </w:r>
      <w:r w:rsidR="00C41C58" w:rsidRPr="0018524B">
        <w:rPr>
          <w:rFonts w:ascii="Times New Roman" w:hAnsi="Times New Roman" w:cs="Times New Roman"/>
          <w:sz w:val="24"/>
          <w:szCs w:val="24"/>
        </w:rPr>
        <w:t xml:space="preserve"> wolnocłowej, gdzie towary, w tym towary o znacznej wartości takie jak</w:t>
      </w:r>
      <w:r w:rsidR="009C207B" w:rsidRPr="0018524B">
        <w:rPr>
          <w:rFonts w:ascii="Times New Roman" w:hAnsi="Times New Roman" w:cs="Times New Roman"/>
          <w:sz w:val="24"/>
          <w:szCs w:val="24"/>
        </w:rPr>
        <w:t xml:space="preserve"> </w:t>
      </w:r>
      <w:r w:rsidR="00C41C58" w:rsidRPr="0018524B">
        <w:rPr>
          <w:rFonts w:ascii="Times New Roman" w:hAnsi="Times New Roman" w:cs="Times New Roman"/>
          <w:sz w:val="24"/>
          <w:szCs w:val="24"/>
        </w:rPr>
        <w:t>dzieła sztuki mogą być przechowywane przez nielimitowany okres</w:t>
      </w:r>
      <w:r w:rsidR="00091256" w:rsidRPr="0018524B">
        <w:rPr>
          <w:rFonts w:ascii="Times New Roman" w:hAnsi="Times New Roman" w:cs="Times New Roman"/>
          <w:sz w:val="24"/>
          <w:szCs w:val="24"/>
        </w:rPr>
        <w:t>,</w:t>
      </w:r>
      <w:r w:rsidR="00C41C58" w:rsidRPr="0018524B">
        <w:rPr>
          <w:rFonts w:ascii="Times New Roman" w:hAnsi="Times New Roman" w:cs="Times New Roman"/>
          <w:sz w:val="24"/>
          <w:szCs w:val="24"/>
        </w:rPr>
        <w:t xml:space="preserve"> bez obowiązku uiszczenia podatków lub ceł. Najbardziej znane wolne porty zlokalizowane są na terytorium Szwajcarii.</w:t>
      </w:r>
      <w:r w:rsidR="009C207B" w:rsidRPr="0018524B">
        <w:rPr>
          <w:rFonts w:ascii="Times New Roman" w:hAnsi="Times New Roman" w:cs="Times New Roman"/>
          <w:sz w:val="24"/>
          <w:szCs w:val="24"/>
        </w:rPr>
        <w:t xml:space="preserve"> </w:t>
      </w:r>
      <w:r w:rsidR="00C41C58" w:rsidRPr="0018524B">
        <w:rPr>
          <w:rFonts w:ascii="Times New Roman" w:hAnsi="Times New Roman" w:cs="Times New Roman"/>
          <w:sz w:val="24"/>
          <w:szCs w:val="24"/>
        </w:rPr>
        <w:t>Financial Action Task Force (dalej, jako FATF) w opublikowanym w 2010 r. raporcie stwierdziła, że wolne porty ze względu na niedostateczne przepisy bezpieczeństwa, słabe inspekcje i nadzór mogą być wykorzystywane do prani</w:t>
      </w:r>
      <w:r w:rsidR="00091256" w:rsidRPr="0018524B">
        <w:rPr>
          <w:rFonts w:ascii="Times New Roman" w:hAnsi="Times New Roman" w:cs="Times New Roman"/>
          <w:sz w:val="24"/>
          <w:szCs w:val="24"/>
        </w:rPr>
        <w:t>a</w:t>
      </w:r>
      <w:r w:rsidR="00C41C58" w:rsidRPr="0018524B">
        <w:rPr>
          <w:rFonts w:ascii="Times New Roman" w:hAnsi="Times New Roman" w:cs="Times New Roman"/>
          <w:sz w:val="24"/>
          <w:szCs w:val="24"/>
        </w:rPr>
        <w:t xml:space="preserve"> pieniędzy oraz finansowania działalności o charakterze terrorystycznym.</w:t>
      </w:r>
      <w:r w:rsidR="009A2D1B" w:rsidRPr="0018524B">
        <w:rPr>
          <w:rFonts w:ascii="Times New Roman" w:hAnsi="Times New Roman" w:cs="Times New Roman"/>
          <w:sz w:val="24"/>
          <w:szCs w:val="24"/>
        </w:rPr>
        <w:t xml:space="preserve"> Zauważyć przy tym należy, iż wprowadzony przepis zmierza do objęcia regulacją między innymi przedsiębiorców, którzy oferują na teryt</w:t>
      </w:r>
      <w:r w:rsidR="00B141F0" w:rsidRPr="0018524B">
        <w:rPr>
          <w:rFonts w:ascii="Times New Roman" w:hAnsi="Times New Roman" w:cs="Times New Roman"/>
          <w:sz w:val="24"/>
          <w:szCs w:val="24"/>
        </w:rPr>
        <w:t>orium Rzeczypospolitej Polskiej usługi pośrednictwa w obrocie dziełami sztuki, które znajdują się na terenie wolnych portów zlokalizowanych przykładowo w Szwajc</w:t>
      </w:r>
      <w:r w:rsidR="00A81622" w:rsidRPr="0018524B">
        <w:rPr>
          <w:rFonts w:ascii="Times New Roman" w:hAnsi="Times New Roman" w:cs="Times New Roman"/>
          <w:sz w:val="24"/>
          <w:szCs w:val="24"/>
        </w:rPr>
        <w:t xml:space="preserve">arii, </w:t>
      </w:r>
      <w:r w:rsidR="00B141F0" w:rsidRPr="0018524B">
        <w:rPr>
          <w:rFonts w:ascii="Times New Roman" w:hAnsi="Times New Roman" w:cs="Times New Roman"/>
          <w:sz w:val="24"/>
          <w:szCs w:val="24"/>
        </w:rPr>
        <w:t>Lu</w:t>
      </w:r>
      <w:r w:rsidR="00927C1F" w:rsidRPr="0018524B">
        <w:rPr>
          <w:rFonts w:ascii="Times New Roman" w:hAnsi="Times New Roman" w:cs="Times New Roman"/>
          <w:sz w:val="24"/>
          <w:szCs w:val="24"/>
        </w:rPr>
        <w:t>ks</w:t>
      </w:r>
      <w:r w:rsidR="00B141F0" w:rsidRPr="0018524B">
        <w:rPr>
          <w:rFonts w:ascii="Times New Roman" w:hAnsi="Times New Roman" w:cs="Times New Roman"/>
          <w:sz w:val="24"/>
          <w:szCs w:val="24"/>
        </w:rPr>
        <w:t>emburgu</w:t>
      </w:r>
      <w:r w:rsidR="00A81622" w:rsidRPr="0018524B">
        <w:rPr>
          <w:rFonts w:ascii="Times New Roman" w:hAnsi="Times New Roman" w:cs="Times New Roman"/>
          <w:sz w:val="24"/>
          <w:szCs w:val="24"/>
        </w:rPr>
        <w:t xml:space="preserve"> czy Szanghaju</w:t>
      </w:r>
      <w:r w:rsidR="00B141F0" w:rsidRPr="0018524B">
        <w:rPr>
          <w:rFonts w:ascii="Times New Roman" w:hAnsi="Times New Roman" w:cs="Times New Roman"/>
          <w:sz w:val="24"/>
          <w:szCs w:val="24"/>
        </w:rPr>
        <w:t xml:space="preserve">. </w:t>
      </w:r>
      <w:r w:rsidR="00A81622" w:rsidRPr="0018524B">
        <w:rPr>
          <w:rFonts w:ascii="Times New Roman" w:hAnsi="Times New Roman" w:cs="Times New Roman"/>
          <w:sz w:val="24"/>
          <w:szCs w:val="24"/>
        </w:rPr>
        <w:t>Jednocześnie</w:t>
      </w:r>
      <w:r w:rsidR="004C5AD3" w:rsidRPr="0018524B">
        <w:rPr>
          <w:rFonts w:ascii="Times New Roman" w:hAnsi="Times New Roman" w:cs="Times New Roman"/>
          <w:sz w:val="24"/>
          <w:szCs w:val="24"/>
        </w:rPr>
        <w:t xml:space="preserve"> zdefiniowanie wolnego portu jedynie poprzez odniesienie do mającego zbliżony zakres znaczeniowy, funkcjonującego w prawie unijnym</w:t>
      </w:r>
      <w:r w:rsidR="00A81622" w:rsidRPr="0018524B">
        <w:rPr>
          <w:rFonts w:ascii="Times New Roman" w:hAnsi="Times New Roman" w:cs="Times New Roman"/>
          <w:sz w:val="24"/>
          <w:szCs w:val="24"/>
        </w:rPr>
        <w:t xml:space="preserve"> </w:t>
      </w:r>
      <w:r w:rsidR="004C5AD3" w:rsidRPr="0018524B">
        <w:rPr>
          <w:rFonts w:ascii="Times New Roman" w:hAnsi="Times New Roman" w:cs="Times New Roman"/>
          <w:sz w:val="24"/>
          <w:szCs w:val="24"/>
        </w:rPr>
        <w:t>terminu „</w:t>
      </w:r>
      <w:r w:rsidR="004C5AD3" w:rsidRPr="0018524B">
        <w:rPr>
          <w:rFonts w:ascii="Times New Roman" w:hAnsi="Times New Roman" w:cs="Times New Roman"/>
          <w:i/>
          <w:sz w:val="24"/>
          <w:szCs w:val="24"/>
        </w:rPr>
        <w:t>wolnego obszaru celnego</w:t>
      </w:r>
      <w:r w:rsidR="004C5AD3" w:rsidRPr="0018524B">
        <w:rPr>
          <w:rFonts w:ascii="Times New Roman" w:hAnsi="Times New Roman" w:cs="Times New Roman"/>
          <w:sz w:val="24"/>
          <w:szCs w:val="24"/>
        </w:rPr>
        <w:t xml:space="preserve">”, byłoby w tym zakresie niewystarczające. Dyrektywa 2015/849 w brzmieniu nadanym przez </w:t>
      </w:r>
      <w:r w:rsidR="00832446" w:rsidRPr="0018524B">
        <w:rPr>
          <w:rFonts w:ascii="Times New Roman" w:hAnsi="Times New Roman" w:cs="Times New Roman"/>
          <w:sz w:val="24"/>
          <w:szCs w:val="24"/>
        </w:rPr>
        <w:t>dyrektyw</w:t>
      </w:r>
      <w:r w:rsidR="004C5AD3" w:rsidRPr="0018524B">
        <w:rPr>
          <w:rFonts w:ascii="Times New Roman" w:hAnsi="Times New Roman" w:cs="Times New Roman"/>
          <w:sz w:val="24"/>
          <w:szCs w:val="24"/>
        </w:rPr>
        <w:t xml:space="preserve">ę 2018/843, odnosząc się do działalności prowadzonej z wykorzystaniem wolnego portu, nie ogranicza zakresu tej działalności do wolnych portów funkcjonujących na terytorium Unii Europejskiej. Ograniczenie takie byłoby wręcz sprzeczne z celami </w:t>
      </w:r>
      <w:r w:rsidR="00832446" w:rsidRPr="0018524B">
        <w:rPr>
          <w:rFonts w:ascii="Times New Roman" w:hAnsi="Times New Roman" w:cs="Times New Roman"/>
          <w:sz w:val="24"/>
          <w:szCs w:val="24"/>
        </w:rPr>
        <w:t>dyrektyw</w:t>
      </w:r>
      <w:r w:rsidR="004C5AD3" w:rsidRPr="0018524B">
        <w:rPr>
          <w:rFonts w:ascii="Times New Roman" w:hAnsi="Times New Roman" w:cs="Times New Roman"/>
          <w:sz w:val="24"/>
          <w:szCs w:val="24"/>
        </w:rPr>
        <w:t xml:space="preserve">y. Tymczasem pojęcie wolnego obszaru celnego, jako uregulowane w art. 243 </w:t>
      </w:r>
      <w:r w:rsidR="009C6120">
        <w:rPr>
          <w:rFonts w:ascii="Times New Roman" w:hAnsi="Times New Roman" w:cs="Times New Roman"/>
          <w:sz w:val="24"/>
          <w:szCs w:val="24"/>
        </w:rPr>
        <w:t>r</w:t>
      </w:r>
      <w:r w:rsidR="004C5AD3" w:rsidRPr="0018524B">
        <w:rPr>
          <w:rFonts w:ascii="Times New Roman" w:hAnsi="Times New Roman" w:cs="Times New Roman"/>
          <w:sz w:val="24"/>
          <w:szCs w:val="24"/>
        </w:rPr>
        <w:t xml:space="preserve">ozporządzenia Parlamentu Europejskiego i Rady (UE) </w:t>
      </w:r>
      <w:r w:rsidR="009C6120">
        <w:rPr>
          <w:rFonts w:ascii="Times New Roman" w:hAnsi="Times New Roman" w:cs="Times New Roman"/>
          <w:sz w:val="24"/>
          <w:szCs w:val="24"/>
        </w:rPr>
        <w:t>n</w:t>
      </w:r>
      <w:r w:rsidR="004C5AD3" w:rsidRPr="0018524B">
        <w:rPr>
          <w:rFonts w:ascii="Times New Roman" w:hAnsi="Times New Roman" w:cs="Times New Roman"/>
          <w:sz w:val="24"/>
          <w:szCs w:val="24"/>
        </w:rPr>
        <w:t xml:space="preserve">r 952/2013 z dnia 9 października 2013 r., ustanawiającego unijny kodeks celny, odnosi się do </w:t>
      </w:r>
      <w:r w:rsidR="004440A9" w:rsidRPr="0018524B">
        <w:rPr>
          <w:rFonts w:ascii="Times New Roman" w:hAnsi="Times New Roman" w:cs="Times New Roman"/>
          <w:sz w:val="24"/>
          <w:szCs w:val="24"/>
        </w:rPr>
        <w:t>obszaru wyznaczonego z obszaru celnego Unii Europejskiej. Tym samym konieczne było w</w:t>
      </w:r>
      <w:r w:rsidR="004C5AD3" w:rsidRPr="0018524B">
        <w:rPr>
          <w:rFonts w:ascii="Times New Roman" w:hAnsi="Times New Roman" w:cs="Times New Roman"/>
          <w:sz w:val="24"/>
          <w:szCs w:val="24"/>
        </w:rPr>
        <w:t xml:space="preserve"> </w:t>
      </w:r>
      <w:r w:rsidR="004440A9" w:rsidRPr="0018524B">
        <w:rPr>
          <w:rFonts w:ascii="Times New Roman" w:hAnsi="Times New Roman" w:cs="Times New Roman"/>
          <w:sz w:val="24"/>
          <w:szCs w:val="24"/>
        </w:rPr>
        <w:t xml:space="preserve">art. 2 ust. 1 pkt 24a ustawy o p.p.p.f.t. opisanie zakresu znaczeniowego wolnego portu, tak by nie </w:t>
      </w:r>
      <w:r w:rsidR="004440A9" w:rsidRPr="0018524B">
        <w:rPr>
          <w:rFonts w:ascii="Times New Roman" w:hAnsi="Times New Roman" w:cs="Times New Roman"/>
          <w:sz w:val="24"/>
          <w:szCs w:val="24"/>
        </w:rPr>
        <w:lastRenderedPageBreak/>
        <w:t xml:space="preserve">ograniczać jego rozumienia jedynie do obszarów o specjalnym statusie celnym, znajdujących się na terytorium Unii Europejskiej. </w:t>
      </w:r>
    </w:p>
    <w:p w14:paraId="1951F3D4" w14:textId="419CDDE6" w:rsidR="00D74427" w:rsidRPr="0018524B" w:rsidRDefault="00A173DD"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Art. 3 ust. 6 </w:t>
      </w:r>
      <w:r w:rsidR="00851A28" w:rsidRPr="0018524B">
        <w:rPr>
          <w:rFonts w:ascii="Times New Roman" w:hAnsi="Times New Roman" w:cs="Times New Roman"/>
          <w:sz w:val="24"/>
          <w:szCs w:val="24"/>
        </w:rPr>
        <w:t>lit.</w:t>
      </w:r>
      <w:r w:rsidRPr="0018524B">
        <w:rPr>
          <w:rFonts w:ascii="Times New Roman" w:hAnsi="Times New Roman" w:cs="Times New Roman"/>
          <w:sz w:val="24"/>
          <w:szCs w:val="24"/>
        </w:rPr>
        <w:t xml:space="preserve"> b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y 2015/849 w brzmieniu nadanym przez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ę 2018/843, rozszerzył zakres definicji </w:t>
      </w:r>
      <w:r w:rsidRPr="0018524B">
        <w:rPr>
          <w:rFonts w:ascii="Times New Roman" w:hAnsi="Times New Roman" w:cs="Times New Roman"/>
          <w:i/>
          <w:sz w:val="24"/>
          <w:szCs w:val="24"/>
        </w:rPr>
        <w:t>beneficjenta rzeczywistego trustu</w:t>
      </w:r>
      <w:r w:rsidRPr="0018524B">
        <w:rPr>
          <w:rFonts w:ascii="Times New Roman" w:hAnsi="Times New Roman" w:cs="Times New Roman"/>
          <w:sz w:val="24"/>
          <w:szCs w:val="24"/>
        </w:rPr>
        <w:t xml:space="preserve">, </w:t>
      </w:r>
      <w:r w:rsidR="002837B5" w:rsidRPr="0018524B">
        <w:rPr>
          <w:rFonts w:ascii="Times New Roman" w:hAnsi="Times New Roman" w:cs="Times New Roman"/>
          <w:sz w:val="24"/>
          <w:szCs w:val="24"/>
        </w:rPr>
        <w:t xml:space="preserve">wprost </w:t>
      </w:r>
      <w:r w:rsidRPr="0018524B">
        <w:rPr>
          <w:rFonts w:ascii="Times New Roman" w:hAnsi="Times New Roman" w:cs="Times New Roman"/>
          <w:sz w:val="24"/>
          <w:szCs w:val="24"/>
        </w:rPr>
        <w:t xml:space="preserve">wskazując, iż </w:t>
      </w:r>
      <w:r w:rsidR="002837B5" w:rsidRPr="0018524B">
        <w:rPr>
          <w:rFonts w:ascii="Times New Roman" w:hAnsi="Times New Roman" w:cs="Times New Roman"/>
          <w:sz w:val="24"/>
          <w:szCs w:val="24"/>
        </w:rPr>
        <w:t>za beneficjentów rzeczywistych</w:t>
      </w:r>
      <w:r w:rsidR="009C207B" w:rsidRPr="0018524B">
        <w:rPr>
          <w:rFonts w:ascii="Times New Roman" w:hAnsi="Times New Roman" w:cs="Times New Roman"/>
          <w:sz w:val="24"/>
          <w:szCs w:val="24"/>
        </w:rPr>
        <w:t xml:space="preserve"> </w:t>
      </w:r>
      <w:r w:rsidR="002837B5" w:rsidRPr="0018524B">
        <w:rPr>
          <w:rFonts w:ascii="Times New Roman" w:hAnsi="Times New Roman" w:cs="Times New Roman"/>
          <w:sz w:val="24"/>
          <w:szCs w:val="24"/>
        </w:rPr>
        <w:t xml:space="preserve">uznać należy </w:t>
      </w:r>
      <w:r w:rsidRPr="0018524B">
        <w:rPr>
          <w:rFonts w:ascii="Times New Roman" w:hAnsi="Times New Roman" w:cs="Times New Roman"/>
          <w:sz w:val="24"/>
          <w:szCs w:val="24"/>
        </w:rPr>
        <w:t xml:space="preserve">wszystkie osoby wskazane w </w:t>
      </w:r>
      <w:r w:rsidR="002837B5" w:rsidRPr="0018524B">
        <w:rPr>
          <w:rFonts w:ascii="Times New Roman" w:hAnsi="Times New Roman" w:cs="Times New Roman"/>
          <w:sz w:val="24"/>
          <w:szCs w:val="24"/>
        </w:rPr>
        <w:t>pkt</w:t>
      </w:r>
      <w:r w:rsidRPr="0018524B">
        <w:rPr>
          <w:rFonts w:ascii="Times New Roman" w:hAnsi="Times New Roman" w:cs="Times New Roman"/>
          <w:sz w:val="24"/>
          <w:szCs w:val="24"/>
        </w:rPr>
        <w:t xml:space="preserve"> (i) </w:t>
      </w:r>
      <w:r w:rsidR="00C6045B">
        <w:rPr>
          <w:rFonts w:ascii="Times New Roman" w:hAnsi="Times New Roman" w:cs="Times New Roman"/>
          <w:sz w:val="24"/>
          <w:szCs w:val="24"/>
        </w:rPr>
        <w:t>–</w:t>
      </w:r>
      <w:r w:rsidRPr="0018524B">
        <w:rPr>
          <w:rFonts w:ascii="Times New Roman" w:hAnsi="Times New Roman" w:cs="Times New Roman"/>
          <w:sz w:val="24"/>
          <w:szCs w:val="24"/>
        </w:rPr>
        <w:t xml:space="preserve"> (v)</w:t>
      </w:r>
      <w:r w:rsidR="002837B5" w:rsidRPr="0018524B">
        <w:rPr>
          <w:rFonts w:ascii="Times New Roman" w:hAnsi="Times New Roman" w:cs="Times New Roman"/>
          <w:sz w:val="24"/>
          <w:szCs w:val="24"/>
        </w:rPr>
        <w:t xml:space="preserve">. Zgodnie z </w:t>
      </w:r>
      <w:r w:rsidR="00FD45E4" w:rsidRPr="0018524B">
        <w:rPr>
          <w:rFonts w:ascii="Times New Roman" w:hAnsi="Times New Roman" w:cs="Times New Roman"/>
          <w:sz w:val="24"/>
          <w:szCs w:val="24"/>
        </w:rPr>
        <w:t xml:space="preserve">dotychczasowym </w:t>
      </w:r>
      <w:r w:rsidR="002837B5" w:rsidRPr="0018524B">
        <w:rPr>
          <w:rFonts w:ascii="Times New Roman" w:hAnsi="Times New Roman" w:cs="Times New Roman"/>
          <w:sz w:val="24"/>
          <w:szCs w:val="24"/>
        </w:rPr>
        <w:t>brzmieniem art. 2 ust. 2 pkt 1 ustawy o p.p.p.f.t., beneficjentem rzeczywistym jest osoba fizyczna lub osoby fizyczne spełniające kryteria w tym punkcie wskazane, co poprzez zastosowanie liczby mnogiej („</w:t>
      </w:r>
      <w:r w:rsidR="002837B5" w:rsidRPr="0018524B">
        <w:rPr>
          <w:rFonts w:ascii="Times New Roman" w:hAnsi="Times New Roman" w:cs="Times New Roman"/>
          <w:i/>
          <w:sz w:val="24"/>
          <w:szCs w:val="24"/>
        </w:rPr>
        <w:t>osoby fizyczne</w:t>
      </w:r>
      <w:r w:rsidR="002837B5" w:rsidRPr="0018524B">
        <w:rPr>
          <w:rFonts w:ascii="Times New Roman" w:hAnsi="Times New Roman" w:cs="Times New Roman"/>
          <w:sz w:val="24"/>
          <w:szCs w:val="24"/>
        </w:rPr>
        <w:t>”), nakaz</w:t>
      </w:r>
      <w:r w:rsidR="00FD45E4" w:rsidRPr="0018524B">
        <w:rPr>
          <w:rFonts w:ascii="Times New Roman" w:hAnsi="Times New Roman" w:cs="Times New Roman"/>
          <w:sz w:val="24"/>
          <w:szCs w:val="24"/>
        </w:rPr>
        <w:t>ywało</w:t>
      </w:r>
      <w:r w:rsidR="002837B5" w:rsidRPr="0018524B">
        <w:rPr>
          <w:rFonts w:ascii="Times New Roman" w:hAnsi="Times New Roman" w:cs="Times New Roman"/>
          <w:sz w:val="24"/>
          <w:szCs w:val="24"/>
        </w:rPr>
        <w:t xml:space="preserve"> ustalanie wszystkich osób spełniających w danym podmiocie kryteria uznania za beneficjenta rzeczywistego.</w:t>
      </w:r>
      <w:r w:rsidR="007D40E1" w:rsidRPr="0018524B">
        <w:rPr>
          <w:rFonts w:ascii="Times New Roman" w:hAnsi="Times New Roman" w:cs="Times New Roman"/>
          <w:sz w:val="24"/>
          <w:szCs w:val="24"/>
        </w:rPr>
        <w:t xml:space="preserve"> Reguła ta m</w:t>
      </w:r>
      <w:r w:rsidR="00FD45E4" w:rsidRPr="0018524B">
        <w:rPr>
          <w:rFonts w:ascii="Times New Roman" w:hAnsi="Times New Roman" w:cs="Times New Roman"/>
          <w:sz w:val="24"/>
          <w:szCs w:val="24"/>
        </w:rPr>
        <w:t>i</w:t>
      </w:r>
      <w:r w:rsidR="007D40E1" w:rsidRPr="0018524B">
        <w:rPr>
          <w:rFonts w:ascii="Times New Roman" w:hAnsi="Times New Roman" w:cs="Times New Roman"/>
          <w:sz w:val="24"/>
          <w:szCs w:val="24"/>
        </w:rPr>
        <w:t>a</w:t>
      </w:r>
      <w:r w:rsidR="00FD45E4" w:rsidRPr="0018524B">
        <w:rPr>
          <w:rFonts w:ascii="Times New Roman" w:hAnsi="Times New Roman" w:cs="Times New Roman"/>
          <w:sz w:val="24"/>
          <w:szCs w:val="24"/>
        </w:rPr>
        <w:t>ła</w:t>
      </w:r>
      <w:r w:rsidR="007D40E1" w:rsidRPr="0018524B">
        <w:rPr>
          <w:rFonts w:ascii="Times New Roman" w:hAnsi="Times New Roman" w:cs="Times New Roman"/>
          <w:sz w:val="24"/>
          <w:szCs w:val="24"/>
        </w:rPr>
        <w:t xml:space="preserve"> zastosowanie również w odniesieniu do beneficjentów rzeczywistych trustu.</w:t>
      </w:r>
      <w:r w:rsidR="002837B5" w:rsidRPr="0018524B">
        <w:rPr>
          <w:rFonts w:ascii="Times New Roman" w:hAnsi="Times New Roman" w:cs="Times New Roman"/>
          <w:sz w:val="24"/>
          <w:szCs w:val="24"/>
        </w:rPr>
        <w:t xml:space="preserve"> Niemniej należy zauważyć, iż </w:t>
      </w:r>
      <w:r w:rsidR="007C6D48" w:rsidRPr="0018524B">
        <w:rPr>
          <w:rFonts w:ascii="Times New Roman" w:hAnsi="Times New Roman" w:cs="Times New Roman"/>
          <w:sz w:val="24"/>
          <w:szCs w:val="24"/>
        </w:rPr>
        <w:t xml:space="preserve">w </w:t>
      </w:r>
      <w:r w:rsidR="002837B5" w:rsidRPr="0018524B">
        <w:rPr>
          <w:rFonts w:ascii="Times New Roman" w:hAnsi="Times New Roman" w:cs="Times New Roman"/>
          <w:sz w:val="24"/>
          <w:szCs w:val="24"/>
        </w:rPr>
        <w:t>prakty</w:t>
      </w:r>
      <w:r w:rsidR="007C6D48" w:rsidRPr="0018524B">
        <w:rPr>
          <w:rFonts w:ascii="Times New Roman" w:hAnsi="Times New Roman" w:cs="Times New Roman"/>
          <w:sz w:val="24"/>
          <w:szCs w:val="24"/>
        </w:rPr>
        <w:t>ce pojawia</w:t>
      </w:r>
      <w:r w:rsidR="000A0D1C" w:rsidRPr="0018524B">
        <w:rPr>
          <w:rFonts w:ascii="Times New Roman" w:hAnsi="Times New Roman" w:cs="Times New Roman"/>
          <w:sz w:val="24"/>
          <w:szCs w:val="24"/>
        </w:rPr>
        <w:t xml:space="preserve">ją się wątpliwości, czy wystarczające jest poprzestanie na zidentyfikowaniu jednego beneficjenta rzeczywistego przez </w:t>
      </w:r>
      <w:r w:rsidR="00616FBC" w:rsidRPr="0018524B">
        <w:rPr>
          <w:rFonts w:ascii="Times New Roman" w:hAnsi="Times New Roman" w:cs="Times New Roman"/>
          <w:sz w:val="24"/>
          <w:szCs w:val="24"/>
        </w:rPr>
        <w:t>i</w:t>
      </w:r>
      <w:r w:rsidR="002837B5" w:rsidRPr="0018524B">
        <w:rPr>
          <w:rFonts w:ascii="Times New Roman" w:hAnsi="Times New Roman" w:cs="Times New Roman"/>
          <w:sz w:val="24"/>
          <w:szCs w:val="24"/>
        </w:rPr>
        <w:t>nstytucj</w:t>
      </w:r>
      <w:r w:rsidR="000A0D1C" w:rsidRPr="0018524B">
        <w:rPr>
          <w:rFonts w:ascii="Times New Roman" w:hAnsi="Times New Roman" w:cs="Times New Roman"/>
          <w:sz w:val="24"/>
          <w:szCs w:val="24"/>
        </w:rPr>
        <w:t>ę</w:t>
      </w:r>
      <w:r w:rsidR="002837B5" w:rsidRPr="0018524B">
        <w:rPr>
          <w:rFonts w:ascii="Times New Roman" w:hAnsi="Times New Roman" w:cs="Times New Roman"/>
          <w:sz w:val="24"/>
          <w:szCs w:val="24"/>
        </w:rPr>
        <w:t xml:space="preserve"> </w:t>
      </w:r>
      <w:r w:rsidR="00616FBC" w:rsidRPr="0018524B">
        <w:rPr>
          <w:rFonts w:ascii="Times New Roman" w:hAnsi="Times New Roman" w:cs="Times New Roman"/>
          <w:sz w:val="24"/>
          <w:szCs w:val="24"/>
        </w:rPr>
        <w:t>o</w:t>
      </w:r>
      <w:r w:rsidR="002837B5" w:rsidRPr="0018524B">
        <w:rPr>
          <w:rFonts w:ascii="Times New Roman" w:hAnsi="Times New Roman" w:cs="Times New Roman"/>
          <w:sz w:val="24"/>
          <w:szCs w:val="24"/>
        </w:rPr>
        <w:t>bowiązan</w:t>
      </w:r>
      <w:r w:rsidR="000A0D1C" w:rsidRPr="0018524B">
        <w:rPr>
          <w:rFonts w:ascii="Times New Roman" w:hAnsi="Times New Roman" w:cs="Times New Roman"/>
          <w:sz w:val="24"/>
          <w:szCs w:val="24"/>
        </w:rPr>
        <w:t>ą.</w:t>
      </w:r>
      <w:r w:rsidR="002837B5" w:rsidRPr="0018524B">
        <w:rPr>
          <w:rFonts w:ascii="Times New Roman" w:hAnsi="Times New Roman" w:cs="Times New Roman"/>
          <w:sz w:val="24"/>
          <w:szCs w:val="24"/>
        </w:rPr>
        <w:t xml:space="preserve"> </w:t>
      </w:r>
      <w:r w:rsidR="007D40E1" w:rsidRPr="0018524B">
        <w:rPr>
          <w:rFonts w:ascii="Times New Roman" w:hAnsi="Times New Roman" w:cs="Times New Roman"/>
          <w:sz w:val="24"/>
          <w:szCs w:val="24"/>
        </w:rPr>
        <w:t xml:space="preserve">W związku z powyższym zasadne </w:t>
      </w:r>
      <w:r w:rsidR="00FD45E4" w:rsidRPr="0018524B">
        <w:rPr>
          <w:rFonts w:ascii="Times New Roman" w:hAnsi="Times New Roman" w:cs="Times New Roman"/>
          <w:sz w:val="24"/>
          <w:szCs w:val="24"/>
        </w:rPr>
        <w:t xml:space="preserve">stało się </w:t>
      </w:r>
      <w:r w:rsidR="007D40E1" w:rsidRPr="0018524B">
        <w:rPr>
          <w:rFonts w:ascii="Times New Roman" w:hAnsi="Times New Roman" w:cs="Times New Roman"/>
          <w:sz w:val="24"/>
          <w:szCs w:val="24"/>
        </w:rPr>
        <w:t>wprowadzenie przepisu</w:t>
      </w:r>
      <w:r w:rsidR="00FD45E4" w:rsidRPr="0018524B">
        <w:rPr>
          <w:rFonts w:ascii="Times New Roman" w:hAnsi="Times New Roman" w:cs="Times New Roman"/>
          <w:sz w:val="24"/>
          <w:szCs w:val="24"/>
        </w:rPr>
        <w:t>,</w:t>
      </w:r>
      <w:r w:rsidR="007D40E1" w:rsidRPr="0018524B">
        <w:rPr>
          <w:rFonts w:ascii="Times New Roman" w:hAnsi="Times New Roman" w:cs="Times New Roman"/>
          <w:sz w:val="24"/>
          <w:szCs w:val="24"/>
        </w:rPr>
        <w:t xml:space="preserve"> który w sposób przejrzysty oddawałby cele dyrektywy 2015/849, sprowadzające się do </w:t>
      </w:r>
      <w:r w:rsidR="00FD45E4" w:rsidRPr="0018524B">
        <w:rPr>
          <w:rFonts w:ascii="Times New Roman" w:hAnsi="Times New Roman" w:cs="Times New Roman"/>
          <w:sz w:val="24"/>
          <w:szCs w:val="24"/>
        </w:rPr>
        <w:t xml:space="preserve">prawidłowego i pełnego </w:t>
      </w:r>
      <w:r w:rsidR="000A0D1C" w:rsidRPr="0018524B">
        <w:rPr>
          <w:rFonts w:ascii="Times New Roman" w:hAnsi="Times New Roman" w:cs="Times New Roman"/>
          <w:sz w:val="24"/>
          <w:szCs w:val="24"/>
        </w:rPr>
        <w:t xml:space="preserve">ustalenia wszystkich </w:t>
      </w:r>
      <w:r w:rsidR="00FD45E4" w:rsidRPr="0018524B">
        <w:rPr>
          <w:rFonts w:ascii="Times New Roman" w:hAnsi="Times New Roman" w:cs="Times New Roman"/>
          <w:sz w:val="24"/>
          <w:szCs w:val="24"/>
        </w:rPr>
        <w:t xml:space="preserve">beneficjentów rzeczywistych. </w:t>
      </w:r>
      <w:r w:rsidR="00D74427" w:rsidRPr="0018524B">
        <w:rPr>
          <w:rFonts w:ascii="Times New Roman" w:hAnsi="Times New Roman" w:cs="Times New Roman"/>
          <w:sz w:val="24"/>
          <w:szCs w:val="24"/>
        </w:rPr>
        <w:t xml:space="preserve">Co za tym idzie </w:t>
      </w:r>
      <w:r w:rsidR="00FD45E4" w:rsidRPr="0018524B">
        <w:rPr>
          <w:rFonts w:ascii="Times New Roman" w:hAnsi="Times New Roman" w:cs="Times New Roman"/>
          <w:b/>
          <w:sz w:val="24"/>
          <w:szCs w:val="24"/>
        </w:rPr>
        <w:t xml:space="preserve">w art. 2 ust. 2 pkt 1 ustawy o p.p.p.f.t. </w:t>
      </w:r>
      <w:r w:rsidR="00FD45E4" w:rsidRPr="0018524B">
        <w:rPr>
          <w:rFonts w:ascii="Times New Roman" w:hAnsi="Times New Roman" w:cs="Times New Roman"/>
          <w:sz w:val="24"/>
          <w:szCs w:val="24"/>
        </w:rPr>
        <w:t xml:space="preserve">zmieniono definicję </w:t>
      </w:r>
      <w:r w:rsidR="00FD45E4" w:rsidRPr="0018524B">
        <w:rPr>
          <w:rFonts w:ascii="Times New Roman" w:hAnsi="Times New Roman" w:cs="Times New Roman"/>
          <w:i/>
          <w:sz w:val="24"/>
          <w:szCs w:val="24"/>
        </w:rPr>
        <w:t>beneficjenta rzeczywistego</w:t>
      </w:r>
      <w:r w:rsidR="00FD45E4" w:rsidRPr="0018524B">
        <w:rPr>
          <w:rFonts w:ascii="Times New Roman" w:hAnsi="Times New Roman" w:cs="Times New Roman"/>
          <w:sz w:val="24"/>
          <w:szCs w:val="24"/>
        </w:rPr>
        <w:t>, poprzez kategoryczne wskazanie, iż za beneficjenta rzeczywistego uznaje się „</w:t>
      </w:r>
      <w:r w:rsidR="00FD45E4" w:rsidRPr="0018524B">
        <w:rPr>
          <w:rFonts w:ascii="Times New Roman" w:hAnsi="Times New Roman" w:cs="Times New Roman"/>
          <w:i/>
          <w:sz w:val="24"/>
          <w:szCs w:val="24"/>
        </w:rPr>
        <w:t>każdą osobę fizyczną</w:t>
      </w:r>
      <w:r w:rsidR="00FD45E4" w:rsidRPr="0018524B">
        <w:rPr>
          <w:rFonts w:ascii="Times New Roman" w:hAnsi="Times New Roman" w:cs="Times New Roman"/>
          <w:sz w:val="24"/>
          <w:szCs w:val="24"/>
        </w:rPr>
        <w:t xml:space="preserve">” spełniającą kryteria wskazane w tym punkcie. </w:t>
      </w:r>
    </w:p>
    <w:p w14:paraId="7803B872" w14:textId="37FE07BB" w:rsidR="00BA6FCF" w:rsidRPr="0018524B" w:rsidRDefault="00BE1D8C"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Jednocześnie </w:t>
      </w:r>
      <w:r w:rsidR="00BA6FCF" w:rsidRPr="0018524B">
        <w:rPr>
          <w:rFonts w:ascii="Times New Roman" w:hAnsi="Times New Roman" w:cs="Times New Roman"/>
          <w:sz w:val="24"/>
          <w:szCs w:val="24"/>
        </w:rPr>
        <w:t xml:space="preserve">w art. 2 ust. 2 pkt 1 lit. b </w:t>
      </w:r>
      <w:r w:rsidR="00581C21" w:rsidRPr="0018524B">
        <w:rPr>
          <w:rFonts w:ascii="Times New Roman" w:hAnsi="Times New Roman" w:cs="Times New Roman"/>
          <w:sz w:val="24"/>
          <w:szCs w:val="24"/>
        </w:rPr>
        <w:t xml:space="preserve">ustawy o p.p.p.f.t. zmieniono </w:t>
      </w:r>
      <w:r w:rsidR="00BA6FCF" w:rsidRPr="0018524B">
        <w:rPr>
          <w:rFonts w:ascii="Times New Roman" w:hAnsi="Times New Roman" w:cs="Times New Roman"/>
          <w:sz w:val="24"/>
          <w:szCs w:val="24"/>
        </w:rPr>
        <w:t>tiret czwart</w:t>
      </w:r>
      <w:r w:rsidR="00F21C45">
        <w:rPr>
          <w:rFonts w:ascii="Times New Roman" w:hAnsi="Times New Roman" w:cs="Times New Roman"/>
          <w:sz w:val="24"/>
          <w:szCs w:val="24"/>
        </w:rPr>
        <w:t>e</w:t>
      </w:r>
      <w:r w:rsidR="00581C21" w:rsidRPr="0018524B">
        <w:rPr>
          <w:rFonts w:ascii="Times New Roman" w:hAnsi="Times New Roman" w:cs="Times New Roman"/>
          <w:sz w:val="24"/>
          <w:szCs w:val="24"/>
        </w:rPr>
        <w:t>, poprzez</w:t>
      </w:r>
      <w:r w:rsidR="00BA6FCF" w:rsidRPr="0018524B">
        <w:rPr>
          <w:rFonts w:ascii="Times New Roman" w:hAnsi="Times New Roman" w:cs="Times New Roman"/>
          <w:sz w:val="24"/>
          <w:szCs w:val="24"/>
        </w:rPr>
        <w:t xml:space="preserve"> </w:t>
      </w:r>
      <w:r w:rsidR="00581C21" w:rsidRPr="0018524B">
        <w:rPr>
          <w:rFonts w:ascii="Times New Roman" w:hAnsi="Times New Roman" w:cs="Times New Roman"/>
          <w:sz w:val="24"/>
          <w:szCs w:val="24"/>
        </w:rPr>
        <w:t xml:space="preserve">dodanie </w:t>
      </w:r>
      <w:r w:rsidR="00E41A9A" w:rsidRPr="0018524B">
        <w:rPr>
          <w:rFonts w:ascii="Times New Roman" w:hAnsi="Times New Roman" w:cs="Times New Roman"/>
          <w:sz w:val="24"/>
          <w:szCs w:val="24"/>
        </w:rPr>
        <w:t>rozwinięcia, zgodnie z którym jako beneficjenta rzeczywistego trustu, poza beneficjentem (osobą czerpiącą korzyści z trustu), rozumie się również grupę osób, w których głównym interesie powstał lub działa trust (gdy nie można określić osób fizycznych czerpiących korzyści z danego trustu). Nowelizacja art. 2 ust. 2 pkt 1 lit. b tiret czwart</w:t>
      </w:r>
      <w:r w:rsidR="00F21C45">
        <w:rPr>
          <w:rFonts w:ascii="Times New Roman" w:hAnsi="Times New Roman" w:cs="Times New Roman"/>
          <w:sz w:val="24"/>
          <w:szCs w:val="24"/>
        </w:rPr>
        <w:t>e</w:t>
      </w:r>
      <w:r w:rsidR="00E41A9A" w:rsidRPr="0018524B">
        <w:rPr>
          <w:rFonts w:ascii="Times New Roman" w:hAnsi="Times New Roman" w:cs="Times New Roman"/>
          <w:sz w:val="24"/>
          <w:szCs w:val="24"/>
        </w:rPr>
        <w:t xml:space="preserve"> ustawy o p.p.p.f.t. wynika z dostosowania treści tego artykułu do treści art. 3 ust. 6 </w:t>
      </w:r>
      <w:r w:rsidR="00851A28" w:rsidRPr="0018524B">
        <w:rPr>
          <w:rFonts w:ascii="Times New Roman" w:hAnsi="Times New Roman" w:cs="Times New Roman"/>
          <w:sz w:val="24"/>
          <w:szCs w:val="24"/>
        </w:rPr>
        <w:t>lit.</w:t>
      </w:r>
      <w:r w:rsidR="00E41A9A" w:rsidRPr="0018524B">
        <w:rPr>
          <w:rFonts w:ascii="Times New Roman" w:hAnsi="Times New Roman" w:cs="Times New Roman"/>
          <w:sz w:val="24"/>
          <w:szCs w:val="24"/>
        </w:rPr>
        <w:t xml:space="preserve"> b pkt (iv) dyrektywy 2015/849. Wskazać należy, iż trusty, jako porozumienia prawne nieuregulowane w prawie polskim, jednocześnie występujące w regulacjach innych państw, mogą przybierać wiele form, niejednokrotnie istotnie się od siebie różniących. </w:t>
      </w:r>
      <w:r w:rsidR="00357AE9" w:rsidRPr="0018524B">
        <w:rPr>
          <w:rFonts w:ascii="Times New Roman" w:hAnsi="Times New Roman" w:cs="Times New Roman"/>
          <w:sz w:val="24"/>
          <w:szCs w:val="24"/>
        </w:rPr>
        <w:t xml:space="preserve">Konsekwencją tego jest możliwość powołania trustu, dla którego nie wskazano żadnych osób fizycznych czerpiących z niego korzyści, nie można zatem wskazać osób fizycznych będących beneficjentami trustu. W takim przypadku mogą zostać przewidziane zapisy regulujące, na rzecz jakiej grupy osób mogą zostać przekazane fundusze </w:t>
      </w:r>
      <w:r w:rsidR="00D74427" w:rsidRPr="0018524B">
        <w:rPr>
          <w:rFonts w:ascii="Times New Roman" w:hAnsi="Times New Roman" w:cs="Times New Roman"/>
          <w:sz w:val="24"/>
          <w:szCs w:val="24"/>
        </w:rPr>
        <w:t xml:space="preserve">czy też korzyści z </w:t>
      </w:r>
      <w:r w:rsidR="00357AE9" w:rsidRPr="0018524B">
        <w:rPr>
          <w:rFonts w:ascii="Times New Roman" w:hAnsi="Times New Roman" w:cs="Times New Roman"/>
          <w:sz w:val="24"/>
          <w:szCs w:val="24"/>
        </w:rPr>
        <w:t>trustu. Przykładowo wskazać można trust, zgodnie z którym korzyści płynące z działalności prowadzonej przez trust będą wypłacone na rzecz pełnoletnich dzieci założyciel</w:t>
      </w:r>
      <w:r w:rsidR="00D74427" w:rsidRPr="0018524B">
        <w:rPr>
          <w:rFonts w:ascii="Times New Roman" w:hAnsi="Times New Roman" w:cs="Times New Roman"/>
          <w:sz w:val="24"/>
          <w:szCs w:val="24"/>
        </w:rPr>
        <w:t>a</w:t>
      </w:r>
      <w:r w:rsidR="00357AE9" w:rsidRPr="0018524B">
        <w:rPr>
          <w:rFonts w:ascii="Times New Roman" w:hAnsi="Times New Roman" w:cs="Times New Roman"/>
          <w:sz w:val="24"/>
          <w:szCs w:val="24"/>
        </w:rPr>
        <w:t xml:space="preserve"> trustu. W przypadku gdy założyciel ma pięcioro dzieci w wieku poniżej 10 roku życia, nie ma możliwości jednoznacznego wskazania beneficjentów </w:t>
      </w:r>
      <w:r w:rsidR="00357AE9" w:rsidRPr="0018524B">
        <w:rPr>
          <w:rFonts w:ascii="Times New Roman" w:hAnsi="Times New Roman" w:cs="Times New Roman"/>
          <w:sz w:val="24"/>
          <w:szCs w:val="24"/>
        </w:rPr>
        <w:lastRenderedPageBreak/>
        <w:t xml:space="preserve">trustu, ponieważ liczba osób czerpiących korzyści z trustu może ulec zmianie, ze względu na śmierć dziecka przed osiągnięciem pełnoletności lub z uwagi na </w:t>
      </w:r>
      <w:r w:rsidR="00D74427" w:rsidRPr="0018524B">
        <w:rPr>
          <w:rFonts w:ascii="Times New Roman" w:hAnsi="Times New Roman" w:cs="Times New Roman"/>
          <w:sz w:val="24"/>
          <w:szCs w:val="24"/>
        </w:rPr>
        <w:t>urodzenie się kolejnych dzieci, które po osiągnięciu pełnoletności staną się beneficjentami. W takiej sytuacji jako beneficjenta rzeczywistego wskazać należy grupę osób</w:t>
      </w:r>
      <w:r w:rsidR="00616FBC" w:rsidRPr="0018524B">
        <w:rPr>
          <w:rFonts w:ascii="Times New Roman" w:hAnsi="Times New Roman" w:cs="Times New Roman"/>
          <w:sz w:val="24"/>
          <w:szCs w:val="24"/>
        </w:rPr>
        <w:t>,</w:t>
      </w:r>
      <w:r w:rsidR="00D74427" w:rsidRPr="0018524B">
        <w:rPr>
          <w:rFonts w:ascii="Times New Roman" w:hAnsi="Times New Roman" w:cs="Times New Roman"/>
          <w:sz w:val="24"/>
          <w:szCs w:val="24"/>
        </w:rPr>
        <w:t xml:space="preserve"> w których głównym interesie powstał lub działa trust, co zostało przewidziane w znowelizowanym art. 2 ust. 2 pkt 1 lit. b tiret czwart</w:t>
      </w:r>
      <w:r w:rsidR="00F21C45">
        <w:rPr>
          <w:rFonts w:ascii="Times New Roman" w:hAnsi="Times New Roman" w:cs="Times New Roman"/>
          <w:sz w:val="24"/>
          <w:szCs w:val="24"/>
        </w:rPr>
        <w:t>e</w:t>
      </w:r>
      <w:r w:rsidR="00D74427" w:rsidRPr="0018524B">
        <w:rPr>
          <w:rFonts w:ascii="Times New Roman" w:hAnsi="Times New Roman" w:cs="Times New Roman"/>
          <w:sz w:val="24"/>
          <w:szCs w:val="24"/>
        </w:rPr>
        <w:t xml:space="preserve"> ustawy o p.p.p.f.t.</w:t>
      </w:r>
    </w:p>
    <w:p w14:paraId="41C7E29A" w14:textId="1122DF61" w:rsidR="0016557F" w:rsidRPr="0018524B" w:rsidRDefault="00851A28"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W związku ze zmianą treści definicji beneficjenta rzeczywistego uznano za zasadne dostosowanie treści art. 2 ust. 2 pkt 1 lit. b ustawy o p.p.p.f.t. do brzmienia art. 3 ust. 6 lit. c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y 2015/849, poprzez </w:t>
      </w:r>
      <w:r w:rsidRPr="0018524B">
        <w:rPr>
          <w:rFonts w:ascii="Times New Roman" w:hAnsi="Times New Roman" w:cs="Times New Roman"/>
          <w:b/>
          <w:sz w:val="24"/>
          <w:szCs w:val="24"/>
        </w:rPr>
        <w:t>dodanie tiret szóstego</w:t>
      </w:r>
      <w:r w:rsidRPr="0018524B">
        <w:rPr>
          <w:rFonts w:ascii="Times New Roman" w:hAnsi="Times New Roman" w:cs="Times New Roman"/>
          <w:sz w:val="24"/>
          <w:szCs w:val="24"/>
        </w:rPr>
        <w:t xml:space="preserve">. Art. 3 ust. 6 lit. c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y 2015/849 wskazuje os</w:t>
      </w:r>
      <w:r w:rsidR="00F85DFA" w:rsidRPr="0018524B">
        <w:rPr>
          <w:rFonts w:ascii="Times New Roman" w:hAnsi="Times New Roman" w:cs="Times New Roman"/>
          <w:sz w:val="24"/>
          <w:szCs w:val="24"/>
        </w:rPr>
        <w:t>o</w:t>
      </w:r>
      <w:r w:rsidRPr="0018524B">
        <w:rPr>
          <w:rFonts w:ascii="Times New Roman" w:hAnsi="Times New Roman" w:cs="Times New Roman"/>
          <w:sz w:val="24"/>
          <w:szCs w:val="24"/>
        </w:rPr>
        <w:t>b</w:t>
      </w:r>
      <w:r w:rsidR="00F85DFA" w:rsidRPr="0018524B">
        <w:rPr>
          <w:rFonts w:ascii="Times New Roman" w:hAnsi="Times New Roman" w:cs="Times New Roman"/>
          <w:sz w:val="24"/>
          <w:szCs w:val="24"/>
        </w:rPr>
        <w:t>y</w:t>
      </w:r>
      <w:r w:rsidRPr="0018524B">
        <w:rPr>
          <w:rFonts w:ascii="Times New Roman" w:hAnsi="Times New Roman" w:cs="Times New Roman"/>
          <w:sz w:val="24"/>
          <w:szCs w:val="24"/>
        </w:rPr>
        <w:t xml:space="preserve"> uznawan</w:t>
      </w:r>
      <w:r w:rsidR="00F85DFA" w:rsidRPr="0018524B">
        <w:rPr>
          <w:rFonts w:ascii="Times New Roman" w:hAnsi="Times New Roman" w:cs="Times New Roman"/>
          <w:sz w:val="24"/>
          <w:szCs w:val="24"/>
        </w:rPr>
        <w:t>e</w:t>
      </w:r>
      <w:r w:rsidRPr="0018524B">
        <w:rPr>
          <w:rFonts w:ascii="Times New Roman" w:hAnsi="Times New Roman" w:cs="Times New Roman"/>
          <w:sz w:val="24"/>
          <w:szCs w:val="24"/>
        </w:rPr>
        <w:t xml:space="preserve"> za beneficjentów rzeczywistych </w:t>
      </w:r>
      <w:r w:rsidR="00F85DFA" w:rsidRPr="0018524B">
        <w:rPr>
          <w:rFonts w:ascii="Times New Roman" w:hAnsi="Times New Roman" w:cs="Times New Roman"/>
          <w:sz w:val="24"/>
          <w:szCs w:val="24"/>
        </w:rPr>
        <w:t>porozumień prawnych podobnych do trustów, poprzez określenie ich jako osoby fizyczne zajmujące stanowiska równoważne ze stanowiskami, o których mowa w lit. b tego ustępu (odnoszącej się do beneficjentów rzeczywistych trustów). Zauważyć należy, iż w polskim porządku prawnym nie zostały uregulowane trusty, w związku z czym definicja trustu znajdująca się w art. 2 ust. 2 pkt 24 ustawy o p.p.p.f.t.</w:t>
      </w:r>
      <w:r w:rsidR="00714178" w:rsidRPr="0018524B">
        <w:rPr>
          <w:rFonts w:ascii="Times New Roman" w:hAnsi="Times New Roman" w:cs="Times New Roman"/>
          <w:sz w:val="24"/>
          <w:szCs w:val="24"/>
        </w:rPr>
        <w:t xml:space="preserve"> ma charakter opisowy. Jednocześnie ze względu na brak możliwości utworzenia trustu na gruncie polskiego porządku prawnego, definiowanie porozumień prawnych podobnych do trustów musiałoby się wiązać z koniecznością oparcia definicji takiego porozumienia na opisowej definicji trustu. W związku z przedstawionym problemem definicyjnym, podczas prac nad ustawą o p.p.p.f.t. postanowiono nie definiować osobno porozumień prawnych podobnych do trustów, tworząc jednocześnie szeroką pojęciowo definicję trustu, tak by potencjalne porozumienia prawne podobne do trustów (w rozumieniu </w:t>
      </w:r>
      <w:r w:rsidR="00832446" w:rsidRPr="0018524B">
        <w:rPr>
          <w:rFonts w:ascii="Times New Roman" w:hAnsi="Times New Roman" w:cs="Times New Roman"/>
          <w:sz w:val="24"/>
          <w:szCs w:val="24"/>
        </w:rPr>
        <w:t>dyrektyw</w:t>
      </w:r>
      <w:r w:rsidR="00714178" w:rsidRPr="0018524B">
        <w:rPr>
          <w:rFonts w:ascii="Times New Roman" w:hAnsi="Times New Roman" w:cs="Times New Roman"/>
          <w:sz w:val="24"/>
          <w:szCs w:val="24"/>
        </w:rPr>
        <w:t xml:space="preserve">y 2015/849) objęte były definicją trustu. W konsekwencji takiego stanu rzeczy, </w:t>
      </w:r>
      <w:r w:rsidR="0016557F" w:rsidRPr="0018524B">
        <w:rPr>
          <w:rFonts w:ascii="Times New Roman" w:hAnsi="Times New Roman" w:cs="Times New Roman"/>
          <w:sz w:val="24"/>
          <w:szCs w:val="24"/>
        </w:rPr>
        <w:t xml:space="preserve">uwzględnienie w ustawie o p.p.p.f.t. postanowień art. 3 ust. 6 lit. c </w:t>
      </w:r>
      <w:r w:rsidR="00832446" w:rsidRPr="0018524B">
        <w:rPr>
          <w:rFonts w:ascii="Times New Roman" w:hAnsi="Times New Roman" w:cs="Times New Roman"/>
          <w:sz w:val="24"/>
          <w:szCs w:val="24"/>
        </w:rPr>
        <w:t>dyrektyw</w:t>
      </w:r>
      <w:r w:rsidR="0016557F" w:rsidRPr="0018524B">
        <w:rPr>
          <w:rFonts w:ascii="Times New Roman" w:hAnsi="Times New Roman" w:cs="Times New Roman"/>
          <w:sz w:val="24"/>
          <w:szCs w:val="24"/>
        </w:rPr>
        <w:t xml:space="preserve">y 2015/849 wiązało się z koniecznością dodania tiret szóstego do art. 2 ust. 2 pkt 1 lit. b ustawy o p.p.p.f.t., </w:t>
      </w:r>
      <w:r w:rsidR="00590DBD" w:rsidRPr="0018524B">
        <w:rPr>
          <w:rFonts w:ascii="Times New Roman" w:hAnsi="Times New Roman" w:cs="Times New Roman"/>
          <w:sz w:val="24"/>
          <w:szCs w:val="24"/>
        </w:rPr>
        <w:t>wskaz</w:t>
      </w:r>
      <w:r w:rsidR="0016557F" w:rsidRPr="0018524B">
        <w:rPr>
          <w:rFonts w:ascii="Times New Roman" w:hAnsi="Times New Roman" w:cs="Times New Roman"/>
          <w:sz w:val="24"/>
          <w:szCs w:val="24"/>
        </w:rPr>
        <w:t>ującego</w:t>
      </w:r>
      <w:r w:rsidR="00590DBD" w:rsidRPr="0018524B">
        <w:rPr>
          <w:rFonts w:ascii="Times New Roman" w:hAnsi="Times New Roman" w:cs="Times New Roman"/>
          <w:sz w:val="24"/>
          <w:szCs w:val="24"/>
        </w:rPr>
        <w:t xml:space="preserve"> </w:t>
      </w:r>
      <w:r w:rsidR="0016557F" w:rsidRPr="0018524B">
        <w:rPr>
          <w:rFonts w:ascii="Times New Roman" w:hAnsi="Times New Roman" w:cs="Times New Roman"/>
          <w:sz w:val="24"/>
          <w:szCs w:val="24"/>
        </w:rPr>
        <w:t>na możliwość uznania za beneficjenta rzeczywistego trustu osoby fizycznej „</w:t>
      </w:r>
      <w:r w:rsidR="0016557F" w:rsidRPr="0018524B">
        <w:rPr>
          <w:rFonts w:ascii="Times New Roman" w:hAnsi="Times New Roman" w:cs="Times New Roman"/>
          <w:i/>
          <w:sz w:val="24"/>
          <w:szCs w:val="24"/>
        </w:rPr>
        <w:t>o uprawnieniach lub obowiązkach równoważnych do określonych w tiret od pierwsze do piąte</w:t>
      </w:r>
      <w:r w:rsidR="0016557F" w:rsidRPr="0018524B">
        <w:rPr>
          <w:rFonts w:ascii="Times New Roman" w:hAnsi="Times New Roman" w:cs="Times New Roman"/>
          <w:sz w:val="24"/>
          <w:szCs w:val="24"/>
        </w:rPr>
        <w:t xml:space="preserve">”. Wprowadzenie tego zapisu jest konieczne ze względu na szeroki katalog regulowanych prawem obcym trustów lub porozumień prawnych podobnych do trustów, w których niejednokrotnie nie będzie </w:t>
      </w:r>
      <w:r w:rsidR="00CF1196" w:rsidRPr="0018524B">
        <w:rPr>
          <w:rFonts w:ascii="Times New Roman" w:hAnsi="Times New Roman" w:cs="Times New Roman"/>
          <w:sz w:val="24"/>
          <w:szCs w:val="24"/>
        </w:rPr>
        <w:t>stanowiska</w:t>
      </w:r>
      <w:r w:rsidR="0016557F" w:rsidRPr="0018524B">
        <w:rPr>
          <w:rFonts w:ascii="Times New Roman" w:hAnsi="Times New Roman" w:cs="Times New Roman"/>
          <w:sz w:val="24"/>
          <w:szCs w:val="24"/>
        </w:rPr>
        <w:t xml:space="preserve"> „</w:t>
      </w:r>
      <w:r w:rsidR="0016557F" w:rsidRPr="0018524B">
        <w:rPr>
          <w:rFonts w:ascii="Times New Roman" w:hAnsi="Times New Roman" w:cs="Times New Roman"/>
          <w:i/>
          <w:sz w:val="24"/>
          <w:szCs w:val="24"/>
        </w:rPr>
        <w:t>powiernika</w:t>
      </w:r>
      <w:r w:rsidR="0016557F" w:rsidRPr="0018524B">
        <w:rPr>
          <w:rFonts w:ascii="Times New Roman" w:hAnsi="Times New Roman" w:cs="Times New Roman"/>
          <w:sz w:val="24"/>
          <w:szCs w:val="24"/>
        </w:rPr>
        <w:t xml:space="preserve">”, ale będzie </w:t>
      </w:r>
      <w:r w:rsidR="00CF1196" w:rsidRPr="0018524B">
        <w:rPr>
          <w:rFonts w:ascii="Times New Roman" w:hAnsi="Times New Roman" w:cs="Times New Roman"/>
          <w:sz w:val="24"/>
          <w:szCs w:val="24"/>
        </w:rPr>
        <w:t xml:space="preserve">stanowisko </w:t>
      </w:r>
      <w:r w:rsidR="0016557F" w:rsidRPr="0018524B">
        <w:rPr>
          <w:rFonts w:ascii="Times New Roman" w:hAnsi="Times New Roman" w:cs="Times New Roman"/>
          <w:sz w:val="24"/>
          <w:szCs w:val="24"/>
        </w:rPr>
        <w:t>o równoważnych uprawnieniach.</w:t>
      </w:r>
      <w:r w:rsidR="00CF1196" w:rsidRPr="0018524B">
        <w:rPr>
          <w:rFonts w:ascii="Times New Roman" w:hAnsi="Times New Roman" w:cs="Times New Roman"/>
          <w:sz w:val="24"/>
          <w:szCs w:val="24"/>
        </w:rPr>
        <w:t xml:space="preserve"> W celu uniknięcia wątpliwości co do prawidłowości uznania za beneficjenta rzeczywistego osoby zajmującej takie stanowisko, konieczne było wprowadzenie art. 2 ust. 2 pkt 1 lit. b tiret szóst</w:t>
      </w:r>
      <w:r w:rsidR="00F21C45">
        <w:rPr>
          <w:rFonts w:ascii="Times New Roman" w:hAnsi="Times New Roman" w:cs="Times New Roman"/>
          <w:sz w:val="24"/>
          <w:szCs w:val="24"/>
        </w:rPr>
        <w:t>e</w:t>
      </w:r>
      <w:r w:rsidR="00CF1196" w:rsidRPr="0018524B">
        <w:rPr>
          <w:rFonts w:ascii="Times New Roman" w:hAnsi="Times New Roman" w:cs="Times New Roman"/>
          <w:sz w:val="24"/>
          <w:szCs w:val="24"/>
        </w:rPr>
        <w:t xml:space="preserve"> ustawy o p.p.p.f.t.</w:t>
      </w:r>
    </w:p>
    <w:p w14:paraId="176877F3" w14:textId="4B597BC6" w:rsidR="00927C1F" w:rsidRPr="0018524B" w:rsidRDefault="006C0133"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Jednocześnie w ramach nowelizacji art. 2 ust. 2 pkt 1</w:t>
      </w:r>
      <w:r w:rsidR="00145E99" w:rsidRPr="0018524B">
        <w:rPr>
          <w:rFonts w:ascii="Times New Roman" w:hAnsi="Times New Roman" w:cs="Times New Roman"/>
          <w:sz w:val="24"/>
          <w:szCs w:val="24"/>
        </w:rPr>
        <w:t xml:space="preserve"> ustawy o p.p.p.f.t.,</w:t>
      </w:r>
      <w:r w:rsidRPr="0018524B">
        <w:rPr>
          <w:rFonts w:ascii="Times New Roman" w:hAnsi="Times New Roman" w:cs="Times New Roman"/>
          <w:sz w:val="24"/>
          <w:szCs w:val="24"/>
        </w:rPr>
        <w:t xml:space="preserve"> </w:t>
      </w:r>
      <w:r w:rsidR="00145E99" w:rsidRPr="0018524B">
        <w:rPr>
          <w:rFonts w:ascii="Times New Roman" w:hAnsi="Times New Roman" w:cs="Times New Roman"/>
          <w:sz w:val="24"/>
          <w:szCs w:val="24"/>
        </w:rPr>
        <w:t xml:space="preserve">podjęto decyzję o </w:t>
      </w:r>
      <w:r w:rsidR="00145E99" w:rsidRPr="0018524B">
        <w:rPr>
          <w:rFonts w:ascii="Times New Roman" w:hAnsi="Times New Roman" w:cs="Times New Roman"/>
          <w:i/>
          <w:sz w:val="24"/>
          <w:szCs w:val="24"/>
        </w:rPr>
        <w:t>zmianie definicji beneficjenta rzeczywistego</w:t>
      </w:r>
      <w:r w:rsidR="00145E99" w:rsidRPr="0018524B">
        <w:rPr>
          <w:rFonts w:ascii="Times New Roman" w:hAnsi="Times New Roman" w:cs="Times New Roman"/>
          <w:sz w:val="24"/>
          <w:szCs w:val="24"/>
        </w:rPr>
        <w:t xml:space="preserve">, poprzez </w:t>
      </w:r>
      <w:r w:rsidR="00145E99" w:rsidRPr="0018524B">
        <w:rPr>
          <w:rFonts w:ascii="Times New Roman" w:hAnsi="Times New Roman" w:cs="Times New Roman"/>
          <w:b/>
          <w:sz w:val="24"/>
          <w:szCs w:val="24"/>
        </w:rPr>
        <w:t xml:space="preserve">usunięcie z lit. a </w:t>
      </w:r>
      <w:r w:rsidR="004A060E" w:rsidRPr="0018524B">
        <w:rPr>
          <w:rFonts w:ascii="Times New Roman" w:hAnsi="Times New Roman" w:cs="Times New Roman"/>
          <w:b/>
          <w:sz w:val="24"/>
          <w:szCs w:val="24"/>
        </w:rPr>
        <w:t>– c</w:t>
      </w:r>
      <w:r w:rsidR="00145E99" w:rsidRPr="0018524B">
        <w:rPr>
          <w:rFonts w:ascii="Times New Roman" w:hAnsi="Times New Roman" w:cs="Times New Roman"/>
          <w:b/>
          <w:sz w:val="24"/>
          <w:szCs w:val="24"/>
        </w:rPr>
        <w:t xml:space="preserve"> zwrotów wiążących </w:t>
      </w:r>
      <w:r w:rsidR="00145E99" w:rsidRPr="0018524B">
        <w:rPr>
          <w:rFonts w:ascii="Times New Roman" w:hAnsi="Times New Roman" w:cs="Times New Roman"/>
          <w:b/>
          <w:sz w:val="24"/>
          <w:szCs w:val="24"/>
        </w:rPr>
        <w:lastRenderedPageBreak/>
        <w:t>beneficjenta rzeczywistego z pojęciem „</w:t>
      </w:r>
      <w:r w:rsidR="00145E99" w:rsidRPr="0018524B">
        <w:rPr>
          <w:rFonts w:ascii="Times New Roman" w:hAnsi="Times New Roman" w:cs="Times New Roman"/>
          <w:b/>
          <w:i/>
          <w:sz w:val="24"/>
          <w:szCs w:val="24"/>
        </w:rPr>
        <w:t>klienta</w:t>
      </w:r>
      <w:r w:rsidR="00145E99" w:rsidRPr="0018524B">
        <w:rPr>
          <w:rFonts w:ascii="Times New Roman" w:hAnsi="Times New Roman" w:cs="Times New Roman"/>
          <w:b/>
          <w:sz w:val="24"/>
          <w:szCs w:val="24"/>
        </w:rPr>
        <w:t>”</w:t>
      </w:r>
      <w:r w:rsidR="004A060E" w:rsidRPr="0018524B">
        <w:rPr>
          <w:rFonts w:ascii="Times New Roman" w:hAnsi="Times New Roman" w:cs="Times New Roman"/>
          <w:b/>
          <w:sz w:val="24"/>
          <w:szCs w:val="24"/>
        </w:rPr>
        <w:t>.</w:t>
      </w:r>
      <w:r w:rsidR="00145E99" w:rsidRPr="0018524B">
        <w:rPr>
          <w:rFonts w:ascii="Times New Roman" w:hAnsi="Times New Roman" w:cs="Times New Roman"/>
          <w:b/>
          <w:sz w:val="24"/>
          <w:szCs w:val="24"/>
        </w:rPr>
        <w:t xml:space="preserve"> </w:t>
      </w:r>
      <w:r w:rsidR="004A060E" w:rsidRPr="0018524B">
        <w:rPr>
          <w:rFonts w:ascii="Times New Roman" w:hAnsi="Times New Roman" w:cs="Times New Roman"/>
          <w:sz w:val="24"/>
          <w:szCs w:val="24"/>
        </w:rPr>
        <w:t xml:space="preserve">Ścisłe związanie pojęcia beneficjenta rzeczywistego z pojęciem klienta zostało uznane za niepożądane ze względu na możliwość </w:t>
      </w:r>
      <w:r w:rsidR="0079455A" w:rsidRPr="0018524B">
        <w:rPr>
          <w:rFonts w:ascii="Times New Roman" w:hAnsi="Times New Roman" w:cs="Times New Roman"/>
          <w:sz w:val="24"/>
          <w:szCs w:val="24"/>
        </w:rPr>
        <w:t xml:space="preserve">przyjęcia interpretacji zakładającej, iż dany podmiot nie ma beneficjenta rzeczywistego do momentu skorzystania z usług instytucji obowiązanej (w którym to momencie stałby się klientem tej instytucji zgodnie z definicją z art. 2 ust. 2 pkt 10 ustawy o p.p.p.f.t.). Zmiana definicji beneficjenta rzeczywistego wpłynie na lepsze dostosowanie prawa polskiego do postanowień </w:t>
      </w:r>
      <w:r w:rsidR="00047268" w:rsidRPr="0018524B">
        <w:rPr>
          <w:rFonts w:ascii="Times New Roman" w:hAnsi="Times New Roman" w:cs="Times New Roman"/>
          <w:sz w:val="24"/>
          <w:szCs w:val="24"/>
        </w:rPr>
        <w:t>art. 3 ust. 6 lit. a</w:t>
      </w:r>
      <w:r w:rsidR="00C6045B">
        <w:rPr>
          <w:rFonts w:ascii="Times New Roman" w:hAnsi="Times New Roman" w:cs="Times New Roman"/>
          <w:sz w:val="24"/>
          <w:szCs w:val="24"/>
        </w:rPr>
        <w:t>–</w:t>
      </w:r>
      <w:r w:rsidR="00047268" w:rsidRPr="0018524B">
        <w:rPr>
          <w:rFonts w:ascii="Times New Roman" w:hAnsi="Times New Roman" w:cs="Times New Roman"/>
          <w:sz w:val="24"/>
          <w:szCs w:val="24"/>
        </w:rPr>
        <w:t xml:space="preserve">c </w:t>
      </w:r>
      <w:r w:rsidR="00832446" w:rsidRPr="0018524B">
        <w:rPr>
          <w:rFonts w:ascii="Times New Roman" w:hAnsi="Times New Roman" w:cs="Times New Roman"/>
          <w:sz w:val="24"/>
          <w:szCs w:val="24"/>
        </w:rPr>
        <w:t>dyrektyw</w:t>
      </w:r>
      <w:r w:rsidR="0079455A" w:rsidRPr="0018524B">
        <w:rPr>
          <w:rFonts w:ascii="Times New Roman" w:hAnsi="Times New Roman" w:cs="Times New Roman"/>
          <w:sz w:val="24"/>
          <w:szCs w:val="24"/>
        </w:rPr>
        <w:t xml:space="preserve">y 2015/849, </w:t>
      </w:r>
      <w:r w:rsidR="00047268" w:rsidRPr="0018524B">
        <w:rPr>
          <w:rFonts w:ascii="Times New Roman" w:hAnsi="Times New Roman" w:cs="Times New Roman"/>
          <w:sz w:val="24"/>
          <w:szCs w:val="24"/>
        </w:rPr>
        <w:t>które nie posługują się zwrotem „</w:t>
      </w:r>
      <w:r w:rsidR="00047268" w:rsidRPr="0018524B">
        <w:rPr>
          <w:rFonts w:ascii="Times New Roman" w:hAnsi="Times New Roman" w:cs="Times New Roman"/>
          <w:i/>
          <w:sz w:val="24"/>
          <w:szCs w:val="24"/>
        </w:rPr>
        <w:t>klient</w:t>
      </w:r>
      <w:r w:rsidR="00047268" w:rsidRPr="0018524B">
        <w:rPr>
          <w:rFonts w:ascii="Times New Roman" w:hAnsi="Times New Roman" w:cs="Times New Roman"/>
          <w:sz w:val="24"/>
          <w:szCs w:val="24"/>
        </w:rPr>
        <w:t>”</w:t>
      </w:r>
      <w:r w:rsidR="0079455A" w:rsidRPr="0018524B">
        <w:rPr>
          <w:rFonts w:ascii="Times New Roman" w:hAnsi="Times New Roman" w:cs="Times New Roman"/>
          <w:sz w:val="24"/>
          <w:szCs w:val="24"/>
        </w:rPr>
        <w:t>.</w:t>
      </w:r>
      <w:r w:rsidR="00983B08" w:rsidRPr="0018524B">
        <w:rPr>
          <w:rFonts w:ascii="Times New Roman" w:hAnsi="Times New Roman" w:cs="Times New Roman"/>
          <w:sz w:val="24"/>
          <w:szCs w:val="24"/>
        </w:rPr>
        <w:t xml:space="preserve"> </w:t>
      </w:r>
    </w:p>
    <w:p w14:paraId="04BB4E4A" w14:textId="2B86C4ED" w:rsidR="00564B0D" w:rsidRDefault="007D3384" w:rsidP="00564B0D">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Nowelizacja definicji „</w:t>
      </w:r>
      <w:r w:rsidRPr="0018524B">
        <w:rPr>
          <w:rFonts w:ascii="Times New Roman" w:hAnsi="Times New Roman" w:cs="Times New Roman"/>
          <w:i/>
          <w:sz w:val="24"/>
          <w:szCs w:val="24"/>
        </w:rPr>
        <w:t>grupy</w:t>
      </w:r>
      <w:r w:rsidRPr="0018524B">
        <w:rPr>
          <w:rFonts w:ascii="Times New Roman" w:hAnsi="Times New Roman" w:cs="Times New Roman"/>
          <w:sz w:val="24"/>
          <w:szCs w:val="24"/>
        </w:rPr>
        <w:t>” zawartej w art. 2 ust. 2 pkt 7 ustawy o p.p.p.f.t.</w:t>
      </w:r>
      <w:r w:rsidR="009C1AE5" w:rsidRPr="0018524B">
        <w:rPr>
          <w:rFonts w:ascii="Times New Roman" w:hAnsi="Times New Roman" w:cs="Times New Roman"/>
          <w:sz w:val="24"/>
          <w:szCs w:val="24"/>
        </w:rPr>
        <w:t xml:space="preserve"> zmierza do usprawnienia wymiany informacji pomiędzy poszczególnymi członkami </w:t>
      </w:r>
      <w:r w:rsidR="00FE68C9" w:rsidRPr="0018524B">
        <w:rPr>
          <w:rFonts w:ascii="Times New Roman" w:hAnsi="Times New Roman" w:cs="Times New Roman"/>
          <w:sz w:val="24"/>
          <w:szCs w:val="24"/>
        </w:rPr>
        <w:t xml:space="preserve">grupy w rozumieniu art. 3 pkt 15 </w:t>
      </w:r>
      <w:r w:rsidR="00832446" w:rsidRPr="0018524B">
        <w:rPr>
          <w:rFonts w:ascii="Times New Roman" w:hAnsi="Times New Roman" w:cs="Times New Roman"/>
          <w:sz w:val="24"/>
          <w:szCs w:val="24"/>
        </w:rPr>
        <w:t>dyrektyw</w:t>
      </w:r>
      <w:r w:rsidR="00FE68C9" w:rsidRPr="0018524B">
        <w:rPr>
          <w:rFonts w:ascii="Times New Roman" w:hAnsi="Times New Roman" w:cs="Times New Roman"/>
          <w:sz w:val="24"/>
          <w:szCs w:val="24"/>
        </w:rPr>
        <w:t>y 2015/849. Dotychczasowa wersja defi</w:t>
      </w:r>
      <w:r w:rsidR="000D241E" w:rsidRPr="0018524B">
        <w:rPr>
          <w:rFonts w:ascii="Times New Roman" w:hAnsi="Times New Roman" w:cs="Times New Roman"/>
          <w:sz w:val="24"/>
          <w:szCs w:val="24"/>
        </w:rPr>
        <w:t>nicji grupy</w:t>
      </w:r>
      <w:r w:rsidR="00A73B26" w:rsidRPr="0018524B">
        <w:rPr>
          <w:rFonts w:ascii="Times New Roman" w:hAnsi="Times New Roman" w:cs="Times New Roman"/>
          <w:sz w:val="24"/>
          <w:szCs w:val="24"/>
        </w:rPr>
        <w:t xml:space="preserve"> zawarta w ustawie o p.p.p.f.t.</w:t>
      </w:r>
      <w:r w:rsidR="000D241E" w:rsidRPr="0018524B">
        <w:rPr>
          <w:rFonts w:ascii="Times New Roman" w:hAnsi="Times New Roman" w:cs="Times New Roman"/>
          <w:sz w:val="24"/>
          <w:szCs w:val="24"/>
        </w:rPr>
        <w:t xml:space="preserve">, odnosząca się do ustawy z dnia 29 września 1994 r. </w:t>
      </w:r>
      <w:r w:rsidR="000D241E" w:rsidRPr="0018524B">
        <w:rPr>
          <w:rFonts w:ascii="Times New Roman" w:hAnsi="Times New Roman" w:cs="Times New Roman"/>
          <w:i/>
          <w:sz w:val="24"/>
          <w:szCs w:val="24"/>
        </w:rPr>
        <w:t>o rachunkowości</w:t>
      </w:r>
      <w:r w:rsidR="000D241E" w:rsidRPr="0018524B">
        <w:rPr>
          <w:rFonts w:ascii="Times New Roman" w:hAnsi="Times New Roman" w:cs="Times New Roman"/>
          <w:sz w:val="24"/>
          <w:szCs w:val="24"/>
        </w:rPr>
        <w:t xml:space="preserve">, </w:t>
      </w:r>
      <w:r w:rsidR="00A73B26" w:rsidRPr="0018524B">
        <w:rPr>
          <w:rFonts w:ascii="Times New Roman" w:hAnsi="Times New Roman" w:cs="Times New Roman"/>
          <w:sz w:val="24"/>
          <w:szCs w:val="24"/>
        </w:rPr>
        <w:t>nie znajdowała pełnego zastosowania do członków grup mających siedzibę w różnych państwach członkowskich. Dyrektywa 2015/849 w definicji grupy znajdującej się w art. 3 pkt 15, odnosi się do związków zachodzących pomiędzy członkami grup</w:t>
      </w:r>
      <w:r w:rsidR="00BB363B" w:rsidRPr="0018524B">
        <w:rPr>
          <w:rFonts w:ascii="Times New Roman" w:hAnsi="Times New Roman" w:cs="Times New Roman"/>
          <w:sz w:val="24"/>
          <w:szCs w:val="24"/>
        </w:rPr>
        <w:t xml:space="preserve">y, opisanych w art. 22 dyrektywy 2013/34/UE. </w:t>
      </w:r>
      <w:r w:rsidR="00E562C3" w:rsidRPr="0018524B">
        <w:rPr>
          <w:rFonts w:ascii="Times New Roman" w:hAnsi="Times New Roman" w:cs="Times New Roman"/>
          <w:sz w:val="24"/>
          <w:szCs w:val="24"/>
        </w:rPr>
        <w:t xml:space="preserve">Implementacja art. 22 dyrektywy 2013/34/UE przez poszczególne państwa członkowskie każdorazowo sprowadza się do stworzenia definicji grupy na gruncie porządku prawnego danego państwa, co nie gwarantuje zapewnienia pełnej wymiany informacji pomiędzy członkami grupy w ramach celów określonych przez </w:t>
      </w:r>
      <w:r w:rsidR="00832446" w:rsidRPr="0018524B">
        <w:rPr>
          <w:rFonts w:ascii="Times New Roman" w:hAnsi="Times New Roman" w:cs="Times New Roman"/>
          <w:sz w:val="24"/>
          <w:szCs w:val="24"/>
        </w:rPr>
        <w:t>dyrektyw</w:t>
      </w:r>
      <w:r w:rsidR="00E562C3" w:rsidRPr="0018524B">
        <w:rPr>
          <w:rFonts w:ascii="Times New Roman" w:hAnsi="Times New Roman" w:cs="Times New Roman"/>
          <w:sz w:val="24"/>
          <w:szCs w:val="24"/>
        </w:rPr>
        <w:t>ę 2015/849. K</w:t>
      </w:r>
      <w:r w:rsidR="00BB363B" w:rsidRPr="0018524B">
        <w:rPr>
          <w:rFonts w:ascii="Times New Roman" w:hAnsi="Times New Roman" w:cs="Times New Roman"/>
          <w:sz w:val="24"/>
          <w:szCs w:val="24"/>
        </w:rPr>
        <w:t xml:space="preserve">onieczne stało się </w:t>
      </w:r>
      <w:r w:rsidR="00E562C3" w:rsidRPr="0018524B">
        <w:rPr>
          <w:rFonts w:ascii="Times New Roman" w:hAnsi="Times New Roman" w:cs="Times New Roman"/>
          <w:sz w:val="24"/>
          <w:szCs w:val="24"/>
        </w:rPr>
        <w:t xml:space="preserve">zatem </w:t>
      </w:r>
      <w:r w:rsidR="00BB363B" w:rsidRPr="0018524B">
        <w:rPr>
          <w:rFonts w:ascii="Times New Roman" w:hAnsi="Times New Roman" w:cs="Times New Roman"/>
          <w:sz w:val="24"/>
          <w:szCs w:val="24"/>
        </w:rPr>
        <w:t xml:space="preserve">odesłanie do </w:t>
      </w:r>
      <w:r w:rsidR="00E562C3" w:rsidRPr="0018524B">
        <w:rPr>
          <w:rFonts w:ascii="Times New Roman" w:hAnsi="Times New Roman" w:cs="Times New Roman"/>
          <w:sz w:val="24"/>
          <w:szCs w:val="24"/>
        </w:rPr>
        <w:t xml:space="preserve">art. 22 dyrektywy 2013/34/UE wprost </w:t>
      </w:r>
      <w:r w:rsidR="00BB363B" w:rsidRPr="0018524B">
        <w:rPr>
          <w:rFonts w:ascii="Times New Roman" w:hAnsi="Times New Roman" w:cs="Times New Roman"/>
          <w:sz w:val="24"/>
          <w:szCs w:val="24"/>
        </w:rPr>
        <w:t xml:space="preserve">w definicji zawartej w art. 2 ust. 2 pkt 7 ustawy o p.p.p.f.t. Tym sposobem </w:t>
      </w:r>
      <w:r w:rsidR="004D5719" w:rsidRPr="0018524B">
        <w:rPr>
          <w:rFonts w:ascii="Times New Roman" w:hAnsi="Times New Roman" w:cs="Times New Roman"/>
          <w:sz w:val="24"/>
          <w:szCs w:val="24"/>
        </w:rPr>
        <w:t xml:space="preserve">przyjęto definicję gwarantującą uznanie za członków grupy wszystkich podmiotów objętych definicją znajdującą się w </w:t>
      </w:r>
      <w:r w:rsidR="00832446" w:rsidRPr="0018524B">
        <w:rPr>
          <w:rFonts w:ascii="Times New Roman" w:hAnsi="Times New Roman" w:cs="Times New Roman"/>
          <w:sz w:val="24"/>
          <w:szCs w:val="24"/>
        </w:rPr>
        <w:t>dyrektyw</w:t>
      </w:r>
      <w:r w:rsidR="004D5719" w:rsidRPr="0018524B">
        <w:rPr>
          <w:rFonts w:ascii="Times New Roman" w:hAnsi="Times New Roman" w:cs="Times New Roman"/>
          <w:sz w:val="24"/>
          <w:szCs w:val="24"/>
        </w:rPr>
        <w:t>ie 2015/849</w:t>
      </w:r>
      <w:r w:rsidR="00BB363B" w:rsidRPr="0018524B">
        <w:rPr>
          <w:rFonts w:ascii="Times New Roman" w:hAnsi="Times New Roman" w:cs="Times New Roman"/>
          <w:sz w:val="24"/>
          <w:szCs w:val="24"/>
        </w:rPr>
        <w:t>.</w:t>
      </w:r>
      <w:r w:rsidR="00564B0D" w:rsidRPr="00564B0D">
        <w:rPr>
          <w:rFonts w:ascii="Times New Roman" w:hAnsi="Times New Roman" w:cs="Times New Roman"/>
          <w:sz w:val="24"/>
          <w:szCs w:val="24"/>
        </w:rPr>
        <w:t xml:space="preserve"> </w:t>
      </w:r>
    </w:p>
    <w:p w14:paraId="2C4D0B15" w14:textId="0EB4489D" w:rsidR="00CB77D9" w:rsidRPr="0018524B" w:rsidRDefault="00564B0D" w:rsidP="00564B0D">
      <w:pPr>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Uzasadnienie zmian wprowadzonych do określonej w art. 2 ust. 2 pkt 11 ustawy o p.p.p.f.t. definicji „osoby zajmującej eksponowane stanowisko polityczne” zostało zawarte w dalszej części </w:t>
      </w:r>
      <w:r w:rsidR="00F94A94">
        <w:rPr>
          <w:rFonts w:ascii="Times New Roman" w:hAnsi="Times New Roman" w:cs="Times New Roman"/>
          <w:sz w:val="24"/>
          <w:szCs w:val="24"/>
        </w:rPr>
        <w:t>dokumentu</w:t>
      </w:r>
      <w:r>
        <w:rPr>
          <w:rFonts w:ascii="Times New Roman" w:hAnsi="Times New Roman" w:cs="Times New Roman"/>
          <w:sz w:val="24"/>
          <w:szCs w:val="24"/>
        </w:rPr>
        <w:t>, wraz z uzasadnieniem odnoszącym się do pozostających w związku z tym przepisem, art</w:t>
      </w:r>
      <w:r w:rsidR="00F21C45">
        <w:rPr>
          <w:rFonts w:ascii="Times New Roman" w:hAnsi="Times New Roman" w:cs="Times New Roman"/>
          <w:sz w:val="24"/>
          <w:szCs w:val="24"/>
        </w:rPr>
        <w:t>.</w:t>
      </w:r>
      <w:r>
        <w:rPr>
          <w:rFonts w:ascii="Times New Roman" w:hAnsi="Times New Roman" w:cs="Times New Roman"/>
          <w:sz w:val="24"/>
          <w:szCs w:val="24"/>
        </w:rPr>
        <w:t xml:space="preserve"> 46a</w:t>
      </w:r>
      <w:r w:rsidR="00C6045B">
        <w:rPr>
          <w:rFonts w:ascii="Times New Roman" w:hAnsi="Times New Roman" w:cs="Times New Roman"/>
          <w:sz w:val="24"/>
          <w:szCs w:val="24"/>
        </w:rPr>
        <w:t>–</w:t>
      </w:r>
      <w:r>
        <w:rPr>
          <w:rFonts w:ascii="Times New Roman" w:hAnsi="Times New Roman" w:cs="Times New Roman"/>
          <w:sz w:val="24"/>
          <w:szCs w:val="24"/>
        </w:rPr>
        <w:t>46c.</w:t>
      </w:r>
    </w:p>
    <w:p w14:paraId="22AEF601" w14:textId="41B212BD" w:rsidR="00983B08" w:rsidRPr="0018524B" w:rsidRDefault="00B639F7" w:rsidP="00C81472">
      <w:pPr>
        <w:spacing w:line="400" w:lineRule="atLeast"/>
        <w:jc w:val="both"/>
        <w:rPr>
          <w:rFonts w:ascii="Times New Roman" w:hAnsi="Times New Roman" w:cs="Times New Roman"/>
          <w:sz w:val="24"/>
          <w:szCs w:val="24"/>
        </w:rPr>
      </w:pPr>
      <w:r w:rsidRPr="0018524B">
        <w:rPr>
          <w:rFonts w:ascii="Times New Roman" w:hAnsi="Times New Roman" w:cs="Times New Roman"/>
          <w:b/>
          <w:sz w:val="24"/>
          <w:szCs w:val="24"/>
        </w:rPr>
        <w:t>Art. 2 ust. 2 pkt 12a</w:t>
      </w:r>
      <w:r w:rsidRPr="0018524B">
        <w:rPr>
          <w:rFonts w:ascii="Times New Roman" w:hAnsi="Times New Roman" w:cs="Times New Roman"/>
          <w:sz w:val="24"/>
          <w:szCs w:val="24"/>
        </w:rPr>
        <w:t xml:space="preserve"> </w:t>
      </w:r>
      <w:r w:rsidR="00F21C45">
        <w:rPr>
          <w:rFonts w:ascii="Times New Roman" w:hAnsi="Times New Roman" w:cs="Times New Roman"/>
          <w:sz w:val="24"/>
          <w:szCs w:val="24"/>
        </w:rPr>
        <w:t xml:space="preserve">ustawy o p.p.p.f.t.. </w:t>
      </w:r>
      <w:r w:rsidR="00983B08" w:rsidRPr="0018524B">
        <w:rPr>
          <w:rFonts w:ascii="Times New Roman" w:hAnsi="Times New Roman" w:cs="Times New Roman"/>
          <w:sz w:val="24"/>
          <w:szCs w:val="24"/>
        </w:rPr>
        <w:t>Uzupełnienie słownika wyrażeń ustawowych o definicję państwa członkowskiego obejmującego oprócz państw członkowskich Unii Europejskiej również państwa członkowskie Europejskiego Porozumienia o Wolnym Handlu (EFTA)</w:t>
      </w:r>
      <w:r w:rsidR="009C207B" w:rsidRPr="0018524B">
        <w:rPr>
          <w:rFonts w:ascii="Times New Roman" w:hAnsi="Times New Roman" w:cs="Times New Roman"/>
          <w:sz w:val="24"/>
          <w:szCs w:val="24"/>
        </w:rPr>
        <w:t xml:space="preserve"> </w:t>
      </w:r>
      <w:r w:rsidR="00C6045B">
        <w:rPr>
          <w:rFonts w:ascii="Times New Roman" w:hAnsi="Times New Roman" w:cs="Times New Roman"/>
          <w:sz w:val="24"/>
          <w:szCs w:val="24"/>
        </w:rPr>
        <w:t>–</w:t>
      </w:r>
      <w:r w:rsidR="00983B08" w:rsidRPr="0018524B">
        <w:rPr>
          <w:rFonts w:ascii="Times New Roman" w:hAnsi="Times New Roman" w:cs="Times New Roman"/>
          <w:sz w:val="24"/>
          <w:szCs w:val="24"/>
        </w:rPr>
        <w:t xml:space="preserve"> strony umowy o Europejskim Obszarze Gospodarczym, a więc Islandię, Lichtenstein i Norwegię wynika z faktu, że dyrektywa 2015/849 jest tekstem mającym znaczenie dla EOG.</w:t>
      </w:r>
    </w:p>
    <w:p w14:paraId="2D2041E2" w14:textId="5BB9F862" w:rsidR="005B2C14" w:rsidRPr="0018524B" w:rsidRDefault="005B2C14"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Art. 54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y 2015/849 w brzmieniu nadanym przez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ę 2018/843, wprowadził obowiązek wyznaczenia osoby kontaktowej lub punktu kontaktowego, odpowiedzialnego za </w:t>
      </w:r>
      <w:r w:rsidRPr="0018524B">
        <w:rPr>
          <w:rFonts w:ascii="Times New Roman" w:hAnsi="Times New Roman" w:cs="Times New Roman"/>
          <w:sz w:val="24"/>
          <w:szCs w:val="24"/>
        </w:rPr>
        <w:lastRenderedPageBreak/>
        <w:t xml:space="preserve">przyjmowanie wniosków o udzielenie informacji od jednostek analityki finansowej z innych państw członkowskich. W </w:t>
      </w:r>
      <w:r w:rsidRPr="0018524B">
        <w:rPr>
          <w:rFonts w:ascii="Times New Roman" w:hAnsi="Times New Roman" w:cs="Times New Roman"/>
          <w:b/>
          <w:sz w:val="24"/>
          <w:szCs w:val="24"/>
        </w:rPr>
        <w:t>art. 12 ust. 1 ustawy o p.p.p.f.t.</w:t>
      </w:r>
      <w:r w:rsidRPr="0018524B">
        <w:rPr>
          <w:rFonts w:ascii="Times New Roman" w:hAnsi="Times New Roman" w:cs="Times New Roman"/>
          <w:sz w:val="24"/>
          <w:szCs w:val="24"/>
        </w:rPr>
        <w:t xml:space="preserve"> dodano pkt 9a, zgodnie z którym do zadań Generalnego Inspektora Informacji Finansowej należy wymiana informacji z zagranicznymi jednostkami analityki finansowej, w tym prowadzenie punktu kontaktowego na potrzeby tej wymiany. Zauważyć należy, iż w dotychczasowym stanie prawnym, zadania te były faktycznie realizowane przez Generalnego Inspektora Informacji Finansowej, przy czym wprowadzenie odpowiedniego przepisu wprost regulującego omawiane kwestie jest konieczne ze względu na wynikający z art. 54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y obowiązek wskazania właściwego punktu kontaktowego.</w:t>
      </w:r>
      <w:r w:rsidR="004D5719" w:rsidRPr="0018524B">
        <w:rPr>
          <w:rFonts w:ascii="Times New Roman" w:hAnsi="Times New Roman" w:cs="Times New Roman"/>
          <w:sz w:val="24"/>
          <w:szCs w:val="24"/>
        </w:rPr>
        <w:t xml:space="preserve"> Należy również podkreślić, iż zadania Generalnego Inspektora Informacji Finansowej obejmują wymianę informacji z zagranicznymi jednostkami analityki finansowej, przez co należy rozumieć zarówno jednostki z państw członkowskich Unii Europejskiej, jak i jednostki z państw trzecich. </w:t>
      </w:r>
      <w:r w:rsidR="00260970" w:rsidRPr="0018524B">
        <w:rPr>
          <w:rFonts w:ascii="Times New Roman" w:hAnsi="Times New Roman" w:cs="Times New Roman"/>
          <w:sz w:val="24"/>
          <w:szCs w:val="24"/>
        </w:rPr>
        <w:t xml:space="preserve">W ramach nowelizacji do art. 12 ustawy o p.p.p.f.t. dodano ust. 5, w którym wprost wskazano, iż Generalny Inspektor Informacji Finansowej realizuje zadania jednostki analityki finansowej w rozumieniu </w:t>
      </w:r>
      <w:r w:rsidR="00832446" w:rsidRPr="0018524B">
        <w:rPr>
          <w:rFonts w:ascii="Times New Roman" w:hAnsi="Times New Roman" w:cs="Times New Roman"/>
          <w:sz w:val="24"/>
          <w:szCs w:val="24"/>
        </w:rPr>
        <w:t>dyrektyw</w:t>
      </w:r>
      <w:r w:rsidR="00260970" w:rsidRPr="0018524B">
        <w:rPr>
          <w:rFonts w:ascii="Times New Roman" w:hAnsi="Times New Roman" w:cs="Times New Roman"/>
          <w:sz w:val="24"/>
          <w:szCs w:val="24"/>
        </w:rPr>
        <w:t>y 2015/849.</w:t>
      </w:r>
      <w:r w:rsidR="00C6045B">
        <w:rPr>
          <w:rFonts w:ascii="Times New Roman" w:hAnsi="Times New Roman" w:cs="Times New Roman"/>
          <w:sz w:val="24"/>
          <w:szCs w:val="24"/>
        </w:rPr>
        <w:t xml:space="preserve"> </w:t>
      </w:r>
      <w:r w:rsidR="00260970" w:rsidRPr="0018524B">
        <w:rPr>
          <w:rFonts w:ascii="Times New Roman" w:hAnsi="Times New Roman" w:cs="Times New Roman"/>
          <w:sz w:val="24"/>
          <w:szCs w:val="24"/>
        </w:rPr>
        <w:t xml:space="preserve">Zapis ten czyni zadość wymaganiom bezpośredniego wskazania jednostki analityki finansowej, wynikającym z </w:t>
      </w:r>
      <w:r w:rsidR="00832446" w:rsidRPr="0018524B">
        <w:rPr>
          <w:rFonts w:ascii="Times New Roman" w:hAnsi="Times New Roman" w:cs="Times New Roman"/>
          <w:sz w:val="24"/>
          <w:szCs w:val="24"/>
        </w:rPr>
        <w:t>dyrektyw</w:t>
      </w:r>
      <w:r w:rsidR="00260970" w:rsidRPr="0018524B">
        <w:rPr>
          <w:rFonts w:ascii="Times New Roman" w:hAnsi="Times New Roman" w:cs="Times New Roman"/>
          <w:sz w:val="24"/>
          <w:szCs w:val="24"/>
        </w:rPr>
        <w:t>y 2015/849. Ponadto zgodnie z art. 10 ust. 1 ustawy o p.p.p.f.t., organami informacji finansowej są minister właściwy do spraw finansów publicznych oraz Generalny Inspektor Informacji Finansowej. Wskazanie wprost w art. 12 ust. 5 ustawy o p.p.p.f.t., iż to Generalny Inspektor Informacji Finansowej</w:t>
      </w:r>
      <w:r w:rsidR="00B53063" w:rsidRPr="0018524B">
        <w:rPr>
          <w:rFonts w:ascii="Times New Roman" w:hAnsi="Times New Roman" w:cs="Times New Roman"/>
          <w:sz w:val="24"/>
          <w:szCs w:val="24"/>
        </w:rPr>
        <w:t xml:space="preserve"> realizuje zadania jednostki analityki finansowej, było konieczne dla uniknięcia potencjalnych wątpliwości interpretacyjnych, co byłoby szczególnie niepożądane ze względu na międzynarodowy charakter działań realizowanych przez jednostki analityki finansowej.</w:t>
      </w:r>
    </w:p>
    <w:p w14:paraId="498C3373" w14:textId="6486A978" w:rsidR="00492A51" w:rsidRPr="0018524B" w:rsidRDefault="008B726D"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Wymogi wynikające z art. 44 dyrektywy 2015/849, dotyczące nałożonego na państwa członkowskie obowiązku prowadzenia statystyk dotyczących funkcjonowania kluczowych elementów systemów przeciwdziałania praniu pieniędzy oraz finansowani</w:t>
      </w:r>
      <w:r w:rsidR="00245521">
        <w:rPr>
          <w:rFonts w:ascii="Times New Roman" w:hAnsi="Times New Roman" w:cs="Times New Roman"/>
          <w:sz w:val="24"/>
          <w:szCs w:val="24"/>
        </w:rPr>
        <w:t>u</w:t>
      </w:r>
      <w:r w:rsidRPr="0018524B">
        <w:rPr>
          <w:rFonts w:ascii="Times New Roman" w:hAnsi="Times New Roman" w:cs="Times New Roman"/>
          <w:sz w:val="24"/>
          <w:szCs w:val="24"/>
        </w:rPr>
        <w:t xml:space="preserve"> terroryzmu zostały implementowane w </w:t>
      </w:r>
      <w:r w:rsidRPr="0018524B">
        <w:rPr>
          <w:rFonts w:ascii="Times New Roman" w:hAnsi="Times New Roman" w:cs="Times New Roman"/>
          <w:b/>
          <w:sz w:val="24"/>
          <w:szCs w:val="24"/>
        </w:rPr>
        <w:t>art. 14 ustawy o p.p.p.f.t.</w:t>
      </w:r>
      <w:r w:rsidRPr="0018524B">
        <w:rPr>
          <w:rFonts w:ascii="Times New Roman" w:hAnsi="Times New Roman" w:cs="Times New Roman"/>
          <w:sz w:val="24"/>
          <w:szCs w:val="24"/>
        </w:rPr>
        <w:t xml:space="preserve"> Art. 1 pkt 27 5AMLD rozszerza zakres istotnych elementów takich systemów, dla których należy prowadzić stosowne statystyki. Transpozycja</w:t>
      </w:r>
      <w:r w:rsidR="009C207B" w:rsidRPr="0018524B">
        <w:rPr>
          <w:rFonts w:ascii="Times New Roman" w:hAnsi="Times New Roman" w:cs="Times New Roman"/>
          <w:sz w:val="24"/>
          <w:szCs w:val="24"/>
        </w:rPr>
        <w:t xml:space="preserve"> </w:t>
      </w:r>
      <w:r w:rsidRPr="0018524B">
        <w:rPr>
          <w:rFonts w:ascii="Times New Roman" w:hAnsi="Times New Roman" w:cs="Times New Roman"/>
          <w:sz w:val="24"/>
          <w:szCs w:val="24"/>
        </w:rPr>
        <w:t>nowego brzmienia art. 44 dyrektywy 2015/849 zostanie przeprowadzona poprze</w:t>
      </w:r>
      <w:r w:rsidR="00492A51" w:rsidRPr="0018524B">
        <w:rPr>
          <w:rFonts w:ascii="Times New Roman" w:hAnsi="Times New Roman" w:cs="Times New Roman"/>
          <w:sz w:val="24"/>
          <w:szCs w:val="24"/>
        </w:rPr>
        <w:t>z zmianę redakcji art. 14 ust. 2 pkt 13 (art. 44 ust. 2 lit. f dyrektywy 2015/849) oraz</w:t>
      </w:r>
      <w:r w:rsidRPr="0018524B">
        <w:rPr>
          <w:rFonts w:ascii="Times New Roman" w:hAnsi="Times New Roman" w:cs="Times New Roman"/>
          <w:sz w:val="24"/>
          <w:szCs w:val="24"/>
        </w:rPr>
        <w:t xml:space="preserve"> dodanie art. 14 ust. 2 </w:t>
      </w:r>
      <w:r w:rsidR="00492A51" w:rsidRPr="0018524B">
        <w:rPr>
          <w:rFonts w:ascii="Times New Roman" w:hAnsi="Times New Roman" w:cs="Times New Roman"/>
          <w:sz w:val="24"/>
          <w:szCs w:val="24"/>
        </w:rPr>
        <w:t xml:space="preserve">pkt 16 </w:t>
      </w:r>
      <w:r w:rsidRPr="0018524B">
        <w:rPr>
          <w:rFonts w:ascii="Times New Roman" w:hAnsi="Times New Roman" w:cs="Times New Roman"/>
          <w:sz w:val="24"/>
          <w:szCs w:val="24"/>
        </w:rPr>
        <w:t>ustawy o p.p.p.f.t.</w:t>
      </w:r>
      <w:r w:rsidR="00492A51" w:rsidRPr="0018524B">
        <w:rPr>
          <w:rFonts w:ascii="Times New Roman" w:hAnsi="Times New Roman" w:cs="Times New Roman"/>
          <w:sz w:val="24"/>
          <w:szCs w:val="24"/>
        </w:rPr>
        <w:t xml:space="preserve"> (art. 44 ust. 2 lit. e dyrektywy 2015/849).</w:t>
      </w:r>
      <w:r w:rsidR="00946983" w:rsidRPr="0018524B">
        <w:rPr>
          <w:rFonts w:ascii="Times New Roman" w:hAnsi="Times New Roman" w:cs="Times New Roman"/>
          <w:sz w:val="24"/>
          <w:szCs w:val="24"/>
        </w:rPr>
        <w:t xml:space="preserve"> W wyniku dodania punktu </w:t>
      </w:r>
      <w:r w:rsidR="003E3231" w:rsidRPr="0018524B">
        <w:rPr>
          <w:rFonts w:ascii="Times New Roman" w:hAnsi="Times New Roman" w:cs="Times New Roman"/>
          <w:sz w:val="24"/>
          <w:szCs w:val="24"/>
        </w:rPr>
        <w:t>szesnastego</w:t>
      </w:r>
      <w:r w:rsidR="00946983" w:rsidRPr="0018524B">
        <w:rPr>
          <w:rFonts w:ascii="Times New Roman" w:hAnsi="Times New Roman" w:cs="Times New Roman"/>
          <w:sz w:val="24"/>
          <w:szCs w:val="24"/>
        </w:rPr>
        <w:t xml:space="preserve"> zakres sprawozdań przedstawianych corocznie przez Generalnego Inspektora zawierać będzie również informacje o środkach finansowych oraz zasobach ludzkich pozostających w dyspozycji </w:t>
      </w:r>
      <w:r w:rsidR="00B9091D" w:rsidRPr="0018524B">
        <w:rPr>
          <w:rFonts w:ascii="Times New Roman" w:hAnsi="Times New Roman" w:cs="Times New Roman"/>
          <w:sz w:val="24"/>
          <w:szCs w:val="24"/>
        </w:rPr>
        <w:t>Generalnego</w:t>
      </w:r>
      <w:r w:rsidR="00946983" w:rsidRPr="0018524B">
        <w:rPr>
          <w:rFonts w:ascii="Times New Roman" w:hAnsi="Times New Roman" w:cs="Times New Roman"/>
          <w:sz w:val="24"/>
          <w:szCs w:val="24"/>
        </w:rPr>
        <w:t xml:space="preserve"> </w:t>
      </w:r>
      <w:r w:rsidR="00B9091D" w:rsidRPr="0018524B">
        <w:rPr>
          <w:rFonts w:ascii="Times New Roman" w:hAnsi="Times New Roman" w:cs="Times New Roman"/>
          <w:sz w:val="24"/>
          <w:szCs w:val="24"/>
        </w:rPr>
        <w:t>Inspektora</w:t>
      </w:r>
      <w:r w:rsidR="00946983" w:rsidRPr="0018524B">
        <w:rPr>
          <w:rFonts w:ascii="Times New Roman" w:hAnsi="Times New Roman" w:cs="Times New Roman"/>
          <w:sz w:val="24"/>
          <w:szCs w:val="24"/>
        </w:rPr>
        <w:t xml:space="preserve"> oraz innych orga</w:t>
      </w:r>
      <w:r w:rsidR="00B9091D" w:rsidRPr="0018524B">
        <w:rPr>
          <w:rFonts w:ascii="Times New Roman" w:hAnsi="Times New Roman" w:cs="Times New Roman"/>
          <w:sz w:val="24"/>
          <w:szCs w:val="24"/>
        </w:rPr>
        <w:t xml:space="preserve">nów odpowiedzialnych za kontrolę przestrzegania </w:t>
      </w:r>
      <w:r w:rsidR="00946983" w:rsidRPr="0018524B">
        <w:rPr>
          <w:rFonts w:ascii="Times New Roman" w:hAnsi="Times New Roman" w:cs="Times New Roman"/>
          <w:sz w:val="24"/>
          <w:szCs w:val="24"/>
        </w:rPr>
        <w:t>przepisów o przeciwdziałaniu praniu pienię</w:t>
      </w:r>
      <w:r w:rsidR="00B9091D" w:rsidRPr="0018524B">
        <w:rPr>
          <w:rFonts w:ascii="Times New Roman" w:hAnsi="Times New Roman" w:cs="Times New Roman"/>
          <w:sz w:val="24"/>
          <w:szCs w:val="24"/>
        </w:rPr>
        <w:t>dzy oraz</w:t>
      </w:r>
      <w:r w:rsidR="00946983" w:rsidRPr="0018524B">
        <w:rPr>
          <w:rFonts w:ascii="Times New Roman" w:hAnsi="Times New Roman" w:cs="Times New Roman"/>
          <w:sz w:val="24"/>
          <w:szCs w:val="24"/>
        </w:rPr>
        <w:t xml:space="preserve"> finansowaniu </w:t>
      </w:r>
      <w:r w:rsidR="00946983" w:rsidRPr="0018524B">
        <w:rPr>
          <w:rFonts w:ascii="Times New Roman" w:hAnsi="Times New Roman" w:cs="Times New Roman"/>
          <w:sz w:val="24"/>
          <w:szCs w:val="24"/>
        </w:rPr>
        <w:lastRenderedPageBreak/>
        <w:t>terroryzmu.</w:t>
      </w:r>
      <w:r w:rsidR="00492A51" w:rsidRPr="0018524B">
        <w:rPr>
          <w:rFonts w:ascii="Times New Roman" w:hAnsi="Times New Roman" w:cs="Times New Roman"/>
          <w:sz w:val="24"/>
          <w:szCs w:val="24"/>
        </w:rPr>
        <w:t xml:space="preserve"> Ponadto, w celu konkretyzacji zakresu zestawień statystycznych dotyczących wymiany informacji prowadzonej przez Generalnego Inspektora z zagranicznymi jednostkami analityki finansowej (art. </w:t>
      </w:r>
      <w:r w:rsidR="009A2B25" w:rsidRPr="0018524B">
        <w:rPr>
          <w:rFonts w:ascii="Times New Roman" w:hAnsi="Times New Roman" w:cs="Times New Roman"/>
          <w:sz w:val="24"/>
          <w:szCs w:val="24"/>
        </w:rPr>
        <w:t xml:space="preserve">44 ust. 2 lit. d dyrektywy 2015/849) </w:t>
      </w:r>
      <w:r w:rsidR="00492A51" w:rsidRPr="0018524B">
        <w:rPr>
          <w:rFonts w:ascii="Times New Roman" w:hAnsi="Times New Roman" w:cs="Times New Roman"/>
          <w:sz w:val="24"/>
          <w:szCs w:val="24"/>
        </w:rPr>
        <w:t>doprecyzowano</w:t>
      </w:r>
      <w:r w:rsidR="009A2B25" w:rsidRPr="0018524B">
        <w:rPr>
          <w:rFonts w:ascii="Times New Roman" w:hAnsi="Times New Roman" w:cs="Times New Roman"/>
          <w:sz w:val="24"/>
          <w:szCs w:val="24"/>
        </w:rPr>
        <w:t xml:space="preserve"> redakcję art. 14 ust. 2 pkt 12 ustawy o p.p.p.f.t.</w:t>
      </w:r>
      <w:r w:rsidR="009C207B" w:rsidRPr="0018524B">
        <w:rPr>
          <w:rFonts w:ascii="Times New Roman" w:hAnsi="Times New Roman" w:cs="Times New Roman"/>
          <w:sz w:val="24"/>
          <w:szCs w:val="24"/>
        </w:rPr>
        <w:t xml:space="preserve"> </w:t>
      </w:r>
      <w:r w:rsidR="009A2B25" w:rsidRPr="0018524B">
        <w:rPr>
          <w:rFonts w:ascii="Times New Roman" w:hAnsi="Times New Roman" w:cs="Times New Roman"/>
          <w:sz w:val="24"/>
          <w:szCs w:val="24"/>
        </w:rPr>
        <w:t>oraz dodano art. 14 ust. 2 pkt 12a.</w:t>
      </w:r>
      <w:r w:rsidR="00E218B5" w:rsidRPr="0018524B">
        <w:rPr>
          <w:rFonts w:ascii="Times New Roman" w:hAnsi="Times New Roman" w:cs="Times New Roman"/>
          <w:sz w:val="24"/>
          <w:szCs w:val="24"/>
        </w:rPr>
        <w:t xml:space="preserve"> W celu wdrożenia do krajowego porządku prawnego wymogu wynikającego z art. 44 ust. 4 dyrektywy 2015/849 w nowym brzmieniu, znowelizowano art. 14 ust. 7 ustawy o p.p.p.f.t., w którym oprócz obowiązku publikacji sprawozdania, zawierającego wymagane dane statystyczne przewidziano obowiązek przekazania tego dokumentu Komisji Europejskiej.</w:t>
      </w:r>
      <w:r w:rsidR="009C207B" w:rsidRPr="0018524B">
        <w:rPr>
          <w:rFonts w:ascii="Times New Roman" w:hAnsi="Times New Roman" w:cs="Times New Roman"/>
          <w:sz w:val="24"/>
          <w:szCs w:val="24"/>
        </w:rPr>
        <w:t xml:space="preserve"> </w:t>
      </w:r>
      <w:r w:rsidR="004D1B34" w:rsidRPr="0018524B">
        <w:rPr>
          <w:rFonts w:ascii="Times New Roman" w:hAnsi="Times New Roman" w:cs="Times New Roman"/>
          <w:sz w:val="24"/>
          <w:szCs w:val="24"/>
        </w:rPr>
        <w:t xml:space="preserve">Obowiązek przekazania przez Generalnego Inspektora sprawozdania Komisji Europejskiej zgodnie ze </w:t>
      </w:r>
      <w:r w:rsidR="00B63A59" w:rsidRPr="0018524B">
        <w:rPr>
          <w:rFonts w:ascii="Times New Roman" w:hAnsi="Times New Roman" w:cs="Times New Roman"/>
          <w:sz w:val="24"/>
          <w:szCs w:val="24"/>
        </w:rPr>
        <w:t>znowelizowan</w:t>
      </w:r>
      <w:r w:rsidR="004D1B34" w:rsidRPr="0018524B">
        <w:rPr>
          <w:rFonts w:ascii="Times New Roman" w:hAnsi="Times New Roman" w:cs="Times New Roman"/>
          <w:sz w:val="24"/>
          <w:szCs w:val="24"/>
        </w:rPr>
        <w:t>ym</w:t>
      </w:r>
      <w:r w:rsidR="00B63A59" w:rsidRPr="0018524B">
        <w:rPr>
          <w:rFonts w:ascii="Times New Roman" w:hAnsi="Times New Roman" w:cs="Times New Roman"/>
          <w:sz w:val="24"/>
          <w:szCs w:val="24"/>
        </w:rPr>
        <w:t xml:space="preserve"> art.</w:t>
      </w:r>
      <w:r w:rsidR="004D1B34" w:rsidRPr="0018524B">
        <w:rPr>
          <w:rFonts w:ascii="Times New Roman" w:hAnsi="Times New Roman" w:cs="Times New Roman"/>
          <w:sz w:val="24"/>
          <w:szCs w:val="24"/>
        </w:rPr>
        <w:t> </w:t>
      </w:r>
      <w:r w:rsidR="00B63A59" w:rsidRPr="0018524B">
        <w:rPr>
          <w:rFonts w:ascii="Times New Roman" w:hAnsi="Times New Roman" w:cs="Times New Roman"/>
          <w:sz w:val="24"/>
          <w:szCs w:val="24"/>
        </w:rPr>
        <w:t>14 ust. 7 ustawy o p.p.p.f.t.</w:t>
      </w:r>
      <w:r w:rsidR="00C6045B">
        <w:rPr>
          <w:rFonts w:ascii="Times New Roman" w:hAnsi="Times New Roman" w:cs="Times New Roman"/>
          <w:sz w:val="24"/>
          <w:szCs w:val="24"/>
        </w:rPr>
        <w:t xml:space="preserve"> </w:t>
      </w:r>
      <w:r w:rsidR="004D1B34" w:rsidRPr="0018524B">
        <w:rPr>
          <w:rFonts w:ascii="Times New Roman" w:hAnsi="Times New Roman" w:cs="Times New Roman"/>
          <w:sz w:val="24"/>
          <w:szCs w:val="24"/>
        </w:rPr>
        <w:t>powstanie po raz pierwszy w odniesieniu do sprawozdania za rok 2020, co zostało wyartykułowane wprost w art. 1</w:t>
      </w:r>
      <w:r w:rsidR="00245521">
        <w:rPr>
          <w:rFonts w:ascii="Times New Roman" w:hAnsi="Times New Roman" w:cs="Times New Roman"/>
          <w:sz w:val="24"/>
          <w:szCs w:val="24"/>
        </w:rPr>
        <w:t>1</w:t>
      </w:r>
      <w:r w:rsidR="004D1B34" w:rsidRPr="0018524B">
        <w:rPr>
          <w:rFonts w:ascii="Times New Roman" w:hAnsi="Times New Roman" w:cs="Times New Roman"/>
          <w:sz w:val="24"/>
          <w:szCs w:val="24"/>
        </w:rPr>
        <w:t xml:space="preserve"> ustawy zmieniającej</w:t>
      </w:r>
      <w:r w:rsidR="00B63A59" w:rsidRPr="0018524B">
        <w:rPr>
          <w:rFonts w:ascii="Times New Roman" w:hAnsi="Times New Roman" w:cs="Times New Roman"/>
          <w:sz w:val="24"/>
          <w:szCs w:val="24"/>
        </w:rPr>
        <w:t xml:space="preserve">. </w:t>
      </w:r>
    </w:p>
    <w:p w14:paraId="6D67528C" w14:textId="78D60156" w:rsidR="00C94875" w:rsidRPr="0018524B" w:rsidRDefault="00C94875"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Ponadto,</w:t>
      </w:r>
      <w:r w:rsidR="00C6045B">
        <w:rPr>
          <w:rFonts w:ascii="Times New Roman" w:hAnsi="Times New Roman" w:cs="Times New Roman"/>
          <w:sz w:val="24"/>
          <w:szCs w:val="24"/>
        </w:rPr>
        <w:t xml:space="preserve"> </w:t>
      </w:r>
      <w:r w:rsidRPr="0018524B">
        <w:rPr>
          <w:rFonts w:ascii="Times New Roman" w:hAnsi="Times New Roman" w:cs="Times New Roman"/>
          <w:sz w:val="24"/>
          <w:szCs w:val="24"/>
        </w:rPr>
        <w:t xml:space="preserve">w celu dokładnego oddania brzmienia art. 44 ust. 1 dyrektywy 2015/849 do art. 25 ustawy o p.p.p.f.t. dodano ustęp czwarty, zgodnie z którym informacje statystyczne zawarte w sprawozdaniu sporządzanym przez Generalnego Inspektora uwzględniane będą przy </w:t>
      </w:r>
      <w:r w:rsidR="00C217C5">
        <w:rPr>
          <w:rFonts w:ascii="Times New Roman" w:hAnsi="Times New Roman" w:cs="Times New Roman"/>
          <w:sz w:val="24"/>
          <w:szCs w:val="24"/>
        </w:rPr>
        <w:t>opracowywaniu</w:t>
      </w:r>
      <w:r w:rsidR="00C217C5" w:rsidRPr="0018524B">
        <w:rPr>
          <w:rFonts w:ascii="Times New Roman" w:hAnsi="Times New Roman" w:cs="Times New Roman"/>
          <w:sz w:val="24"/>
          <w:szCs w:val="24"/>
        </w:rPr>
        <w:t xml:space="preserve"> </w:t>
      </w:r>
      <w:r w:rsidRPr="0018524B">
        <w:rPr>
          <w:rFonts w:ascii="Times New Roman" w:hAnsi="Times New Roman" w:cs="Times New Roman"/>
          <w:sz w:val="24"/>
          <w:szCs w:val="24"/>
        </w:rPr>
        <w:t xml:space="preserve">krajowej oceny ryzyka prania pieniędzy oraz finansowania terroryzmu. </w:t>
      </w:r>
      <w:r w:rsidR="00A606B2">
        <w:rPr>
          <w:rFonts w:ascii="Times New Roman" w:hAnsi="Times New Roman" w:cs="Times New Roman"/>
          <w:sz w:val="24"/>
          <w:szCs w:val="24"/>
        </w:rPr>
        <w:t>Jednocześnie postanowiono zmodyfikować brzmienie art. 25 ust. 3</w:t>
      </w:r>
      <w:r w:rsidRPr="0018524B">
        <w:rPr>
          <w:rFonts w:ascii="Times New Roman" w:hAnsi="Times New Roman" w:cs="Times New Roman"/>
          <w:sz w:val="24"/>
          <w:szCs w:val="24"/>
        </w:rPr>
        <w:t xml:space="preserve"> </w:t>
      </w:r>
      <w:r w:rsidR="00A606B2" w:rsidRPr="0018524B">
        <w:rPr>
          <w:rFonts w:ascii="Times New Roman" w:hAnsi="Times New Roman" w:cs="Times New Roman"/>
          <w:sz w:val="24"/>
          <w:szCs w:val="24"/>
        </w:rPr>
        <w:t>ustawy o p.p.p.f.t.</w:t>
      </w:r>
      <w:r w:rsidR="00A606B2">
        <w:rPr>
          <w:rFonts w:ascii="Times New Roman" w:hAnsi="Times New Roman" w:cs="Times New Roman"/>
          <w:sz w:val="24"/>
          <w:szCs w:val="24"/>
        </w:rPr>
        <w:t xml:space="preserve">, poprzez wskazanie, iż </w:t>
      </w:r>
      <w:r w:rsidR="0079302E">
        <w:rPr>
          <w:rFonts w:ascii="Times New Roman" w:hAnsi="Times New Roman" w:cs="Times New Roman"/>
          <w:sz w:val="24"/>
          <w:szCs w:val="24"/>
        </w:rPr>
        <w:t xml:space="preserve">Generalny Inspektor opracowuje </w:t>
      </w:r>
      <w:r w:rsidR="0079302E" w:rsidRPr="0018524B">
        <w:rPr>
          <w:rFonts w:ascii="Times New Roman" w:hAnsi="Times New Roman" w:cs="Times New Roman"/>
          <w:sz w:val="24"/>
          <w:szCs w:val="24"/>
        </w:rPr>
        <w:t>krajow</w:t>
      </w:r>
      <w:r w:rsidR="0079302E">
        <w:rPr>
          <w:rFonts w:ascii="Times New Roman" w:hAnsi="Times New Roman" w:cs="Times New Roman"/>
          <w:sz w:val="24"/>
          <w:szCs w:val="24"/>
        </w:rPr>
        <w:t>ą</w:t>
      </w:r>
      <w:r w:rsidR="0079302E" w:rsidRPr="0018524B">
        <w:rPr>
          <w:rFonts w:ascii="Times New Roman" w:hAnsi="Times New Roman" w:cs="Times New Roman"/>
          <w:sz w:val="24"/>
          <w:szCs w:val="24"/>
        </w:rPr>
        <w:t xml:space="preserve"> ocen</w:t>
      </w:r>
      <w:r w:rsidR="0079302E">
        <w:rPr>
          <w:rFonts w:ascii="Times New Roman" w:hAnsi="Times New Roman" w:cs="Times New Roman"/>
          <w:sz w:val="24"/>
          <w:szCs w:val="24"/>
        </w:rPr>
        <w:t>ę</w:t>
      </w:r>
      <w:r w:rsidR="0079302E" w:rsidRPr="0018524B">
        <w:rPr>
          <w:rFonts w:ascii="Times New Roman" w:hAnsi="Times New Roman" w:cs="Times New Roman"/>
          <w:sz w:val="24"/>
          <w:szCs w:val="24"/>
        </w:rPr>
        <w:t xml:space="preserve"> ryzyka prania pieniędzy oraz finansowania terroryzmu</w:t>
      </w:r>
      <w:r w:rsidR="0079302E">
        <w:rPr>
          <w:rFonts w:ascii="Times New Roman" w:hAnsi="Times New Roman" w:cs="Times New Roman"/>
          <w:sz w:val="24"/>
          <w:szCs w:val="24"/>
        </w:rPr>
        <w:t xml:space="preserve"> nie rzadziej niż co dwa lata. Dotychczasowe brzmienie przepisu wskazywało na sporządzanie aktualizacji krajowej oceny ryzyka, niemniej brzmienie pozostałych przepisów ustawy nie było adekwatne do procedowania aktualizacji krajowej oceny ryzyka. Tym samym aktualizacja krajowej oceny ryzyka zostanie zastąpiona nową (uaktualnioną) krajową oceną ryzyka. </w:t>
      </w:r>
    </w:p>
    <w:p w14:paraId="229E8D09" w14:textId="0235644B" w:rsidR="00C65A1D" w:rsidRPr="0018524B" w:rsidRDefault="0096735A"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Zmiany przewidziane w </w:t>
      </w:r>
      <w:r w:rsidRPr="0018524B">
        <w:rPr>
          <w:rFonts w:ascii="Times New Roman" w:hAnsi="Times New Roman" w:cs="Times New Roman"/>
          <w:b/>
          <w:sz w:val="24"/>
          <w:szCs w:val="24"/>
        </w:rPr>
        <w:t>art. 29 ust. 1</w:t>
      </w:r>
      <w:r w:rsidR="00F36351" w:rsidRPr="0018524B">
        <w:rPr>
          <w:rFonts w:ascii="Times New Roman" w:hAnsi="Times New Roman" w:cs="Times New Roman"/>
          <w:b/>
          <w:sz w:val="24"/>
          <w:szCs w:val="24"/>
        </w:rPr>
        <w:t xml:space="preserve"> pkt 8 i 9</w:t>
      </w:r>
      <w:r w:rsidRPr="0018524B">
        <w:rPr>
          <w:rFonts w:ascii="Times New Roman" w:hAnsi="Times New Roman" w:cs="Times New Roman"/>
          <w:sz w:val="24"/>
          <w:szCs w:val="24"/>
        </w:rPr>
        <w:t xml:space="preserve"> ustawy o p.p.p.f.t. znajdują swoje źródło w przepisach art. 7 ust. 4 lit f oraz g dodanych do 4AMLD przez art. 1 pkt 4</w:t>
      </w:r>
      <w:r w:rsidR="00245912" w:rsidRPr="0018524B">
        <w:rPr>
          <w:rFonts w:ascii="Times New Roman" w:hAnsi="Times New Roman" w:cs="Times New Roman"/>
          <w:sz w:val="24"/>
          <w:szCs w:val="24"/>
        </w:rPr>
        <w:t xml:space="preserve"> lit. a</w:t>
      </w:r>
      <w:r w:rsidRPr="0018524B">
        <w:rPr>
          <w:rFonts w:ascii="Times New Roman" w:hAnsi="Times New Roman" w:cs="Times New Roman"/>
          <w:sz w:val="24"/>
          <w:szCs w:val="24"/>
        </w:rPr>
        <w:t xml:space="preserve"> dyrektywy 2018/843. Przepis ten rozszerza</w:t>
      </w:r>
      <w:r w:rsidR="009C207B" w:rsidRPr="0018524B">
        <w:rPr>
          <w:rFonts w:ascii="Times New Roman" w:hAnsi="Times New Roman" w:cs="Times New Roman"/>
          <w:sz w:val="24"/>
          <w:szCs w:val="24"/>
        </w:rPr>
        <w:t xml:space="preserve"> </w:t>
      </w:r>
      <w:r w:rsidRPr="0018524B">
        <w:rPr>
          <w:rFonts w:ascii="Times New Roman" w:hAnsi="Times New Roman" w:cs="Times New Roman"/>
          <w:sz w:val="24"/>
          <w:szCs w:val="24"/>
        </w:rPr>
        <w:t xml:space="preserve">zakres przedmiotowy krajowej oceny ryzyka i wymaga uwzględnienia w tym akcie również informacji o </w:t>
      </w:r>
      <w:r w:rsidR="00674157" w:rsidRPr="0018524B">
        <w:rPr>
          <w:rFonts w:ascii="Times New Roman" w:hAnsi="Times New Roman" w:cs="Times New Roman"/>
          <w:sz w:val="24"/>
          <w:szCs w:val="24"/>
        </w:rPr>
        <w:t>strukturze instytucjonalnej krajowego systemu przeciwdziałania prani</w:t>
      </w:r>
      <w:r w:rsidR="00245521">
        <w:rPr>
          <w:rFonts w:ascii="Times New Roman" w:hAnsi="Times New Roman" w:cs="Times New Roman"/>
          <w:sz w:val="24"/>
          <w:szCs w:val="24"/>
        </w:rPr>
        <w:t>u</w:t>
      </w:r>
      <w:r w:rsidR="00674157" w:rsidRPr="0018524B">
        <w:rPr>
          <w:rFonts w:ascii="Times New Roman" w:hAnsi="Times New Roman" w:cs="Times New Roman"/>
          <w:sz w:val="24"/>
          <w:szCs w:val="24"/>
        </w:rPr>
        <w:t xml:space="preserve"> pieniędzy oraz finansowani</w:t>
      </w:r>
      <w:r w:rsidR="00245521">
        <w:rPr>
          <w:rFonts w:ascii="Times New Roman" w:hAnsi="Times New Roman" w:cs="Times New Roman"/>
          <w:sz w:val="24"/>
          <w:szCs w:val="24"/>
        </w:rPr>
        <w:t>u</w:t>
      </w:r>
      <w:r w:rsidR="00674157" w:rsidRPr="0018524B">
        <w:rPr>
          <w:rFonts w:ascii="Times New Roman" w:hAnsi="Times New Roman" w:cs="Times New Roman"/>
          <w:sz w:val="24"/>
          <w:szCs w:val="24"/>
        </w:rPr>
        <w:t xml:space="preserve"> terroryzmu, a także informacji</w:t>
      </w:r>
      <w:r w:rsidR="00C6045B">
        <w:rPr>
          <w:rFonts w:ascii="Times New Roman" w:hAnsi="Times New Roman" w:cs="Times New Roman"/>
          <w:sz w:val="24"/>
          <w:szCs w:val="24"/>
        </w:rPr>
        <w:t xml:space="preserve"> </w:t>
      </w:r>
      <w:r w:rsidR="00674157" w:rsidRPr="0018524B">
        <w:rPr>
          <w:rFonts w:ascii="Times New Roman" w:hAnsi="Times New Roman" w:cs="Times New Roman"/>
          <w:sz w:val="24"/>
          <w:szCs w:val="24"/>
        </w:rPr>
        <w:t>o procedurach stosowanych w ramach tego systemu, a także informacji</w:t>
      </w:r>
      <w:r w:rsidR="00C6045B">
        <w:rPr>
          <w:rFonts w:ascii="Times New Roman" w:hAnsi="Times New Roman" w:cs="Times New Roman"/>
          <w:sz w:val="24"/>
          <w:szCs w:val="24"/>
        </w:rPr>
        <w:t xml:space="preserve"> </w:t>
      </w:r>
      <w:r w:rsidR="00674157" w:rsidRPr="0018524B">
        <w:rPr>
          <w:rFonts w:ascii="Times New Roman" w:hAnsi="Times New Roman" w:cs="Times New Roman"/>
          <w:sz w:val="24"/>
          <w:szCs w:val="24"/>
        </w:rPr>
        <w:t xml:space="preserve">o </w:t>
      </w:r>
      <w:r w:rsidRPr="0018524B">
        <w:rPr>
          <w:rFonts w:ascii="Times New Roman" w:hAnsi="Times New Roman" w:cs="Times New Roman"/>
          <w:sz w:val="24"/>
          <w:szCs w:val="24"/>
        </w:rPr>
        <w:t>zasobach ludzkich oraz środkach finansowych dedykowanych na</w:t>
      </w:r>
      <w:r w:rsidR="00674157" w:rsidRPr="0018524B">
        <w:rPr>
          <w:rFonts w:ascii="Times New Roman" w:hAnsi="Times New Roman" w:cs="Times New Roman"/>
          <w:sz w:val="24"/>
          <w:szCs w:val="24"/>
        </w:rPr>
        <w:t xml:space="preserve"> poziomie krajowym na</w:t>
      </w:r>
      <w:r w:rsidRPr="0018524B">
        <w:rPr>
          <w:rFonts w:ascii="Times New Roman" w:hAnsi="Times New Roman" w:cs="Times New Roman"/>
          <w:sz w:val="24"/>
          <w:szCs w:val="24"/>
        </w:rPr>
        <w:t xml:space="preserve"> potrzeby przeciwdziałania praniu pieniędzy.</w:t>
      </w:r>
      <w:r w:rsidR="00F36351" w:rsidRPr="0018524B">
        <w:rPr>
          <w:rFonts w:ascii="Times New Roman" w:hAnsi="Times New Roman" w:cs="Times New Roman"/>
          <w:sz w:val="24"/>
          <w:szCs w:val="24"/>
        </w:rPr>
        <w:t xml:space="preserve"> </w:t>
      </w:r>
      <w:r w:rsidR="00674157" w:rsidRPr="0018524B">
        <w:rPr>
          <w:rFonts w:ascii="Times New Roman" w:hAnsi="Times New Roman" w:cs="Times New Roman"/>
          <w:sz w:val="24"/>
          <w:szCs w:val="24"/>
        </w:rPr>
        <w:t xml:space="preserve">Wymóg wskazania organów dedykowanych przeciwdziałaniu praniu pieniędzy oraz obowiązujących je procedur zrealizowany został poprzez dodanie punktu ósmego, informacje dotyczące zasobów ludzkich oraz środków finansowych pozostających w dyspozycji tych organów gromadzone będą na podstawie punktu dziewiątego. </w:t>
      </w:r>
      <w:r w:rsidR="00F36351" w:rsidRPr="0018524B">
        <w:rPr>
          <w:rFonts w:ascii="Times New Roman" w:hAnsi="Times New Roman" w:cs="Times New Roman"/>
          <w:sz w:val="24"/>
          <w:szCs w:val="24"/>
        </w:rPr>
        <w:t xml:space="preserve">Przepis </w:t>
      </w:r>
      <w:r w:rsidR="00F36351" w:rsidRPr="0018524B">
        <w:rPr>
          <w:rFonts w:ascii="Times New Roman" w:hAnsi="Times New Roman" w:cs="Times New Roman"/>
          <w:b/>
          <w:sz w:val="24"/>
          <w:szCs w:val="24"/>
        </w:rPr>
        <w:t>art. 29 ust. 1 pkt 7</w:t>
      </w:r>
      <w:r w:rsidR="00F36351" w:rsidRPr="0018524B">
        <w:rPr>
          <w:rFonts w:ascii="Times New Roman" w:hAnsi="Times New Roman" w:cs="Times New Roman"/>
          <w:sz w:val="24"/>
          <w:szCs w:val="24"/>
        </w:rPr>
        <w:t xml:space="preserve"> ustawy o p.p.p.f.t. wynika z art. 44 ust. 1 4AMLD i</w:t>
      </w:r>
      <w:r w:rsidR="007272C0" w:rsidRPr="0018524B">
        <w:rPr>
          <w:rFonts w:ascii="Times New Roman" w:hAnsi="Times New Roman" w:cs="Times New Roman"/>
          <w:sz w:val="24"/>
          <w:szCs w:val="24"/>
        </w:rPr>
        <w:t xml:space="preserve"> precyzuje, że informacje o </w:t>
      </w:r>
      <w:r w:rsidR="007272C0" w:rsidRPr="0018524B">
        <w:rPr>
          <w:rFonts w:ascii="Times New Roman" w:hAnsi="Times New Roman" w:cs="Times New Roman"/>
          <w:sz w:val="24"/>
          <w:szCs w:val="24"/>
        </w:rPr>
        <w:lastRenderedPageBreak/>
        <w:t>charakterze statystycznym dotyczące skuteczności funkcjonowania krajowego systemu przeciwdziałania prani</w:t>
      </w:r>
      <w:r w:rsidR="00245521">
        <w:rPr>
          <w:rFonts w:ascii="Times New Roman" w:hAnsi="Times New Roman" w:cs="Times New Roman"/>
          <w:sz w:val="24"/>
          <w:szCs w:val="24"/>
        </w:rPr>
        <w:t>u</w:t>
      </w:r>
      <w:r w:rsidR="007272C0" w:rsidRPr="0018524B">
        <w:rPr>
          <w:rFonts w:ascii="Times New Roman" w:hAnsi="Times New Roman" w:cs="Times New Roman"/>
          <w:sz w:val="24"/>
          <w:szCs w:val="24"/>
        </w:rPr>
        <w:t xml:space="preserve"> pieniędzy oraz finansowani</w:t>
      </w:r>
      <w:r w:rsidR="00245521">
        <w:rPr>
          <w:rFonts w:ascii="Times New Roman" w:hAnsi="Times New Roman" w:cs="Times New Roman"/>
          <w:sz w:val="24"/>
          <w:szCs w:val="24"/>
        </w:rPr>
        <w:t>u</w:t>
      </w:r>
      <w:r w:rsidR="007272C0" w:rsidRPr="0018524B">
        <w:rPr>
          <w:rFonts w:ascii="Times New Roman" w:hAnsi="Times New Roman" w:cs="Times New Roman"/>
          <w:sz w:val="24"/>
          <w:szCs w:val="24"/>
        </w:rPr>
        <w:t xml:space="preserve"> terroryzmu, gromadzone zgodnie z art. 14 ustawy o p.p.p.f.t. </w:t>
      </w:r>
      <w:r w:rsidR="004F191E" w:rsidRPr="0018524B">
        <w:rPr>
          <w:rFonts w:ascii="Times New Roman" w:hAnsi="Times New Roman" w:cs="Times New Roman"/>
          <w:sz w:val="24"/>
          <w:szCs w:val="24"/>
        </w:rPr>
        <w:t>wykorzystywane są na potrzeby krajowej oceny ryzyka.</w:t>
      </w:r>
    </w:p>
    <w:p w14:paraId="379545F9" w14:textId="46CA1ED6" w:rsidR="009F6274" w:rsidRPr="0018524B" w:rsidRDefault="00B0019F" w:rsidP="00C81472">
      <w:pPr>
        <w:spacing w:line="400" w:lineRule="atLeast"/>
        <w:jc w:val="both"/>
        <w:rPr>
          <w:rFonts w:ascii="Times New Roman" w:hAnsi="Times New Roman" w:cs="Times New Roman"/>
          <w:sz w:val="24"/>
          <w:szCs w:val="24"/>
        </w:rPr>
      </w:pPr>
      <w:r w:rsidRPr="0018524B">
        <w:rPr>
          <w:rFonts w:ascii="Times New Roman" w:hAnsi="Times New Roman" w:cs="Times New Roman"/>
          <w:b/>
          <w:sz w:val="24"/>
          <w:szCs w:val="24"/>
        </w:rPr>
        <w:t>A</w:t>
      </w:r>
      <w:r w:rsidR="00245912" w:rsidRPr="0018524B">
        <w:rPr>
          <w:rFonts w:ascii="Times New Roman" w:hAnsi="Times New Roman" w:cs="Times New Roman"/>
          <w:b/>
          <w:sz w:val="24"/>
          <w:szCs w:val="24"/>
        </w:rPr>
        <w:t>rt. 30 ust. 3 i 4 ustawy o p.p.p.f.t.</w:t>
      </w:r>
      <w:r w:rsidR="00245912" w:rsidRPr="0018524B">
        <w:rPr>
          <w:rFonts w:ascii="Times New Roman" w:hAnsi="Times New Roman" w:cs="Times New Roman"/>
          <w:sz w:val="24"/>
          <w:szCs w:val="24"/>
        </w:rPr>
        <w:t xml:space="preserve"> wdraża do krajowego porządku prawnego przepisy art. 7 ust. 5 4AMLD w brzmieniu nadanym przez </w:t>
      </w:r>
      <w:r w:rsidRPr="0018524B">
        <w:rPr>
          <w:rFonts w:ascii="Times New Roman" w:hAnsi="Times New Roman" w:cs="Times New Roman"/>
          <w:sz w:val="24"/>
          <w:szCs w:val="24"/>
        </w:rPr>
        <w:t>art. 1 pkt 4 lit</w:t>
      </w:r>
      <w:r w:rsidR="00215454" w:rsidRPr="0018524B">
        <w:rPr>
          <w:rFonts w:ascii="Times New Roman" w:hAnsi="Times New Roman" w:cs="Times New Roman"/>
          <w:sz w:val="24"/>
          <w:szCs w:val="24"/>
        </w:rPr>
        <w:t>.</w:t>
      </w:r>
      <w:r w:rsidRPr="0018524B">
        <w:rPr>
          <w:rFonts w:ascii="Times New Roman" w:hAnsi="Times New Roman" w:cs="Times New Roman"/>
          <w:sz w:val="24"/>
          <w:szCs w:val="24"/>
        </w:rPr>
        <w:t xml:space="preserve"> b.</w:t>
      </w:r>
      <w:r w:rsidR="00644FF0" w:rsidRPr="0018524B">
        <w:rPr>
          <w:rFonts w:ascii="Times New Roman" w:hAnsi="Times New Roman" w:cs="Times New Roman"/>
          <w:sz w:val="24"/>
          <w:szCs w:val="24"/>
        </w:rPr>
        <w:t xml:space="preserve"> dyrektywy 2018/843. Zgodnie z dotychczas obowiązującymi przepisami krajowa ocena ryzyka podlega publikacji w Biuletynie Informacji Publicznej, na stronie Ministerstwa Finansów, w związku z czym dokument jest powszechnie dostępny. Po</w:t>
      </w:r>
      <w:r w:rsidR="003C3886" w:rsidRPr="0018524B">
        <w:rPr>
          <w:rFonts w:ascii="Times New Roman" w:hAnsi="Times New Roman" w:cs="Times New Roman"/>
          <w:sz w:val="24"/>
          <w:szCs w:val="24"/>
        </w:rPr>
        <w:t xml:space="preserve">mimo tego, </w:t>
      </w:r>
      <w:r w:rsidR="00644FF0" w:rsidRPr="0018524B">
        <w:rPr>
          <w:rFonts w:ascii="Times New Roman" w:hAnsi="Times New Roman" w:cs="Times New Roman"/>
          <w:sz w:val="24"/>
          <w:szCs w:val="24"/>
        </w:rPr>
        <w:t xml:space="preserve">w celu precyzyjnej realizacji </w:t>
      </w:r>
      <w:r w:rsidR="00215454" w:rsidRPr="0018524B">
        <w:rPr>
          <w:rFonts w:ascii="Times New Roman" w:hAnsi="Times New Roman" w:cs="Times New Roman"/>
          <w:sz w:val="24"/>
          <w:szCs w:val="24"/>
        </w:rPr>
        <w:t xml:space="preserve">przepisów </w:t>
      </w:r>
      <w:r w:rsidR="00644FF0" w:rsidRPr="0018524B">
        <w:rPr>
          <w:rFonts w:ascii="Times New Roman" w:hAnsi="Times New Roman" w:cs="Times New Roman"/>
          <w:sz w:val="24"/>
          <w:szCs w:val="24"/>
        </w:rPr>
        <w:t xml:space="preserve">art. 7 ust. 5 dyrektywy 2015/849 nałożono na Generalnego Inspektora Informacji Finansowej obowiązek przekazania </w:t>
      </w:r>
      <w:r w:rsidR="00320200" w:rsidRPr="0018524B">
        <w:rPr>
          <w:rFonts w:ascii="Times New Roman" w:hAnsi="Times New Roman" w:cs="Times New Roman"/>
          <w:sz w:val="24"/>
          <w:szCs w:val="24"/>
        </w:rPr>
        <w:t xml:space="preserve">krajowej </w:t>
      </w:r>
      <w:r w:rsidR="00644FF0" w:rsidRPr="0018524B">
        <w:rPr>
          <w:rFonts w:ascii="Times New Roman" w:hAnsi="Times New Roman" w:cs="Times New Roman"/>
          <w:sz w:val="24"/>
          <w:szCs w:val="24"/>
        </w:rPr>
        <w:t xml:space="preserve">oceny ryzyka Komisji Europejskiej, państwom członkowskim oraz europejskim urzędom nadzoru. </w:t>
      </w:r>
      <w:r w:rsidR="00320200" w:rsidRPr="0018524B">
        <w:rPr>
          <w:rFonts w:ascii="Times New Roman" w:hAnsi="Times New Roman" w:cs="Times New Roman"/>
          <w:sz w:val="24"/>
          <w:szCs w:val="24"/>
        </w:rPr>
        <w:t xml:space="preserve">W przypadku, w którym krajowa ocena ryzyka zawierać będzie informacje niejawne, procedura jej przekazania przeprowadzona zostanie z zachowaniem wymogów określonych w przepisach o ochronie informacji niejawnych. </w:t>
      </w:r>
      <w:r w:rsidR="003C3886" w:rsidRPr="0018524B">
        <w:rPr>
          <w:rFonts w:ascii="Times New Roman" w:hAnsi="Times New Roman" w:cs="Times New Roman"/>
          <w:sz w:val="24"/>
          <w:szCs w:val="24"/>
        </w:rPr>
        <w:t>Projektowany przepis, w odróżnieniu od wskazanego powyżej przepisu dyrektywy nie odnosi obowiązku przekazania do aktualizacji krajowej oceny ryzyka, gdyż z</w:t>
      </w:r>
      <w:r w:rsidR="009C207B" w:rsidRPr="0018524B">
        <w:rPr>
          <w:rFonts w:ascii="Times New Roman" w:hAnsi="Times New Roman" w:cs="Times New Roman"/>
          <w:sz w:val="24"/>
          <w:szCs w:val="24"/>
        </w:rPr>
        <w:t xml:space="preserve"> </w:t>
      </w:r>
      <w:r w:rsidR="003C3886" w:rsidRPr="0018524B">
        <w:rPr>
          <w:rFonts w:ascii="Times New Roman" w:hAnsi="Times New Roman" w:cs="Times New Roman"/>
          <w:sz w:val="24"/>
          <w:szCs w:val="24"/>
        </w:rPr>
        <w:t>punktu widzenia przepisów ustawy o p.p.p.f.t. zaktualizowana ocena ryzyka stanowić</w:t>
      </w:r>
      <w:r w:rsidR="00C77BD6" w:rsidRPr="0018524B">
        <w:rPr>
          <w:rFonts w:ascii="Times New Roman" w:hAnsi="Times New Roman" w:cs="Times New Roman"/>
          <w:sz w:val="24"/>
          <w:szCs w:val="24"/>
        </w:rPr>
        <w:t xml:space="preserve"> będzie odrębną, nową krajową ocenę ryzyka. </w:t>
      </w:r>
      <w:r w:rsidR="00644FF0" w:rsidRPr="0018524B">
        <w:rPr>
          <w:rFonts w:ascii="Times New Roman" w:hAnsi="Times New Roman" w:cs="Times New Roman"/>
          <w:sz w:val="24"/>
          <w:szCs w:val="24"/>
        </w:rPr>
        <w:t>Należy podkreślić, że obowiązek publikacyjny przewidziany w przepisach ustawy o p.p.p.f.t.</w:t>
      </w:r>
      <w:r w:rsidR="003C3886" w:rsidRPr="0018524B">
        <w:rPr>
          <w:rFonts w:ascii="Times New Roman" w:hAnsi="Times New Roman" w:cs="Times New Roman"/>
          <w:sz w:val="24"/>
          <w:szCs w:val="24"/>
        </w:rPr>
        <w:t xml:space="preserve"> jest szerszy niż ten wynikający z przepisów prawa europejskiego. Publikacji podlega bowiem</w:t>
      </w:r>
      <w:r w:rsidR="009C742A" w:rsidRPr="0018524B">
        <w:rPr>
          <w:rFonts w:ascii="Times New Roman" w:hAnsi="Times New Roman" w:cs="Times New Roman"/>
          <w:sz w:val="24"/>
          <w:szCs w:val="24"/>
        </w:rPr>
        <w:t xml:space="preserve"> </w:t>
      </w:r>
      <w:r w:rsidR="003C3886" w:rsidRPr="0018524B">
        <w:rPr>
          <w:rFonts w:ascii="Times New Roman" w:hAnsi="Times New Roman" w:cs="Times New Roman"/>
          <w:sz w:val="24"/>
          <w:szCs w:val="24"/>
        </w:rPr>
        <w:t xml:space="preserve">ocena ryzyka, </w:t>
      </w:r>
      <w:r w:rsidR="009C742A" w:rsidRPr="0018524B">
        <w:rPr>
          <w:rFonts w:ascii="Times New Roman" w:hAnsi="Times New Roman" w:cs="Times New Roman"/>
          <w:sz w:val="24"/>
          <w:szCs w:val="24"/>
        </w:rPr>
        <w:t xml:space="preserve">z wyłączeniem części zawierającej informacje niejawne, </w:t>
      </w:r>
      <w:r w:rsidR="003C3886" w:rsidRPr="0018524B">
        <w:rPr>
          <w:rFonts w:ascii="Times New Roman" w:hAnsi="Times New Roman" w:cs="Times New Roman"/>
          <w:sz w:val="24"/>
          <w:szCs w:val="24"/>
        </w:rPr>
        <w:t>a nie tylko jej streszczenie.</w:t>
      </w:r>
    </w:p>
    <w:p w14:paraId="74AA21AB" w14:textId="77777777" w:rsidR="00121889" w:rsidRPr="0018524B" w:rsidRDefault="00121889"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Art. 7 ust. 5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y 2015/849 w brzmieniu nadanym przez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ę 2018/843 przewiduje również opcję przekazywania przez państwo członkowskie stosownych informacji do innego państwa członkowskiego prowadzącego ocenę ryzyka. Implementacja tego przepisu została przewidziana w </w:t>
      </w:r>
      <w:r w:rsidRPr="0018524B">
        <w:rPr>
          <w:rFonts w:ascii="Times New Roman" w:hAnsi="Times New Roman" w:cs="Times New Roman"/>
          <w:b/>
          <w:sz w:val="24"/>
          <w:szCs w:val="24"/>
        </w:rPr>
        <w:t>art. 30 ust. 4 ustawy o p.p.p.f.t.,</w:t>
      </w:r>
      <w:r w:rsidRPr="0018524B">
        <w:rPr>
          <w:rFonts w:ascii="Times New Roman" w:hAnsi="Times New Roman" w:cs="Times New Roman"/>
          <w:sz w:val="24"/>
          <w:szCs w:val="24"/>
        </w:rPr>
        <w:t xml:space="preserve"> w którym umocowano Generalnego Inspektora Informacji Finansowej do przekazywania </w:t>
      </w:r>
      <w:r w:rsidR="00E31385" w:rsidRPr="0018524B">
        <w:rPr>
          <w:rFonts w:ascii="Times New Roman" w:hAnsi="Times New Roman" w:cs="Times New Roman"/>
          <w:sz w:val="24"/>
          <w:szCs w:val="24"/>
        </w:rPr>
        <w:t>państwom członkowskim informacji mających znaczenie dla ich krajowych ocen ryzyka. Sytuacja taka dotyczyć może przykładowo informacji na temat wykorzystywaniu danego segmentu rynku finansowego państwa członkowskiego w procederze prania pieniędzy, o czym Generalny Inspektor Informacji Finansowej uzyskał wiedzę w związku z prowadzonymi sprawami.</w:t>
      </w:r>
    </w:p>
    <w:p w14:paraId="1FB40F88" w14:textId="42F2621D" w:rsidR="00C46B28" w:rsidRPr="0018524B" w:rsidRDefault="00C46B28"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Nowelizacja </w:t>
      </w:r>
      <w:r w:rsidRPr="0018524B">
        <w:rPr>
          <w:rFonts w:ascii="Times New Roman" w:hAnsi="Times New Roman" w:cs="Times New Roman"/>
          <w:b/>
          <w:sz w:val="24"/>
          <w:szCs w:val="24"/>
        </w:rPr>
        <w:t>art. 34 ust. 1 pkt 2 lit. b ustawy o p.p.p.f.t.</w:t>
      </w:r>
      <w:r w:rsidRPr="0018524B">
        <w:rPr>
          <w:rFonts w:ascii="Times New Roman" w:hAnsi="Times New Roman" w:cs="Times New Roman"/>
          <w:sz w:val="24"/>
          <w:szCs w:val="24"/>
        </w:rPr>
        <w:t xml:space="preserve"> polegająca na dodaniu bezpośredniego odesłania do trustu, wiąże się z potrzebą uwzględnienia w przepisie wszelkich form działania podmiotów zbiorowych. Dotychczasowe brzmienie art. 34 ust. 1 pkt 2 lit. b ustawy o p.p.p.f.t. co do zasady prawidłowo regulowało obowiązek ustalania przez </w:t>
      </w:r>
      <w:r w:rsidR="009557E6" w:rsidRPr="0018524B">
        <w:rPr>
          <w:rFonts w:ascii="Times New Roman" w:hAnsi="Times New Roman" w:cs="Times New Roman"/>
          <w:sz w:val="24"/>
          <w:szCs w:val="24"/>
        </w:rPr>
        <w:t>i</w:t>
      </w:r>
      <w:r w:rsidRPr="0018524B">
        <w:rPr>
          <w:rFonts w:ascii="Times New Roman" w:hAnsi="Times New Roman" w:cs="Times New Roman"/>
          <w:sz w:val="24"/>
          <w:szCs w:val="24"/>
        </w:rPr>
        <w:t xml:space="preserve">nstytucje </w:t>
      </w:r>
      <w:r w:rsidR="009557E6" w:rsidRPr="0018524B">
        <w:rPr>
          <w:rFonts w:ascii="Times New Roman" w:hAnsi="Times New Roman" w:cs="Times New Roman"/>
          <w:sz w:val="24"/>
          <w:szCs w:val="24"/>
        </w:rPr>
        <w:t>o</w:t>
      </w:r>
      <w:r w:rsidRPr="0018524B">
        <w:rPr>
          <w:rFonts w:ascii="Times New Roman" w:hAnsi="Times New Roman" w:cs="Times New Roman"/>
          <w:sz w:val="24"/>
          <w:szCs w:val="24"/>
        </w:rPr>
        <w:t xml:space="preserve">bowiązane struktury własności i kontroli klientów. Zauważyć niemniej należy, iż nieznane </w:t>
      </w:r>
      <w:r w:rsidRPr="0018524B">
        <w:rPr>
          <w:rFonts w:ascii="Times New Roman" w:hAnsi="Times New Roman" w:cs="Times New Roman"/>
          <w:sz w:val="24"/>
          <w:szCs w:val="24"/>
        </w:rPr>
        <w:lastRenderedPageBreak/>
        <w:t xml:space="preserve">prawu polskiemu instytucje „trustu”, w różnych krajach przyjmują różne formy. Celem regulacji obejmujących przeciwdziałanie praniu pieniędzy oraz finansowaniu terroryzmu jest między innymi zapewnienie, by </w:t>
      </w:r>
      <w:r w:rsidR="009557E6" w:rsidRPr="0018524B">
        <w:rPr>
          <w:rFonts w:ascii="Times New Roman" w:hAnsi="Times New Roman" w:cs="Times New Roman"/>
          <w:sz w:val="24"/>
          <w:szCs w:val="24"/>
        </w:rPr>
        <w:t>i</w:t>
      </w:r>
      <w:r w:rsidRPr="0018524B">
        <w:rPr>
          <w:rFonts w:ascii="Times New Roman" w:hAnsi="Times New Roman" w:cs="Times New Roman"/>
          <w:sz w:val="24"/>
          <w:szCs w:val="24"/>
        </w:rPr>
        <w:t xml:space="preserve">nstytucje </w:t>
      </w:r>
      <w:r w:rsidR="009557E6" w:rsidRPr="0018524B">
        <w:rPr>
          <w:rFonts w:ascii="Times New Roman" w:hAnsi="Times New Roman" w:cs="Times New Roman"/>
          <w:sz w:val="24"/>
          <w:szCs w:val="24"/>
        </w:rPr>
        <w:t>o</w:t>
      </w:r>
      <w:r w:rsidRPr="0018524B">
        <w:rPr>
          <w:rFonts w:ascii="Times New Roman" w:hAnsi="Times New Roman" w:cs="Times New Roman"/>
          <w:sz w:val="24"/>
          <w:szCs w:val="24"/>
        </w:rPr>
        <w:t xml:space="preserve">bowiązane znały swoich klientów, w szczególności posiadały wiedzę o ich strukturze własności i kontroli. Co za tym idzie zasadnym było bezpośrednie uwzględnienie w art. 34 ust. 1 pkt 2 lit. b ustawy o p.p.p.f.t. trustów, które mogą funkcjonować </w:t>
      </w:r>
      <w:r w:rsidR="00165AD7" w:rsidRPr="0018524B">
        <w:rPr>
          <w:rFonts w:ascii="Times New Roman" w:hAnsi="Times New Roman" w:cs="Times New Roman"/>
          <w:sz w:val="24"/>
          <w:szCs w:val="24"/>
        </w:rPr>
        <w:t xml:space="preserve">jako umowa lub porozumienie (zgodnie z definicją z art. 2 ust. 2 pkt 24 ustawy o p.p.p.f.t.), i które mogły w szczególnych sytuacjach nie być objęte dotychczasową regulacją art. 34 ust. 1 pkt 2 lit. b ustawy o p.p.p.f.t. Jednocześnie należy zwrócić uwagę na fakt, iż zgodnie z doświadczeniami Generalnego Inspektora, podmioty zbiorczo zdefiniowane w ustawie jako trusty, rzadko stają się klientami krajowych </w:t>
      </w:r>
      <w:r w:rsidR="009557E6" w:rsidRPr="0018524B">
        <w:rPr>
          <w:rFonts w:ascii="Times New Roman" w:hAnsi="Times New Roman" w:cs="Times New Roman"/>
          <w:sz w:val="24"/>
          <w:szCs w:val="24"/>
        </w:rPr>
        <w:t>i</w:t>
      </w:r>
      <w:r w:rsidR="00165AD7" w:rsidRPr="0018524B">
        <w:rPr>
          <w:rFonts w:ascii="Times New Roman" w:hAnsi="Times New Roman" w:cs="Times New Roman"/>
          <w:sz w:val="24"/>
          <w:szCs w:val="24"/>
        </w:rPr>
        <w:t xml:space="preserve">nstytucji </w:t>
      </w:r>
      <w:r w:rsidR="009557E6" w:rsidRPr="0018524B">
        <w:rPr>
          <w:rFonts w:ascii="Times New Roman" w:hAnsi="Times New Roman" w:cs="Times New Roman"/>
          <w:sz w:val="24"/>
          <w:szCs w:val="24"/>
        </w:rPr>
        <w:t>o</w:t>
      </w:r>
      <w:r w:rsidR="00165AD7" w:rsidRPr="0018524B">
        <w:rPr>
          <w:rFonts w:ascii="Times New Roman" w:hAnsi="Times New Roman" w:cs="Times New Roman"/>
          <w:sz w:val="24"/>
          <w:szCs w:val="24"/>
        </w:rPr>
        <w:t>bowiązanych.</w:t>
      </w:r>
      <w:r w:rsidR="00C6045B">
        <w:rPr>
          <w:rFonts w:ascii="Times New Roman" w:hAnsi="Times New Roman" w:cs="Times New Roman"/>
          <w:sz w:val="24"/>
          <w:szCs w:val="24"/>
        </w:rPr>
        <w:t xml:space="preserve"> </w:t>
      </w:r>
      <w:r w:rsidR="00165AD7" w:rsidRPr="0018524B">
        <w:rPr>
          <w:rFonts w:ascii="Times New Roman" w:hAnsi="Times New Roman" w:cs="Times New Roman"/>
          <w:sz w:val="24"/>
          <w:szCs w:val="24"/>
        </w:rPr>
        <w:t>Niemniej co do zasady obowiązek ustalania struktury własności i kontroli klienta będącego trustem istniał już na gruncie dotychczas obowiązującego art. 34 ust. 1 pkt 2 lit. b ustawy o p.p.p.f.t. (wobec trustów będących osobami prawnymi lub jednostkami organizacyjnymi nieposiadającymi osobowości prawnej). Tym samym bezpośrednie wskazanie trustów w art. 34 ust. 1 pkt 2 lit. b ustawy o p.p.p.f.t. nie wpłynie w sposób zauważalny na zakres obowiązków instytucji obowiązanych.</w:t>
      </w:r>
      <w:r w:rsidR="00B92917" w:rsidRPr="0018524B">
        <w:rPr>
          <w:rFonts w:ascii="Times New Roman" w:hAnsi="Times New Roman" w:cs="Times New Roman"/>
          <w:sz w:val="24"/>
          <w:szCs w:val="24"/>
        </w:rPr>
        <w:t xml:space="preserve"> Zgodnie z art. 35 ust. 2 ustawy o p.p.p.f.t., instytucje obowiązane stosują środki bezpieczeństwa finansowego również w odniesieniu do klientów, z który</w:t>
      </w:r>
      <w:r w:rsidR="000C6562" w:rsidRPr="0018524B">
        <w:rPr>
          <w:rFonts w:ascii="Times New Roman" w:hAnsi="Times New Roman" w:cs="Times New Roman"/>
          <w:sz w:val="24"/>
          <w:szCs w:val="24"/>
        </w:rPr>
        <w:t>m</w:t>
      </w:r>
      <w:r w:rsidR="00B92917" w:rsidRPr="0018524B">
        <w:rPr>
          <w:rFonts w:ascii="Times New Roman" w:hAnsi="Times New Roman" w:cs="Times New Roman"/>
          <w:sz w:val="24"/>
          <w:szCs w:val="24"/>
        </w:rPr>
        <w:t>i utrzymują stosunki gospodarcze. Tym samym ewentualna potrzeba</w:t>
      </w:r>
      <w:r w:rsidR="00165AD7" w:rsidRPr="0018524B">
        <w:rPr>
          <w:rFonts w:ascii="Times New Roman" w:hAnsi="Times New Roman" w:cs="Times New Roman"/>
          <w:sz w:val="24"/>
          <w:szCs w:val="24"/>
        </w:rPr>
        <w:t xml:space="preserve"> </w:t>
      </w:r>
      <w:r w:rsidR="00303D73" w:rsidRPr="0018524B">
        <w:rPr>
          <w:rFonts w:ascii="Times New Roman" w:hAnsi="Times New Roman" w:cs="Times New Roman"/>
          <w:sz w:val="24"/>
          <w:szCs w:val="24"/>
        </w:rPr>
        <w:t xml:space="preserve">zaktualizowania informacji </w:t>
      </w:r>
      <w:r w:rsidR="00B92917" w:rsidRPr="0018524B">
        <w:rPr>
          <w:rFonts w:ascii="Times New Roman" w:hAnsi="Times New Roman" w:cs="Times New Roman"/>
          <w:sz w:val="24"/>
          <w:szCs w:val="24"/>
        </w:rPr>
        <w:t xml:space="preserve">dotyczących struktury własności i kontroli </w:t>
      </w:r>
      <w:r w:rsidR="00303D73" w:rsidRPr="0018524B">
        <w:rPr>
          <w:rFonts w:ascii="Times New Roman" w:hAnsi="Times New Roman" w:cs="Times New Roman"/>
          <w:sz w:val="24"/>
          <w:szCs w:val="24"/>
        </w:rPr>
        <w:t>klien</w:t>
      </w:r>
      <w:r w:rsidR="00B92917" w:rsidRPr="0018524B">
        <w:rPr>
          <w:rFonts w:ascii="Times New Roman" w:hAnsi="Times New Roman" w:cs="Times New Roman"/>
          <w:sz w:val="24"/>
          <w:szCs w:val="24"/>
        </w:rPr>
        <w:t xml:space="preserve">ta będącego trustem funkcjonującym jako umowa lub porozumienie, wiąże się z potrzebą zastosowania przez instytucję obowiązaną </w:t>
      </w:r>
      <w:r w:rsidR="00DC2B67" w:rsidRPr="0018524B">
        <w:rPr>
          <w:rFonts w:ascii="Times New Roman" w:hAnsi="Times New Roman" w:cs="Times New Roman"/>
          <w:sz w:val="24"/>
          <w:szCs w:val="24"/>
        </w:rPr>
        <w:t xml:space="preserve">środków bezpieczeństwa finansowego wobec </w:t>
      </w:r>
      <w:r w:rsidR="00B92917" w:rsidRPr="0018524B">
        <w:rPr>
          <w:rFonts w:ascii="Times New Roman" w:hAnsi="Times New Roman" w:cs="Times New Roman"/>
          <w:sz w:val="24"/>
          <w:szCs w:val="24"/>
        </w:rPr>
        <w:t xml:space="preserve">takiego </w:t>
      </w:r>
      <w:r w:rsidR="00DC2B67" w:rsidRPr="0018524B">
        <w:rPr>
          <w:rFonts w:ascii="Times New Roman" w:hAnsi="Times New Roman" w:cs="Times New Roman"/>
          <w:sz w:val="24"/>
          <w:szCs w:val="24"/>
        </w:rPr>
        <w:t xml:space="preserve">klienta. </w:t>
      </w:r>
      <w:r w:rsidR="00B92917" w:rsidRPr="0018524B">
        <w:rPr>
          <w:rFonts w:ascii="Times New Roman" w:hAnsi="Times New Roman" w:cs="Times New Roman"/>
          <w:sz w:val="24"/>
          <w:szCs w:val="24"/>
        </w:rPr>
        <w:t xml:space="preserve">Stosowanie środków bezpieczeństwa finansowego zgodnie z art. 35 ust. 2 ustawy o p.p.p.f.t. następuje z uwzględnieniem rozpoznanego ryzyka prania pieniędzy oraz finansowania terroryzmu. Jednocześnie zasady stosowania środków bezpieczeństwa finansowego przez instytucję obowiązaną, z uwzględnieniem ryzyka przypisanego do danego klienta, powinny zostać określone w wewnętrznej procedurze instytucji obowiązanej, </w:t>
      </w:r>
      <w:r w:rsidR="0045480F" w:rsidRPr="0018524B">
        <w:rPr>
          <w:rFonts w:ascii="Times New Roman" w:hAnsi="Times New Roman" w:cs="Times New Roman"/>
          <w:sz w:val="24"/>
          <w:szCs w:val="24"/>
        </w:rPr>
        <w:t xml:space="preserve">co wynika wprost z art. 50 ust. 2 pkt 4 ustawy o p.p.p.f.t. </w:t>
      </w:r>
      <w:r w:rsidR="00833ABF" w:rsidRPr="0018524B">
        <w:rPr>
          <w:rFonts w:ascii="Times New Roman" w:hAnsi="Times New Roman" w:cs="Times New Roman"/>
          <w:sz w:val="24"/>
          <w:szCs w:val="24"/>
        </w:rPr>
        <w:t xml:space="preserve">W związku z powyższym </w:t>
      </w:r>
      <w:r w:rsidR="00DC2B67" w:rsidRPr="0018524B">
        <w:rPr>
          <w:rFonts w:ascii="Times New Roman" w:hAnsi="Times New Roman" w:cs="Times New Roman"/>
          <w:sz w:val="24"/>
          <w:szCs w:val="24"/>
        </w:rPr>
        <w:t xml:space="preserve">nie zachodzi potrzeba osobnego regulowania kwestii </w:t>
      </w:r>
      <w:r w:rsidR="00833ABF" w:rsidRPr="0018524B">
        <w:rPr>
          <w:rFonts w:ascii="Times New Roman" w:hAnsi="Times New Roman" w:cs="Times New Roman"/>
          <w:sz w:val="24"/>
          <w:szCs w:val="24"/>
        </w:rPr>
        <w:t xml:space="preserve">aktualizacji informacji o kliencie </w:t>
      </w:r>
      <w:r w:rsidR="00DC2B67" w:rsidRPr="0018524B">
        <w:rPr>
          <w:rFonts w:ascii="Times New Roman" w:hAnsi="Times New Roman" w:cs="Times New Roman"/>
          <w:sz w:val="24"/>
          <w:szCs w:val="24"/>
        </w:rPr>
        <w:t xml:space="preserve">w przepisach przejściowych. </w:t>
      </w:r>
    </w:p>
    <w:p w14:paraId="4906ED66" w14:textId="0D0A15DE" w:rsidR="0066402E" w:rsidRPr="0018524B" w:rsidRDefault="00926946"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Nowelizacja </w:t>
      </w:r>
      <w:r w:rsidRPr="0018524B">
        <w:rPr>
          <w:rFonts w:ascii="Times New Roman" w:hAnsi="Times New Roman" w:cs="Times New Roman"/>
          <w:b/>
          <w:sz w:val="24"/>
          <w:szCs w:val="24"/>
        </w:rPr>
        <w:t xml:space="preserve">art. 35 </w:t>
      </w:r>
      <w:r w:rsidR="00381C0C" w:rsidRPr="0018524B">
        <w:rPr>
          <w:rFonts w:ascii="Times New Roman" w:hAnsi="Times New Roman" w:cs="Times New Roman"/>
          <w:b/>
          <w:sz w:val="24"/>
          <w:szCs w:val="24"/>
        </w:rPr>
        <w:t xml:space="preserve">ust. 1 </w:t>
      </w:r>
      <w:r w:rsidRPr="0018524B">
        <w:rPr>
          <w:rFonts w:ascii="Times New Roman" w:hAnsi="Times New Roman" w:cs="Times New Roman"/>
          <w:b/>
          <w:sz w:val="24"/>
          <w:szCs w:val="24"/>
        </w:rPr>
        <w:t>ustawy o p.p.p.f.t.</w:t>
      </w:r>
      <w:r w:rsidRPr="0018524B">
        <w:rPr>
          <w:rFonts w:ascii="Times New Roman" w:hAnsi="Times New Roman" w:cs="Times New Roman"/>
          <w:sz w:val="24"/>
          <w:szCs w:val="24"/>
        </w:rPr>
        <w:t xml:space="preserve"> </w:t>
      </w:r>
      <w:r w:rsidR="00B4759F" w:rsidRPr="0018524B">
        <w:rPr>
          <w:rFonts w:ascii="Times New Roman" w:hAnsi="Times New Roman" w:cs="Times New Roman"/>
          <w:sz w:val="24"/>
          <w:szCs w:val="24"/>
        </w:rPr>
        <w:t xml:space="preserve">polegająca na dodaniu lit. c do pkt 2, </w:t>
      </w:r>
      <w:r w:rsidR="00CE3667" w:rsidRPr="0018524B">
        <w:rPr>
          <w:rFonts w:ascii="Times New Roman" w:hAnsi="Times New Roman" w:cs="Times New Roman"/>
          <w:sz w:val="24"/>
          <w:szCs w:val="24"/>
        </w:rPr>
        <w:t>wiąże się z potrzebą dostosowania przepisów krajowych do wytycznych wynikających ze znowelizowanych zaleceń FATF</w:t>
      </w:r>
      <w:r w:rsidRPr="0018524B">
        <w:rPr>
          <w:rFonts w:ascii="Times New Roman" w:hAnsi="Times New Roman" w:cs="Times New Roman"/>
          <w:sz w:val="24"/>
          <w:szCs w:val="24"/>
        </w:rPr>
        <w:t xml:space="preserve">. W przepisie art. 35 ust. 1 pkt 2 lit. c nałożono na instytucje obowiązane, o których mowa w art. 2 ust. 1 pkt 12 ustawy o p.p.p.f.t., a więc na podmioty prowadzące działalność związaną z obrotem walutami wirtualnymi obowiązek stosowania środków bezpieczeństwa finansowego również w odniesieniu do transakcji okazjonalnych o </w:t>
      </w:r>
      <w:r w:rsidRPr="0018524B">
        <w:rPr>
          <w:rFonts w:ascii="Times New Roman" w:hAnsi="Times New Roman" w:cs="Times New Roman"/>
          <w:sz w:val="24"/>
          <w:szCs w:val="24"/>
        </w:rPr>
        <w:lastRenderedPageBreak/>
        <w:t xml:space="preserve">równowartości 1000 euro lub większej przeprowadzanych z wykorzystaniem waluty wirtualnej. </w:t>
      </w:r>
      <w:r w:rsidR="00333B5F" w:rsidRPr="0018524B">
        <w:rPr>
          <w:rFonts w:ascii="Times New Roman" w:hAnsi="Times New Roman" w:cs="Times New Roman"/>
          <w:sz w:val="24"/>
          <w:szCs w:val="24"/>
        </w:rPr>
        <w:t>Przepis został wprowadzony w celu dostosowania przepisów ustawy o p.p.p.f.t. do wymagań wynikających ze znowelizowanych zaleceń FATF, a konkretnie do zapisów pkt</w:t>
      </w:r>
      <w:r w:rsidR="00640849" w:rsidRPr="0018524B">
        <w:rPr>
          <w:rFonts w:ascii="Times New Roman" w:hAnsi="Times New Roman" w:cs="Times New Roman"/>
          <w:sz w:val="24"/>
          <w:szCs w:val="24"/>
        </w:rPr>
        <w:t xml:space="preserve"> 7</w:t>
      </w:r>
      <w:r w:rsidR="00333B5F" w:rsidRPr="0018524B">
        <w:rPr>
          <w:rFonts w:ascii="Times New Roman" w:hAnsi="Times New Roman" w:cs="Times New Roman"/>
          <w:sz w:val="24"/>
          <w:szCs w:val="24"/>
        </w:rPr>
        <w:t>(a) noty interpretacyjnej do zalecenia FATF nr 15, wskazującego sytuacje, w których na „dostawcach walut wirtualnych” ciążyć powinien obowiązek zastosowania środków bezpieczeństwa finansowego.</w:t>
      </w:r>
      <w:r w:rsidR="0088160D" w:rsidRPr="0018524B">
        <w:rPr>
          <w:rFonts w:ascii="Times New Roman" w:eastAsia="Calibri" w:hAnsi="Times New Roman" w:cs="Times New Roman"/>
          <w:sz w:val="24"/>
          <w:szCs w:val="24"/>
        </w:rPr>
        <w:t xml:space="preserve"> </w:t>
      </w:r>
      <w:r w:rsidR="0088160D" w:rsidRPr="0018524B">
        <w:rPr>
          <w:rFonts w:ascii="Times New Roman" w:hAnsi="Times New Roman" w:cs="Times New Roman"/>
          <w:sz w:val="24"/>
          <w:szCs w:val="24"/>
        </w:rPr>
        <w:t>FATF w swoich analizach dostrzega ryzyka prania pieniędzy oraz finansowania terroryzmu związane z wykorzystaniem innowacyjnych instrumentów, jakimi są waluty wirtualne i rekomenduje próg 1000 EUR, jako właściwy do stosowania środków bezpieczeństwa finansowego w odniesieniu do transakcji okazjonalnych przeprowadzanych z wykorzystaniem waluty wirtualnej.</w:t>
      </w:r>
      <w:r w:rsidR="00C6045B">
        <w:rPr>
          <w:rFonts w:ascii="Times New Roman" w:hAnsi="Times New Roman" w:cs="Times New Roman"/>
          <w:sz w:val="24"/>
          <w:szCs w:val="24"/>
        </w:rPr>
        <w:t xml:space="preserve"> </w:t>
      </w:r>
      <w:r w:rsidR="00640849" w:rsidRPr="0018524B">
        <w:rPr>
          <w:rFonts w:ascii="Times New Roman" w:hAnsi="Times New Roman" w:cs="Times New Roman"/>
          <w:sz w:val="24"/>
          <w:szCs w:val="24"/>
        </w:rPr>
        <w:t xml:space="preserve">Nowelizacja art. 35 ust. </w:t>
      </w:r>
      <w:r w:rsidR="00B4759F" w:rsidRPr="0018524B">
        <w:rPr>
          <w:rFonts w:ascii="Times New Roman" w:hAnsi="Times New Roman" w:cs="Times New Roman"/>
          <w:sz w:val="24"/>
          <w:szCs w:val="24"/>
        </w:rPr>
        <w:t>1</w:t>
      </w:r>
      <w:r w:rsidR="00640849" w:rsidRPr="0018524B">
        <w:rPr>
          <w:rFonts w:ascii="Times New Roman" w:hAnsi="Times New Roman" w:cs="Times New Roman"/>
          <w:sz w:val="24"/>
          <w:szCs w:val="24"/>
        </w:rPr>
        <w:t xml:space="preserve"> pkt 3 ustawy o p.p.p.f.t. doprecyzowuje przypadki, w których instytucje obowiązane, o których mowa w art. 2 ust. 1 pkt 21 i 22 mają obowiązek zastosowania środków bezpieczeństwa finansowego. Zmiana ta ma charakter techniczny i uwzględnia zakres w jakim na tych</w:t>
      </w:r>
      <w:r w:rsidR="00C6045B">
        <w:rPr>
          <w:rFonts w:ascii="Times New Roman" w:hAnsi="Times New Roman" w:cs="Times New Roman"/>
          <w:sz w:val="24"/>
          <w:szCs w:val="24"/>
        </w:rPr>
        <w:t xml:space="preserve"> </w:t>
      </w:r>
      <w:r w:rsidR="00640849" w:rsidRPr="0018524B">
        <w:rPr>
          <w:rFonts w:ascii="Times New Roman" w:hAnsi="Times New Roman" w:cs="Times New Roman"/>
          <w:sz w:val="24"/>
          <w:szCs w:val="24"/>
        </w:rPr>
        <w:t>instytucjach obowiązanych ciążą obowiązki związane z przeciwdziałaniem praniu pieniędzy oraz finansowani</w:t>
      </w:r>
      <w:r w:rsidR="00245521">
        <w:rPr>
          <w:rFonts w:ascii="Times New Roman" w:hAnsi="Times New Roman" w:cs="Times New Roman"/>
          <w:sz w:val="24"/>
          <w:szCs w:val="24"/>
        </w:rPr>
        <w:t>u</w:t>
      </w:r>
      <w:r w:rsidR="00640849" w:rsidRPr="0018524B">
        <w:rPr>
          <w:rFonts w:ascii="Times New Roman" w:hAnsi="Times New Roman" w:cs="Times New Roman"/>
          <w:sz w:val="24"/>
          <w:szCs w:val="24"/>
        </w:rPr>
        <w:t xml:space="preserve"> terroryzmu. </w:t>
      </w:r>
    </w:p>
    <w:p w14:paraId="5F558467" w14:textId="25BE40C9" w:rsidR="00926946" w:rsidRPr="0018524B" w:rsidRDefault="00381C0C"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Zmiana </w:t>
      </w:r>
      <w:r w:rsidRPr="0018524B">
        <w:rPr>
          <w:rFonts w:ascii="Times New Roman" w:hAnsi="Times New Roman" w:cs="Times New Roman"/>
          <w:b/>
          <w:sz w:val="24"/>
          <w:szCs w:val="24"/>
        </w:rPr>
        <w:t>art. 35 ust. 2 ustawy o p.p.p.f.t.</w:t>
      </w:r>
      <w:r w:rsidRPr="0018524B">
        <w:rPr>
          <w:rFonts w:ascii="Times New Roman" w:hAnsi="Times New Roman" w:cs="Times New Roman"/>
          <w:sz w:val="24"/>
          <w:szCs w:val="24"/>
        </w:rPr>
        <w:t xml:space="preserve"> wynika z art. 14 ust. 5 dyrektywy 2015/849 w brzmieniu nadanym mu przez art. 1 pkt 9 dyrektywy 2018/843 i sprowadza się do rozszerzania obowiązku stosowania środków bezpieczeństwa finansowego wobec dotychczasowych klientów instytucji obowiązanych do sytuacji, w których </w:t>
      </w:r>
      <w:r w:rsidR="00645999" w:rsidRPr="0018524B">
        <w:rPr>
          <w:rFonts w:ascii="Times New Roman" w:hAnsi="Times New Roman" w:cs="Times New Roman"/>
          <w:sz w:val="24"/>
          <w:szCs w:val="24"/>
        </w:rPr>
        <w:t xml:space="preserve">na </w:t>
      </w:r>
      <w:r w:rsidRPr="0018524B">
        <w:rPr>
          <w:rFonts w:ascii="Times New Roman" w:hAnsi="Times New Roman" w:cs="Times New Roman"/>
          <w:sz w:val="24"/>
          <w:szCs w:val="24"/>
        </w:rPr>
        <w:t>instytucjach obowiązanych ciążył wynikający z przepisów ustawy z dnia 9 marca 2017 r</w:t>
      </w:r>
      <w:r w:rsidRPr="0018524B">
        <w:rPr>
          <w:rFonts w:ascii="Times New Roman" w:hAnsi="Times New Roman" w:cs="Times New Roman"/>
          <w:i/>
          <w:sz w:val="24"/>
          <w:szCs w:val="24"/>
        </w:rPr>
        <w:t>. o wymianie informacji podatkowych z innymi państwami</w:t>
      </w:r>
      <w:r w:rsidRPr="0018524B">
        <w:rPr>
          <w:rFonts w:ascii="Times New Roman" w:hAnsi="Times New Roman" w:cs="Times New Roman"/>
          <w:sz w:val="24"/>
          <w:szCs w:val="24"/>
        </w:rPr>
        <w:t xml:space="preserve"> </w:t>
      </w:r>
      <w:r w:rsidR="007F06E7" w:rsidRPr="0018524B">
        <w:rPr>
          <w:rFonts w:ascii="Times New Roman" w:hAnsi="Times New Roman" w:cs="Times New Roman"/>
          <w:sz w:val="24"/>
          <w:szCs w:val="24"/>
        </w:rPr>
        <w:t>(Dz.</w:t>
      </w:r>
      <w:r w:rsidR="008E41B3">
        <w:rPr>
          <w:rFonts w:ascii="Times New Roman" w:hAnsi="Times New Roman" w:cs="Times New Roman"/>
          <w:sz w:val="24"/>
          <w:szCs w:val="24"/>
        </w:rPr>
        <w:t xml:space="preserve"> </w:t>
      </w:r>
      <w:r w:rsidR="007F06E7" w:rsidRPr="0018524B">
        <w:rPr>
          <w:rFonts w:ascii="Times New Roman" w:hAnsi="Times New Roman" w:cs="Times New Roman"/>
          <w:sz w:val="24"/>
          <w:szCs w:val="24"/>
        </w:rPr>
        <w:t>U</w:t>
      </w:r>
      <w:r w:rsidR="008E41B3">
        <w:rPr>
          <w:rFonts w:ascii="Times New Roman" w:hAnsi="Times New Roman" w:cs="Times New Roman"/>
          <w:sz w:val="24"/>
          <w:szCs w:val="24"/>
        </w:rPr>
        <w:t>.</w:t>
      </w:r>
      <w:r w:rsidR="007F06E7" w:rsidRPr="0018524B">
        <w:rPr>
          <w:rFonts w:ascii="Times New Roman" w:hAnsi="Times New Roman" w:cs="Times New Roman"/>
          <w:sz w:val="24"/>
          <w:szCs w:val="24"/>
        </w:rPr>
        <w:t xml:space="preserve"> z 20</w:t>
      </w:r>
      <w:r w:rsidR="00ED2D90">
        <w:rPr>
          <w:rFonts w:ascii="Times New Roman" w:hAnsi="Times New Roman" w:cs="Times New Roman"/>
          <w:sz w:val="24"/>
          <w:szCs w:val="24"/>
        </w:rPr>
        <w:t>20</w:t>
      </w:r>
      <w:r w:rsidR="007F06E7" w:rsidRPr="0018524B">
        <w:rPr>
          <w:rFonts w:ascii="Times New Roman" w:hAnsi="Times New Roman" w:cs="Times New Roman"/>
          <w:sz w:val="24"/>
          <w:szCs w:val="24"/>
        </w:rPr>
        <w:t xml:space="preserve"> r. poz. </w:t>
      </w:r>
      <w:r w:rsidR="00ED2D90">
        <w:rPr>
          <w:rFonts w:ascii="Times New Roman" w:hAnsi="Times New Roman" w:cs="Times New Roman"/>
          <w:sz w:val="24"/>
          <w:szCs w:val="24"/>
        </w:rPr>
        <w:t>343, z późn. zm.</w:t>
      </w:r>
      <w:r w:rsidR="007F06E7" w:rsidRPr="0018524B">
        <w:rPr>
          <w:rFonts w:ascii="Times New Roman" w:hAnsi="Times New Roman" w:cs="Times New Roman"/>
          <w:sz w:val="24"/>
          <w:szCs w:val="24"/>
        </w:rPr>
        <w:t xml:space="preserve">) </w:t>
      </w:r>
      <w:r w:rsidRPr="0018524B">
        <w:rPr>
          <w:rFonts w:ascii="Times New Roman" w:hAnsi="Times New Roman" w:cs="Times New Roman"/>
          <w:sz w:val="24"/>
          <w:szCs w:val="24"/>
        </w:rPr>
        <w:t xml:space="preserve">obowiązek nawiązania kontaktu z takim klientem. </w:t>
      </w:r>
      <w:r w:rsidR="0066402E" w:rsidRPr="0018524B">
        <w:rPr>
          <w:rFonts w:ascii="Times New Roman" w:hAnsi="Times New Roman" w:cs="Times New Roman"/>
          <w:sz w:val="24"/>
          <w:szCs w:val="24"/>
        </w:rPr>
        <w:t>Art. 1 pkt 9 lit. b dyrektywy 2018/843 modyfikuje brzmienie art. 14 ust. 5 dyrektywy 2015/849, zgodnie z którym na podmiotach zobowiązanych ciąży obowiązek stosowania środków należytej staranności nie tylko wobec nowych klientów, ale również wobec obecnych klientów. Art. 14 ust. 5 4AMLD został transponowany do krajowego porządku prawnego w art. 35 ust. 2 ustawy o p.p.p.f.t., zgodnie z którym instytucje obowiązane stosują środki bezpieczeństwa finansowego również w odniesieniu do klientów, z którym utrzymują stosunki gospodarcze, w szczególności gdy doszło do zmiany uprzednio ustalonego charakteru lub okoliczności stosunków gospodarczych. Przepis art. 35 ust. 2 ustawy o p.p.p.f.t. zostanie uzupełniony o nową przesłankę, obligującą instytucje obowiązane do zastosowania środków bezpieczeństwa finansowego, w przypadkach, gdy ciąży na nich wynikające z przepisów prawa zobowiązanie do skontaktowania się z klientem, w szczególności, gdy zobowiązanie takie wynika z przepisów ustawy</w:t>
      </w:r>
      <w:r w:rsidR="00C6045B">
        <w:rPr>
          <w:rFonts w:ascii="Times New Roman" w:hAnsi="Times New Roman" w:cs="Times New Roman"/>
          <w:sz w:val="24"/>
          <w:szCs w:val="24"/>
        </w:rPr>
        <w:t xml:space="preserve"> </w:t>
      </w:r>
      <w:r w:rsidR="0066402E" w:rsidRPr="0018524B">
        <w:rPr>
          <w:rFonts w:ascii="Times New Roman" w:hAnsi="Times New Roman" w:cs="Times New Roman"/>
          <w:i/>
          <w:sz w:val="24"/>
          <w:szCs w:val="24"/>
        </w:rPr>
        <w:t>o wymianie informacji podatkowych z innymi państwami</w:t>
      </w:r>
      <w:r w:rsidR="0066402E" w:rsidRPr="0018524B">
        <w:rPr>
          <w:rFonts w:ascii="Times New Roman" w:hAnsi="Times New Roman" w:cs="Times New Roman"/>
          <w:sz w:val="24"/>
          <w:szCs w:val="24"/>
        </w:rPr>
        <w:t xml:space="preserve">. Odniesienie się do zobowiązania mającego swoje źródło w przepisach prawa jest konieczne, by </w:t>
      </w:r>
      <w:r w:rsidR="0066402E" w:rsidRPr="0018524B">
        <w:rPr>
          <w:rFonts w:ascii="Times New Roman" w:hAnsi="Times New Roman" w:cs="Times New Roman"/>
          <w:sz w:val="24"/>
          <w:szCs w:val="24"/>
        </w:rPr>
        <w:lastRenderedPageBreak/>
        <w:t>uniknąć wątpliwości dotyczących aktualizacji obowiązku w przypadku wystąpienia obowiązku skontaktowania się z klientem wynikającego z postanowień regulaminów wewnętrznych lub z zawartych umów cywilnoprawnych.</w:t>
      </w:r>
    </w:p>
    <w:p w14:paraId="3DDA9083" w14:textId="57EE8733" w:rsidR="0050571C" w:rsidRPr="0018524B" w:rsidRDefault="001C77C6" w:rsidP="00C81472">
      <w:pPr>
        <w:spacing w:line="400" w:lineRule="atLeast"/>
        <w:jc w:val="both"/>
        <w:rPr>
          <w:rFonts w:ascii="Times New Roman" w:hAnsi="Times New Roman" w:cs="Times New Roman"/>
          <w:b/>
          <w:sz w:val="24"/>
          <w:szCs w:val="24"/>
        </w:rPr>
      </w:pPr>
      <w:r w:rsidRPr="0018524B">
        <w:rPr>
          <w:rFonts w:ascii="Times New Roman" w:hAnsi="Times New Roman" w:cs="Times New Roman"/>
          <w:sz w:val="24"/>
          <w:szCs w:val="24"/>
        </w:rPr>
        <w:t xml:space="preserve">Przepis </w:t>
      </w:r>
      <w:r w:rsidR="009F6274" w:rsidRPr="0018524B">
        <w:rPr>
          <w:rFonts w:ascii="Times New Roman" w:hAnsi="Times New Roman" w:cs="Times New Roman"/>
          <w:sz w:val="24"/>
          <w:szCs w:val="24"/>
        </w:rPr>
        <w:t>art. 13 ust. 1 lit. a 4AMLD w brzmieniu nadanym mu przez art. 1 pkt 8 dyrektywy 2</w:t>
      </w:r>
      <w:r w:rsidRPr="0018524B">
        <w:rPr>
          <w:rFonts w:ascii="Times New Roman" w:hAnsi="Times New Roman" w:cs="Times New Roman"/>
          <w:sz w:val="24"/>
          <w:szCs w:val="24"/>
        </w:rPr>
        <w:t>018/</w:t>
      </w:r>
      <w:r w:rsidR="00A7577C" w:rsidRPr="0018524B">
        <w:rPr>
          <w:rFonts w:ascii="Times New Roman" w:hAnsi="Times New Roman" w:cs="Times New Roman"/>
          <w:sz w:val="24"/>
          <w:szCs w:val="24"/>
        </w:rPr>
        <w:t>8</w:t>
      </w:r>
      <w:r w:rsidRPr="0018524B">
        <w:rPr>
          <w:rFonts w:ascii="Times New Roman" w:hAnsi="Times New Roman" w:cs="Times New Roman"/>
          <w:sz w:val="24"/>
          <w:szCs w:val="24"/>
        </w:rPr>
        <w:t xml:space="preserve">43 </w:t>
      </w:r>
      <w:r w:rsidR="009F6274" w:rsidRPr="0018524B">
        <w:rPr>
          <w:rFonts w:ascii="Times New Roman" w:hAnsi="Times New Roman" w:cs="Times New Roman"/>
          <w:sz w:val="24"/>
          <w:szCs w:val="24"/>
        </w:rPr>
        <w:t>konkretyzuje pojęcie rzetelnego i niezależnego źródła, z którego mają pochodzić dane, dokumenty lub informacje</w:t>
      </w:r>
      <w:r w:rsidR="00A7577C" w:rsidRPr="0018524B">
        <w:rPr>
          <w:rFonts w:ascii="Times New Roman" w:hAnsi="Times New Roman" w:cs="Times New Roman"/>
          <w:sz w:val="24"/>
          <w:szCs w:val="24"/>
        </w:rPr>
        <w:t>,</w:t>
      </w:r>
      <w:r w:rsidR="009F6274" w:rsidRPr="0018524B">
        <w:rPr>
          <w:rFonts w:ascii="Times New Roman" w:hAnsi="Times New Roman" w:cs="Times New Roman"/>
          <w:sz w:val="24"/>
          <w:szCs w:val="24"/>
        </w:rPr>
        <w:t xml:space="preserve"> na podstawie których podmiot zobowiązany stosuje wobec klienta środki należytej staranności obejmujące identyfikację klienta i weryfikację jego tożsamości. </w:t>
      </w:r>
      <w:r w:rsidR="001F3261" w:rsidRPr="0018524B">
        <w:rPr>
          <w:rFonts w:ascii="Times New Roman" w:hAnsi="Times New Roman" w:cs="Times New Roman"/>
          <w:sz w:val="24"/>
          <w:szCs w:val="24"/>
        </w:rPr>
        <w:t xml:space="preserve">Przepisy prawa europejskiego, jako takie źródło uznają środki identyfikacji elektronicznej oraz odpowiednie usługi zaufania określone w </w:t>
      </w:r>
      <w:r w:rsidR="008E41B3">
        <w:rPr>
          <w:rFonts w:ascii="Times New Roman" w:hAnsi="Times New Roman" w:cs="Times New Roman"/>
          <w:sz w:val="24"/>
          <w:szCs w:val="24"/>
        </w:rPr>
        <w:t>r</w:t>
      </w:r>
      <w:r w:rsidR="001F3261" w:rsidRPr="0018524B">
        <w:rPr>
          <w:rFonts w:ascii="Times New Roman" w:hAnsi="Times New Roman" w:cs="Times New Roman"/>
          <w:sz w:val="24"/>
          <w:szCs w:val="24"/>
        </w:rPr>
        <w:t xml:space="preserve">ozporządzeniu Parlamentu Europejskiego i Rady (UE) 910/2014 z dnia 23 lipca 2014 r. </w:t>
      </w:r>
      <w:r w:rsidR="001F3261" w:rsidRPr="0018524B">
        <w:rPr>
          <w:rFonts w:ascii="Times New Roman" w:hAnsi="Times New Roman" w:cs="Times New Roman"/>
          <w:i/>
          <w:sz w:val="24"/>
          <w:szCs w:val="24"/>
        </w:rPr>
        <w:t>w sprawie identyfikacji elektronicznej i usług zaufania w odniesieniu do transakcji elektronicznych na rynku wewnętrznym oraz uchylające dyrektywę 1999/93/WE</w:t>
      </w:r>
      <w:r w:rsidR="001F3261" w:rsidRPr="0018524B">
        <w:rPr>
          <w:rFonts w:ascii="Times New Roman" w:hAnsi="Times New Roman" w:cs="Times New Roman"/>
          <w:sz w:val="24"/>
          <w:szCs w:val="24"/>
        </w:rPr>
        <w:t xml:space="preserve"> (Dz. Urz. UE L 257 z 28.08.2014, str. 73</w:t>
      </w:r>
      <w:r w:rsidR="0013747E">
        <w:rPr>
          <w:rFonts w:ascii="Times New Roman" w:hAnsi="Times New Roman" w:cs="Times New Roman"/>
          <w:sz w:val="24"/>
          <w:szCs w:val="24"/>
        </w:rPr>
        <w:t>,</w:t>
      </w:r>
      <w:r w:rsidR="001F3261" w:rsidRPr="0018524B">
        <w:rPr>
          <w:rFonts w:ascii="Times New Roman" w:hAnsi="Times New Roman" w:cs="Times New Roman"/>
          <w:sz w:val="24"/>
          <w:szCs w:val="24"/>
        </w:rPr>
        <w:t xml:space="preserve"> z późn. zm.), a także wszelkie, inne bezpieczne, zdalne lub elektroniczne procesy identyfikacji </w:t>
      </w:r>
      <w:r w:rsidR="008C0A5C" w:rsidRPr="0018524B">
        <w:rPr>
          <w:rFonts w:ascii="Times New Roman" w:hAnsi="Times New Roman" w:cs="Times New Roman"/>
          <w:sz w:val="24"/>
          <w:szCs w:val="24"/>
        </w:rPr>
        <w:t>regulowane, uznane, zatwierdzone lub przyjęte przez właściwe organy krajowe.</w:t>
      </w:r>
      <w:r w:rsidR="004C701B" w:rsidRPr="0018524B">
        <w:rPr>
          <w:rFonts w:ascii="Times New Roman" w:hAnsi="Times New Roman" w:cs="Times New Roman"/>
          <w:sz w:val="24"/>
          <w:szCs w:val="24"/>
        </w:rPr>
        <w:t xml:space="preserve"> Przepis ten zostanie wdrożony do krajowego porządku prawnego poprzez </w:t>
      </w:r>
      <w:r w:rsidR="00630D37" w:rsidRPr="0018524B">
        <w:rPr>
          <w:rFonts w:ascii="Times New Roman" w:hAnsi="Times New Roman" w:cs="Times New Roman"/>
          <w:sz w:val="24"/>
          <w:szCs w:val="24"/>
        </w:rPr>
        <w:t>nowelizację</w:t>
      </w:r>
      <w:r w:rsidR="004C701B" w:rsidRPr="0018524B">
        <w:rPr>
          <w:rFonts w:ascii="Times New Roman" w:hAnsi="Times New Roman" w:cs="Times New Roman"/>
          <w:sz w:val="24"/>
          <w:szCs w:val="24"/>
        </w:rPr>
        <w:t xml:space="preserve"> </w:t>
      </w:r>
      <w:r w:rsidR="004C701B" w:rsidRPr="0018524B">
        <w:rPr>
          <w:rFonts w:ascii="Times New Roman" w:hAnsi="Times New Roman" w:cs="Times New Roman"/>
          <w:b/>
          <w:sz w:val="24"/>
          <w:szCs w:val="24"/>
        </w:rPr>
        <w:t>art.</w:t>
      </w:r>
      <w:r w:rsidR="00630D37" w:rsidRPr="0018524B">
        <w:rPr>
          <w:rFonts w:ascii="Times New Roman" w:hAnsi="Times New Roman" w:cs="Times New Roman"/>
          <w:b/>
          <w:sz w:val="24"/>
          <w:szCs w:val="24"/>
        </w:rPr>
        <w:t xml:space="preserve"> 37 ust. 1 ustawy o p.p.p.f.t. </w:t>
      </w:r>
      <w:r w:rsidR="00844552" w:rsidRPr="0018524B">
        <w:rPr>
          <w:rFonts w:ascii="Times New Roman" w:hAnsi="Times New Roman" w:cs="Times New Roman"/>
          <w:sz w:val="24"/>
          <w:szCs w:val="24"/>
        </w:rPr>
        <w:t>Część</w:t>
      </w:r>
      <w:r w:rsidR="00176466" w:rsidRPr="0018524B">
        <w:rPr>
          <w:rFonts w:ascii="Times New Roman" w:hAnsi="Times New Roman" w:cs="Times New Roman"/>
          <w:sz w:val="24"/>
          <w:szCs w:val="24"/>
        </w:rPr>
        <w:t xml:space="preserve"> </w:t>
      </w:r>
      <w:r w:rsidR="00844552" w:rsidRPr="0018524B">
        <w:rPr>
          <w:rFonts w:ascii="Times New Roman" w:hAnsi="Times New Roman" w:cs="Times New Roman"/>
          <w:sz w:val="24"/>
          <w:szCs w:val="24"/>
        </w:rPr>
        <w:t xml:space="preserve">przepisu </w:t>
      </w:r>
      <w:r w:rsidR="00176466" w:rsidRPr="0018524B">
        <w:rPr>
          <w:rFonts w:ascii="Times New Roman" w:hAnsi="Times New Roman" w:cs="Times New Roman"/>
          <w:sz w:val="24"/>
          <w:szCs w:val="24"/>
        </w:rPr>
        <w:t>odwołująca się do środków identyfikacji elektronicznej oraz usług zaufania</w:t>
      </w:r>
      <w:r w:rsidR="00844552" w:rsidRPr="0018524B">
        <w:rPr>
          <w:rFonts w:ascii="Times New Roman" w:hAnsi="Times New Roman" w:cs="Times New Roman"/>
          <w:sz w:val="24"/>
          <w:szCs w:val="24"/>
        </w:rPr>
        <w:t xml:space="preserve"> określonych w</w:t>
      </w:r>
      <w:r w:rsidR="009C207B" w:rsidRPr="0018524B">
        <w:rPr>
          <w:rFonts w:ascii="Times New Roman" w:hAnsi="Times New Roman" w:cs="Times New Roman"/>
          <w:sz w:val="24"/>
          <w:szCs w:val="24"/>
        </w:rPr>
        <w:t xml:space="preserve"> </w:t>
      </w:r>
      <w:r w:rsidR="00844552" w:rsidRPr="0018524B">
        <w:rPr>
          <w:rFonts w:ascii="Times New Roman" w:hAnsi="Times New Roman" w:cs="Times New Roman"/>
          <w:sz w:val="24"/>
          <w:szCs w:val="24"/>
        </w:rPr>
        <w:t>przepisach</w:t>
      </w:r>
      <w:r w:rsidR="00176466" w:rsidRPr="0018524B">
        <w:rPr>
          <w:rFonts w:ascii="Times New Roman" w:hAnsi="Times New Roman" w:cs="Times New Roman"/>
          <w:sz w:val="24"/>
          <w:szCs w:val="24"/>
        </w:rPr>
        <w:t xml:space="preserve"> rozporządzenia 910/2014 zostanie </w:t>
      </w:r>
      <w:r w:rsidR="00844552" w:rsidRPr="0018524B">
        <w:rPr>
          <w:rFonts w:ascii="Times New Roman" w:hAnsi="Times New Roman" w:cs="Times New Roman"/>
          <w:sz w:val="24"/>
          <w:szCs w:val="24"/>
        </w:rPr>
        <w:t xml:space="preserve">wprost </w:t>
      </w:r>
      <w:r w:rsidR="00176466" w:rsidRPr="0018524B">
        <w:rPr>
          <w:rFonts w:ascii="Times New Roman" w:hAnsi="Times New Roman" w:cs="Times New Roman"/>
          <w:sz w:val="24"/>
          <w:szCs w:val="24"/>
        </w:rPr>
        <w:t>przeniesiona do przepisów ustawy o p.p.p.f.t.</w:t>
      </w:r>
      <w:r w:rsidR="00844552" w:rsidRPr="0018524B">
        <w:rPr>
          <w:rFonts w:ascii="Times New Roman" w:hAnsi="Times New Roman" w:cs="Times New Roman"/>
          <w:sz w:val="24"/>
          <w:szCs w:val="24"/>
        </w:rPr>
        <w:t xml:space="preserve"> </w:t>
      </w:r>
      <w:r w:rsidR="00422415" w:rsidRPr="0018524B">
        <w:rPr>
          <w:rFonts w:ascii="Times New Roman" w:hAnsi="Times New Roman" w:cs="Times New Roman"/>
          <w:sz w:val="24"/>
          <w:szCs w:val="24"/>
        </w:rPr>
        <w:t xml:space="preserve">W związku </w:t>
      </w:r>
      <w:r w:rsidR="001F2462" w:rsidRPr="0018524B">
        <w:rPr>
          <w:rFonts w:ascii="Times New Roman" w:hAnsi="Times New Roman" w:cs="Times New Roman"/>
          <w:sz w:val="24"/>
          <w:szCs w:val="24"/>
        </w:rPr>
        <w:t xml:space="preserve">z faktem, że </w:t>
      </w:r>
      <w:r w:rsidR="00B32256" w:rsidRPr="0018524B">
        <w:rPr>
          <w:rFonts w:ascii="Times New Roman" w:hAnsi="Times New Roman" w:cs="Times New Roman"/>
          <w:sz w:val="24"/>
          <w:szCs w:val="24"/>
        </w:rPr>
        <w:t>nie tylko art. 13 ust. 1 lit. a</w:t>
      </w:r>
      <w:r w:rsidR="00520EFA" w:rsidRPr="0018524B">
        <w:rPr>
          <w:rFonts w:ascii="Times New Roman" w:hAnsi="Times New Roman" w:cs="Times New Roman"/>
          <w:sz w:val="24"/>
          <w:szCs w:val="24"/>
        </w:rPr>
        <w:t xml:space="preserve"> dyrektywy 2015/849</w:t>
      </w:r>
      <w:r w:rsidR="00B32256" w:rsidRPr="0018524B">
        <w:rPr>
          <w:rFonts w:ascii="Times New Roman" w:hAnsi="Times New Roman" w:cs="Times New Roman"/>
          <w:sz w:val="24"/>
          <w:szCs w:val="24"/>
        </w:rPr>
        <w:t>, ale również przepisy</w:t>
      </w:r>
      <w:r w:rsidR="00520EFA" w:rsidRPr="0018524B">
        <w:rPr>
          <w:rFonts w:ascii="Times New Roman" w:hAnsi="Times New Roman" w:cs="Times New Roman"/>
          <w:sz w:val="24"/>
          <w:szCs w:val="24"/>
        </w:rPr>
        <w:t xml:space="preserve"> art. 27 ust. 2, art. 40 ust. 1 lit. a oraz załącznik III pkt 2 lit. c </w:t>
      </w:r>
      <w:r w:rsidR="00B32256" w:rsidRPr="0018524B">
        <w:rPr>
          <w:rFonts w:ascii="Times New Roman" w:hAnsi="Times New Roman" w:cs="Times New Roman"/>
          <w:sz w:val="24"/>
          <w:szCs w:val="24"/>
        </w:rPr>
        <w:t xml:space="preserve">dyrektywy 2015/849 zostały znowelizowane o identyczne sformułowanie odsyłające do przepisów rozporządzenia 910/2014 </w:t>
      </w:r>
      <w:r w:rsidR="00520EFA" w:rsidRPr="0018524B">
        <w:rPr>
          <w:rFonts w:ascii="Times New Roman" w:hAnsi="Times New Roman" w:cs="Times New Roman"/>
          <w:b/>
          <w:sz w:val="24"/>
          <w:szCs w:val="24"/>
        </w:rPr>
        <w:t>wyjaśnienia poczynione w odniesieniu</w:t>
      </w:r>
      <w:r w:rsidR="006027CA" w:rsidRPr="0018524B">
        <w:rPr>
          <w:rFonts w:ascii="Times New Roman" w:hAnsi="Times New Roman" w:cs="Times New Roman"/>
          <w:b/>
          <w:sz w:val="24"/>
          <w:szCs w:val="24"/>
        </w:rPr>
        <w:t xml:space="preserve"> do</w:t>
      </w:r>
      <w:r w:rsidR="00520EFA" w:rsidRPr="0018524B">
        <w:rPr>
          <w:rFonts w:ascii="Times New Roman" w:hAnsi="Times New Roman" w:cs="Times New Roman"/>
          <w:b/>
          <w:sz w:val="24"/>
          <w:szCs w:val="24"/>
        </w:rPr>
        <w:t xml:space="preserve"> zmian wprowadzanych do art. 37 ust. 1</w:t>
      </w:r>
      <w:r w:rsidR="00520EFA" w:rsidRPr="0018524B">
        <w:rPr>
          <w:rFonts w:ascii="Times New Roman" w:hAnsi="Times New Roman" w:cs="Times New Roman"/>
          <w:sz w:val="24"/>
          <w:szCs w:val="24"/>
        </w:rPr>
        <w:t xml:space="preserve"> ustawy o p.p.p.f.t. będą aktualne w stosunku do przepisów ustawy o p.p.p.f.t. implementujących</w:t>
      </w:r>
      <w:r w:rsidR="004F2A27" w:rsidRPr="0018524B">
        <w:rPr>
          <w:rFonts w:ascii="Times New Roman" w:hAnsi="Times New Roman" w:cs="Times New Roman"/>
          <w:sz w:val="24"/>
          <w:szCs w:val="24"/>
        </w:rPr>
        <w:t xml:space="preserve"> przepisy 4</w:t>
      </w:r>
      <w:r w:rsidR="00520EFA" w:rsidRPr="0018524B">
        <w:rPr>
          <w:rFonts w:ascii="Times New Roman" w:hAnsi="Times New Roman" w:cs="Times New Roman"/>
          <w:sz w:val="24"/>
          <w:szCs w:val="24"/>
        </w:rPr>
        <w:t xml:space="preserve">AMLD – </w:t>
      </w:r>
      <w:r w:rsidR="00520EFA" w:rsidRPr="0018524B">
        <w:rPr>
          <w:rFonts w:ascii="Times New Roman" w:hAnsi="Times New Roman" w:cs="Times New Roman"/>
          <w:b/>
          <w:sz w:val="24"/>
          <w:szCs w:val="24"/>
        </w:rPr>
        <w:t xml:space="preserve">odpowiednio art. 43 ust. 2 pkt 7, art. 47 ust. 1 oraz art. 49 ust. 1 pkt 1 ustawy o p.p.p.f.t. </w:t>
      </w:r>
    </w:p>
    <w:p w14:paraId="26E8922F" w14:textId="77777777" w:rsidR="00564B0D" w:rsidRDefault="00B21747" w:rsidP="007C6D48">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Zmiana redakcji </w:t>
      </w:r>
      <w:r w:rsidRPr="0018524B">
        <w:rPr>
          <w:rFonts w:ascii="Times New Roman" w:hAnsi="Times New Roman" w:cs="Times New Roman"/>
          <w:b/>
          <w:sz w:val="24"/>
          <w:szCs w:val="24"/>
        </w:rPr>
        <w:t>art. 36 ust. 2</w:t>
      </w:r>
      <w:r w:rsidRPr="0018524B">
        <w:rPr>
          <w:rFonts w:ascii="Times New Roman" w:hAnsi="Times New Roman" w:cs="Times New Roman"/>
          <w:sz w:val="24"/>
          <w:szCs w:val="24"/>
        </w:rPr>
        <w:t xml:space="preserve"> wynika z obserwacji dotychczasowych doświadczeń instytucji obowiązanych, z których wynika, iż w</w:t>
      </w:r>
      <w:r w:rsidR="0066402E" w:rsidRPr="0018524B">
        <w:rPr>
          <w:rFonts w:ascii="Times New Roman" w:hAnsi="Times New Roman" w:cs="Times New Roman"/>
          <w:sz w:val="24"/>
          <w:szCs w:val="24"/>
        </w:rPr>
        <w:t xml:space="preserve"> wielu przypadkach kontrola nad osobami prawnymi nawiązującymi stosunki gospodarcze z krajowymi instytucjami obowiązanymi sprawowana jest w sposób pośredni przez osoby fizyczne, w stosunku do których instytucj</w:t>
      </w:r>
      <w:r w:rsidR="0066171A" w:rsidRPr="0018524B">
        <w:rPr>
          <w:rFonts w:ascii="Times New Roman" w:hAnsi="Times New Roman" w:cs="Times New Roman"/>
          <w:sz w:val="24"/>
          <w:szCs w:val="24"/>
        </w:rPr>
        <w:t>e</w:t>
      </w:r>
      <w:r w:rsidR="0066402E" w:rsidRPr="0018524B">
        <w:rPr>
          <w:rFonts w:ascii="Times New Roman" w:hAnsi="Times New Roman" w:cs="Times New Roman"/>
          <w:sz w:val="24"/>
          <w:szCs w:val="24"/>
        </w:rPr>
        <w:t xml:space="preserve"> obowiązane nie </w:t>
      </w:r>
      <w:r w:rsidRPr="0018524B">
        <w:rPr>
          <w:rFonts w:ascii="Times New Roman" w:hAnsi="Times New Roman" w:cs="Times New Roman"/>
          <w:sz w:val="24"/>
          <w:szCs w:val="24"/>
        </w:rPr>
        <w:t xml:space="preserve">są </w:t>
      </w:r>
      <w:r w:rsidR="0066402E" w:rsidRPr="0018524B">
        <w:rPr>
          <w:rFonts w:ascii="Times New Roman" w:hAnsi="Times New Roman" w:cs="Times New Roman"/>
          <w:sz w:val="24"/>
          <w:szCs w:val="24"/>
        </w:rPr>
        <w:t xml:space="preserve">w stanie ustalić informacji o posiadanym przez nie obywatelstwie. Obecna redakcja art. 36 ust. 2 ustawy o p.p.p.f.t., bezwzględnie wymagająca ustalenia obywatelstwa beneficjenta rzeczywistego w takich przypadkach </w:t>
      </w:r>
      <w:r w:rsidRPr="0018524B">
        <w:rPr>
          <w:rFonts w:ascii="Times New Roman" w:hAnsi="Times New Roman" w:cs="Times New Roman"/>
          <w:sz w:val="24"/>
          <w:szCs w:val="24"/>
        </w:rPr>
        <w:t xml:space="preserve">znacznie utrudniała </w:t>
      </w:r>
      <w:r w:rsidR="0066402E" w:rsidRPr="0018524B">
        <w:rPr>
          <w:rFonts w:ascii="Times New Roman" w:hAnsi="Times New Roman" w:cs="Times New Roman"/>
          <w:sz w:val="24"/>
          <w:szCs w:val="24"/>
        </w:rPr>
        <w:t xml:space="preserve">prawidłowe zastosowanie przedmiotowego środka bezpieczeństwa finansowego. W związku </w:t>
      </w:r>
      <w:r w:rsidRPr="0018524B">
        <w:rPr>
          <w:rFonts w:ascii="Times New Roman" w:hAnsi="Times New Roman" w:cs="Times New Roman"/>
          <w:sz w:val="24"/>
          <w:szCs w:val="24"/>
        </w:rPr>
        <w:t>z</w:t>
      </w:r>
      <w:r w:rsidR="0066402E" w:rsidRPr="0018524B">
        <w:rPr>
          <w:rFonts w:ascii="Times New Roman" w:hAnsi="Times New Roman" w:cs="Times New Roman"/>
          <w:sz w:val="24"/>
          <w:szCs w:val="24"/>
        </w:rPr>
        <w:t xml:space="preserve"> </w:t>
      </w:r>
      <w:r w:rsidRPr="0018524B">
        <w:rPr>
          <w:rFonts w:ascii="Times New Roman" w:hAnsi="Times New Roman" w:cs="Times New Roman"/>
          <w:sz w:val="24"/>
          <w:szCs w:val="24"/>
        </w:rPr>
        <w:t xml:space="preserve">powyższym </w:t>
      </w:r>
      <w:r w:rsidR="0066402E" w:rsidRPr="0018524B">
        <w:rPr>
          <w:rFonts w:ascii="Times New Roman" w:hAnsi="Times New Roman" w:cs="Times New Roman"/>
          <w:sz w:val="24"/>
          <w:szCs w:val="24"/>
        </w:rPr>
        <w:t xml:space="preserve">uznano, że identyfikacja beneficjenta rzeczywistego obejmować będzie dane dotyczące jego obywatelstwa w przypadkach, w których instytucja obowiązana będzie w posiadaniu tego rodzaju informacji. </w:t>
      </w:r>
      <w:r w:rsidR="00564B0D">
        <w:rPr>
          <w:rFonts w:ascii="Times New Roman" w:hAnsi="Times New Roman" w:cs="Times New Roman"/>
          <w:sz w:val="24"/>
          <w:szCs w:val="24"/>
        </w:rPr>
        <w:lastRenderedPageBreak/>
        <w:t>Zakres danych identyfikacyjnych podlegających następnie obowiązkowi weryfikacji nie został określony w przepisach prawa europejskiego, a co za tym idzie wprowadzane ograniczenie zakresu danych beneficjentów rzeczywistych, podlegających obowiązkowej weryfikacji nie wpływa na zgodność przepisów projektu z wymogami wynikającymi z dyrektywy 2015/849.</w:t>
      </w:r>
      <w:r w:rsidR="00564B0D" w:rsidRPr="0018524B">
        <w:rPr>
          <w:rFonts w:ascii="Times New Roman" w:hAnsi="Times New Roman" w:cs="Times New Roman"/>
          <w:sz w:val="24"/>
          <w:szCs w:val="24"/>
        </w:rPr>
        <w:t xml:space="preserve"> </w:t>
      </w:r>
      <w:r w:rsidR="007F0292">
        <w:rPr>
          <w:rFonts w:ascii="Times New Roman" w:hAnsi="Times New Roman" w:cs="Times New Roman"/>
          <w:sz w:val="24"/>
          <w:szCs w:val="24"/>
        </w:rPr>
        <w:t xml:space="preserve">Zmiana redakcji art. 36 ust. 2 ustawy o p.p.p.f.t. </w:t>
      </w:r>
      <w:r w:rsidR="0058577C">
        <w:rPr>
          <w:rFonts w:ascii="Times New Roman" w:hAnsi="Times New Roman" w:cs="Times New Roman"/>
          <w:sz w:val="24"/>
          <w:szCs w:val="24"/>
        </w:rPr>
        <w:t xml:space="preserve">dotycząca zakresu danych zbieranych obligatoryjnie w przypadku beneficjenta rzeczywistego, mimo iż odnosi się do ust. 1 pkt 1 tego artykułu, </w:t>
      </w:r>
      <w:r w:rsidR="007F0292">
        <w:rPr>
          <w:rFonts w:ascii="Times New Roman" w:hAnsi="Times New Roman" w:cs="Times New Roman"/>
          <w:sz w:val="24"/>
          <w:szCs w:val="24"/>
        </w:rPr>
        <w:t xml:space="preserve">nie wiąże się z koniecznością wprowadzania zmian </w:t>
      </w:r>
      <w:r w:rsidR="0058577C">
        <w:rPr>
          <w:rFonts w:ascii="Times New Roman" w:hAnsi="Times New Roman" w:cs="Times New Roman"/>
          <w:sz w:val="24"/>
          <w:szCs w:val="24"/>
        </w:rPr>
        <w:t>w</w:t>
      </w:r>
      <w:r w:rsidR="007F0292">
        <w:rPr>
          <w:rFonts w:ascii="Times New Roman" w:hAnsi="Times New Roman" w:cs="Times New Roman"/>
          <w:sz w:val="24"/>
          <w:szCs w:val="24"/>
        </w:rPr>
        <w:t xml:space="preserve"> </w:t>
      </w:r>
      <w:r w:rsidR="0058577C">
        <w:rPr>
          <w:rFonts w:ascii="Times New Roman" w:hAnsi="Times New Roman" w:cs="Times New Roman"/>
          <w:sz w:val="24"/>
          <w:szCs w:val="24"/>
        </w:rPr>
        <w:t xml:space="preserve">tym przepisie (dotyczącym danych zbieranych w ramach identyfikacji tożsamości klienta będącego osobą fizyczną). </w:t>
      </w:r>
    </w:p>
    <w:p w14:paraId="574C0004" w14:textId="3235768C" w:rsidR="003A7A61" w:rsidRPr="0018524B" w:rsidRDefault="007C6D48" w:rsidP="007C6D48">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W</w:t>
      </w:r>
      <w:r w:rsidR="0058577C">
        <w:rPr>
          <w:rFonts w:ascii="Times New Roman" w:hAnsi="Times New Roman" w:cs="Times New Roman"/>
          <w:sz w:val="24"/>
          <w:szCs w:val="24"/>
        </w:rPr>
        <w:t> </w:t>
      </w:r>
      <w:r w:rsidRPr="0018524B">
        <w:rPr>
          <w:rFonts w:ascii="Times New Roman" w:hAnsi="Times New Roman" w:cs="Times New Roman"/>
          <w:b/>
          <w:sz w:val="24"/>
          <w:szCs w:val="24"/>
        </w:rPr>
        <w:t>art. 36 ust. 1 pkt 2 lit. d</w:t>
      </w:r>
      <w:r w:rsidRPr="0018524B">
        <w:rPr>
          <w:rFonts w:ascii="Times New Roman" w:hAnsi="Times New Roman" w:cs="Times New Roman"/>
          <w:sz w:val="24"/>
          <w:szCs w:val="24"/>
        </w:rPr>
        <w:t xml:space="preserve"> ustawy o p.p.p.f.t., wprowadza się zmianę polegającą na zamianie gromadzonych informacji o „</w:t>
      </w:r>
      <w:r w:rsidRPr="0018524B">
        <w:rPr>
          <w:rFonts w:ascii="Times New Roman" w:hAnsi="Times New Roman" w:cs="Times New Roman"/>
          <w:i/>
          <w:sz w:val="24"/>
          <w:szCs w:val="24"/>
        </w:rPr>
        <w:t>rejestrze handlowym</w:t>
      </w:r>
      <w:r w:rsidRPr="0018524B">
        <w:rPr>
          <w:rFonts w:ascii="Times New Roman" w:hAnsi="Times New Roman" w:cs="Times New Roman"/>
          <w:sz w:val="24"/>
          <w:szCs w:val="24"/>
        </w:rPr>
        <w:t>” na informacje o „</w:t>
      </w:r>
      <w:r w:rsidRPr="0018524B">
        <w:rPr>
          <w:rFonts w:ascii="Times New Roman" w:hAnsi="Times New Roman" w:cs="Times New Roman"/>
          <w:i/>
          <w:sz w:val="24"/>
          <w:szCs w:val="24"/>
        </w:rPr>
        <w:t>nazwie właściwego rejestru</w:t>
      </w:r>
      <w:r w:rsidRPr="0018524B">
        <w:rPr>
          <w:rFonts w:ascii="Times New Roman" w:hAnsi="Times New Roman" w:cs="Times New Roman"/>
          <w:sz w:val="24"/>
          <w:szCs w:val="24"/>
        </w:rPr>
        <w:t xml:space="preserve">”. Zmiana ta wynika z faktu, iż dotychczasowe brzmienie przepisu nie było wystarczająco precyzyjne. </w:t>
      </w:r>
    </w:p>
    <w:p w14:paraId="23849EBE" w14:textId="1F7AF5A5" w:rsidR="007A05A8" w:rsidRPr="0018524B" w:rsidRDefault="005B3DF4"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Uzupełnienie redakcji </w:t>
      </w:r>
      <w:r w:rsidRPr="0018524B">
        <w:rPr>
          <w:rFonts w:ascii="Times New Roman" w:hAnsi="Times New Roman" w:cs="Times New Roman"/>
          <w:b/>
          <w:sz w:val="24"/>
          <w:szCs w:val="24"/>
        </w:rPr>
        <w:t xml:space="preserve">art. 37 </w:t>
      </w:r>
      <w:r w:rsidR="00712E9F" w:rsidRPr="0018524B">
        <w:rPr>
          <w:rFonts w:ascii="Times New Roman" w:hAnsi="Times New Roman" w:cs="Times New Roman"/>
          <w:b/>
          <w:sz w:val="24"/>
          <w:szCs w:val="24"/>
        </w:rPr>
        <w:t>ustawy o p.p.p.f.t.</w:t>
      </w:r>
      <w:r w:rsidR="00712E9F" w:rsidRPr="0018524B">
        <w:rPr>
          <w:rFonts w:ascii="Times New Roman" w:hAnsi="Times New Roman" w:cs="Times New Roman"/>
          <w:sz w:val="24"/>
          <w:szCs w:val="24"/>
        </w:rPr>
        <w:t xml:space="preserve"> </w:t>
      </w:r>
      <w:r w:rsidRPr="0018524B">
        <w:rPr>
          <w:rFonts w:ascii="Times New Roman" w:hAnsi="Times New Roman" w:cs="Times New Roman"/>
          <w:sz w:val="24"/>
          <w:szCs w:val="24"/>
        </w:rPr>
        <w:t>o ustęp</w:t>
      </w:r>
      <w:r w:rsidR="00712E9F" w:rsidRPr="0018524B">
        <w:rPr>
          <w:rFonts w:ascii="Times New Roman" w:hAnsi="Times New Roman" w:cs="Times New Roman"/>
          <w:sz w:val="24"/>
          <w:szCs w:val="24"/>
        </w:rPr>
        <w:t xml:space="preserve"> drugi </w:t>
      </w:r>
      <w:r w:rsidRPr="0018524B">
        <w:rPr>
          <w:rFonts w:ascii="Times New Roman" w:hAnsi="Times New Roman" w:cs="Times New Roman"/>
          <w:sz w:val="24"/>
          <w:szCs w:val="24"/>
        </w:rPr>
        <w:t xml:space="preserve">wynika z konieczności transpozycji do krajowego porządku prawnego wymogów wynikających z </w:t>
      </w:r>
      <w:r w:rsidR="00712E9F" w:rsidRPr="0018524B">
        <w:rPr>
          <w:rFonts w:ascii="Times New Roman" w:hAnsi="Times New Roman" w:cs="Times New Roman"/>
          <w:sz w:val="24"/>
          <w:szCs w:val="24"/>
        </w:rPr>
        <w:t xml:space="preserve">art. 13 ust. 1 lit. b dyrektywy 2015/849 w brzmieniu nadanym przez art. 1 pkt 8 dyrektywy 2018/843. Zgodnie z definicją beneficjenta rzeczywistego, zawartą w art. 2 </w:t>
      </w:r>
      <w:r w:rsidR="00E05257" w:rsidRPr="0018524B">
        <w:rPr>
          <w:rFonts w:ascii="Times New Roman" w:hAnsi="Times New Roman" w:cs="Times New Roman"/>
          <w:sz w:val="24"/>
          <w:szCs w:val="24"/>
        </w:rPr>
        <w:t xml:space="preserve">ust. 2 </w:t>
      </w:r>
      <w:r w:rsidR="00712E9F" w:rsidRPr="0018524B">
        <w:rPr>
          <w:rFonts w:ascii="Times New Roman" w:hAnsi="Times New Roman" w:cs="Times New Roman"/>
          <w:sz w:val="24"/>
          <w:szCs w:val="24"/>
        </w:rPr>
        <w:t>pkt 1 lit. a tiret piąte ustawy o p.p.p.f.t., w przypadku braku możliwości identyfikacji, jako beneficjenta rzeczywistego</w:t>
      </w:r>
      <w:r w:rsidR="000426F4" w:rsidRPr="0018524B">
        <w:rPr>
          <w:rFonts w:ascii="Times New Roman" w:hAnsi="Times New Roman" w:cs="Times New Roman"/>
          <w:sz w:val="24"/>
          <w:szCs w:val="24"/>
        </w:rPr>
        <w:t xml:space="preserve"> osób wskazanych w innych jednostkach redakcyjnych art. 2 </w:t>
      </w:r>
      <w:r w:rsidR="00E05257" w:rsidRPr="0018524B">
        <w:rPr>
          <w:rFonts w:ascii="Times New Roman" w:hAnsi="Times New Roman" w:cs="Times New Roman"/>
          <w:sz w:val="24"/>
          <w:szCs w:val="24"/>
        </w:rPr>
        <w:t xml:space="preserve">ust. 2 </w:t>
      </w:r>
      <w:r w:rsidR="000426F4" w:rsidRPr="0018524B">
        <w:rPr>
          <w:rFonts w:ascii="Times New Roman" w:hAnsi="Times New Roman" w:cs="Times New Roman"/>
          <w:sz w:val="24"/>
          <w:szCs w:val="24"/>
        </w:rPr>
        <w:t xml:space="preserve">pkt 1 ustawy o p.p.p.f.t. oraz </w:t>
      </w:r>
      <w:r w:rsidR="005D6E60" w:rsidRPr="0018524B">
        <w:rPr>
          <w:rFonts w:ascii="Times New Roman" w:hAnsi="Times New Roman" w:cs="Times New Roman"/>
          <w:sz w:val="24"/>
          <w:szCs w:val="24"/>
        </w:rPr>
        <w:t xml:space="preserve">niestwierdzenia podejrzeń </w:t>
      </w:r>
      <w:r w:rsidR="000426F4" w:rsidRPr="0018524B">
        <w:rPr>
          <w:rFonts w:ascii="Times New Roman" w:hAnsi="Times New Roman" w:cs="Times New Roman"/>
          <w:sz w:val="24"/>
          <w:szCs w:val="24"/>
        </w:rPr>
        <w:t>prania pieniędzy lub finansowania terroryzmu</w:t>
      </w:r>
      <w:r w:rsidR="00E05257" w:rsidRPr="0018524B">
        <w:rPr>
          <w:rFonts w:ascii="Times New Roman" w:hAnsi="Times New Roman" w:cs="Times New Roman"/>
          <w:sz w:val="24"/>
          <w:szCs w:val="24"/>
        </w:rPr>
        <w:t>,</w:t>
      </w:r>
      <w:r w:rsidR="000426F4" w:rsidRPr="0018524B">
        <w:rPr>
          <w:rFonts w:ascii="Times New Roman" w:hAnsi="Times New Roman" w:cs="Times New Roman"/>
          <w:sz w:val="24"/>
          <w:szCs w:val="24"/>
        </w:rPr>
        <w:t xml:space="preserve"> instytucja obowiązana jako beneficjenta rzeczywistego identyfikuje osobę zajmującą wyższe stanowisko kierownicze.</w:t>
      </w:r>
      <w:r w:rsidR="005F6400" w:rsidRPr="0018524B">
        <w:rPr>
          <w:rFonts w:ascii="Times New Roman" w:hAnsi="Times New Roman" w:cs="Times New Roman"/>
          <w:sz w:val="24"/>
          <w:szCs w:val="24"/>
        </w:rPr>
        <w:t xml:space="preserve"> </w:t>
      </w:r>
      <w:r w:rsidR="00E336D4" w:rsidRPr="0018524B">
        <w:rPr>
          <w:rFonts w:ascii="Times New Roman" w:hAnsi="Times New Roman" w:cs="Times New Roman"/>
          <w:sz w:val="24"/>
          <w:szCs w:val="24"/>
        </w:rPr>
        <w:t>Ze względu na fakt, że identyfikacja jako beneficjenta rzeczywistego osoby zajmującej wyższe stanowisko kierownicze powinna nastąpić w ostateczności, w przypadku braku możliwości identyfikacji innych osób</w:t>
      </w:r>
      <w:r w:rsidR="00A7577C" w:rsidRPr="0018524B">
        <w:rPr>
          <w:rFonts w:ascii="Times New Roman" w:hAnsi="Times New Roman" w:cs="Times New Roman"/>
          <w:sz w:val="24"/>
          <w:szCs w:val="24"/>
        </w:rPr>
        <w:t>,</w:t>
      </w:r>
      <w:r w:rsidR="00E336D4" w:rsidRPr="0018524B">
        <w:rPr>
          <w:rFonts w:ascii="Times New Roman" w:hAnsi="Times New Roman" w:cs="Times New Roman"/>
          <w:sz w:val="24"/>
          <w:szCs w:val="24"/>
        </w:rPr>
        <w:t xml:space="preserve"> </w:t>
      </w:r>
      <w:r w:rsidR="005F6400" w:rsidRPr="0018524B">
        <w:rPr>
          <w:rFonts w:ascii="Times New Roman" w:hAnsi="Times New Roman" w:cs="Times New Roman"/>
          <w:sz w:val="24"/>
          <w:szCs w:val="24"/>
        </w:rPr>
        <w:t xml:space="preserve">w art. 37 ust. 2 ustawy o p.p.p.f.t </w:t>
      </w:r>
      <w:r w:rsidR="00E336D4" w:rsidRPr="0018524B">
        <w:rPr>
          <w:rFonts w:ascii="Times New Roman" w:hAnsi="Times New Roman" w:cs="Times New Roman"/>
          <w:sz w:val="24"/>
          <w:szCs w:val="24"/>
        </w:rPr>
        <w:t xml:space="preserve">na instytucje obowiązane nałożony został obowiązek udokumentowania </w:t>
      </w:r>
      <w:r w:rsidR="00A7577C" w:rsidRPr="0018524B">
        <w:rPr>
          <w:rFonts w:ascii="Times New Roman" w:hAnsi="Times New Roman" w:cs="Times New Roman"/>
          <w:sz w:val="24"/>
          <w:szCs w:val="24"/>
        </w:rPr>
        <w:t>wszelkich utrudnień powodujących brak możliwości ustalenia lub wątpliwości co do tożsamości osób fizycznych określonych w tiret pierwsze, drugie, trzecie i czwarte art. 2 ust. 2 pkt 1 lit. a. Jednocześnie przewidziano obowiązek udokumentowania wszelkich utrudnień związanych z uzasadnionymi czynnościami</w:t>
      </w:r>
      <w:r w:rsidR="00C6045B">
        <w:rPr>
          <w:rFonts w:ascii="Times New Roman" w:hAnsi="Times New Roman" w:cs="Times New Roman"/>
          <w:sz w:val="24"/>
          <w:szCs w:val="24"/>
        </w:rPr>
        <w:t xml:space="preserve"> </w:t>
      </w:r>
      <w:r w:rsidR="00A7577C" w:rsidRPr="0018524B">
        <w:rPr>
          <w:rFonts w:ascii="Times New Roman" w:hAnsi="Times New Roman" w:cs="Times New Roman"/>
          <w:sz w:val="24"/>
          <w:szCs w:val="24"/>
        </w:rPr>
        <w:t xml:space="preserve">podejmowanymi przez instytucje obowiązane w celu weryfikacji tożsamości beneficjenta rzeczywistego. </w:t>
      </w:r>
      <w:r w:rsidR="0066171A" w:rsidRPr="0018524B">
        <w:rPr>
          <w:rFonts w:ascii="Times New Roman" w:hAnsi="Times New Roman" w:cs="Times New Roman"/>
          <w:sz w:val="24"/>
          <w:szCs w:val="24"/>
        </w:rPr>
        <w:t>O</w:t>
      </w:r>
      <w:r w:rsidR="006E5374" w:rsidRPr="0018524B">
        <w:rPr>
          <w:rFonts w:ascii="Times New Roman" w:hAnsi="Times New Roman" w:cs="Times New Roman"/>
          <w:sz w:val="24"/>
          <w:szCs w:val="24"/>
        </w:rPr>
        <w:t>bowiązek udokumentowania czynności podjętych w celu weryfikacji tożsamości osob</w:t>
      </w:r>
      <w:r w:rsidR="00D30FD8" w:rsidRPr="0018524B">
        <w:rPr>
          <w:rFonts w:ascii="Times New Roman" w:hAnsi="Times New Roman" w:cs="Times New Roman"/>
          <w:sz w:val="24"/>
          <w:szCs w:val="24"/>
        </w:rPr>
        <w:t>y</w:t>
      </w:r>
      <w:r w:rsidR="006E5374" w:rsidRPr="0018524B">
        <w:rPr>
          <w:rFonts w:ascii="Times New Roman" w:hAnsi="Times New Roman" w:cs="Times New Roman"/>
          <w:sz w:val="24"/>
          <w:szCs w:val="24"/>
        </w:rPr>
        <w:t xml:space="preserve"> zajmując</w:t>
      </w:r>
      <w:r w:rsidR="00D30FD8" w:rsidRPr="0018524B">
        <w:rPr>
          <w:rFonts w:ascii="Times New Roman" w:hAnsi="Times New Roman" w:cs="Times New Roman"/>
          <w:sz w:val="24"/>
          <w:szCs w:val="24"/>
        </w:rPr>
        <w:t>ej</w:t>
      </w:r>
      <w:r w:rsidR="006E5374" w:rsidRPr="0018524B">
        <w:rPr>
          <w:rFonts w:ascii="Times New Roman" w:hAnsi="Times New Roman" w:cs="Times New Roman"/>
          <w:sz w:val="24"/>
          <w:szCs w:val="24"/>
        </w:rPr>
        <w:t xml:space="preserve"> wyższe stanowisko kierownicze, jako beneficjenta rzeczywistego</w:t>
      </w:r>
      <w:r w:rsidR="00B403F5" w:rsidRPr="0018524B">
        <w:rPr>
          <w:rFonts w:ascii="Times New Roman" w:hAnsi="Times New Roman" w:cs="Times New Roman"/>
          <w:sz w:val="24"/>
          <w:szCs w:val="24"/>
        </w:rPr>
        <w:t>,</w:t>
      </w:r>
      <w:r w:rsidR="006E5374" w:rsidRPr="0018524B">
        <w:rPr>
          <w:rFonts w:ascii="Times New Roman" w:hAnsi="Times New Roman" w:cs="Times New Roman"/>
          <w:sz w:val="24"/>
          <w:szCs w:val="24"/>
        </w:rPr>
        <w:t xml:space="preserve"> </w:t>
      </w:r>
      <w:r w:rsidR="0066171A" w:rsidRPr="0018524B">
        <w:rPr>
          <w:rFonts w:ascii="Times New Roman" w:hAnsi="Times New Roman" w:cs="Times New Roman"/>
          <w:sz w:val="24"/>
          <w:szCs w:val="24"/>
        </w:rPr>
        <w:t xml:space="preserve">co do zasady </w:t>
      </w:r>
      <w:r w:rsidR="006E5374" w:rsidRPr="0018524B">
        <w:rPr>
          <w:rFonts w:ascii="Times New Roman" w:hAnsi="Times New Roman" w:cs="Times New Roman"/>
          <w:sz w:val="24"/>
          <w:szCs w:val="24"/>
        </w:rPr>
        <w:t xml:space="preserve">wynika z dyspozycji art. </w:t>
      </w:r>
      <w:r w:rsidR="00B403F5" w:rsidRPr="0018524B">
        <w:rPr>
          <w:rFonts w:ascii="Times New Roman" w:hAnsi="Times New Roman" w:cs="Times New Roman"/>
          <w:sz w:val="24"/>
          <w:szCs w:val="24"/>
        </w:rPr>
        <w:t xml:space="preserve">34 </w:t>
      </w:r>
      <w:r w:rsidR="006E5374" w:rsidRPr="0018524B">
        <w:rPr>
          <w:rFonts w:ascii="Times New Roman" w:hAnsi="Times New Roman" w:cs="Times New Roman"/>
          <w:sz w:val="24"/>
          <w:szCs w:val="24"/>
        </w:rPr>
        <w:t>ust. 3 ustawy o p.p.p.f.t., nakazującego instytucjom obowiązanym udokumentowanie zastosowanych środków bezpieczeństwa finansowego</w:t>
      </w:r>
      <w:r w:rsidR="00B403F5" w:rsidRPr="0018524B">
        <w:rPr>
          <w:rFonts w:ascii="Times New Roman" w:hAnsi="Times New Roman" w:cs="Times New Roman"/>
          <w:sz w:val="24"/>
          <w:szCs w:val="24"/>
        </w:rPr>
        <w:t>.</w:t>
      </w:r>
      <w:r w:rsidR="006E5374" w:rsidRPr="0018524B">
        <w:rPr>
          <w:rFonts w:ascii="Times New Roman" w:hAnsi="Times New Roman" w:cs="Times New Roman"/>
          <w:sz w:val="24"/>
          <w:szCs w:val="24"/>
        </w:rPr>
        <w:t xml:space="preserve"> </w:t>
      </w:r>
      <w:r w:rsidR="00B403F5" w:rsidRPr="0018524B">
        <w:rPr>
          <w:rFonts w:ascii="Times New Roman" w:hAnsi="Times New Roman" w:cs="Times New Roman"/>
          <w:sz w:val="24"/>
          <w:szCs w:val="24"/>
        </w:rPr>
        <w:t>N</w:t>
      </w:r>
      <w:r w:rsidR="006E5374" w:rsidRPr="0018524B">
        <w:rPr>
          <w:rFonts w:ascii="Times New Roman" w:hAnsi="Times New Roman" w:cs="Times New Roman"/>
          <w:sz w:val="24"/>
          <w:szCs w:val="24"/>
        </w:rPr>
        <w:t>iemniej w celu zapewnieni</w:t>
      </w:r>
      <w:r w:rsidR="00146914" w:rsidRPr="0018524B">
        <w:rPr>
          <w:rFonts w:ascii="Times New Roman" w:hAnsi="Times New Roman" w:cs="Times New Roman"/>
          <w:sz w:val="24"/>
          <w:szCs w:val="24"/>
        </w:rPr>
        <w:t>a</w:t>
      </w:r>
      <w:r w:rsidR="006E5374" w:rsidRPr="0018524B">
        <w:rPr>
          <w:rFonts w:ascii="Times New Roman" w:hAnsi="Times New Roman" w:cs="Times New Roman"/>
          <w:sz w:val="24"/>
          <w:szCs w:val="24"/>
        </w:rPr>
        <w:t xml:space="preserve"> prawidłowej implementacji przepisów 4AMLD</w:t>
      </w:r>
      <w:r w:rsidR="00B403F5" w:rsidRPr="0018524B">
        <w:rPr>
          <w:rFonts w:ascii="Times New Roman" w:hAnsi="Times New Roman" w:cs="Times New Roman"/>
          <w:sz w:val="24"/>
          <w:szCs w:val="24"/>
        </w:rPr>
        <w:t>,</w:t>
      </w:r>
      <w:r w:rsidR="006E5374" w:rsidRPr="0018524B">
        <w:rPr>
          <w:rFonts w:ascii="Times New Roman" w:hAnsi="Times New Roman" w:cs="Times New Roman"/>
          <w:sz w:val="24"/>
          <w:szCs w:val="24"/>
        </w:rPr>
        <w:t xml:space="preserve"> </w:t>
      </w:r>
      <w:r w:rsidR="00A7577C" w:rsidRPr="0018524B">
        <w:rPr>
          <w:rFonts w:ascii="Times New Roman" w:hAnsi="Times New Roman" w:cs="Times New Roman"/>
          <w:sz w:val="24"/>
          <w:szCs w:val="24"/>
        </w:rPr>
        <w:t>w art. 37 ust. 2 został wyartykułowany wprost</w:t>
      </w:r>
      <w:r w:rsidR="00A7577C" w:rsidRPr="0018524B" w:rsidDel="00A7577C">
        <w:rPr>
          <w:rFonts w:ascii="Times New Roman" w:hAnsi="Times New Roman" w:cs="Times New Roman"/>
          <w:sz w:val="24"/>
          <w:szCs w:val="24"/>
        </w:rPr>
        <w:t xml:space="preserve"> </w:t>
      </w:r>
      <w:r w:rsidR="00B403F5" w:rsidRPr="0018524B">
        <w:rPr>
          <w:rFonts w:ascii="Times New Roman" w:hAnsi="Times New Roman" w:cs="Times New Roman"/>
          <w:sz w:val="24"/>
          <w:szCs w:val="24"/>
        </w:rPr>
        <w:t>obowiązek udokumentowania</w:t>
      </w:r>
      <w:r w:rsidR="00C6045B">
        <w:rPr>
          <w:rFonts w:ascii="Times New Roman" w:hAnsi="Times New Roman" w:cs="Times New Roman"/>
          <w:sz w:val="24"/>
          <w:szCs w:val="24"/>
        </w:rPr>
        <w:t xml:space="preserve"> </w:t>
      </w:r>
      <w:r w:rsidR="00A7577C" w:rsidRPr="0018524B">
        <w:rPr>
          <w:rFonts w:ascii="Times New Roman" w:hAnsi="Times New Roman" w:cs="Times New Roman"/>
          <w:sz w:val="24"/>
          <w:szCs w:val="24"/>
        </w:rPr>
        <w:t xml:space="preserve">utrudnień </w:t>
      </w:r>
      <w:r w:rsidR="00A7577C" w:rsidRPr="0018524B">
        <w:rPr>
          <w:rFonts w:ascii="Times New Roman" w:hAnsi="Times New Roman" w:cs="Times New Roman"/>
          <w:sz w:val="24"/>
          <w:szCs w:val="24"/>
        </w:rPr>
        <w:lastRenderedPageBreak/>
        <w:t>występujących w związku z</w:t>
      </w:r>
      <w:r w:rsidR="006E5374" w:rsidRPr="0018524B">
        <w:rPr>
          <w:rFonts w:ascii="Times New Roman" w:hAnsi="Times New Roman" w:cs="Times New Roman"/>
          <w:sz w:val="24"/>
          <w:szCs w:val="24"/>
        </w:rPr>
        <w:t xml:space="preserve"> </w:t>
      </w:r>
      <w:r w:rsidR="00A7577C" w:rsidRPr="0018524B">
        <w:rPr>
          <w:rFonts w:ascii="Times New Roman" w:hAnsi="Times New Roman" w:cs="Times New Roman"/>
          <w:sz w:val="24"/>
          <w:szCs w:val="24"/>
        </w:rPr>
        <w:t>weryfikacją tożsamości beneficjenta rzeczywistego</w:t>
      </w:r>
      <w:r w:rsidR="006E5374" w:rsidRPr="0018524B">
        <w:rPr>
          <w:rFonts w:ascii="Times New Roman" w:hAnsi="Times New Roman" w:cs="Times New Roman"/>
          <w:sz w:val="24"/>
          <w:szCs w:val="24"/>
        </w:rPr>
        <w:t xml:space="preserve">. </w:t>
      </w:r>
      <w:r w:rsidR="00DA0B3E" w:rsidRPr="0018524B">
        <w:rPr>
          <w:rFonts w:ascii="Times New Roman" w:hAnsi="Times New Roman" w:cs="Times New Roman"/>
          <w:sz w:val="24"/>
          <w:szCs w:val="24"/>
        </w:rPr>
        <w:t xml:space="preserve">Zauważyć należy, iż art. 13 ust. 1 lit. b </w:t>
      </w:r>
      <w:r w:rsidR="00832446" w:rsidRPr="0018524B">
        <w:rPr>
          <w:rFonts w:ascii="Times New Roman" w:hAnsi="Times New Roman" w:cs="Times New Roman"/>
          <w:sz w:val="24"/>
          <w:szCs w:val="24"/>
        </w:rPr>
        <w:t>dyrektyw</w:t>
      </w:r>
      <w:r w:rsidR="00DA0B3E" w:rsidRPr="0018524B">
        <w:rPr>
          <w:rFonts w:ascii="Times New Roman" w:hAnsi="Times New Roman" w:cs="Times New Roman"/>
          <w:sz w:val="24"/>
          <w:szCs w:val="24"/>
        </w:rPr>
        <w:t xml:space="preserve">y 2015/849 w brzmieniu nadanym przez </w:t>
      </w:r>
      <w:r w:rsidR="00832446" w:rsidRPr="0018524B">
        <w:rPr>
          <w:rFonts w:ascii="Times New Roman" w:hAnsi="Times New Roman" w:cs="Times New Roman"/>
          <w:sz w:val="24"/>
          <w:szCs w:val="24"/>
        </w:rPr>
        <w:t>dyrektyw</w:t>
      </w:r>
      <w:r w:rsidR="00DA0B3E" w:rsidRPr="0018524B">
        <w:rPr>
          <w:rFonts w:ascii="Times New Roman" w:hAnsi="Times New Roman" w:cs="Times New Roman"/>
          <w:sz w:val="24"/>
          <w:szCs w:val="24"/>
        </w:rPr>
        <w:t xml:space="preserve">ę 2018/843, </w:t>
      </w:r>
      <w:r w:rsidR="00882825" w:rsidRPr="0018524B">
        <w:rPr>
          <w:rFonts w:ascii="Times New Roman" w:hAnsi="Times New Roman" w:cs="Times New Roman"/>
          <w:sz w:val="24"/>
          <w:szCs w:val="24"/>
        </w:rPr>
        <w:t xml:space="preserve">wskazując na obowiązki państw członkowskich, </w:t>
      </w:r>
      <w:r w:rsidR="00DA0B3E" w:rsidRPr="0018524B">
        <w:rPr>
          <w:rFonts w:ascii="Times New Roman" w:hAnsi="Times New Roman" w:cs="Times New Roman"/>
          <w:sz w:val="24"/>
          <w:szCs w:val="24"/>
        </w:rPr>
        <w:t>posługuje się zwrotem ”</w:t>
      </w:r>
      <w:r w:rsidR="00DA0B3E" w:rsidRPr="0018524B">
        <w:rPr>
          <w:rFonts w:ascii="Times New Roman" w:hAnsi="Times New Roman" w:cs="Times New Roman"/>
          <w:i/>
          <w:sz w:val="24"/>
          <w:szCs w:val="24"/>
        </w:rPr>
        <w:t>prowadzą rejestry podejmowanych działań</w:t>
      </w:r>
      <w:r w:rsidR="00DA0B3E" w:rsidRPr="0018524B">
        <w:rPr>
          <w:rFonts w:ascii="Times New Roman" w:hAnsi="Times New Roman" w:cs="Times New Roman"/>
          <w:sz w:val="24"/>
          <w:szCs w:val="24"/>
        </w:rPr>
        <w:t>”</w:t>
      </w:r>
      <w:r w:rsidR="00882825" w:rsidRPr="0018524B">
        <w:rPr>
          <w:rFonts w:ascii="Times New Roman" w:hAnsi="Times New Roman" w:cs="Times New Roman"/>
          <w:sz w:val="24"/>
          <w:szCs w:val="24"/>
        </w:rPr>
        <w:t xml:space="preserve">. W polskim porządku prawnym rejestry stanowią co do zasady sformalizowane, uregulowane odrębnymi przepisami zbiory danych. Anglojęzyczna wersja </w:t>
      </w:r>
      <w:r w:rsidR="00832446" w:rsidRPr="0018524B">
        <w:rPr>
          <w:rFonts w:ascii="Times New Roman" w:hAnsi="Times New Roman" w:cs="Times New Roman"/>
          <w:sz w:val="24"/>
          <w:szCs w:val="24"/>
        </w:rPr>
        <w:t>dyrektyw</w:t>
      </w:r>
      <w:r w:rsidR="00882825" w:rsidRPr="0018524B">
        <w:rPr>
          <w:rFonts w:ascii="Times New Roman" w:hAnsi="Times New Roman" w:cs="Times New Roman"/>
          <w:sz w:val="24"/>
          <w:szCs w:val="24"/>
        </w:rPr>
        <w:t>y 2015/849 posługuje się zwrotem „</w:t>
      </w:r>
      <w:r w:rsidR="00882825" w:rsidRPr="0018524B">
        <w:rPr>
          <w:rFonts w:ascii="Times New Roman" w:hAnsi="Times New Roman" w:cs="Times New Roman"/>
          <w:i/>
          <w:sz w:val="24"/>
          <w:szCs w:val="24"/>
        </w:rPr>
        <w:t>shall keep records of the actions</w:t>
      </w:r>
      <w:r w:rsidR="00882825" w:rsidRPr="0018524B">
        <w:rPr>
          <w:rFonts w:ascii="Times New Roman" w:hAnsi="Times New Roman" w:cs="Times New Roman"/>
          <w:sz w:val="24"/>
          <w:szCs w:val="24"/>
        </w:rPr>
        <w:t xml:space="preserve">”, co może być tłumaczone jako prowadzenie rejestrów działań. </w:t>
      </w:r>
      <w:r w:rsidR="0066171A" w:rsidRPr="0018524B">
        <w:rPr>
          <w:rFonts w:ascii="Times New Roman" w:hAnsi="Times New Roman" w:cs="Times New Roman"/>
          <w:sz w:val="24"/>
          <w:szCs w:val="24"/>
        </w:rPr>
        <w:t>Uznać</w:t>
      </w:r>
      <w:r w:rsidR="00C6045B">
        <w:rPr>
          <w:rFonts w:ascii="Times New Roman" w:hAnsi="Times New Roman" w:cs="Times New Roman"/>
          <w:sz w:val="24"/>
          <w:szCs w:val="24"/>
        </w:rPr>
        <w:t xml:space="preserve"> </w:t>
      </w:r>
      <w:r w:rsidR="00882825" w:rsidRPr="0018524B">
        <w:rPr>
          <w:rFonts w:ascii="Times New Roman" w:hAnsi="Times New Roman" w:cs="Times New Roman"/>
          <w:sz w:val="24"/>
          <w:szCs w:val="24"/>
        </w:rPr>
        <w:t>jednak</w:t>
      </w:r>
      <w:r w:rsidR="0066171A" w:rsidRPr="0018524B">
        <w:rPr>
          <w:rFonts w:ascii="Times New Roman" w:hAnsi="Times New Roman" w:cs="Times New Roman"/>
          <w:sz w:val="24"/>
          <w:szCs w:val="24"/>
        </w:rPr>
        <w:t xml:space="preserve"> należy</w:t>
      </w:r>
      <w:r w:rsidR="00882825" w:rsidRPr="0018524B">
        <w:rPr>
          <w:rFonts w:ascii="Times New Roman" w:hAnsi="Times New Roman" w:cs="Times New Roman"/>
          <w:sz w:val="24"/>
          <w:szCs w:val="24"/>
        </w:rPr>
        <w:t xml:space="preserve">, iż dopuszczalna w tym kontekście jest również wersja tłumaczenia wskazująca na obowiązek </w:t>
      </w:r>
      <w:r w:rsidR="007A741A" w:rsidRPr="0018524B">
        <w:rPr>
          <w:rFonts w:ascii="Times New Roman" w:hAnsi="Times New Roman" w:cs="Times New Roman"/>
          <w:sz w:val="24"/>
          <w:szCs w:val="24"/>
        </w:rPr>
        <w:t>„</w:t>
      </w:r>
      <w:r w:rsidR="00882825" w:rsidRPr="0018524B">
        <w:rPr>
          <w:rFonts w:ascii="Times New Roman" w:hAnsi="Times New Roman" w:cs="Times New Roman"/>
          <w:i/>
          <w:sz w:val="24"/>
          <w:szCs w:val="24"/>
        </w:rPr>
        <w:t>dokumentowania działań</w:t>
      </w:r>
      <w:r w:rsidR="007A741A" w:rsidRPr="0018524B">
        <w:rPr>
          <w:rFonts w:ascii="Times New Roman" w:hAnsi="Times New Roman" w:cs="Times New Roman"/>
          <w:sz w:val="24"/>
          <w:szCs w:val="24"/>
        </w:rPr>
        <w:t>”</w:t>
      </w:r>
      <w:r w:rsidR="00882825" w:rsidRPr="0018524B">
        <w:rPr>
          <w:rFonts w:ascii="Times New Roman" w:hAnsi="Times New Roman" w:cs="Times New Roman"/>
          <w:sz w:val="24"/>
          <w:szCs w:val="24"/>
        </w:rPr>
        <w:t>, na co wskazuje znaczenie zwrotu „</w:t>
      </w:r>
      <w:r w:rsidR="007A741A" w:rsidRPr="0018524B">
        <w:rPr>
          <w:rFonts w:ascii="Times New Roman" w:hAnsi="Times New Roman" w:cs="Times New Roman"/>
          <w:i/>
          <w:sz w:val="24"/>
          <w:szCs w:val="24"/>
        </w:rPr>
        <w:t>records</w:t>
      </w:r>
      <w:r w:rsidR="00882825" w:rsidRPr="0018524B">
        <w:rPr>
          <w:rFonts w:ascii="Times New Roman" w:hAnsi="Times New Roman" w:cs="Times New Roman"/>
          <w:sz w:val="24"/>
          <w:szCs w:val="24"/>
        </w:rPr>
        <w:t>”</w:t>
      </w:r>
      <w:r w:rsidR="007A741A" w:rsidRPr="0018524B">
        <w:rPr>
          <w:rFonts w:ascii="Times New Roman" w:hAnsi="Times New Roman" w:cs="Times New Roman"/>
          <w:sz w:val="24"/>
          <w:szCs w:val="24"/>
        </w:rPr>
        <w:t xml:space="preserve">. Tłumaczenie odnoszące się do dokumentowania działań zdaje się również lepiej oddawać potrzebę odnotowywania stwierdzonych przez instytucje obowiązane trudności, co w przypadku wprowadzenia osobnych rejestrów zdaje się być zbyt daleko idące i nakładające obowiązki nie mające oparcia w </w:t>
      </w:r>
      <w:r w:rsidR="00832446" w:rsidRPr="0018524B">
        <w:rPr>
          <w:rFonts w:ascii="Times New Roman" w:hAnsi="Times New Roman" w:cs="Times New Roman"/>
          <w:sz w:val="24"/>
          <w:szCs w:val="24"/>
        </w:rPr>
        <w:t>dyrektyw</w:t>
      </w:r>
      <w:r w:rsidR="007A741A" w:rsidRPr="0018524B">
        <w:rPr>
          <w:rFonts w:ascii="Times New Roman" w:hAnsi="Times New Roman" w:cs="Times New Roman"/>
          <w:sz w:val="24"/>
          <w:szCs w:val="24"/>
        </w:rPr>
        <w:t>ie 2015/849.</w:t>
      </w:r>
      <w:r w:rsidR="009C207B" w:rsidRPr="0018524B">
        <w:rPr>
          <w:rFonts w:ascii="Times New Roman" w:hAnsi="Times New Roman" w:cs="Times New Roman"/>
          <w:sz w:val="24"/>
          <w:szCs w:val="24"/>
        </w:rPr>
        <w:t xml:space="preserve"> </w:t>
      </w:r>
    </w:p>
    <w:p w14:paraId="123AA806" w14:textId="532BA40E" w:rsidR="00123FE5" w:rsidRPr="0018524B" w:rsidRDefault="00123FE5" w:rsidP="00123FE5">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Dodanie do art. 37 ustępu </w:t>
      </w:r>
      <w:r w:rsidR="00A7577C" w:rsidRPr="0018524B">
        <w:rPr>
          <w:rFonts w:ascii="Times New Roman" w:hAnsi="Times New Roman" w:cs="Times New Roman"/>
          <w:sz w:val="24"/>
          <w:szCs w:val="24"/>
        </w:rPr>
        <w:t xml:space="preserve">trzeciego </w:t>
      </w:r>
      <w:r w:rsidRPr="0018524B">
        <w:rPr>
          <w:rFonts w:ascii="Times New Roman" w:hAnsi="Times New Roman" w:cs="Times New Roman"/>
          <w:sz w:val="24"/>
          <w:szCs w:val="24"/>
        </w:rPr>
        <w:t>ma na celu wdrożenie do krajowego porządku prawnego regulacji art. 30 ust. 8 dyrektywy, zgodnie z którą instytucja obowiązana stosując wobec swojego klienta środek bezpieczeństwa finansowego, o którym mowa w art. 34 ust. 1 pkt 2 ustawy o p.p.p.f.t. nie może bazować wyłącznie na informacjach zawartych w Centralnym Rejestrze Beneficjentów Rzeczywistych lub odpowiednim rejestrze prowadzonym w innym państwie członkowskim. Identyfikacja beneficjenta rzeczywistego powinna nastąpić zgodnie z wynikającym z art. 33 ustawy o p.p.p.f.t. podejściem opartym o ocenę ryzyka.</w:t>
      </w:r>
      <w:r w:rsidR="00C6045B">
        <w:rPr>
          <w:rFonts w:ascii="Times New Roman" w:hAnsi="Times New Roman" w:cs="Times New Roman"/>
          <w:sz w:val="24"/>
          <w:szCs w:val="24"/>
        </w:rPr>
        <w:t xml:space="preserve"> </w:t>
      </w:r>
    </w:p>
    <w:p w14:paraId="31CA938D" w14:textId="2D112646" w:rsidR="006C4F0B" w:rsidRPr="00D7625A" w:rsidRDefault="00870BAE" w:rsidP="00123FE5">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Zmiana redakcji </w:t>
      </w:r>
      <w:r w:rsidRPr="0018524B">
        <w:rPr>
          <w:rFonts w:ascii="Times New Roman" w:hAnsi="Times New Roman" w:cs="Times New Roman"/>
          <w:b/>
          <w:sz w:val="24"/>
          <w:szCs w:val="24"/>
        </w:rPr>
        <w:t>art. 38 ust. 2 pkt 1 i 2 ustawy o p.p.p.f.t.</w:t>
      </w:r>
      <w:r w:rsidRPr="0018524B">
        <w:rPr>
          <w:rFonts w:ascii="Times New Roman" w:hAnsi="Times New Roman" w:cs="Times New Roman"/>
          <w:sz w:val="24"/>
          <w:szCs w:val="24"/>
        </w:rPr>
        <w:t xml:space="preserve"> wynika z nowelizacji art. 12 ust. 1 lit. a i b</w:t>
      </w:r>
      <w:r w:rsidR="00146914" w:rsidRPr="0018524B">
        <w:rPr>
          <w:rFonts w:ascii="Times New Roman" w:hAnsi="Times New Roman" w:cs="Times New Roman"/>
          <w:sz w:val="24"/>
          <w:szCs w:val="24"/>
        </w:rPr>
        <w:t xml:space="preserve"> dyrektywy 2015/849</w:t>
      </w:r>
      <w:r w:rsidRPr="0018524B">
        <w:rPr>
          <w:rFonts w:ascii="Times New Roman" w:hAnsi="Times New Roman" w:cs="Times New Roman"/>
          <w:sz w:val="24"/>
          <w:szCs w:val="24"/>
        </w:rPr>
        <w:t>.</w:t>
      </w:r>
      <w:r w:rsidR="00D3631E" w:rsidRPr="0018524B">
        <w:rPr>
          <w:rFonts w:ascii="Times New Roman" w:hAnsi="Times New Roman" w:cs="Times New Roman"/>
          <w:sz w:val="24"/>
          <w:szCs w:val="24"/>
        </w:rPr>
        <w:t xml:space="preserve"> Obecnie warunki pozwalające na odstąpienie od stosowania środków bezpieczeństwa finansowego w odniesieniu do pieniądza e</w:t>
      </w:r>
      <w:r w:rsidR="000C543D" w:rsidRPr="0018524B">
        <w:rPr>
          <w:rFonts w:ascii="Times New Roman" w:hAnsi="Times New Roman" w:cs="Times New Roman"/>
          <w:sz w:val="24"/>
          <w:szCs w:val="24"/>
        </w:rPr>
        <w:t>lektronicznego dopuszczają, aby kwota przechowywana elektronicznie nie przekraczała równowartości 50 euro oraz przewidują limit miesięcznych transakcji płatniczych również w wysokości równowartości 50 euro. Kwota 50 euro jest niższa niż limi</w:t>
      </w:r>
      <w:r w:rsidR="00562884" w:rsidRPr="0018524B">
        <w:rPr>
          <w:rFonts w:ascii="Times New Roman" w:hAnsi="Times New Roman" w:cs="Times New Roman"/>
          <w:sz w:val="24"/>
          <w:szCs w:val="24"/>
        </w:rPr>
        <w:t>ty</w:t>
      </w:r>
      <w:r w:rsidR="000C543D" w:rsidRPr="0018524B">
        <w:rPr>
          <w:rFonts w:ascii="Times New Roman" w:hAnsi="Times New Roman" w:cs="Times New Roman"/>
          <w:sz w:val="24"/>
          <w:szCs w:val="24"/>
        </w:rPr>
        <w:t xml:space="preserve"> 250 euro</w:t>
      </w:r>
      <w:r w:rsidR="00562884" w:rsidRPr="0018524B">
        <w:rPr>
          <w:rFonts w:ascii="Times New Roman" w:hAnsi="Times New Roman" w:cs="Times New Roman"/>
          <w:sz w:val="24"/>
          <w:szCs w:val="24"/>
        </w:rPr>
        <w:t xml:space="preserve"> przewidziane</w:t>
      </w:r>
      <w:r w:rsidR="000C543D" w:rsidRPr="0018524B">
        <w:rPr>
          <w:rFonts w:ascii="Times New Roman" w:hAnsi="Times New Roman" w:cs="Times New Roman"/>
          <w:sz w:val="24"/>
          <w:szCs w:val="24"/>
        </w:rPr>
        <w:t xml:space="preserve"> przez przepisy </w:t>
      </w:r>
      <w:r w:rsidR="00562884" w:rsidRPr="0018524B">
        <w:rPr>
          <w:rFonts w:ascii="Times New Roman" w:hAnsi="Times New Roman" w:cs="Times New Roman"/>
          <w:sz w:val="24"/>
          <w:szCs w:val="24"/>
        </w:rPr>
        <w:t xml:space="preserve">art. 12 ust. 1 lit a i b </w:t>
      </w:r>
      <w:r w:rsidR="000C543D" w:rsidRPr="0018524B">
        <w:rPr>
          <w:rFonts w:ascii="Times New Roman" w:hAnsi="Times New Roman" w:cs="Times New Roman"/>
          <w:sz w:val="24"/>
          <w:szCs w:val="24"/>
        </w:rPr>
        <w:t>4AMLD</w:t>
      </w:r>
      <w:r w:rsidR="00562884" w:rsidRPr="0018524B">
        <w:rPr>
          <w:rFonts w:ascii="Times New Roman" w:hAnsi="Times New Roman" w:cs="Times New Roman"/>
          <w:sz w:val="24"/>
          <w:szCs w:val="24"/>
        </w:rPr>
        <w:t xml:space="preserve">, które obecnie na mocy art. 1 pkt 7 dyrektywy 2018/843 uległy obniżeniu do kwoty 150 euro. W związku z faktem, że </w:t>
      </w:r>
      <w:r w:rsidR="0074433C" w:rsidRPr="0018524B">
        <w:rPr>
          <w:rFonts w:ascii="Times New Roman" w:hAnsi="Times New Roman" w:cs="Times New Roman"/>
          <w:sz w:val="24"/>
          <w:szCs w:val="24"/>
        </w:rPr>
        <w:t xml:space="preserve">państwa członkowskie przyjmują w przepisach krajowych limity kwotowe transakcji zgodne z limitami wynikającymi z art. 12 ust. 1 lit a i b 4AMLD, zasadnym </w:t>
      </w:r>
      <w:r w:rsidR="00562884" w:rsidRPr="0018524B">
        <w:rPr>
          <w:rFonts w:ascii="Times New Roman" w:hAnsi="Times New Roman" w:cs="Times New Roman"/>
          <w:sz w:val="24"/>
          <w:szCs w:val="24"/>
        </w:rPr>
        <w:t xml:space="preserve">jest </w:t>
      </w:r>
      <w:r w:rsidR="0090382C" w:rsidRPr="0018524B">
        <w:rPr>
          <w:rFonts w:ascii="Times New Roman" w:hAnsi="Times New Roman" w:cs="Times New Roman"/>
          <w:sz w:val="24"/>
          <w:szCs w:val="24"/>
        </w:rPr>
        <w:t xml:space="preserve">dostosowanie </w:t>
      </w:r>
      <w:r w:rsidR="00562884" w:rsidRPr="0018524B">
        <w:rPr>
          <w:rFonts w:ascii="Times New Roman" w:hAnsi="Times New Roman" w:cs="Times New Roman"/>
          <w:sz w:val="24"/>
          <w:szCs w:val="24"/>
        </w:rPr>
        <w:t xml:space="preserve">wymogów ustawy o p.p.p.f.t. w tym zakresie do przepisów dyrektywy 2015/849. </w:t>
      </w:r>
      <w:r w:rsidR="002614DC" w:rsidRPr="0018524B">
        <w:rPr>
          <w:rFonts w:ascii="Times New Roman" w:hAnsi="Times New Roman" w:cs="Times New Roman"/>
          <w:sz w:val="24"/>
          <w:szCs w:val="24"/>
        </w:rPr>
        <w:t>Ponadto, na p</w:t>
      </w:r>
      <w:r w:rsidR="00562884" w:rsidRPr="0018524B">
        <w:rPr>
          <w:rFonts w:ascii="Times New Roman" w:hAnsi="Times New Roman" w:cs="Times New Roman"/>
          <w:sz w:val="24"/>
          <w:szCs w:val="24"/>
        </w:rPr>
        <w:t>odstawie dotychczasowych doświadczeń z</w:t>
      </w:r>
      <w:r w:rsidR="002614DC" w:rsidRPr="0018524B">
        <w:rPr>
          <w:rFonts w:ascii="Times New Roman" w:hAnsi="Times New Roman" w:cs="Times New Roman"/>
          <w:sz w:val="24"/>
          <w:szCs w:val="24"/>
        </w:rPr>
        <w:t xml:space="preserve"> funkcjonowaniem przepisu art. 38 ustawy o p.p.p.f.t.</w:t>
      </w:r>
      <w:r w:rsidR="00562884" w:rsidRPr="0018524B">
        <w:rPr>
          <w:rFonts w:ascii="Times New Roman" w:hAnsi="Times New Roman" w:cs="Times New Roman"/>
          <w:sz w:val="24"/>
          <w:szCs w:val="24"/>
        </w:rPr>
        <w:t xml:space="preserve"> </w:t>
      </w:r>
      <w:r w:rsidR="002614DC" w:rsidRPr="0018524B">
        <w:rPr>
          <w:rFonts w:ascii="Times New Roman" w:hAnsi="Times New Roman" w:cs="Times New Roman"/>
          <w:sz w:val="24"/>
          <w:szCs w:val="24"/>
        </w:rPr>
        <w:t>b</w:t>
      </w:r>
      <w:r w:rsidR="00562884" w:rsidRPr="0018524B">
        <w:rPr>
          <w:rFonts w:ascii="Times New Roman" w:hAnsi="Times New Roman" w:cs="Times New Roman"/>
          <w:sz w:val="24"/>
          <w:szCs w:val="24"/>
        </w:rPr>
        <w:t xml:space="preserve">rak </w:t>
      </w:r>
      <w:r w:rsidR="0090382C" w:rsidRPr="0018524B">
        <w:rPr>
          <w:rFonts w:ascii="Times New Roman" w:hAnsi="Times New Roman" w:cs="Times New Roman"/>
          <w:sz w:val="24"/>
          <w:szCs w:val="24"/>
        </w:rPr>
        <w:t xml:space="preserve">jest </w:t>
      </w:r>
      <w:r w:rsidR="00562884" w:rsidRPr="0018524B">
        <w:rPr>
          <w:rFonts w:ascii="Times New Roman" w:hAnsi="Times New Roman" w:cs="Times New Roman"/>
          <w:sz w:val="24"/>
          <w:szCs w:val="24"/>
        </w:rPr>
        <w:t xml:space="preserve">podstaw do stwierdzenia, że </w:t>
      </w:r>
      <w:r w:rsidR="002614DC" w:rsidRPr="0018524B">
        <w:rPr>
          <w:rFonts w:ascii="Times New Roman" w:hAnsi="Times New Roman" w:cs="Times New Roman"/>
          <w:sz w:val="24"/>
          <w:szCs w:val="24"/>
        </w:rPr>
        <w:t xml:space="preserve">podwyższenie przewidzianych w tym przepisie limitów do kwoty 150 euro mogłoby w sposób zasadniczy zwiększyć możliwość wykorzystania tego rodzaju instrumentów </w:t>
      </w:r>
      <w:r w:rsidR="002614DC" w:rsidRPr="0018524B">
        <w:rPr>
          <w:rFonts w:ascii="Times New Roman" w:hAnsi="Times New Roman" w:cs="Times New Roman"/>
          <w:sz w:val="24"/>
          <w:szCs w:val="24"/>
        </w:rPr>
        <w:lastRenderedPageBreak/>
        <w:t>pieniądza elektronicznego w procederze prania pieniędzy lub finansowania terroryzmu. Nowelizacja art. 38 ust. 2 ustawy o p.p.p.f.t. wynika z przepisu art.</w:t>
      </w:r>
      <w:r w:rsidR="00562884" w:rsidRPr="0018524B">
        <w:rPr>
          <w:rFonts w:ascii="Times New Roman" w:hAnsi="Times New Roman" w:cs="Times New Roman"/>
          <w:sz w:val="24"/>
          <w:szCs w:val="24"/>
        </w:rPr>
        <w:t xml:space="preserve"> </w:t>
      </w:r>
      <w:r w:rsidR="002614DC" w:rsidRPr="0018524B">
        <w:rPr>
          <w:rFonts w:ascii="Times New Roman" w:hAnsi="Times New Roman" w:cs="Times New Roman"/>
          <w:sz w:val="24"/>
          <w:szCs w:val="24"/>
        </w:rPr>
        <w:t>1 lit. b dyrektywy 2018/843 i wprowadza dodatkową przesłankę ograniczającą możliwość odstąpienia od stosowania środków bezpieczeństwa finansowego w przypadku zdalnych transakcji płatniczych, o równowartości przekraczającej 50 euro.</w:t>
      </w:r>
      <w:r w:rsidR="006C4F0B" w:rsidRPr="0018524B">
        <w:rPr>
          <w:rFonts w:ascii="Times New Roman" w:hAnsi="Times New Roman" w:cs="Times New Roman"/>
          <w:sz w:val="24"/>
          <w:szCs w:val="24"/>
        </w:rPr>
        <w:t xml:space="preserve"> Regulacja, dodanego art. 38 ust. 3 ustawy o p.p.p.f.t. ma na celu wdrożenie do krajowego porządku prawnego wymogów wynikających z art. 12 ust. 3 dyrektywy 2015/849 dodanego przez art. 1 pkt 7 lit. c dyrektywy 2018/843. Zgodnie z postanowieniami preambuły dyrektywy 2018/843 anonimowe katy przedpłacone stanowią łatwe w użyciu narzędzi</w:t>
      </w:r>
      <w:r w:rsidR="00131FDA" w:rsidRPr="0018524B">
        <w:rPr>
          <w:rFonts w:ascii="Times New Roman" w:hAnsi="Times New Roman" w:cs="Times New Roman"/>
          <w:sz w:val="24"/>
          <w:szCs w:val="24"/>
        </w:rPr>
        <w:t>e</w:t>
      </w:r>
      <w:r w:rsidR="006C4F0B" w:rsidRPr="0018524B">
        <w:rPr>
          <w:rFonts w:ascii="Times New Roman" w:hAnsi="Times New Roman" w:cs="Times New Roman"/>
          <w:sz w:val="24"/>
          <w:szCs w:val="24"/>
        </w:rPr>
        <w:t xml:space="preserve"> służące finansowaniu ataków terrorystycznych i przygotowań do nich, dlatego istotne jest zapewnienie, aby korzystanie na terytorium Unii Europejskiej z anonimowych kart przedpłaconych wydanych w państwach trzecich było możliwe tylko wówczas, gdy spełniają one wymogi równoważne z wymogami określonymi</w:t>
      </w:r>
      <w:r w:rsidR="009C207B" w:rsidRPr="0018524B">
        <w:rPr>
          <w:rFonts w:ascii="Times New Roman" w:hAnsi="Times New Roman" w:cs="Times New Roman"/>
          <w:sz w:val="24"/>
          <w:szCs w:val="24"/>
        </w:rPr>
        <w:t xml:space="preserve"> </w:t>
      </w:r>
      <w:r w:rsidR="006C4F0B" w:rsidRPr="0018524B">
        <w:rPr>
          <w:rFonts w:ascii="Times New Roman" w:hAnsi="Times New Roman" w:cs="Times New Roman"/>
          <w:sz w:val="24"/>
          <w:szCs w:val="24"/>
        </w:rPr>
        <w:t xml:space="preserve">w prawie unijnym. </w:t>
      </w:r>
      <w:r w:rsidR="00B80FB4" w:rsidRPr="0018524B">
        <w:rPr>
          <w:rFonts w:ascii="Times New Roman" w:hAnsi="Times New Roman" w:cs="Times New Roman"/>
          <w:sz w:val="24"/>
          <w:szCs w:val="24"/>
        </w:rPr>
        <w:t>Brak jest podstaw do przyjęcia</w:t>
      </w:r>
      <w:r w:rsidR="006C4F0B" w:rsidRPr="0018524B">
        <w:rPr>
          <w:rFonts w:ascii="Times New Roman" w:hAnsi="Times New Roman" w:cs="Times New Roman"/>
          <w:sz w:val="24"/>
          <w:szCs w:val="24"/>
        </w:rPr>
        <w:t xml:space="preserve">, by celowym było wdrożenie </w:t>
      </w:r>
      <w:r w:rsidR="00832446" w:rsidRPr="0018524B">
        <w:rPr>
          <w:rFonts w:ascii="Times New Roman" w:hAnsi="Times New Roman" w:cs="Times New Roman"/>
          <w:sz w:val="24"/>
          <w:szCs w:val="24"/>
        </w:rPr>
        <w:t>d</w:t>
      </w:r>
      <w:r w:rsidR="006C4F0B" w:rsidRPr="0018524B">
        <w:rPr>
          <w:rFonts w:ascii="Times New Roman" w:hAnsi="Times New Roman" w:cs="Times New Roman"/>
          <w:sz w:val="24"/>
          <w:szCs w:val="24"/>
        </w:rPr>
        <w:t xml:space="preserve">o prawa polskiego możliwości przewidzianej w </w:t>
      </w:r>
      <w:r w:rsidR="00715B2B" w:rsidRPr="0018524B">
        <w:rPr>
          <w:rFonts w:ascii="Times New Roman" w:hAnsi="Times New Roman" w:cs="Times New Roman"/>
          <w:sz w:val="24"/>
          <w:szCs w:val="24"/>
        </w:rPr>
        <w:t>art. 12 ust. 3 zd. ostatnie dyrektywy 2015/849 tj. wprowadzenie całkowitego zakazu akceptowania na terytorium RP płatności dokonywanych z wykorzystaniem anonimowych kart przedpłaconych.</w:t>
      </w:r>
      <w:r w:rsidR="00910A34" w:rsidRPr="0018524B">
        <w:rPr>
          <w:rFonts w:ascii="Times New Roman" w:hAnsi="Times New Roman" w:cs="Times New Roman"/>
          <w:sz w:val="24"/>
          <w:szCs w:val="24"/>
        </w:rPr>
        <w:t xml:space="preserve"> W związku z powyższym, przepis art. 38 ust. 3 ustawy o p.p.p.f.t. odwzorowuje regulację art. 12 ust. 3 dyrektywy 2015/849 uzupełniając ją o zobowiązanie organizacji kartowych w rozumieniu art. 2 pkt 19b ustawy z dnia 19 sierpnia 2011 r. </w:t>
      </w:r>
      <w:r w:rsidR="00910A34" w:rsidRPr="0018524B">
        <w:rPr>
          <w:rFonts w:ascii="Times New Roman" w:hAnsi="Times New Roman" w:cs="Times New Roman"/>
          <w:i/>
          <w:sz w:val="24"/>
          <w:szCs w:val="24"/>
        </w:rPr>
        <w:t>o usługach płatniczych</w:t>
      </w:r>
      <w:r w:rsidR="00910A34" w:rsidRPr="0018524B">
        <w:rPr>
          <w:rFonts w:ascii="Times New Roman" w:hAnsi="Times New Roman" w:cs="Times New Roman"/>
          <w:sz w:val="24"/>
          <w:szCs w:val="24"/>
        </w:rPr>
        <w:t xml:space="preserve"> do dostarczenia możliwości technologicznych pozwalających</w:t>
      </w:r>
      <w:r w:rsidR="009C207B" w:rsidRPr="0018524B">
        <w:rPr>
          <w:rFonts w:ascii="Times New Roman" w:hAnsi="Times New Roman" w:cs="Times New Roman"/>
          <w:sz w:val="24"/>
          <w:szCs w:val="24"/>
        </w:rPr>
        <w:t xml:space="preserve"> </w:t>
      </w:r>
      <w:r w:rsidR="00910A34" w:rsidRPr="0018524B">
        <w:rPr>
          <w:rFonts w:ascii="Times New Roman" w:hAnsi="Times New Roman" w:cs="Times New Roman"/>
          <w:sz w:val="24"/>
          <w:szCs w:val="24"/>
        </w:rPr>
        <w:t>instytucjom obowiązanym, będącym agentami rozliczeniowymi w rozumieniu art. 2 pkt 1a</w:t>
      </w:r>
      <w:r w:rsidR="009C207B" w:rsidRPr="0018524B">
        <w:rPr>
          <w:rFonts w:ascii="Times New Roman" w:hAnsi="Times New Roman" w:cs="Times New Roman"/>
          <w:sz w:val="24"/>
          <w:szCs w:val="24"/>
        </w:rPr>
        <w:t xml:space="preserve"> </w:t>
      </w:r>
      <w:r w:rsidR="00910A34" w:rsidRPr="0018524B">
        <w:rPr>
          <w:rFonts w:ascii="Times New Roman" w:hAnsi="Times New Roman" w:cs="Times New Roman"/>
          <w:sz w:val="24"/>
          <w:szCs w:val="24"/>
        </w:rPr>
        <w:t xml:space="preserve">ustawy z dnia 19 sierpnia 2011 r. </w:t>
      </w:r>
      <w:r w:rsidR="00910A34" w:rsidRPr="0018524B">
        <w:rPr>
          <w:rFonts w:ascii="Times New Roman" w:hAnsi="Times New Roman" w:cs="Times New Roman"/>
          <w:i/>
          <w:sz w:val="24"/>
          <w:szCs w:val="24"/>
        </w:rPr>
        <w:t>o usługach płatniczych</w:t>
      </w:r>
      <w:r w:rsidR="00910A34" w:rsidRPr="0018524B">
        <w:rPr>
          <w:rFonts w:ascii="Times New Roman" w:hAnsi="Times New Roman" w:cs="Times New Roman"/>
          <w:sz w:val="24"/>
          <w:szCs w:val="24"/>
        </w:rPr>
        <w:t xml:space="preserve"> na wywiązanie się z obowiązków, których źródłem są przepisy prawa europejskiego.</w:t>
      </w:r>
      <w:r w:rsidR="00D7625A">
        <w:rPr>
          <w:rFonts w:ascii="Times New Roman" w:hAnsi="Times New Roman" w:cs="Times New Roman"/>
          <w:sz w:val="24"/>
          <w:szCs w:val="24"/>
        </w:rPr>
        <w:t xml:space="preserve"> Przewidziany dla art. 39 ust. 3 ustawy o p.p.p.f.t. okres </w:t>
      </w:r>
      <w:r w:rsidR="00D7625A">
        <w:rPr>
          <w:rFonts w:ascii="Times New Roman" w:hAnsi="Times New Roman" w:cs="Times New Roman"/>
          <w:i/>
          <w:sz w:val="24"/>
          <w:szCs w:val="24"/>
        </w:rPr>
        <w:t>vacatio legis</w:t>
      </w:r>
      <w:r w:rsidR="00D7625A">
        <w:rPr>
          <w:rFonts w:ascii="Times New Roman" w:hAnsi="Times New Roman" w:cs="Times New Roman"/>
          <w:sz w:val="24"/>
          <w:szCs w:val="24"/>
        </w:rPr>
        <w:t xml:space="preserve"> zagwarantuje niezbędny czas do dostosowania się przez instytucje obowiązane do wymogów ustawy, tym samym nie ma potrzeby wprowadzani</w:t>
      </w:r>
      <w:r w:rsidR="008E41B3">
        <w:rPr>
          <w:rFonts w:ascii="Times New Roman" w:hAnsi="Times New Roman" w:cs="Times New Roman"/>
          <w:sz w:val="24"/>
          <w:szCs w:val="24"/>
        </w:rPr>
        <w:t>a</w:t>
      </w:r>
      <w:r w:rsidR="00D7625A">
        <w:rPr>
          <w:rFonts w:ascii="Times New Roman" w:hAnsi="Times New Roman" w:cs="Times New Roman"/>
          <w:sz w:val="24"/>
          <w:szCs w:val="24"/>
        </w:rPr>
        <w:t xml:space="preserve"> w tym zakresie przepisu przejściowego.</w:t>
      </w:r>
    </w:p>
    <w:p w14:paraId="5163DDD8" w14:textId="69217EE7" w:rsidR="003011A4" w:rsidRPr="0018524B" w:rsidRDefault="00C34D49" w:rsidP="00C81472">
      <w:pPr>
        <w:spacing w:line="400" w:lineRule="atLeast"/>
        <w:jc w:val="both"/>
        <w:rPr>
          <w:rFonts w:ascii="Times New Roman" w:hAnsi="Times New Roman" w:cs="Times New Roman"/>
          <w:sz w:val="24"/>
          <w:szCs w:val="24"/>
        </w:rPr>
      </w:pPr>
      <w:r w:rsidRPr="0018524B">
        <w:rPr>
          <w:rFonts w:ascii="Times New Roman" w:hAnsi="Times New Roman" w:cs="Times New Roman"/>
          <w:b/>
          <w:sz w:val="24"/>
          <w:szCs w:val="24"/>
        </w:rPr>
        <w:t>Art. 39 ust. 1a ustawy o p.p.p.f.t.</w:t>
      </w:r>
      <w:r w:rsidRPr="0018524B">
        <w:rPr>
          <w:rFonts w:ascii="Times New Roman" w:hAnsi="Times New Roman" w:cs="Times New Roman"/>
          <w:sz w:val="24"/>
          <w:szCs w:val="24"/>
        </w:rPr>
        <w:t xml:space="preserve"> implementuje zmiany wprowadzone do art. 14 ust. 1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y 2015/849 przez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ę 2018/843, zgodnie z którymi podmioty zobowiązane podczas ustanawiania nowych stosunków gospodarczych są zobowiązane do uzyskiwania potwierdzenia rejestracji potencjalnego klienta we właściwym rejestrze beneficjentów rzeczywistych lub do uzyskania odpisu z takiego rejestru. Obowiązek identyfikacji i weryfikacji tożsamości beneficjenta rzeczywistego, jako środek bezpieczeństwa finansowego wskazany w art. 34 ust. 1 pkt 2 ustawy o p.p.p.f.t. , stanowi jeden z podstawowych obowiązków instytucji obowiązanych. Dotychczasowe zapisy ustawy o p.p.p.f.t. nie precyzowały sposobu ustalania beneficjenta rzeczywistego, komentowany artykuł uszczegóławia tą kwestię. Zauważyć należy, </w:t>
      </w:r>
      <w:r w:rsidRPr="0018524B">
        <w:rPr>
          <w:rFonts w:ascii="Times New Roman" w:hAnsi="Times New Roman" w:cs="Times New Roman"/>
          <w:sz w:val="24"/>
          <w:szCs w:val="24"/>
        </w:rPr>
        <w:lastRenderedPageBreak/>
        <w:t xml:space="preserve">iż art. 14 ust. 1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y 2015/849 w brzmieniu nadanym przez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ę 2018/843, nakłada obowiązki w zakresie uzyskania przez podmioty zobowiązane informacji z właściwego rejestru beneficjentów rzeczywistych niezależnie od tego, czy potencjalny klient podlega obowiązkowi rejestracji w państwie</w:t>
      </w:r>
      <w:r w:rsidR="00616FBC" w:rsidRPr="0018524B">
        <w:rPr>
          <w:rFonts w:ascii="Times New Roman" w:hAnsi="Times New Roman" w:cs="Times New Roman"/>
          <w:sz w:val="24"/>
          <w:szCs w:val="24"/>
        </w:rPr>
        <w:t>,</w:t>
      </w:r>
      <w:r w:rsidRPr="0018524B">
        <w:rPr>
          <w:rFonts w:ascii="Times New Roman" w:hAnsi="Times New Roman" w:cs="Times New Roman"/>
          <w:sz w:val="24"/>
          <w:szCs w:val="24"/>
        </w:rPr>
        <w:t xml:space="preserve"> w którym dochodzi do nawiązania stosunków gospodarczych. Tym samym prawidłowa implementacja dyrektywy wymaga, by krajowe instytucje obowiązane były zobowiązane do uzyskania danych z Centralnego Rejestru Beneficjentów Rzeczywistych, lub z odpowiedniego rejestru prowadzonego we właściwym dla danego klienta państwie członkowskim. Stan powyższy wpłynął na konieczność odniesienia się w art. 39 ust. 1a ustawy o p.p.p.f.t. do rejestrów informacji o beneficjentach rzeczywistych prowadzonych w państwach członkowskich UE, których obowiązek prowadzenia wynika z art. 30 lub art. 31 dyrektywy 2015/849. W uzupełnieniu implementacji art. 14 ust. 1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y 2015/849 w brzmieniu nadanym przez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ę 2018/843, wprowadzany jest art. 39 ust. </w:t>
      </w:r>
      <w:r w:rsidR="00CC74BD" w:rsidRPr="0018524B">
        <w:rPr>
          <w:rFonts w:ascii="Times New Roman" w:hAnsi="Times New Roman" w:cs="Times New Roman"/>
          <w:sz w:val="24"/>
          <w:szCs w:val="24"/>
        </w:rPr>
        <w:t>1a zdanie drugie</w:t>
      </w:r>
      <w:r w:rsidRPr="0018524B">
        <w:rPr>
          <w:rFonts w:ascii="Times New Roman" w:hAnsi="Times New Roman" w:cs="Times New Roman"/>
          <w:sz w:val="24"/>
          <w:szCs w:val="24"/>
        </w:rPr>
        <w:t>, który z jednej strony upoważnia instytucje obowiązane do żądania od klientów udostępnienia informacji lub dokumentów dotyczących ich beneficjentów rzeczywistych, a z drugiej strony zobowiązuje klientów do przedkładania takich informacji lub dokumentów do instytucji obowiązanych.</w:t>
      </w:r>
      <w:r w:rsidR="003011A4" w:rsidRPr="0018524B">
        <w:rPr>
          <w:rFonts w:ascii="Times New Roman" w:hAnsi="Times New Roman" w:cs="Times New Roman"/>
          <w:sz w:val="24"/>
          <w:szCs w:val="24"/>
        </w:rPr>
        <w:t xml:space="preserve"> </w:t>
      </w:r>
    </w:p>
    <w:p w14:paraId="46138256" w14:textId="0915C172" w:rsidR="006D77F6" w:rsidRPr="0018524B" w:rsidRDefault="003011A4"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Art. 31 ust. 2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y 2015/849 w brzmieniu nadanym przez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ę 2018/843 zobowiązuje państwa członkowskie do zapewnienia, by powiernicy trustów, lub osoby zajmujące równoważne stanowiska w podobnych porozumieniach prawnych ujawniali podmiotom zobowiązanym informacje na temat swojego statusu. Jednocześnie przepis zobowiązuje te osoby do przedstawienia podmiotom zobowiązanym informacji na temat beneficjentów rzeczywistych trustu lub podobnego porozumienia prawnego, zauważyć przy tym należy, że postanowienia te aktualizują się w momencie nawiązywania w charakterze powiernika trustu stosunków gospodarczych lub przeprowadza</w:t>
      </w:r>
      <w:r w:rsidR="00826F72" w:rsidRPr="0018524B">
        <w:rPr>
          <w:rFonts w:ascii="Times New Roman" w:hAnsi="Times New Roman" w:cs="Times New Roman"/>
          <w:sz w:val="24"/>
          <w:szCs w:val="24"/>
        </w:rPr>
        <w:t>nia</w:t>
      </w:r>
      <w:r w:rsidRPr="0018524B">
        <w:rPr>
          <w:rFonts w:ascii="Times New Roman" w:hAnsi="Times New Roman" w:cs="Times New Roman"/>
          <w:sz w:val="24"/>
          <w:szCs w:val="24"/>
        </w:rPr>
        <w:t xml:space="preserve"> transakcji okazjonalnej o wartości przekraczającej progi kwotowe wskazane w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ie 2015/849.</w:t>
      </w:r>
      <w:r w:rsidR="00826F72" w:rsidRPr="0018524B">
        <w:rPr>
          <w:rFonts w:ascii="Times New Roman" w:hAnsi="Times New Roman" w:cs="Times New Roman"/>
          <w:sz w:val="24"/>
          <w:szCs w:val="24"/>
        </w:rPr>
        <w:t xml:space="preserve"> </w:t>
      </w:r>
      <w:r w:rsidR="00D8005E" w:rsidRPr="0018524B">
        <w:rPr>
          <w:rFonts w:ascii="Times New Roman" w:hAnsi="Times New Roman" w:cs="Times New Roman"/>
          <w:sz w:val="24"/>
          <w:szCs w:val="24"/>
        </w:rPr>
        <w:t xml:space="preserve">Zakres obowiązków instytucji obowiązanych wynikający z art. 14 ust. 1 oraz </w:t>
      </w:r>
      <w:r w:rsidR="00FB4EEF" w:rsidRPr="0018524B">
        <w:rPr>
          <w:rFonts w:ascii="Times New Roman" w:hAnsi="Times New Roman" w:cs="Times New Roman"/>
          <w:sz w:val="24"/>
          <w:szCs w:val="24"/>
        </w:rPr>
        <w:t xml:space="preserve">art. </w:t>
      </w:r>
      <w:r w:rsidR="00D8005E" w:rsidRPr="0018524B">
        <w:rPr>
          <w:rFonts w:ascii="Times New Roman" w:hAnsi="Times New Roman" w:cs="Times New Roman"/>
          <w:sz w:val="24"/>
          <w:szCs w:val="24"/>
        </w:rPr>
        <w:t xml:space="preserve">31 ust. 2 dyrektywy 2015/849 w brzmieniu nadanym przez dyrektywę 2018/843 </w:t>
      </w:r>
      <w:r w:rsidR="00FB4EEF" w:rsidRPr="0018524B">
        <w:rPr>
          <w:rFonts w:ascii="Times New Roman" w:hAnsi="Times New Roman" w:cs="Times New Roman"/>
          <w:sz w:val="24"/>
          <w:szCs w:val="24"/>
        </w:rPr>
        <w:t xml:space="preserve">częściowo się pokrywa, tym samym zasadne jest implementowanie tych przepisów w jednej jednostce redakcyjnej ustawy. Wskazanie w art. 39 ust. 1a, iż obowiązek uzyskania potwierdzenia rejestracji albo odpisu z rejestru aktualizuje się przy nawiązywaniu stosunków gospodarczych oraz przy przeprowadzaniu transakcji okazjonalnych </w:t>
      </w:r>
      <w:r w:rsidR="00C674A9" w:rsidRPr="0018524B">
        <w:rPr>
          <w:rFonts w:ascii="Times New Roman" w:hAnsi="Times New Roman" w:cs="Times New Roman"/>
          <w:sz w:val="24"/>
          <w:szCs w:val="24"/>
        </w:rPr>
        <w:t>jest konieczne dla prawidłowej implementacji art. 31 ust. 2 dyrektywy 2015/849.</w:t>
      </w:r>
      <w:r w:rsidR="00D8005E" w:rsidRPr="0018524B">
        <w:rPr>
          <w:rFonts w:ascii="Times New Roman" w:hAnsi="Times New Roman" w:cs="Times New Roman"/>
          <w:sz w:val="24"/>
          <w:szCs w:val="24"/>
        </w:rPr>
        <w:t xml:space="preserve"> </w:t>
      </w:r>
      <w:r w:rsidR="00C674A9" w:rsidRPr="0018524B">
        <w:rPr>
          <w:rFonts w:ascii="Times New Roman" w:hAnsi="Times New Roman" w:cs="Times New Roman"/>
          <w:sz w:val="24"/>
          <w:szCs w:val="24"/>
        </w:rPr>
        <w:t>Jednocześnie p</w:t>
      </w:r>
      <w:r w:rsidR="00826F72" w:rsidRPr="0018524B">
        <w:rPr>
          <w:rFonts w:ascii="Times New Roman" w:hAnsi="Times New Roman" w:cs="Times New Roman"/>
          <w:sz w:val="24"/>
          <w:szCs w:val="24"/>
        </w:rPr>
        <w:t xml:space="preserve">ostanowienia art. 31 ust. 2 </w:t>
      </w:r>
      <w:r w:rsidR="00832446" w:rsidRPr="0018524B">
        <w:rPr>
          <w:rFonts w:ascii="Times New Roman" w:hAnsi="Times New Roman" w:cs="Times New Roman"/>
          <w:sz w:val="24"/>
          <w:szCs w:val="24"/>
        </w:rPr>
        <w:t>dyrektyw</w:t>
      </w:r>
      <w:r w:rsidR="00826F72" w:rsidRPr="0018524B">
        <w:rPr>
          <w:rFonts w:ascii="Times New Roman" w:hAnsi="Times New Roman" w:cs="Times New Roman"/>
          <w:sz w:val="24"/>
          <w:szCs w:val="24"/>
        </w:rPr>
        <w:t xml:space="preserve">y 2015/849 w brzmieniu nadanym przez </w:t>
      </w:r>
      <w:r w:rsidR="00832446" w:rsidRPr="0018524B">
        <w:rPr>
          <w:rFonts w:ascii="Times New Roman" w:hAnsi="Times New Roman" w:cs="Times New Roman"/>
          <w:sz w:val="24"/>
          <w:szCs w:val="24"/>
        </w:rPr>
        <w:t>dyrektyw</w:t>
      </w:r>
      <w:r w:rsidR="00826F72" w:rsidRPr="0018524B">
        <w:rPr>
          <w:rFonts w:ascii="Times New Roman" w:hAnsi="Times New Roman" w:cs="Times New Roman"/>
          <w:sz w:val="24"/>
          <w:szCs w:val="24"/>
        </w:rPr>
        <w:t>ę 2018/843</w:t>
      </w:r>
      <w:r w:rsidR="00C674A9" w:rsidRPr="0018524B">
        <w:rPr>
          <w:rFonts w:ascii="Times New Roman" w:hAnsi="Times New Roman" w:cs="Times New Roman"/>
          <w:sz w:val="24"/>
          <w:szCs w:val="24"/>
        </w:rPr>
        <w:t>, w zakresie dotyczącym obowiązku</w:t>
      </w:r>
      <w:r w:rsidR="00C6045B">
        <w:rPr>
          <w:rFonts w:ascii="Times New Roman" w:hAnsi="Times New Roman" w:cs="Times New Roman"/>
          <w:sz w:val="24"/>
          <w:szCs w:val="24"/>
        </w:rPr>
        <w:t xml:space="preserve"> </w:t>
      </w:r>
      <w:r w:rsidR="00C674A9" w:rsidRPr="0018524B">
        <w:rPr>
          <w:rFonts w:ascii="Times New Roman" w:hAnsi="Times New Roman" w:cs="Times New Roman"/>
          <w:sz w:val="24"/>
          <w:szCs w:val="24"/>
        </w:rPr>
        <w:t xml:space="preserve">ujawniania stosownych informacji przez osoby reprezentujące trusty, </w:t>
      </w:r>
      <w:r w:rsidR="00826F72" w:rsidRPr="0018524B">
        <w:rPr>
          <w:rFonts w:ascii="Times New Roman" w:hAnsi="Times New Roman" w:cs="Times New Roman"/>
          <w:sz w:val="24"/>
          <w:szCs w:val="24"/>
        </w:rPr>
        <w:t>wdrożone zostały w a</w:t>
      </w:r>
      <w:r w:rsidRPr="0018524B">
        <w:rPr>
          <w:rFonts w:ascii="Times New Roman" w:hAnsi="Times New Roman" w:cs="Times New Roman"/>
          <w:sz w:val="24"/>
          <w:szCs w:val="24"/>
        </w:rPr>
        <w:t xml:space="preserve">rt. </w:t>
      </w:r>
      <w:r w:rsidRPr="0018524B">
        <w:rPr>
          <w:rFonts w:ascii="Times New Roman" w:hAnsi="Times New Roman" w:cs="Times New Roman"/>
          <w:sz w:val="24"/>
          <w:szCs w:val="24"/>
        </w:rPr>
        <w:lastRenderedPageBreak/>
        <w:t xml:space="preserve">39 ust. </w:t>
      </w:r>
      <w:r w:rsidR="00CC74BD" w:rsidRPr="0018524B">
        <w:rPr>
          <w:rFonts w:ascii="Times New Roman" w:hAnsi="Times New Roman" w:cs="Times New Roman"/>
          <w:sz w:val="24"/>
          <w:szCs w:val="24"/>
        </w:rPr>
        <w:t xml:space="preserve">1a zdanie drugie </w:t>
      </w:r>
      <w:r w:rsidRPr="0018524B">
        <w:rPr>
          <w:rFonts w:ascii="Times New Roman" w:hAnsi="Times New Roman" w:cs="Times New Roman"/>
          <w:sz w:val="24"/>
          <w:szCs w:val="24"/>
        </w:rPr>
        <w:t>ustawy o p.p.p.f.t.</w:t>
      </w:r>
      <w:r w:rsidR="00826F72" w:rsidRPr="0018524B">
        <w:rPr>
          <w:rFonts w:ascii="Times New Roman" w:hAnsi="Times New Roman" w:cs="Times New Roman"/>
          <w:sz w:val="24"/>
          <w:szCs w:val="24"/>
        </w:rPr>
        <w:t>, który zobowiązuje osoby reprezentujące trusty do przedłożenia odpowiednich informacji lub dokumentów na żądanie instytucji obowiązanej.</w:t>
      </w:r>
    </w:p>
    <w:p w14:paraId="3473305D" w14:textId="77777777" w:rsidR="00106CA4" w:rsidRPr="0018524B" w:rsidRDefault="00106CA4"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Do</w:t>
      </w:r>
      <w:r w:rsidRPr="0018524B">
        <w:rPr>
          <w:rFonts w:ascii="Times New Roman" w:hAnsi="Times New Roman" w:cs="Times New Roman"/>
          <w:b/>
          <w:sz w:val="24"/>
          <w:szCs w:val="24"/>
        </w:rPr>
        <w:t xml:space="preserve"> art. 43 ust. 2 ustawy o p.p.p.f.t.,</w:t>
      </w:r>
      <w:r w:rsidRPr="0018524B">
        <w:rPr>
          <w:rFonts w:ascii="Times New Roman" w:hAnsi="Times New Roman" w:cs="Times New Roman"/>
          <w:sz w:val="24"/>
          <w:szCs w:val="24"/>
        </w:rPr>
        <w:t xml:space="preserve"> zawierającego katalog okoliczności mogących wskazywać na wyższe ryzyko prania pieniędzy oraz finansowania terroryzmu, dodano punkt 11, dotyczący powiązania stosunków gospodarczych lub transakcji okazjonalnej z wymienionymi w tym punkcie towarami, charakteryzującymi się wysoką wartością lub potencjalnym pochodzeniem z czynu zabronionego (przykładowo kość słoniowa). Przesłanka wskazana w art. 43 ust. 2 pkt 11 w pełni oddaje treść pkt 2 lit. f załącznika nr III do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y 2018/843. Art. 18 ust. 3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y 2015/849 bezpośrednio nakazuje uwzględnianie podczas oceny ryzyka prania pieniędzy oraz finansowania terroryzmu, okoliczności wskazanych w załączniku nr III do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y. Postanowienia te wprost przełożyły się na konieczność znowelizowania art. 43 ust. 2 ustawy o p.p.p.f.t.</w:t>
      </w:r>
      <w:r w:rsidR="00113B1F" w:rsidRPr="0018524B">
        <w:rPr>
          <w:rFonts w:ascii="Times New Roman" w:hAnsi="Times New Roman" w:cs="Times New Roman"/>
          <w:sz w:val="24"/>
          <w:szCs w:val="24"/>
        </w:rPr>
        <w:t xml:space="preserve"> </w:t>
      </w:r>
    </w:p>
    <w:p w14:paraId="42133E45" w14:textId="065970A7" w:rsidR="00823ABA" w:rsidRPr="0018524B" w:rsidRDefault="00430BEA" w:rsidP="00C81472">
      <w:pPr>
        <w:spacing w:line="400" w:lineRule="atLeast"/>
        <w:jc w:val="both"/>
        <w:rPr>
          <w:rFonts w:ascii="Times New Roman" w:hAnsi="Times New Roman" w:cs="Times New Roman"/>
          <w:sz w:val="24"/>
          <w:szCs w:val="24"/>
        </w:rPr>
      </w:pPr>
      <w:r w:rsidRPr="0018524B">
        <w:rPr>
          <w:rFonts w:ascii="Times New Roman" w:hAnsi="Times New Roman" w:cs="Times New Roman"/>
          <w:b/>
          <w:sz w:val="24"/>
          <w:szCs w:val="24"/>
        </w:rPr>
        <w:t>Art. 43 ust. 2 ustawy o p.p.p.f.t.</w:t>
      </w:r>
      <w:r w:rsidRPr="0018524B">
        <w:rPr>
          <w:rFonts w:ascii="Times New Roman" w:hAnsi="Times New Roman" w:cs="Times New Roman"/>
          <w:sz w:val="24"/>
          <w:szCs w:val="24"/>
        </w:rPr>
        <w:t xml:space="preserve"> zawiera niewyczerpujące wyliczenie okoliczności, które mogą świadczyć o wyższym ryzyku prania pieniędzy oraz finansowania terroryzmu</w:t>
      </w:r>
      <w:r w:rsidR="00293402" w:rsidRPr="0018524B">
        <w:rPr>
          <w:rFonts w:ascii="Times New Roman" w:hAnsi="Times New Roman" w:cs="Times New Roman"/>
          <w:sz w:val="24"/>
          <w:szCs w:val="24"/>
        </w:rPr>
        <w:t>, wynikające z z</w:t>
      </w:r>
      <w:r w:rsidR="00EA6155" w:rsidRPr="0018524B">
        <w:rPr>
          <w:rFonts w:ascii="Times New Roman" w:hAnsi="Times New Roman" w:cs="Times New Roman"/>
          <w:sz w:val="24"/>
          <w:szCs w:val="24"/>
        </w:rPr>
        <w:t>ałącznika III dyrektywy 2015/849. Art. 1 pkt 44 dyrektywy 2018/843</w:t>
      </w:r>
      <w:r w:rsidR="00990368" w:rsidRPr="0018524B">
        <w:rPr>
          <w:rFonts w:ascii="Times New Roman" w:hAnsi="Times New Roman" w:cs="Times New Roman"/>
          <w:sz w:val="24"/>
          <w:szCs w:val="24"/>
        </w:rPr>
        <w:t xml:space="preserve"> dodał do punktu pierwszego</w:t>
      </w:r>
      <w:r w:rsidR="00293402" w:rsidRPr="0018524B">
        <w:rPr>
          <w:rFonts w:ascii="Times New Roman" w:hAnsi="Times New Roman" w:cs="Times New Roman"/>
          <w:sz w:val="24"/>
          <w:szCs w:val="24"/>
        </w:rPr>
        <w:t xml:space="preserve"> </w:t>
      </w:r>
      <w:r w:rsidR="00AA2912" w:rsidRPr="0018524B">
        <w:rPr>
          <w:rFonts w:ascii="Times New Roman" w:hAnsi="Times New Roman" w:cs="Times New Roman"/>
          <w:sz w:val="24"/>
          <w:szCs w:val="24"/>
        </w:rPr>
        <w:t>z</w:t>
      </w:r>
      <w:r w:rsidR="00293402" w:rsidRPr="0018524B">
        <w:rPr>
          <w:rFonts w:ascii="Times New Roman" w:hAnsi="Times New Roman" w:cs="Times New Roman"/>
          <w:sz w:val="24"/>
          <w:szCs w:val="24"/>
        </w:rPr>
        <w:t>ałącznika III lit</w:t>
      </w:r>
      <w:r w:rsidR="00990368" w:rsidRPr="0018524B">
        <w:rPr>
          <w:rFonts w:ascii="Times New Roman" w:hAnsi="Times New Roman" w:cs="Times New Roman"/>
          <w:sz w:val="24"/>
          <w:szCs w:val="24"/>
        </w:rPr>
        <w:t>erę</w:t>
      </w:r>
      <w:r w:rsidR="00AA2912" w:rsidRPr="0018524B">
        <w:rPr>
          <w:rFonts w:ascii="Times New Roman" w:hAnsi="Times New Roman" w:cs="Times New Roman"/>
          <w:sz w:val="24"/>
          <w:szCs w:val="24"/>
        </w:rPr>
        <w:t xml:space="preserve"> g, wskazując, jako czynnik ryzyka klienta będącego obywatelem państwa trzeciego ubiegającego się o prawo pobytu lub obywatelstwo w państwie członkowskim w zamian za </w:t>
      </w:r>
      <w:r w:rsidR="004B0E02">
        <w:rPr>
          <w:rFonts w:ascii="Times New Roman" w:hAnsi="Times New Roman" w:cs="Times New Roman"/>
          <w:sz w:val="24"/>
          <w:szCs w:val="24"/>
        </w:rPr>
        <w:t>„</w:t>
      </w:r>
      <w:r w:rsidR="00AA2912" w:rsidRPr="007F63A1">
        <w:rPr>
          <w:rFonts w:ascii="Times New Roman" w:hAnsi="Times New Roman" w:cs="Times New Roman"/>
          <w:i/>
          <w:sz w:val="24"/>
          <w:szCs w:val="24"/>
        </w:rPr>
        <w:t>transfery kapitałowe, nabycie własności lub obligacji skarbowych bądź inwestycje w podmioty o charakterze korporacyjnym w danym państwie członkowskim</w:t>
      </w:r>
      <w:r w:rsidR="004B0E02">
        <w:rPr>
          <w:rFonts w:ascii="Times New Roman" w:hAnsi="Times New Roman" w:cs="Times New Roman"/>
          <w:sz w:val="24"/>
          <w:szCs w:val="24"/>
        </w:rPr>
        <w:t>”</w:t>
      </w:r>
      <w:r w:rsidR="00AA2912" w:rsidRPr="0018524B">
        <w:rPr>
          <w:rFonts w:ascii="Times New Roman" w:hAnsi="Times New Roman" w:cs="Times New Roman"/>
          <w:sz w:val="24"/>
          <w:szCs w:val="24"/>
        </w:rPr>
        <w:t xml:space="preserve">. </w:t>
      </w:r>
      <w:r w:rsidR="0058577C">
        <w:rPr>
          <w:rFonts w:ascii="Times New Roman" w:hAnsi="Times New Roman" w:cs="Times New Roman"/>
          <w:sz w:val="24"/>
          <w:szCs w:val="24"/>
        </w:rPr>
        <w:t>Zauważyć należy, iż polskie tłumaczenie dyrektywy wskazuje na „</w:t>
      </w:r>
      <w:r w:rsidR="0058577C" w:rsidRPr="004B0E02">
        <w:rPr>
          <w:rFonts w:ascii="Times New Roman" w:hAnsi="Times New Roman" w:cs="Times New Roman"/>
          <w:i/>
          <w:sz w:val="24"/>
          <w:szCs w:val="24"/>
        </w:rPr>
        <w:t>nabycie własności</w:t>
      </w:r>
      <w:r w:rsidR="0058577C">
        <w:rPr>
          <w:rFonts w:ascii="Times New Roman" w:hAnsi="Times New Roman" w:cs="Times New Roman"/>
          <w:sz w:val="24"/>
          <w:szCs w:val="24"/>
        </w:rPr>
        <w:t>”, przy czym wersja angielska dyrektywy posługuje się zwrotem „</w:t>
      </w:r>
      <w:r w:rsidR="004B0E02" w:rsidRPr="004B0E02">
        <w:rPr>
          <w:rFonts w:ascii="Times New Roman" w:hAnsi="Times New Roman" w:cs="Times New Roman"/>
          <w:i/>
          <w:sz w:val="24"/>
          <w:szCs w:val="24"/>
        </w:rPr>
        <w:t>purchase of property</w:t>
      </w:r>
      <w:r w:rsidR="0058577C">
        <w:rPr>
          <w:rFonts w:ascii="Times New Roman" w:hAnsi="Times New Roman" w:cs="Times New Roman"/>
          <w:sz w:val="24"/>
          <w:szCs w:val="24"/>
        </w:rPr>
        <w:t>”</w:t>
      </w:r>
      <w:r w:rsidR="004B0E02">
        <w:rPr>
          <w:rFonts w:ascii="Times New Roman" w:hAnsi="Times New Roman" w:cs="Times New Roman"/>
          <w:sz w:val="24"/>
          <w:szCs w:val="24"/>
        </w:rPr>
        <w:t>,</w:t>
      </w:r>
      <w:r w:rsidR="0058577C">
        <w:rPr>
          <w:rFonts w:ascii="Times New Roman" w:hAnsi="Times New Roman" w:cs="Times New Roman"/>
          <w:sz w:val="24"/>
          <w:szCs w:val="24"/>
        </w:rPr>
        <w:t xml:space="preserve"> </w:t>
      </w:r>
      <w:r w:rsidR="004B0E02">
        <w:rPr>
          <w:rFonts w:ascii="Times New Roman" w:hAnsi="Times New Roman" w:cs="Times New Roman"/>
          <w:sz w:val="24"/>
          <w:szCs w:val="24"/>
        </w:rPr>
        <w:t xml:space="preserve">który w swym podstawowym znaczeniu odnosi się do nabywania nieruchomości. Takie znaczenie tego zapisu wynika również z innych wersji językowych dyrektywy. Tym samym uznać należy, iż prawidłowa implementacja dyrektywy powinna odnosić się </w:t>
      </w:r>
      <w:r w:rsidR="006A1D89">
        <w:rPr>
          <w:rFonts w:ascii="Times New Roman" w:hAnsi="Times New Roman" w:cs="Times New Roman"/>
          <w:sz w:val="24"/>
          <w:szCs w:val="24"/>
        </w:rPr>
        <w:t xml:space="preserve">do </w:t>
      </w:r>
      <w:r w:rsidR="004B0E02">
        <w:rPr>
          <w:rFonts w:ascii="Times New Roman" w:hAnsi="Times New Roman" w:cs="Times New Roman"/>
          <w:sz w:val="24"/>
          <w:szCs w:val="24"/>
        </w:rPr>
        <w:t>nabycia obywatelstwa państwa członkowskiego w zamian za „</w:t>
      </w:r>
      <w:r w:rsidR="004B0E02" w:rsidRPr="004B0E02">
        <w:rPr>
          <w:rFonts w:ascii="Times New Roman" w:hAnsi="Times New Roman" w:cs="Times New Roman"/>
          <w:i/>
          <w:sz w:val="24"/>
          <w:szCs w:val="24"/>
        </w:rPr>
        <w:t>nabycie nieruchomości</w:t>
      </w:r>
      <w:r w:rsidR="004B0E02">
        <w:rPr>
          <w:rFonts w:ascii="Times New Roman" w:hAnsi="Times New Roman" w:cs="Times New Roman"/>
          <w:sz w:val="24"/>
          <w:szCs w:val="24"/>
        </w:rPr>
        <w:t xml:space="preserve">”. </w:t>
      </w:r>
      <w:r w:rsidR="004B0E02" w:rsidRPr="0018524B">
        <w:rPr>
          <w:rFonts w:ascii="Times New Roman" w:hAnsi="Times New Roman" w:cs="Times New Roman"/>
          <w:sz w:val="24"/>
          <w:szCs w:val="24"/>
        </w:rPr>
        <w:t xml:space="preserve">Art. 1 pkt 44 dyrektywy 2018/843 </w:t>
      </w:r>
      <w:r w:rsidR="00AA2912" w:rsidRPr="0018524B">
        <w:rPr>
          <w:rFonts w:ascii="Times New Roman" w:hAnsi="Times New Roman" w:cs="Times New Roman"/>
          <w:sz w:val="24"/>
          <w:szCs w:val="24"/>
        </w:rPr>
        <w:t xml:space="preserve">został wdrożony poprzez dodanie do ustawy o p.p.p.f.t. art. 43 ust. 2 pkt 12. </w:t>
      </w:r>
      <w:r w:rsidR="00687225" w:rsidRPr="0018524B">
        <w:rPr>
          <w:rFonts w:ascii="Times New Roman" w:hAnsi="Times New Roman" w:cs="Times New Roman"/>
          <w:sz w:val="24"/>
          <w:szCs w:val="24"/>
        </w:rPr>
        <w:t xml:space="preserve">Pomimo faktu, że przepisy ustawy z dnia 2 kwietnia 2009 r. </w:t>
      </w:r>
      <w:r w:rsidR="00687225" w:rsidRPr="0018524B">
        <w:rPr>
          <w:rFonts w:ascii="Times New Roman" w:hAnsi="Times New Roman" w:cs="Times New Roman"/>
          <w:i/>
          <w:sz w:val="24"/>
          <w:szCs w:val="24"/>
        </w:rPr>
        <w:t>o obywatelstwie polskim</w:t>
      </w:r>
      <w:r w:rsidR="00687225" w:rsidRPr="0018524B">
        <w:rPr>
          <w:rFonts w:ascii="Times New Roman" w:hAnsi="Times New Roman" w:cs="Times New Roman"/>
          <w:sz w:val="24"/>
          <w:szCs w:val="24"/>
        </w:rPr>
        <w:t xml:space="preserve"> (Dz. U.</w:t>
      </w:r>
      <w:r w:rsidR="009C207B" w:rsidRPr="0018524B">
        <w:rPr>
          <w:rFonts w:ascii="Times New Roman" w:hAnsi="Times New Roman" w:cs="Times New Roman"/>
          <w:sz w:val="24"/>
          <w:szCs w:val="24"/>
        </w:rPr>
        <w:t xml:space="preserve"> </w:t>
      </w:r>
      <w:r w:rsidR="00687225" w:rsidRPr="0018524B">
        <w:rPr>
          <w:rFonts w:ascii="Times New Roman" w:hAnsi="Times New Roman" w:cs="Times New Roman"/>
          <w:sz w:val="24"/>
          <w:szCs w:val="24"/>
        </w:rPr>
        <w:t xml:space="preserve">z </w:t>
      </w:r>
      <w:r w:rsidR="001A0439">
        <w:rPr>
          <w:rFonts w:ascii="Times New Roman" w:hAnsi="Times New Roman" w:cs="Times New Roman"/>
          <w:sz w:val="24"/>
          <w:szCs w:val="24"/>
        </w:rPr>
        <w:t>2020</w:t>
      </w:r>
      <w:r w:rsidR="001A0439" w:rsidRPr="0018524B">
        <w:rPr>
          <w:rFonts w:ascii="Times New Roman" w:hAnsi="Times New Roman" w:cs="Times New Roman"/>
          <w:sz w:val="24"/>
          <w:szCs w:val="24"/>
        </w:rPr>
        <w:t xml:space="preserve"> </w:t>
      </w:r>
      <w:r w:rsidR="00687225" w:rsidRPr="0018524B">
        <w:rPr>
          <w:rFonts w:ascii="Times New Roman" w:hAnsi="Times New Roman" w:cs="Times New Roman"/>
          <w:sz w:val="24"/>
          <w:szCs w:val="24"/>
        </w:rPr>
        <w:t xml:space="preserve">r. poz. </w:t>
      </w:r>
      <w:r w:rsidR="001A0439">
        <w:rPr>
          <w:rFonts w:ascii="Times New Roman" w:hAnsi="Times New Roman" w:cs="Times New Roman"/>
          <w:sz w:val="24"/>
          <w:szCs w:val="24"/>
        </w:rPr>
        <w:t>347</w:t>
      </w:r>
      <w:r w:rsidR="00687225" w:rsidRPr="0018524B">
        <w:rPr>
          <w:rFonts w:ascii="Times New Roman" w:hAnsi="Times New Roman" w:cs="Times New Roman"/>
          <w:sz w:val="24"/>
          <w:szCs w:val="24"/>
        </w:rPr>
        <w:t xml:space="preserve">) oraz ustawy z dnia 12 grudnia 2013 r. </w:t>
      </w:r>
      <w:r w:rsidR="00687225" w:rsidRPr="0018524B">
        <w:rPr>
          <w:rFonts w:ascii="Times New Roman" w:hAnsi="Times New Roman" w:cs="Times New Roman"/>
          <w:i/>
          <w:sz w:val="24"/>
          <w:szCs w:val="24"/>
        </w:rPr>
        <w:t>o cudzoziemcach</w:t>
      </w:r>
      <w:r w:rsidR="00687225" w:rsidRPr="0018524B">
        <w:rPr>
          <w:rFonts w:ascii="Times New Roman" w:hAnsi="Times New Roman" w:cs="Times New Roman"/>
          <w:sz w:val="24"/>
          <w:szCs w:val="24"/>
        </w:rPr>
        <w:t xml:space="preserve"> (Dz. U. z 20</w:t>
      </w:r>
      <w:r w:rsidR="001A0439">
        <w:rPr>
          <w:rFonts w:ascii="Times New Roman" w:hAnsi="Times New Roman" w:cs="Times New Roman"/>
          <w:sz w:val="24"/>
          <w:szCs w:val="24"/>
        </w:rPr>
        <w:t>20</w:t>
      </w:r>
      <w:r w:rsidR="00687225" w:rsidRPr="0018524B">
        <w:rPr>
          <w:rFonts w:ascii="Times New Roman" w:hAnsi="Times New Roman" w:cs="Times New Roman"/>
          <w:sz w:val="24"/>
          <w:szCs w:val="24"/>
        </w:rPr>
        <w:t xml:space="preserve"> r. poz. </w:t>
      </w:r>
      <w:r w:rsidR="001A0439">
        <w:rPr>
          <w:rFonts w:ascii="Times New Roman" w:hAnsi="Times New Roman" w:cs="Times New Roman"/>
          <w:sz w:val="24"/>
          <w:szCs w:val="24"/>
        </w:rPr>
        <w:t>35,</w:t>
      </w:r>
      <w:r w:rsidR="00687225" w:rsidRPr="0018524B">
        <w:rPr>
          <w:rFonts w:ascii="Times New Roman" w:hAnsi="Times New Roman" w:cs="Times New Roman"/>
          <w:sz w:val="24"/>
          <w:szCs w:val="24"/>
        </w:rPr>
        <w:t xml:space="preserve"> z późn. zm.) nie przewidują nabycia obywatelstwa polskiego lub prawa do pobytu na terytorium Rzeczypospolitej Polskiej w zamian za transfery kapitałowe, nabycie </w:t>
      </w:r>
      <w:r w:rsidR="0058577C">
        <w:rPr>
          <w:rFonts w:ascii="Times New Roman" w:hAnsi="Times New Roman" w:cs="Times New Roman"/>
          <w:sz w:val="24"/>
          <w:szCs w:val="24"/>
        </w:rPr>
        <w:t>nieruchomości</w:t>
      </w:r>
      <w:r w:rsidR="0058577C" w:rsidRPr="0018524B">
        <w:rPr>
          <w:rFonts w:ascii="Times New Roman" w:hAnsi="Times New Roman" w:cs="Times New Roman"/>
          <w:sz w:val="24"/>
          <w:szCs w:val="24"/>
        </w:rPr>
        <w:t xml:space="preserve"> </w:t>
      </w:r>
      <w:r w:rsidR="00687225" w:rsidRPr="0018524B">
        <w:rPr>
          <w:rFonts w:ascii="Times New Roman" w:hAnsi="Times New Roman" w:cs="Times New Roman"/>
          <w:sz w:val="24"/>
          <w:szCs w:val="24"/>
        </w:rPr>
        <w:t xml:space="preserve">lub obligacji skarbowych </w:t>
      </w:r>
      <w:r w:rsidR="0058577C">
        <w:rPr>
          <w:rFonts w:ascii="Times New Roman" w:hAnsi="Times New Roman" w:cs="Times New Roman"/>
          <w:sz w:val="24"/>
          <w:szCs w:val="24"/>
        </w:rPr>
        <w:t>lub</w:t>
      </w:r>
      <w:r w:rsidR="0058577C" w:rsidRPr="0018524B">
        <w:rPr>
          <w:rFonts w:ascii="Times New Roman" w:hAnsi="Times New Roman" w:cs="Times New Roman"/>
          <w:sz w:val="24"/>
          <w:szCs w:val="24"/>
        </w:rPr>
        <w:t xml:space="preserve"> </w:t>
      </w:r>
      <w:r w:rsidR="00687225" w:rsidRPr="0018524B">
        <w:rPr>
          <w:rFonts w:ascii="Times New Roman" w:hAnsi="Times New Roman" w:cs="Times New Roman"/>
          <w:sz w:val="24"/>
          <w:szCs w:val="24"/>
        </w:rPr>
        <w:t>inwestycje w podmioty o charakterze korporacyjnym</w:t>
      </w:r>
      <w:r w:rsidR="0058577C">
        <w:rPr>
          <w:rFonts w:ascii="Times New Roman" w:hAnsi="Times New Roman" w:cs="Times New Roman"/>
          <w:sz w:val="24"/>
          <w:szCs w:val="24"/>
        </w:rPr>
        <w:t>,</w:t>
      </w:r>
      <w:r w:rsidR="00687225" w:rsidRPr="0018524B">
        <w:rPr>
          <w:rFonts w:ascii="Times New Roman" w:hAnsi="Times New Roman" w:cs="Times New Roman"/>
          <w:sz w:val="24"/>
          <w:szCs w:val="24"/>
        </w:rPr>
        <w:t xml:space="preserve"> jest to dopuszczalne na podstawie przepisów niektórych państw członkowskich Unii Europejskiej</w:t>
      </w:r>
      <w:r w:rsidR="00990368" w:rsidRPr="0018524B">
        <w:rPr>
          <w:rFonts w:ascii="Times New Roman" w:hAnsi="Times New Roman" w:cs="Times New Roman"/>
          <w:sz w:val="24"/>
          <w:szCs w:val="24"/>
        </w:rPr>
        <w:t xml:space="preserve">, w związku z czym prawidłowa implementacja przepisów dyrektywy 2018/843 wymaga rozszerzenia katalogu przypadków przewidzianego w art. 43 ust. 2 p.p.p.f.t. </w:t>
      </w:r>
      <w:r w:rsidR="00F457EC">
        <w:rPr>
          <w:rFonts w:ascii="Times New Roman" w:hAnsi="Times New Roman" w:cs="Times New Roman"/>
          <w:sz w:val="24"/>
          <w:szCs w:val="24"/>
        </w:rPr>
        <w:t xml:space="preserve">W związku z </w:t>
      </w:r>
      <w:r w:rsidR="00F457EC">
        <w:rPr>
          <w:rFonts w:ascii="Times New Roman" w:hAnsi="Times New Roman" w:cs="Times New Roman"/>
          <w:sz w:val="24"/>
          <w:szCs w:val="24"/>
        </w:rPr>
        <w:lastRenderedPageBreak/>
        <w:t>powyższym zgodnie z art. 43 ust. 2 pkt 12 p.p.p.f.t. o</w:t>
      </w:r>
      <w:r w:rsidR="00F457EC" w:rsidRPr="00E67CE2">
        <w:rPr>
          <w:rFonts w:ascii="Times New Roman" w:hAnsi="Times New Roman" w:cs="Times New Roman"/>
          <w:sz w:val="24"/>
          <w:szCs w:val="24"/>
        </w:rPr>
        <w:t xml:space="preserve"> wyższym ryzyku prania pieniędzy oraz finansowania terroryzmu może świadczyć w szczególności:</w:t>
      </w:r>
      <w:r w:rsidR="00F457EC">
        <w:rPr>
          <w:rFonts w:ascii="Times New Roman" w:hAnsi="Times New Roman" w:cs="Times New Roman"/>
          <w:sz w:val="24"/>
          <w:szCs w:val="24"/>
        </w:rPr>
        <w:t xml:space="preserve"> </w:t>
      </w:r>
      <w:r w:rsidR="00F457EC" w:rsidRPr="00321A4A">
        <w:rPr>
          <w:rFonts w:ascii="Times New Roman" w:hAnsi="Times New Roman" w:cs="Times New Roman"/>
          <w:sz w:val="24"/>
          <w:szCs w:val="24"/>
        </w:rPr>
        <w:t>powiązanie stosunków gospodarczych lub transakcji okazjonalnej z klientem będącym obywatelem państwa trzeciego i ubiegającym się o prawo pobytu lub obywatelstwo w państwie członkowskim w zamian za transfery kapitałowe, nabycie nieruchomości lub obligacji skarbowych lub</w:t>
      </w:r>
      <w:r w:rsidR="00F457EC">
        <w:rPr>
          <w:rFonts w:ascii="Times New Roman" w:hAnsi="Times New Roman" w:cs="Times New Roman"/>
          <w:sz w:val="24"/>
          <w:szCs w:val="24"/>
        </w:rPr>
        <w:t xml:space="preserve"> </w:t>
      </w:r>
      <w:r w:rsidR="00F457EC" w:rsidRPr="00321A4A">
        <w:rPr>
          <w:rFonts w:ascii="Times New Roman" w:hAnsi="Times New Roman" w:cs="Times New Roman"/>
          <w:sz w:val="24"/>
          <w:szCs w:val="24"/>
        </w:rPr>
        <w:t>inwestycje w podmioty o charakterze korporacyjnym w danym państwie członkowskim</w:t>
      </w:r>
      <w:r w:rsidR="00F457EC">
        <w:rPr>
          <w:rFonts w:ascii="Times New Roman" w:hAnsi="Times New Roman" w:cs="Times New Roman"/>
          <w:sz w:val="24"/>
          <w:szCs w:val="24"/>
        </w:rPr>
        <w:t>.</w:t>
      </w:r>
    </w:p>
    <w:p w14:paraId="20F6E089" w14:textId="37D180E0" w:rsidR="00283BB3" w:rsidRPr="0018524B" w:rsidRDefault="006D77F6"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W ramach nowelizacji art. 43 ust. 2 ustawy o p.p.p.f.t. zasadne jest ponadto dodanie lit. c do pkt 2, wskazującej, iż o wyższym ryzyku prania pieniędzy oraz finansowania terroryzmu świadczyć może fakt, iż klient jest rezydentem jednego z państw o których mowa w pkt 10 tego przepisu. </w:t>
      </w:r>
      <w:r w:rsidR="00700AE0" w:rsidRPr="0018524B">
        <w:rPr>
          <w:rFonts w:ascii="Times New Roman" w:hAnsi="Times New Roman" w:cs="Times New Roman"/>
          <w:sz w:val="24"/>
          <w:szCs w:val="24"/>
        </w:rPr>
        <w:t>Konieczność uwzględnienia faktu pochodzenia klienta z jednego z państw wymienionych w art. 43 ust. 2 pkt 10 ustawy o p.p.p.f.t. jako okoliczności mogącej wskazywać na wyższe ryzyko prania pieniędzy oraz finansowania terroryzmu, wynika z pkt 1 lit. b załącznika nr III do dyrektywy 2015/849.</w:t>
      </w:r>
      <w:r w:rsidR="003D7448" w:rsidRPr="0018524B">
        <w:rPr>
          <w:rFonts w:ascii="Times New Roman" w:hAnsi="Times New Roman" w:cs="Times New Roman"/>
          <w:sz w:val="24"/>
          <w:szCs w:val="24"/>
        </w:rPr>
        <w:t xml:space="preserve"> </w:t>
      </w:r>
      <w:r w:rsidRPr="0018524B">
        <w:rPr>
          <w:rFonts w:ascii="Times New Roman" w:hAnsi="Times New Roman" w:cs="Times New Roman"/>
          <w:sz w:val="24"/>
          <w:szCs w:val="24"/>
        </w:rPr>
        <w:t xml:space="preserve">Zasadniczo przesłanka uznania </w:t>
      </w:r>
      <w:r w:rsidR="00700AE0" w:rsidRPr="0018524B">
        <w:rPr>
          <w:rFonts w:ascii="Times New Roman" w:hAnsi="Times New Roman" w:cs="Times New Roman"/>
          <w:sz w:val="24"/>
          <w:szCs w:val="24"/>
        </w:rPr>
        <w:t xml:space="preserve">transakcji z udziałem klienta będącego rezydentem państwa o którym mowa w pkt 10 tego przepisu, wynika z samej treści pkt 10, odnoszącego się do powiązania stosunków gospodarczych z takim państwem, czyli pośrednio z klientami będącymi rezydentami takiego państwa. </w:t>
      </w:r>
      <w:r w:rsidR="00283BB3" w:rsidRPr="0018524B">
        <w:rPr>
          <w:rFonts w:ascii="Times New Roman" w:hAnsi="Times New Roman" w:cs="Times New Roman"/>
          <w:sz w:val="24"/>
          <w:szCs w:val="24"/>
        </w:rPr>
        <w:t>Niemniej w celu zapewnienia prawidłowego i pełnego stosowania przepisów ustawy przez instytucje obowiązane, dążąc jednocześnie do zapewnienia spójności przepisów prawa polskiego z prawem unijnym, zasadne jest sprecyzowanie przepisów poprzez odniesienie się wprost w art. 43 ust. 2 pkt 2 ustawy o p.p.p.f.t. do klienta instytucji obowiązanej będącego rezydentem jednego z państw o których mowa w pkt 10 omawianego przepisu.</w:t>
      </w:r>
    </w:p>
    <w:p w14:paraId="10EE130C" w14:textId="2319B582" w:rsidR="0056115B" w:rsidRPr="0018524B" w:rsidRDefault="00823ABA"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W odniesieniu do całości zmian wprowadzonych nowelizacją art. 43 ust. 2 ustawy o p.p.p.f.t. należy wskazać, iż okoliczności przytoczone w tym przepisie mają być uwzględniane przez instytucje obowiązane podczas stosowania środków bezpieczeństwa finansowego wobec klientów. Podkreślić należy, iż </w:t>
      </w:r>
      <w:r w:rsidR="009C207B" w:rsidRPr="0018524B">
        <w:rPr>
          <w:rFonts w:ascii="Times New Roman" w:hAnsi="Times New Roman" w:cs="Times New Roman"/>
          <w:sz w:val="24"/>
          <w:szCs w:val="24"/>
        </w:rPr>
        <w:t xml:space="preserve">wystąpienie </w:t>
      </w:r>
      <w:r w:rsidRPr="0018524B">
        <w:rPr>
          <w:rFonts w:ascii="Times New Roman" w:hAnsi="Times New Roman" w:cs="Times New Roman"/>
          <w:sz w:val="24"/>
          <w:szCs w:val="24"/>
        </w:rPr>
        <w:t>okoliczności wymienionych w art. 43 ust. 2</w:t>
      </w:r>
      <w:r w:rsidR="009C207B" w:rsidRPr="0018524B">
        <w:rPr>
          <w:rFonts w:ascii="Times New Roman" w:hAnsi="Times New Roman" w:cs="Times New Roman"/>
          <w:sz w:val="24"/>
          <w:szCs w:val="24"/>
        </w:rPr>
        <w:t xml:space="preserve"> nie świadczy automatycznie o wyższym ryzyku prania pieniędzy oraz finansowania terroryzmu, przykładowo zatem obrót przez klienta instytucji obowiązanej jednym z towarów wymienionych w art. 43 ust. 2 pkt 11, nie świadczy automatycznie o wyższym ryzyku prania pieniędzy lub finansowania terroryzmu przez taki podmiot. </w:t>
      </w:r>
    </w:p>
    <w:p w14:paraId="3BE590B8" w14:textId="77777777" w:rsidR="00241168" w:rsidRPr="0018524B" w:rsidRDefault="00241168"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Zmiany redakcji art. 18 ust. 2 dyrektywy 2015/849 wprowadzone przez art. 1 pkt 10 lit. b dyrektywy 2018/843 nie modyfikują w sposób zasadniczy treści normatywnej tego przepisu, który został transponowany do krajowego porządku prawnego w </w:t>
      </w:r>
      <w:r w:rsidRPr="0018524B">
        <w:rPr>
          <w:rFonts w:ascii="Times New Roman" w:hAnsi="Times New Roman" w:cs="Times New Roman"/>
          <w:b/>
          <w:sz w:val="24"/>
          <w:szCs w:val="24"/>
        </w:rPr>
        <w:t>art. 43 ust. 4 ustawy o p.p.p.f.t.</w:t>
      </w:r>
      <w:r w:rsidRPr="0018524B">
        <w:rPr>
          <w:rFonts w:ascii="Times New Roman" w:hAnsi="Times New Roman" w:cs="Times New Roman"/>
          <w:sz w:val="24"/>
          <w:szCs w:val="24"/>
        </w:rPr>
        <w:t xml:space="preserve"> Nowa redakcja przedmiotowego przepisu ustawy również w sposób zasadniczy nie </w:t>
      </w:r>
      <w:r w:rsidRPr="0018524B">
        <w:rPr>
          <w:rFonts w:ascii="Times New Roman" w:hAnsi="Times New Roman" w:cs="Times New Roman"/>
          <w:sz w:val="24"/>
          <w:szCs w:val="24"/>
        </w:rPr>
        <w:lastRenderedPageBreak/>
        <w:t>zmienia obowiązków nałożonych na instytucje obowiązane w związku z ujawnieniem transakcji o właściwościach wskazanych w tym przepisie. W celu zapewnienia przepisowi art. 43 ust. 4 ustawy o p.p.p.f.t. większej klarowności, cechy transakcji, których ujawnienie wymaga podjęcia przez instytucje obowiązane określonych w tym artykule działań, zostały wskazane w odrębnych jednostkach redakcyjnych.</w:t>
      </w:r>
    </w:p>
    <w:p w14:paraId="70EDC85E" w14:textId="4E6F8C49" w:rsidR="00C34D49" w:rsidRPr="0018524B" w:rsidRDefault="00C34D49"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Dyrektywa 2018/843 wprowadziła do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y 2015/849 nowy artykuł 18a, stanowiący ramy wspólnej polityki państw członkowskich wobec państw trzecich wysokiego ryzyka. Znowelizowany </w:t>
      </w:r>
      <w:r w:rsidRPr="0018524B">
        <w:rPr>
          <w:rFonts w:ascii="Times New Roman" w:hAnsi="Times New Roman" w:cs="Times New Roman"/>
          <w:b/>
          <w:sz w:val="24"/>
          <w:szCs w:val="24"/>
        </w:rPr>
        <w:t>art. 44 ust. 1 ustawy o p.p.p.f.t.</w:t>
      </w:r>
      <w:r w:rsidRPr="0018524B">
        <w:rPr>
          <w:rFonts w:ascii="Times New Roman" w:hAnsi="Times New Roman" w:cs="Times New Roman"/>
          <w:sz w:val="24"/>
          <w:szCs w:val="24"/>
        </w:rPr>
        <w:t xml:space="preserve"> ma na celu dostosowanie prawa krajowego do wymogów art. 18a ust. 1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y, wskazując katalog działań podejmowanych przez instytucje obowiązane w przypadku </w:t>
      </w:r>
      <w:r w:rsidR="00131FDA" w:rsidRPr="0018524B">
        <w:rPr>
          <w:rFonts w:ascii="Times New Roman" w:hAnsi="Times New Roman" w:cs="Times New Roman"/>
          <w:sz w:val="24"/>
          <w:szCs w:val="24"/>
        </w:rPr>
        <w:t xml:space="preserve">nawiązania </w:t>
      </w:r>
      <w:r w:rsidRPr="0018524B">
        <w:rPr>
          <w:rFonts w:ascii="Times New Roman" w:hAnsi="Times New Roman" w:cs="Times New Roman"/>
          <w:sz w:val="24"/>
          <w:szCs w:val="24"/>
        </w:rPr>
        <w:t xml:space="preserve">stosunków gospodarczych lub </w:t>
      </w:r>
      <w:r w:rsidR="00131FDA" w:rsidRPr="0018524B">
        <w:rPr>
          <w:rFonts w:ascii="Times New Roman" w:hAnsi="Times New Roman" w:cs="Times New Roman"/>
          <w:sz w:val="24"/>
          <w:szCs w:val="24"/>
        </w:rPr>
        <w:t xml:space="preserve">przeprowadzenia </w:t>
      </w:r>
      <w:r w:rsidRPr="0018524B">
        <w:rPr>
          <w:rFonts w:ascii="Times New Roman" w:hAnsi="Times New Roman" w:cs="Times New Roman"/>
          <w:sz w:val="24"/>
          <w:szCs w:val="24"/>
        </w:rPr>
        <w:t xml:space="preserve">transakcji </w:t>
      </w:r>
      <w:r w:rsidR="00131FDA" w:rsidRPr="0018524B">
        <w:rPr>
          <w:rFonts w:ascii="Times New Roman" w:hAnsi="Times New Roman" w:cs="Times New Roman"/>
          <w:sz w:val="24"/>
          <w:szCs w:val="24"/>
        </w:rPr>
        <w:t xml:space="preserve">związanej </w:t>
      </w:r>
      <w:r w:rsidRPr="0018524B">
        <w:rPr>
          <w:rFonts w:ascii="Times New Roman" w:hAnsi="Times New Roman" w:cs="Times New Roman"/>
          <w:sz w:val="24"/>
          <w:szCs w:val="24"/>
        </w:rPr>
        <w:t>z państwem trzecim wysokiego ryzyka. Zgodnie z tym przepisem, każdorazowo gdy stosunki gospodarcze lub pojedyncza transakcja będą miały jakiekolwiek powiązanie z państwem trzecim wysokiego ryzyka</w:t>
      </w:r>
      <w:r w:rsidR="00900957" w:rsidRPr="0018524B">
        <w:t xml:space="preserve"> </w:t>
      </w:r>
      <w:r w:rsidR="00900957" w:rsidRPr="0018524B">
        <w:rPr>
          <w:rFonts w:ascii="Times New Roman" w:hAnsi="Times New Roman" w:cs="Times New Roman"/>
          <w:sz w:val="24"/>
          <w:szCs w:val="24"/>
        </w:rPr>
        <w:t>zidentyfikowanym przez Komisję Europejską w akcie delegowanym przyjętym na podstawie art. 9 dyrektywy 2015/849</w:t>
      </w:r>
      <w:r w:rsidRPr="0018524B">
        <w:rPr>
          <w:rFonts w:ascii="Times New Roman" w:hAnsi="Times New Roman" w:cs="Times New Roman"/>
          <w:sz w:val="24"/>
          <w:szCs w:val="24"/>
        </w:rPr>
        <w:t xml:space="preserve">, instytucje obowiązane będą musiały podjąć działania wyszczególnione w punktach od 1 do </w:t>
      </w:r>
      <w:r w:rsidR="0072366B">
        <w:rPr>
          <w:rFonts w:ascii="Times New Roman" w:hAnsi="Times New Roman" w:cs="Times New Roman"/>
          <w:sz w:val="24"/>
          <w:szCs w:val="24"/>
        </w:rPr>
        <w:t>5</w:t>
      </w:r>
      <w:r w:rsidRPr="0018524B">
        <w:rPr>
          <w:rFonts w:ascii="Times New Roman" w:hAnsi="Times New Roman" w:cs="Times New Roman"/>
          <w:sz w:val="24"/>
          <w:szCs w:val="24"/>
        </w:rPr>
        <w:t xml:space="preserve"> ustępu 1. Zauważyć należy, iż nowelizowany art. 44 ust. 1 w pkt 1</w:t>
      </w:r>
      <w:r w:rsidR="00C6045B">
        <w:rPr>
          <w:rFonts w:ascii="Times New Roman" w:hAnsi="Times New Roman" w:cs="Times New Roman"/>
          <w:sz w:val="24"/>
          <w:szCs w:val="24"/>
        </w:rPr>
        <w:t>–</w:t>
      </w:r>
      <w:r w:rsidR="0072366B">
        <w:rPr>
          <w:rFonts w:ascii="Times New Roman" w:hAnsi="Times New Roman" w:cs="Times New Roman"/>
          <w:sz w:val="24"/>
          <w:szCs w:val="24"/>
        </w:rPr>
        <w:t>5</w:t>
      </w:r>
      <w:r w:rsidRPr="0018524B">
        <w:rPr>
          <w:rFonts w:ascii="Times New Roman" w:hAnsi="Times New Roman" w:cs="Times New Roman"/>
          <w:sz w:val="24"/>
          <w:szCs w:val="24"/>
        </w:rPr>
        <w:t xml:space="preserve"> wprost implementuje postanowienia art. 18a ust. 1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y, co zmierza do zapewnienia skutecznych metod zabezpieczania krajowego systemu finansowego przed działaniami podmiotów z państw trzecich wysokiego ryzyka, usiłujących wykorzystać krajowe instytucje obowiązane w procederze prania pieniędzy lub finansowania terroryzmu.</w:t>
      </w:r>
      <w:r w:rsidR="00564B0D">
        <w:rPr>
          <w:rFonts w:ascii="Times New Roman" w:hAnsi="Times New Roman" w:cs="Times New Roman"/>
          <w:sz w:val="24"/>
          <w:szCs w:val="24"/>
        </w:rPr>
        <w:t xml:space="preserve"> </w:t>
      </w:r>
      <w:r w:rsidR="00564B0D" w:rsidRPr="00C4734B">
        <w:rPr>
          <w:rFonts w:ascii="Times New Roman" w:hAnsi="Times New Roman" w:cs="Times New Roman"/>
          <w:sz w:val="24"/>
          <w:szCs w:val="24"/>
        </w:rPr>
        <w:t>Jednym z działań, które mogą zostać podjęte przez instytucję obowiązaną w celu ograniczenia ryzyka prania pieniędzy lub finansowania terroryzmu wynikającego ze stosunków gospodarczych lub transakcji związanych z państwem trzecim wysokiego ryzyka, zidentyfikowanym przez Komisję Europejską w akcie delegowanym przyjętym na podstawie art. 9 dyrektywy 2015/849 jest uzyskanie dodatkowych informacji m.in. o kliencie, jego beneficjencie rzeczywistym, czy o przyczynach i okolicznościach zamierzonych lub przeprowadzonych transakcji. W związku z</w:t>
      </w:r>
      <w:r w:rsidR="00C6045B">
        <w:rPr>
          <w:rFonts w:ascii="Times New Roman" w:hAnsi="Times New Roman" w:cs="Times New Roman"/>
          <w:sz w:val="24"/>
          <w:szCs w:val="24"/>
        </w:rPr>
        <w:t xml:space="preserve"> </w:t>
      </w:r>
      <w:r w:rsidR="00564B0D" w:rsidRPr="00C4734B">
        <w:rPr>
          <w:rFonts w:ascii="Times New Roman" w:hAnsi="Times New Roman" w:cs="Times New Roman"/>
          <w:sz w:val="24"/>
          <w:szCs w:val="24"/>
        </w:rPr>
        <w:t>charakterem stosowanych wobec klienta przez instytucję obowiązaną środków bezpieczeństwa finansowego nie jest wskazane ustalenie zamkniętego katalogu dodatkowych informacji. W zależność od konkretnego stanu faktycznego</w:t>
      </w:r>
      <w:r w:rsidR="00C6045B">
        <w:rPr>
          <w:rFonts w:ascii="Times New Roman" w:hAnsi="Times New Roman" w:cs="Times New Roman"/>
          <w:sz w:val="24"/>
          <w:szCs w:val="24"/>
        </w:rPr>
        <w:t xml:space="preserve"> </w:t>
      </w:r>
      <w:r w:rsidR="00564B0D" w:rsidRPr="00C4734B">
        <w:rPr>
          <w:rFonts w:ascii="Times New Roman" w:hAnsi="Times New Roman" w:cs="Times New Roman"/>
          <w:sz w:val="24"/>
          <w:szCs w:val="24"/>
        </w:rPr>
        <w:t>mogą to być informacje różnego rodzaju. W zależności od rozpoznanego ryzyka ilość i rodzaje informacji jest zmienna i zależy od intensywności stosowania przez instytucję środków bezpieczeństwa finansowego. Poczynione wyjaśnienia dotyczące zakresu dodatkowych informacji, których uzyskanie pozwoli na skuteczne ograniczenie wysokiego ryzyka prania pieniędzy oraz finansowania terroryzmu zachowują swoją aktualność również w odniesieniu do art. 44a ust. 1ustawy o p.p.p.f.t.</w:t>
      </w:r>
    </w:p>
    <w:p w14:paraId="6D2CC312" w14:textId="3BCCEBB3" w:rsidR="00C34D49" w:rsidRPr="0018524B" w:rsidRDefault="00C34D49" w:rsidP="00C81472">
      <w:pPr>
        <w:spacing w:line="400" w:lineRule="atLeast"/>
        <w:jc w:val="both"/>
        <w:rPr>
          <w:rFonts w:ascii="Times New Roman" w:hAnsi="Times New Roman" w:cs="Times New Roman"/>
          <w:sz w:val="24"/>
          <w:szCs w:val="24"/>
        </w:rPr>
      </w:pPr>
      <w:r w:rsidRPr="0018524B">
        <w:rPr>
          <w:rFonts w:ascii="Times New Roman" w:hAnsi="Times New Roman" w:cs="Times New Roman"/>
          <w:b/>
          <w:sz w:val="24"/>
          <w:szCs w:val="24"/>
        </w:rPr>
        <w:lastRenderedPageBreak/>
        <w:t>Art. 44a</w:t>
      </w:r>
      <w:r w:rsidR="00616FBC" w:rsidRPr="0018524B">
        <w:rPr>
          <w:rFonts w:ascii="Times New Roman" w:hAnsi="Times New Roman" w:cs="Times New Roman"/>
          <w:sz w:val="24"/>
          <w:szCs w:val="24"/>
        </w:rPr>
        <w:t xml:space="preserve"> </w:t>
      </w:r>
      <w:r w:rsidR="00616FBC" w:rsidRPr="0018524B">
        <w:rPr>
          <w:rFonts w:ascii="Times New Roman" w:hAnsi="Times New Roman" w:cs="Times New Roman"/>
          <w:b/>
          <w:sz w:val="24"/>
          <w:szCs w:val="24"/>
        </w:rPr>
        <w:t>ustawy o p.p.p.f.t.</w:t>
      </w:r>
      <w:r w:rsidR="00C6045B">
        <w:rPr>
          <w:rFonts w:ascii="Times New Roman" w:hAnsi="Times New Roman" w:cs="Times New Roman"/>
          <w:sz w:val="24"/>
          <w:szCs w:val="24"/>
        </w:rPr>
        <w:t xml:space="preserve"> </w:t>
      </w:r>
      <w:r w:rsidRPr="0018524B">
        <w:rPr>
          <w:rFonts w:ascii="Times New Roman" w:hAnsi="Times New Roman" w:cs="Times New Roman"/>
          <w:sz w:val="24"/>
          <w:szCs w:val="24"/>
        </w:rPr>
        <w:t>wprowadza obowiązek zastosowania przez instytucje obowiązane co najmniej jednego działania spośród wymienionych w punktach 1</w:t>
      </w:r>
      <w:r w:rsidR="00C6045B">
        <w:rPr>
          <w:rFonts w:ascii="Times New Roman" w:hAnsi="Times New Roman" w:cs="Times New Roman"/>
          <w:sz w:val="24"/>
          <w:szCs w:val="24"/>
        </w:rPr>
        <w:t>–</w:t>
      </w:r>
      <w:r w:rsidRPr="0018524B">
        <w:rPr>
          <w:rFonts w:ascii="Times New Roman" w:hAnsi="Times New Roman" w:cs="Times New Roman"/>
          <w:sz w:val="24"/>
          <w:szCs w:val="24"/>
        </w:rPr>
        <w:t xml:space="preserve">3 tego artykułu, w każdej sytuacji przeprowadzania transakcji związanej z państwem trzecim wysokiego ryzyka </w:t>
      </w:r>
      <w:r w:rsidR="00241168" w:rsidRPr="0018524B">
        <w:rPr>
          <w:rFonts w:ascii="Times New Roman" w:hAnsi="Times New Roman" w:cs="Times New Roman"/>
          <w:sz w:val="24"/>
          <w:szCs w:val="24"/>
        </w:rPr>
        <w:t>zidentyfikowanym przez Komisję Europejską w akcie delegowanym przyjętym na podstawie art. 9 dyrektywy 2015/849</w:t>
      </w:r>
      <w:r w:rsidRPr="0018524B">
        <w:rPr>
          <w:rFonts w:ascii="Times New Roman" w:hAnsi="Times New Roman" w:cs="Times New Roman"/>
          <w:sz w:val="24"/>
          <w:szCs w:val="24"/>
        </w:rPr>
        <w:t xml:space="preserve">. Wybór działania właściwego w danej sytuacji pozostawiony zostanie instytucji obowiązanej przeprowadzającej transakcję związaną z państwem trzecim wysokiego ryzyka. Instytucja obowiązana będzie mogła zdecydować o zastosowaniu wybranego działania, jak również będzie miała prawo do zastosowania wszystkich działań wymienionych w tym artykule. </w:t>
      </w:r>
      <w:r w:rsidR="000A407B">
        <w:rPr>
          <w:rFonts w:ascii="Times New Roman" w:hAnsi="Times New Roman" w:cs="Times New Roman"/>
          <w:sz w:val="24"/>
          <w:szCs w:val="24"/>
        </w:rPr>
        <w:t>I</w:t>
      </w:r>
      <w:r w:rsidR="000A407B" w:rsidRPr="00F32B31">
        <w:rPr>
          <w:rFonts w:ascii="Times New Roman" w:hAnsi="Times New Roman" w:cs="Times New Roman"/>
          <w:sz w:val="24"/>
          <w:szCs w:val="24"/>
        </w:rPr>
        <w:t xml:space="preserve">nstytucje obowiązane </w:t>
      </w:r>
      <w:r w:rsidR="000A407B">
        <w:rPr>
          <w:rFonts w:ascii="Times New Roman" w:hAnsi="Times New Roman" w:cs="Times New Roman"/>
          <w:sz w:val="24"/>
          <w:szCs w:val="24"/>
        </w:rPr>
        <w:t>rozpoczną s</w:t>
      </w:r>
      <w:r w:rsidR="007F63A1" w:rsidRPr="00F32B31">
        <w:rPr>
          <w:rFonts w:ascii="Times New Roman" w:hAnsi="Times New Roman" w:cs="Times New Roman"/>
          <w:sz w:val="24"/>
          <w:szCs w:val="24"/>
        </w:rPr>
        <w:t>tosowanie działań ograniczających ryzyko</w:t>
      </w:r>
      <w:r w:rsidR="000A407B">
        <w:rPr>
          <w:rFonts w:ascii="Times New Roman" w:hAnsi="Times New Roman" w:cs="Times New Roman"/>
          <w:sz w:val="24"/>
          <w:szCs w:val="24"/>
        </w:rPr>
        <w:t>, wskazanych w art. 44a ustawy o p.p.p.f.t.</w:t>
      </w:r>
      <w:r w:rsidR="007F63A1" w:rsidRPr="00F32B31">
        <w:rPr>
          <w:rFonts w:ascii="Times New Roman" w:hAnsi="Times New Roman" w:cs="Times New Roman"/>
          <w:sz w:val="24"/>
          <w:szCs w:val="24"/>
        </w:rPr>
        <w:t>, od</w:t>
      </w:r>
      <w:r w:rsidR="000A407B">
        <w:rPr>
          <w:rFonts w:ascii="Times New Roman" w:hAnsi="Times New Roman" w:cs="Times New Roman"/>
          <w:sz w:val="24"/>
          <w:szCs w:val="24"/>
        </w:rPr>
        <w:t xml:space="preserve"> wejścia w życie tego przepisu.</w:t>
      </w:r>
      <w:r w:rsidR="007F63A1" w:rsidRPr="00F32B31">
        <w:rPr>
          <w:rFonts w:ascii="Times New Roman" w:hAnsi="Times New Roman" w:cs="Times New Roman"/>
          <w:sz w:val="24"/>
          <w:szCs w:val="24"/>
        </w:rPr>
        <w:t xml:space="preserve"> </w:t>
      </w:r>
      <w:r w:rsidR="005B39B0">
        <w:rPr>
          <w:rFonts w:ascii="Times New Roman" w:hAnsi="Times New Roman" w:cs="Times New Roman"/>
          <w:sz w:val="24"/>
          <w:szCs w:val="24"/>
        </w:rPr>
        <w:t>W odniesieniu do obowiązków wprowadzanych w omawianym przepisie nie zachodzi potrzeba wprowadzenia</w:t>
      </w:r>
      <w:r w:rsidR="007F63A1">
        <w:rPr>
          <w:rFonts w:ascii="Times New Roman" w:hAnsi="Times New Roman" w:cs="Times New Roman"/>
          <w:sz w:val="24"/>
          <w:szCs w:val="24"/>
        </w:rPr>
        <w:t xml:space="preserve"> </w:t>
      </w:r>
      <w:r w:rsidR="007F63A1" w:rsidRPr="0018524B">
        <w:rPr>
          <w:rFonts w:ascii="Times New Roman" w:hAnsi="Times New Roman" w:cs="Times New Roman"/>
          <w:sz w:val="24"/>
          <w:szCs w:val="24"/>
        </w:rPr>
        <w:t>przepisów przejściowych</w:t>
      </w:r>
      <w:r w:rsidR="007F63A1">
        <w:rPr>
          <w:rFonts w:ascii="Times New Roman" w:hAnsi="Times New Roman" w:cs="Times New Roman"/>
          <w:sz w:val="24"/>
          <w:szCs w:val="24"/>
        </w:rPr>
        <w:t>.</w:t>
      </w:r>
    </w:p>
    <w:p w14:paraId="69446C5E" w14:textId="553DCD55" w:rsidR="00CC6C5A" w:rsidRPr="0018524B" w:rsidRDefault="000C1901"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Art. 18a ust. 3 dyrektywy 2015/849</w:t>
      </w:r>
      <w:r w:rsidR="00F07DBC" w:rsidRPr="0018524B">
        <w:rPr>
          <w:rFonts w:ascii="Times New Roman" w:hAnsi="Times New Roman" w:cs="Times New Roman"/>
          <w:sz w:val="24"/>
          <w:szCs w:val="24"/>
        </w:rPr>
        <w:t>,</w:t>
      </w:r>
      <w:r w:rsidRPr="0018524B">
        <w:rPr>
          <w:rFonts w:ascii="Times New Roman" w:hAnsi="Times New Roman" w:cs="Times New Roman"/>
          <w:sz w:val="24"/>
          <w:szCs w:val="24"/>
        </w:rPr>
        <w:t xml:space="preserve"> </w:t>
      </w:r>
      <w:r w:rsidR="00F07DBC" w:rsidRPr="0018524B">
        <w:rPr>
          <w:rFonts w:ascii="Times New Roman" w:hAnsi="Times New Roman" w:cs="Times New Roman"/>
          <w:sz w:val="24"/>
          <w:szCs w:val="24"/>
        </w:rPr>
        <w:t>dodany</w:t>
      </w:r>
      <w:r w:rsidR="00C6045B">
        <w:rPr>
          <w:rFonts w:ascii="Times New Roman" w:hAnsi="Times New Roman" w:cs="Times New Roman"/>
          <w:sz w:val="24"/>
          <w:szCs w:val="24"/>
        </w:rPr>
        <w:t xml:space="preserve"> </w:t>
      </w:r>
      <w:r w:rsidRPr="0018524B">
        <w:rPr>
          <w:rFonts w:ascii="Times New Roman" w:hAnsi="Times New Roman" w:cs="Times New Roman"/>
          <w:sz w:val="24"/>
          <w:szCs w:val="24"/>
        </w:rPr>
        <w:t>dyrektyw</w:t>
      </w:r>
      <w:r w:rsidR="00F07DBC" w:rsidRPr="0018524B">
        <w:rPr>
          <w:rFonts w:ascii="Times New Roman" w:hAnsi="Times New Roman" w:cs="Times New Roman"/>
          <w:sz w:val="24"/>
          <w:szCs w:val="24"/>
        </w:rPr>
        <w:t>ą</w:t>
      </w:r>
      <w:r w:rsidRPr="0018524B">
        <w:rPr>
          <w:rFonts w:ascii="Times New Roman" w:hAnsi="Times New Roman" w:cs="Times New Roman"/>
          <w:sz w:val="24"/>
          <w:szCs w:val="24"/>
        </w:rPr>
        <w:t xml:space="preserve"> 2018/843 wymienia działania jakie mogą zostać podjęte wobec państw trzecich wysokiego ryzyka zidentyfikowanych zgodnie z art. 9 ust. 2 dyrektywy 2015/849. Przepis przewiduje zastosowanie co najmniej jednego spośród wymienionych działań, w związku z czym </w:t>
      </w:r>
      <w:r w:rsidR="000D4D8F" w:rsidRPr="0018524B">
        <w:rPr>
          <w:rFonts w:ascii="Times New Roman" w:hAnsi="Times New Roman" w:cs="Times New Roman"/>
          <w:sz w:val="24"/>
          <w:szCs w:val="24"/>
        </w:rPr>
        <w:t xml:space="preserve">projektodawca zaproponował wprowadzenie </w:t>
      </w:r>
      <w:r w:rsidRPr="0018524B">
        <w:rPr>
          <w:rFonts w:ascii="Times New Roman" w:hAnsi="Times New Roman" w:cs="Times New Roman"/>
          <w:b/>
          <w:sz w:val="24"/>
          <w:szCs w:val="24"/>
        </w:rPr>
        <w:t>art. 44b</w:t>
      </w:r>
      <w:r w:rsidR="00C6045B">
        <w:rPr>
          <w:rFonts w:ascii="Times New Roman" w:hAnsi="Times New Roman" w:cs="Times New Roman"/>
          <w:b/>
          <w:sz w:val="24"/>
          <w:szCs w:val="24"/>
        </w:rPr>
        <w:t>–</w:t>
      </w:r>
      <w:r w:rsidRPr="0018524B">
        <w:rPr>
          <w:rFonts w:ascii="Times New Roman" w:hAnsi="Times New Roman" w:cs="Times New Roman"/>
          <w:b/>
          <w:sz w:val="24"/>
          <w:szCs w:val="24"/>
        </w:rPr>
        <w:t>44</w:t>
      </w:r>
      <w:r w:rsidR="00A86A47" w:rsidRPr="0018524B">
        <w:rPr>
          <w:rFonts w:ascii="Times New Roman" w:hAnsi="Times New Roman" w:cs="Times New Roman"/>
          <w:b/>
          <w:sz w:val="24"/>
          <w:szCs w:val="24"/>
        </w:rPr>
        <w:t>e</w:t>
      </w:r>
      <w:r w:rsidRPr="0018524B">
        <w:rPr>
          <w:rFonts w:ascii="Times New Roman" w:hAnsi="Times New Roman" w:cs="Times New Roman"/>
          <w:b/>
          <w:sz w:val="24"/>
          <w:szCs w:val="24"/>
        </w:rPr>
        <w:t xml:space="preserve"> ustawy o p.p.p.f.t.</w:t>
      </w:r>
      <w:r w:rsidRPr="0018524B">
        <w:rPr>
          <w:rFonts w:ascii="Times New Roman" w:hAnsi="Times New Roman" w:cs="Times New Roman"/>
          <w:sz w:val="24"/>
          <w:szCs w:val="24"/>
        </w:rPr>
        <w:t xml:space="preserve">, które </w:t>
      </w:r>
      <w:r w:rsidR="00417F7D" w:rsidRPr="0018524B">
        <w:rPr>
          <w:rFonts w:ascii="Times New Roman" w:hAnsi="Times New Roman" w:cs="Times New Roman"/>
          <w:sz w:val="24"/>
          <w:szCs w:val="24"/>
        </w:rPr>
        <w:t>implementują postan</w:t>
      </w:r>
      <w:r w:rsidRPr="0018524B">
        <w:rPr>
          <w:rFonts w:ascii="Times New Roman" w:hAnsi="Times New Roman" w:cs="Times New Roman"/>
          <w:sz w:val="24"/>
          <w:szCs w:val="24"/>
        </w:rPr>
        <w:t xml:space="preserve">owienia art. 18a ust. 3 lit. </w:t>
      </w:r>
      <w:r w:rsidR="00417F7D" w:rsidRPr="0018524B">
        <w:rPr>
          <w:rFonts w:ascii="Times New Roman" w:hAnsi="Times New Roman" w:cs="Times New Roman"/>
          <w:sz w:val="24"/>
          <w:szCs w:val="24"/>
        </w:rPr>
        <w:t xml:space="preserve">b, c oraz e </w:t>
      </w:r>
      <w:r w:rsidR="00CC6C5A" w:rsidRPr="0018524B">
        <w:rPr>
          <w:rFonts w:ascii="Times New Roman" w:hAnsi="Times New Roman" w:cs="Times New Roman"/>
          <w:sz w:val="24"/>
          <w:szCs w:val="24"/>
        </w:rPr>
        <w:t>d</w:t>
      </w:r>
      <w:r w:rsidR="00417F7D" w:rsidRPr="0018524B">
        <w:rPr>
          <w:rFonts w:ascii="Times New Roman" w:hAnsi="Times New Roman" w:cs="Times New Roman"/>
          <w:sz w:val="24"/>
          <w:szCs w:val="24"/>
        </w:rPr>
        <w:t xml:space="preserve">yrektywy 2015/849. </w:t>
      </w:r>
      <w:r w:rsidR="000D4D8F" w:rsidRPr="0018524B">
        <w:rPr>
          <w:rFonts w:ascii="Times New Roman" w:hAnsi="Times New Roman" w:cs="Times New Roman"/>
          <w:sz w:val="24"/>
          <w:szCs w:val="24"/>
        </w:rPr>
        <w:t xml:space="preserve">Projektowane rozwiązania nakładają nowe obowiązki na Generalnego Inspektora Informacji Finansowej, a także na Komisję Nadzoru Finansowego (w przypadku podmiotów nadzorowanych przez ten organ). </w:t>
      </w:r>
      <w:r w:rsidR="00417F7D" w:rsidRPr="0018524B">
        <w:rPr>
          <w:rFonts w:ascii="Times New Roman" w:hAnsi="Times New Roman" w:cs="Times New Roman"/>
          <w:sz w:val="24"/>
          <w:szCs w:val="24"/>
        </w:rPr>
        <w:t xml:space="preserve">Zgodnie z </w:t>
      </w:r>
      <w:r w:rsidR="00417F7D" w:rsidRPr="0018524B">
        <w:rPr>
          <w:rFonts w:ascii="Times New Roman" w:hAnsi="Times New Roman" w:cs="Times New Roman"/>
          <w:b/>
          <w:sz w:val="24"/>
          <w:szCs w:val="24"/>
        </w:rPr>
        <w:t>art. 44b ustawy o p.p.p.f.t.</w:t>
      </w:r>
      <w:r w:rsidR="00417F7D" w:rsidRPr="0018524B">
        <w:rPr>
          <w:rFonts w:ascii="Times New Roman" w:hAnsi="Times New Roman" w:cs="Times New Roman"/>
          <w:sz w:val="24"/>
          <w:szCs w:val="24"/>
        </w:rPr>
        <w:t>, Generalny Inspektor Informacji Finansowej</w:t>
      </w:r>
      <w:r w:rsidR="000D4D8F" w:rsidRPr="0018524B">
        <w:rPr>
          <w:rFonts w:ascii="Times New Roman" w:hAnsi="Times New Roman" w:cs="Times New Roman"/>
          <w:sz w:val="24"/>
          <w:szCs w:val="24"/>
        </w:rPr>
        <w:t xml:space="preserve"> albo Komisja Nadzoru Finansowego</w:t>
      </w:r>
      <w:r w:rsidR="00417F7D" w:rsidRPr="0018524B">
        <w:rPr>
          <w:rFonts w:ascii="Times New Roman" w:hAnsi="Times New Roman" w:cs="Times New Roman"/>
          <w:sz w:val="24"/>
          <w:szCs w:val="24"/>
        </w:rPr>
        <w:t xml:space="preserve"> będzie </w:t>
      </w:r>
      <w:r w:rsidR="00977CB2" w:rsidRPr="0018524B">
        <w:rPr>
          <w:rFonts w:ascii="Times New Roman" w:hAnsi="Times New Roman" w:cs="Times New Roman"/>
          <w:sz w:val="24"/>
          <w:szCs w:val="24"/>
        </w:rPr>
        <w:t xml:space="preserve">zobowiązana </w:t>
      </w:r>
      <w:r w:rsidR="00417F7D" w:rsidRPr="0018524B">
        <w:rPr>
          <w:rFonts w:ascii="Times New Roman" w:hAnsi="Times New Roman" w:cs="Times New Roman"/>
          <w:sz w:val="24"/>
          <w:szCs w:val="24"/>
        </w:rPr>
        <w:t>do dokonania oceny przedstawionych przez instytucje obowiązane rozwiązań zapewniających przestrzeganie przez ich oddziały lub przedstawicielstwa, obowiązków z zakresu przeciwdziałania praniu pieniędzy oraz finansowani</w:t>
      </w:r>
      <w:r w:rsidR="0072366B">
        <w:rPr>
          <w:rFonts w:ascii="Times New Roman" w:hAnsi="Times New Roman" w:cs="Times New Roman"/>
          <w:sz w:val="24"/>
          <w:szCs w:val="24"/>
        </w:rPr>
        <w:t>u</w:t>
      </w:r>
      <w:r w:rsidR="00417F7D" w:rsidRPr="0018524B">
        <w:rPr>
          <w:rFonts w:ascii="Times New Roman" w:hAnsi="Times New Roman" w:cs="Times New Roman"/>
          <w:sz w:val="24"/>
          <w:szCs w:val="24"/>
        </w:rPr>
        <w:t xml:space="preserve"> terroryzmu odpowiadających wymogom wynikającym z przepisów Unii Europejskiej</w:t>
      </w:r>
      <w:r w:rsidR="000D4D8F" w:rsidRPr="0018524B">
        <w:rPr>
          <w:rFonts w:ascii="Times New Roman" w:hAnsi="Times New Roman" w:cs="Times New Roman"/>
          <w:sz w:val="24"/>
          <w:szCs w:val="24"/>
        </w:rPr>
        <w:t>, przedłożonych wraz z wnioskiem o udzielenie zezwolenia na utworzenie takiego oddziału lub przedstawicielstwa</w:t>
      </w:r>
      <w:r w:rsidR="00417F7D" w:rsidRPr="0018524B">
        <w:rPr>
          <w:rFonts w:ascii="Times New Roman" w:hAnsi="Times New Roman" w:cs="Times New Roman"/>
          <w:sz w:val="24"/>
          <w:szCs w:val="24"/>
        </w:rPr>
        <w:t>. W przypadku ustalenia, że przedstawione rozwiązania nie zapewniają przestrzegania przez oddziały lub przedstawicielstwa obowiązków z zakresu przeciwdziałania praniu pieniędzy oraz finansowani</w:t>
      </w:r>
      <w:r w:rsidR="0072366B">
        <w:rPr>
          <w:rFonts w:ascii="Times New Roman" w:hAnsi="Times New Roman" w:cs="Times New Roman"/>
          <w:sz w:val="24"/>
          <w:szCs w:val="24"/>
        </w:rPr>
        <w:t>u</w:t>
      </w:r>
      <w:r w:rsidR="00417F7D" w:rsidRPr="0018524B">
        <w:rPr>
          <w:rFonts w:ascii="Times New Roman" w:hAnsi="Times New Roman" w:cs="Times New Roman"/>
          <w:sz w:val="24"/>
          <w:szCs w:val="24"/>
        </w:rPr>
        <w:t xml:space="preserve"> terroryzmu, Generalny Inspektor </w:t>
      </w:r>
      <w:r w:rsidR="000D4D8F" w:rsidRPr="0018524B">
        <w:rPr>
          <w:rFonts w:ascii="Times New Roman" w:hAnsi="Times New Roman" w:cs="Times New Roman"/>
          <w:sz w:val="24"/>
          <w:szCs w:val="24"/>
        </w:rPr>
        <w:t xml:space="preserve">albo Komisja Nadzoru Finansowego </w:t>
      </w:r>
      <w:r w:rsidR="00417F7D" w:rsidRPr="0018524B">
        <w:rPr>
          <w:rFonts w:ascii="Times New Roman" w:hAnsi="Times New Roman" w:cs="Times New Roman"/>
          <w:sz w:val="24"/>
          <w:szCs w:val="24"/>
        </w:rPr>
        <w:t xml:space="preserve">może odmówić utworzenia oddziału lub przedstawicielstwa w państwie trzecim wysokiego ryzyka, zidentyfikowanym przez Komisję Europejską w akcie delegowanym przyjętym na podstawie art. 9 dyrektywy 2015/849. Przepis ten wdraża art. 18a ust. 3 lit. b dyrektywy 2015/849. Wydając </w:t>
      </w:r>
      <w:r w:rsidR="00FC56E8" w:rsidRPr="0018524B">
        <w:rPr>
          <w:rFonts w:ascii="Times New Roman" w:hAnsi="Times New Roman" w:cs="Times New Roman"/>
          <w:sz w:val="24"/>
          <w:szCs w:val="24"/>
        </w:rPr>
        <w:t xml:space="preserve">na podstawie art. 44b ust. 4 </w:t>
      </w:r>
      <w:r w:rsidR="00417F7D" w:rsidRPr="0018524B">
        <w:rPr>
          <w:rFonts w:ascii="Times New Roman" w:hAnsi="Times New Roman" w:cs="Times New Roman"/>
          <w:sz w:val="24"/>
          <w:szCs w:val="24"/>
        </w:rPr>
        <w:t xml:space="preserve">decyzję o wyrażeniu zgody na utworzenie oddziału lub przedstawicielstwa przez </w:t>
      </w:r>
      <w:r w:rsidR="00E454D3" w:rsidRPr="0018524B">
        <w:rPr>
          <w:rFonts w:ascii="Times New Roman" w:hAnsi="Times New Roman" w:cs="Times New Roman"/>
          <w:sz w:val="24"/>
          <w:szCs w:val="24"/>
        </w:rPr>
        <w:t>i</w:t>
      </w:r>
      <w:r w:rsidR="00417F7D" w:rsidRPr="0018524B">
        <w:rPr>
          <w:rFonts w:ascii="Times New Roman" w:hAnsi="Times New Roman" w:cs="Times New Roman"/>
          <w:sz w:val="24"/>
          <w:szCs w:val="24"/>
        </w:rPr>
        <w:t xml:space="preserve">nstytucję </w:t>
      </w:r>
      <w:r w:rsidR="00E454D3" w:rsidRPr="0018524B">
        <w:rPr>
          <w:rFonts w:ascii="Times New Roman" w:hAnsi="Times New Roman" w:cs="Times New Roman"/>
          <w:sz w:val="24"/>
          <w:szCs w:val="24"/>
        </w:rPr>
        <w:t>o</w:t>
      </w:r>
      <w:r w:rsidR="00417F7D" w:rsidRPr="0018524B">
        <w:rPr>
          <w:rFonts w:ascii="Times New Roman" w:hAnsi="Times New Roman" w:cs="Times New Roman"/>
          <w:sz w:val="24"/>
          <w:szCs w:val="24"/>
        </w:rPr>
        <w:t xml:space="preserve">bowiązaną, </w:t>
      </w:r>
      <w:r w:rsidR="00FC56E8" w:rsidRPr="0018524B">
        <w:rPr>
          <w:rFonts w:ascii="Times New Roman" w:hAnsi="Times New Roman" w:cs="Times New Roman"/>
          <w:sz w:val="24"/>
          <w:szCs w:val="24"/>
        </w:rPr>
        <w:t xml:space="preserve">Generalny Inspektor Informacji Finansowej </w:t>
      </w:r>
      <w:r w:rsidR="000D4D8F" w:rsidRPr="0018524B">
        <w:rPr>
          <w:rFonts w:ascii="Times New Roman" w:hAnsi="Times New Roman" w:cs="Times New Roman"/>
          <w:sz w:val="24"/>
          <w:szCs w:val="24"/>
        </w:rPr>
        <w:lastRenderedPageBreak/>
        <w:t xml:space="preserve">albo Komisja Nadzoru Finansowego </w:t>
      </w:r>
      <w:r w:rsidR="00FC56E8" w:rsidRPr="0018524B">
        <w:rPr>
          <w:rFonts w:ascii="Times New Roman" w:hAnsi="Times New Roman" w:cs="Times New Roman"/>
          <w:sz w:val="24"/>
          <w:szCs w:val="24"/>
        </w:rPr>
        <w:t xml:space="preserve">może zobowiązać </w:t>
      </w:r>
      <w:r w:rsidR="00E454D3" w:rsidRPr="0018524B">
        <w:rPr>
          <w:rFonts w:ascii="Times New Roman" w:hAnsi="Times New Roman" w:cs="Times New Roman"/>
          <w:sz w:val="24"/>
          <w:szCs w:val="24"/>
        </w:rPr>
        <w:t>i</w:t>
      </w:r>
      <w:r w:rsidR="00FC56E8" w:rsidRPr="0018524B">
        <w:rPr>
          <w:rFonts w:ascii="Times New Roman" w:hAnsi="Times New Roman" w:cs="Times New Roman"/>
          <w:sz w:val="24"/>
          <w:szCs w:val="24"/>
        </w:rPr>
        <w:t xml:space="preserve">nstytucję </w:t>
      </w:r>
      <w:r w:rsidR="00E454D3" w:rsidRPr="0018524B">
        <w:rPr>
          <w:rFonts w:ascii="Times New Roman" w:hAnsi="Times New Roman" w:cs="Times New Roman"/>
          <w:sz w:val="24"/>
          <w:szCs w:val="24"/>
        </w:rPr>
        <w:t>o</w:t>
      </w:r>
      <w:r w:rsidR="00FC56E8" w:rsidRPr="0018524B">
        <w:rPr>
          <w:rFonts w:ascii="Times New Roman" w:hAnsi="Times New Roman" w:cs="Times New Roman"/>
          <w:sz w:val="24"/>
          <w:szCs w:val="24"/>
        </w:rPr>
        <w:t>bowiązaną do wprowadzenia zaostrzonych wymogów w zakresie nadzoru lub audytu zewnętrznego oddziałów lub przedstawicielstw utworzonych w państwach trzecich wysokiego ryzyka, co stanowi implementację art. 18a ust. 3 lit. c</w:t>
      </w:r>
      <w:r w:rsidR="00CC6C5A" w:rsidRPr="0018524B">
        <w:rPr>
          <w:rFonts w:ascii="Times New Roman" w:hAnsi="Times New Roman" w:cs="Times New Roman"/>
          <w:sz w:val="24"/>
          <w:szCs w:val="24"/>
        </w:rPr>
        <w:t xml:space="preserve">. </w:t>
      </w:r>
      <w:r w:rsidR="00B63A59" w:rsidRPr="0018524B">
        <w:rPr>
          <w:rFonts w:ascii="Times New Roman" w:hAnsi="Times New Roman" w:cs="Times New Roman"/>
          <w:sz w:val="24"/>
          <w:szCs w:val="24"/>
        </w:rPr>
        <w:t xml:space="preserve">Wskazać należy, iż obowiązek uzyskania zgody przez </w:t>
      </w:r>
      <w:r w:rsidR="00E454D3" w:rsidRPr="0018524B">
        <w:rPr>
          <w:rFonts w:ascii="Times New Roman" w:hAnsi="Times New Roman" w:cs="Times New Roman"/>
          <w:sz w:val="24"/>
          <w:szCs w:val="24"/>
        </w:rPr>
        <w:t>i</w:t>
      </w:r>
      <w:r w:rsidR="00B63A59" w:rsidRPr="0018524B">
        <w:rPr>
          <w:rFonts w:ascii="Times New Roman" w:hAnsi="Times New Roman" w:cs="Times New Roman"/>
          <w:sz w:val="24"/>
          <w:szCs w:val="24"/>
        </w:rPr>
        <w:t xml:space="preserve">nstytucje </w:t>
      </w:r>
      <w:r w:rsidR="00E454D3" w:rsidRPr="0018524B">
        <w:rPr>
          <w:rFonts w:ascii="Times New Roman" w:hAnsi="Times New Roman" w:cs="Times New Roman"/>
          <w:sz w:val="24"/>
          <w:szCs w:val="24"/>
        </w:rPr>
        <w:t>o</w:t>
      </w:r>
      <w:r w:rsidR="00B63A59" w:rsidRPr="0018524B">
        <w:rPr>
          <w:rFonts w:ascii="Times New Roman" w:hAnsi="Times New Roman" w:cs="Times New Roman"/>
          <w:sz w:val="24"/>
          <w:szCs w:val="24"/>
        </w:rPr>
        <w:t>bowiązane na utworzenie oddziału lub przedstawicielstwa w państwie trzecim wysokiego ryzyka powstanie od momentu wejścia w życie ustawy i nie będzie odnosił się do oddziałów i przedstawicielstw do tego czasu utworzonych. Tym samym nie zachodzi potrzeba wprowadzania przepisów przejściowych regulujących kwestię uzyskiwania zgody na kontynuację prowadzenia oddziałów lub przedstawicielstw utworzonych przed wejściem w życie ustawy.</w:t>
      </w:r>
      <w:r w:rsidR="008B4254" w:rsidRPr="008B4254">
        <w:rPr>
          <w:rFonts w:ascii="Times New Roman" w:hAnsi="Times New Roman" w:cs="Times New Roman"/>
          <w:sz w:val="24"/>
          <w:szCs w:val="24"/>
        </w:rPr>
        <w:t xml:space="preserve"> </w:t>
      </w:r>
      <w:r w:rsidR="008B4254">
        <w:rPr>
          <w:rFonts w:ascii="Times New Roman" w:hAnsi="Times New Roman" w:cs="Times New Roman"/>
          <w:sz w:val="24"/>
          <w:szCs w:val="24"/>
        </w:rPr>
        <w:t>Konieczność wprowadzenia do przepisów ustawy o p.p.p.f.t. przepisów art. 44b</w:t>
      </w:r>
      <w:r w:rsidR="00C6045B">
        <w:rPr>
          <w:rFonts w:ascii="Times New Roman" w:hAnsi="Times New Roman" w:cs="Times New Roman"/>
          <w:sz w:val="24"/>
          <w:szCs w:val="24"/>
        </w:rPr>
        <w:t>–</w:t>
      </w:r>
      <w:r w:rsidR="008B4254">
        <w:rPr>
          <w:rFonts w:ascii="Times New Roman" w:hAnsi="Times New Roman" w:cs="Times New Roman"/>
          <w:sz w:val="24"/>
          <w:szCs w:val="24"/>
        </w:rPr>
        <w:t>44e stanowi obowiązek państwa członkowskiego. Przepisy te, pomimo potencjalnie restrykcyjnego charakteru</w:t>
      </w:r>
      <w:r w:rsidR="0022768D">
        <w:rPr>
          <w:rFonts w:ascii="Times New Roman" w:hAnsi="Times New Roman" w:cs="Times New Roman"/>
          <w:sz w:val="24"/>
          <w:szCs w:val="24"/>
        </w:rPr>
        <w:t>,</w:t>
      </w:r>
      <w:r w:rsidR="008B4254">
        <w:rPr>
          <w:rFonts w:ascii="Times New Roman" w:hAnsi="Times New Roman" w:cs="Times New Roman"/>
          <w:sz w:val="24"/>
          <w:szCs w:val="24"/>
        </w:rPr>
        <w:t xml:space="preserve"> umożliwiają jednak prowadzenie działalności gospodarczej in</w:t>
      </w:r>
      <w:r w:rsidR="0022768D">
        <w:rPr>
          <w:rFonts w:ascii="Times New Roman" w:hAnsi="Times New Roman" w:cs="Times New Roman"/>
          <w:sz w:val="24"/>
          <w:szCs w:val="24"/>
        </w:rPr>
        <w:t>stytucjom obowiązanym w krajach</w:t>
      </w:r>
      <w:r w:rsidR="008B4254">
        <w:rPr>
          <w:rFonts w:ascii="Times New Roman" w:hAnsi="Times New Roman" w:cs="Times New Roman"/>
          <w:sz w:val="24"/>
          <w:szCs w:val="24"/>
        </w:rPr>
        <w:t xml:space="preserve"> zidentyfiko</w:t>
      </w:r>
      <w:r w:rsidR="0022768D">
        <w:rPr>
          <w:rFonts w:ascii="Times New Roman" w:hAnsi="Times New Roman" w:cs="Times New Roman"/>
          <w:sz w:val="24"/>
          <w:szCs w:val="24"/>
        </w:rPr>
        <w:t>wanych przez Komisję Europejską</w:t>
      </w:r>
      <w:r w:rsidR="008B4254">
        <w:rPr>
          <w:rFonts w:ascii="Times New Roman" w:hAnsi="Times New Roman" w:cs="Times New Roman"/>
          <w:sz w:val="24"/>
          <w:szCs w:val="24"/>
        </w:rPr>
        <w:t xml:space="preserve"> jako kraje zw</w:t>
      </w:r>
      <w:r w:rsidR="0022768D">
        <w:rPr>
          <w:rFonts w:ascii="Times New Roman" w:hAnsi="Times New Roman" w:cs="Times New Roman"/>
          <w:sz w:val="24"/>
          <w:szCs w:val="24"/>
        </w:rPr>
        <w:t>iązane z wyższym ryzykiem prania</w:t>
      </w:r>
      <w:r w:rsidR="008B4254">
        <w:rPr>
          <w:rFonts w:ascii="Times New Roman" w:hAnsi="Times New Roman" w:cs="Times New Roman"/>
          <w:sz w:val="24"/>
          <w:szCs w:val="24"/>
        </w:rPr>
        <w:t xml:space="preserve"> pieniędzy lub finansowania terroryzmu. Prowadzenie działalności gospodarczej w tego typu jurysdykcjach w</w:t>
      </w:r>
      <w:r w:rsidR="0022768D">
        <w:rPr>
          <w:rFonts w:ascii="Times New Roman" w:hAnsi="Times New Roman" w:cs="Times New Roman"/>
          <w:sz w:val="24"/>
          <w:szCs w:val="24"/>
        </w:rPr>
        <w:t>ymaga od przedsiębiorcy podjęcia</w:t>
      </w:r>
      <w:r w:rsidR="008B4254">
        <w:rPr>
          <w:rFonts w:ascii="Times New Roman" w:hAnsi="Times New Roman" w:cs="Times New Roman"/>
          <w:sz w:val="24"/>
          <w:szCs w:val="24"/>
        </w:rPr>
        <w:t xml:space="preserve"> dodatkowych czynności w celu uniknięcia wykorzystania jego działalności do celów przestępczych. Wydaje się, że podejmowanie tego rodzaju dodatkowych czynno</w:t>
      </w:r>
      <w:r w:rsidR="0022768D">
        <w:rPr>
          <w:rFonts w:ascii="Times New Roman" w:hAnsi="Times New Roman" w:cs="Times New Roman"/>
          <w:sz w:val="24"/>
          <w:szCs w:val="24"/>
        </w:rPr>
        <w:t>ści nie powinno być postrzegane</w:t>
      </w:r>
      <w:r w:rsidR="008B4254">
        <w:rPr>
          <w:rFonts w:ascii="Times New Roman" w:hAnsi="Times New Roman" w:cs="Times New Roman"/>
          <w:sz w:val="24"/>
          <w:szCs w:val="24"/>
        </w:rPr>
        <w:t xml:space="preserve"> wyłącz</w:t>
      </w:r>
      <w:r w:rsidR="0022768D">
        <w:rPr>
          <w:rFonts w:ascii="Times New Roman" w:hAnsi="Times New Roman" w:cs="Times New Roman"/>
          <w:sz w:val="24"/>
          <w:szCs w:val="24"/>
        </w:rPr>
        <w:t>nie</w:t>
      </w:r>
      <w:r w:rsidR="008B4254">
        <w:rPr>
          <w:rFonts w:ascii="Times New Roman" w:hAnsi="Times New Roman" w:cs="Times New Roman"/>
          <w:sz w:val="24"/>
          <w:szCs w:val="24"/>
        </w:rPr>
        <w:t xml:space="preserve"> jako ciężar o charakterze administracyjnym, ale również jako środek służący instytucji obowiązanej do zapewnienia prawidłowości prowadzenia przez nią działalności w kraju trzecim wysokiego ryzyka. Należy także dodać, że biorąc pod uwagę państwa, które aktualnie znajdują się na liście stanowiącej załącznik do rozporządzenia delegowanego KE</w:t>
      </w:r>
      <w:r w:rsidR="0022768D">
        <w:rPr>
          <w:rFonts w:ascii="Times New Roman" w:hAnsi="Times New Roman" w:cs="Times New Roman"/>
          <w:sz w:val="24"/>
          <w:szCs w:val="24"/>
        </w:rPr>
        <w:t>,</w:t>
      </w:r>
      <w:r w:rsidR="008B4254">
        <w:rPr>
          <w:rFonts w:ascii="Times New Roman" w:hAnsi="Times New Roman" w:cs="Times New Roman"/>
          <w:sz w:val="24"/>
          <w:szCs w:val="24"/>
        </w:rPr>
        <w:t xml:space="preserve"> nie wydaje się, aby jurysdykcje te stanowiły kraje, w których instytucje obowiązane prowadzą intensywną działalność gospodarczą.</w:t>
      </w:r>
      <w:r w:rsidR="00C6045B">
        <w:rPr>
          <w:rFonts w:ascii="Times New Roman" w:hAnsi="Times New Roman" w:cs="Times New Roman"/>
          <w:sz w:val="24"/>
          <w:szCs w:val="24"/>
        </w:rPr>
        <w:t xml:space="preserve"> </w:t>
      </w:r>
    </w:p>
    <w:p w14:paraId="00FE4278" w14:textId="240C0464" w:rsidR="00503208" w:rsidRPr="0018524B" w:rsidRDefault="00CC6C5A"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Art. 18a ust. 3 lit. e dyrektywy 2015/849 wprowadził możliwość nałożenia na instytucje finansowe i kredytowe wymogu dokonania przeglądu i zmiany lub zakończenia relacji korespondenckich z instytucjami będącymi respondentami w państwie trzecim wysokiego ryzyka. </w:t>
      </w:r>
      <w:r w:rsidR="00A3751F" w:rsidRPr="0018524B">
        <w:rPr>
          <w:rFonts w:ascii="Times New Roman" w:hAnsi="Times New Roman" w:cs="Times New Roman"/>
          <w:sz w:val="24"/>
          <w:szCs w:val="24"/>
        </w:rPr>
        <w:t xml:space="preserve">Regulacja ta została wprowadzona do polskiego porządku prawnego w </w:t>
      </w:r>
      <w:r w:rsidR="00A3751F" w:rsidRPr="0018524B">
        <w:rPr>
          <w:rFonts w:ascii="Times New Roman" w:hAnsi="Times New Roman" w:cs="Times New Roman"/>
          <w:b/>
          <w:sz w:val="24"/>
          <w:szCs w:val="24"/>
        </w:rPr>
        <w:t>art. 44c ustawy o p.p.p.f.t.</w:t>
      </w:r>
      <w:r w:rsidR="00A3751F" w:rsidRPr="0018524B">
        <w:rPr>
          <w:rFonts w:ascii="Times New Roman" w:hAnsi="Times New Roman" w:cs="Times New Roman"/>
          <w:sz w:val="24"/>
          <w:szCs w:val="24"/>
        </w:rPr>
        <w:t xml:space="preserve">, zgodnie z którym Generalny Inspektor </w:t>
      </w:r>
      <w:r w:rsidR="00C51ADA" w:rsidRPr="0018524B">
        <w:rPr>
          <w:rFonts w:ascii="Times New Roman" w:hAnsi="Times New Roman" w:cs="Times New Roman"/>
          <w:sz w:val="24"/>
          <w:szCs w:val="24"/>
        </w:rPr>
        <w:t xml:space="preserve">Informacji Finansowej </w:t>
      </w:r>
      <w:r w:rsidR="00977CB2" w:rsidRPr="0018524B">
        <w:rPr>
          <w:rFonts w:ascii="Times New Roman" w:hAnsi="Times New Roman" w:cs="Times New Roman"/>
          <w:sz w:val="24"/>
          <w:szCs w:val="24"/>
        </w:rPr>
        <w:t xml:space="preserve">albo Komisja Nadzoru Finansowego </w:t>
      </w:r>
      <w:r w:rsidR="00C51ADA" w:rsidRPr="0018524B">
        <w:rPr>
          <w:rFonts w:ascii="Times New Roman" w:hAnsi="Times New Roman" w:cs="Times New Roman"/>
          <w:sz w:val="24"/>
          <w:szCs w:val="24"/>
        </w:rPr>
        <w:t xml:space="preserve">będzie </w:t>
      </w:r>
      <w:r w:rsidR="00977CB2" w:rsidRPr="0018524B">
        <w:rPr>
          <w:rFonts w:ascii="Times New Roman" w:hAnsi="Times New Roman" w:cs="Times New Roman"/>
          <w:sz w:val="24"/>
          <w:szCs w:val="24"/>
        </w:rPr>
        <w:t xml:space="preserve">mogła </w:t>
      </w:r>
      <w:r w:rsidR="00C51ADA" w:rsidRPr="0018524B">
        <w:rPr>
          <w:rFonts w:ascii="Times New Roman" w:hAnsi="Times New Roman" w:cs="Times New Roman"/>
          <w:sz w:val="24"/>
          <w:szCs w:val="24"/>
        </w:rPr>
        <w:t xml:space="preserve">zwrócić się do instytucji obowiązanych będących instytucjami finansowymi i kredytowymi, </w:t>
      </w:r>
      <w:r w:rsidR="00C947F0" w:rsidRPr="0018524B">
        <w:rPr>
          <w:rFonts w:ascii="Times New Roman" w:hAnsi="Times New Roman" w:cs="Times New Roman"/>
          <w:sz w:val="24"/>
          <w:szCs w:val="24"/>
        </w:rPr>
        <w:t>z żądaniem</w:t>
      </w:r>
      <w:r w:rsidR="00C51ADA" w:rsidRPr="0018524B">
        <w:rPr>
          <w:rFonts w:ascii="Times New Roman" w:hAnsi="Times New Roman" w:cs="Times New Roman"/>
          <w:sz w:val="24"/>
          <w:szCs w:val="24"/>
        </w:rPr>
        <w:t xml:space="preserve"> dokonani</w:t>
      </w:r>
      <w:r w:rsidR="00C947F0" w:rsidRPr="0018524B">
        <w:rPr>
          <w:rFonts w:ascii="Times New Roman" w:hAnsi="Times New Roman" w:cs="Times New Roman"/>
          <w:sz w:val="24"/>
          <w:szCs w:val="24"/>
        </w:rPr>
        <w:t>a</w:t>
      </w:r>
      <w:r w:rsidR="00C51ADA" w:rsidRPr="0018524B">
        <w:rPr>
          <w:rFonts w:ascii="Times New Roman" w:hAnsi="Times New Roman" w:cs="Times New Roman"/>
          <w:sz w:val="24"/>
          <w:szCs w:val="24"/>
        </w:rPr>
        <w:t xml:space="preserve"> przeglądu relacji korespondenckich z instytucjami będącymi respondentami z siedzibą w państwach trzecich wysokiego ryzyka, zidentyfikowanych przez Komisję Europejską w akcie delegowanym przyjętym na podstawie art. 9 dyrektywy 2015/849. </w:t>
      </w:r>
      <w:r w:rsidR="00553B00" w:rsidRPr="0018524B">
        <w:rPr>
          <w:rFonts w:ascii="Times New Roman" w:hAnsi="Times New Roman" w:cs="Times New Roman"/>
          <w:sz w:val="24"/>
          <w:szCs w:val="24"/>
        </w:rPr>
        <w:t xml:space="preserve">Możliwość wystąpienia przez organ z żądaniem wykonania określonych działań jest rozwiązaniem powszechnie występującym w </w:t>
      </w:r>
      <w:r w:rsidR="00553B00" w:rsidRPr="0018524B">
        <w:rPr>
          <w:rFonts w:ascii="Times New Roman" w:hAnsi="Times New Roman" w:cs="Times New Roman"/>
          <w:sz w:val="24"/>
          <w:szCs w:val="24"/>
        </w:rPr>
        <w:lastRenderedPageBreak/>
        <w:t xml:space="preserve">aktach prawnych regulujących różne sfery życia społeczno-gospodarczego. Przykładowo wskazać można art. 27 ust. 1 ustawy o p.p.p.f.t., art. 198 ust. 1 oraz </w:t>
      </w:r>
      <w:r w:rsidR="0072366B">
        <w:rPr>
          <w:rFonts w:ascii="Times New Roman" w:hAnsi="Times New Roman" w:cs="Times New Roman"/>
          <w:sz w:val="24"/>
          <w:szCs w:val="24"/>
        </w:rPr>
        <w:t xml:space="preserve">art. </w:t>
      </w:r>
      <w:r w:rsidR="00553B00" w:rsidRPr="0018524B">
        <w:rPr>
          <w:rFonts w:ascii="Times New Roman" w:hAnsi="Times New Roman" w:cs="Times New Roman"/>
          <w:sz w:val="24"/>
          <w:szCs w:val="24"/>
        </w:rPr>
        <w:t>258 ust. 7 ustawy z dnia 11 września 2015 r. o działalności ubezpieczeniowej i reasekuracyjnej (Dz. U. z 2020 r. poz. 895</w:t>
      </w:r>
      <w:r w:rsidR="00CB0E7A">
        <w:rPr>
          <w:rFonts w:ascii="Times New Roman" w:hAnsi="Times New Roman" w:cs="Times New Roman"/>
          <w:sz w:val="24"/>
          <w:szCs w:val="24"/>
        </w:rPr>
        <w:t>, z późn. zm</w:t>
      </w:r>
      <w:r w:rsidR="0072366B">
        <w:rPr>
          <w:rFonts w:ascii="Times New Roman" w:hAnsi="Times New Roman" w:cs="Times New Roman"/>
          <w:sz w:val="24"/>
          <w:szCs w:val="24"/>
        </w:rPr>
        <w:t>.</w:t>
      </w:r>
      <w:r w:rsidR="00553B00" w:rsidRPr="0018524B">
        <w:rPr>
          <w:rFonts w:ascii="Times New Roman" w:hAnsi="Times New Roman" w:cs="Times New Roman"/>
          <w:sz w:val="24"/>
          <w:szCs w:val="24"/>
        </w:rPr>
        <w:t>), art. 61 ust. 2 ustawy z dnia 5 sierpnia 2015 r. o nadzorze makroostrożnościowym nad systemem finansowym i zarządzaniu kryzysowym w systemie finansowym (Dz. U. z 2019 r. poz. 483</w:t>
      </w:r>
      <w:r w:rsidR="00CB0E7A">
        <w:rPr>
          <w:rFonts w:ascii="Times New Roman" w:hAnsi="Times New Roman" w:cs="Times New Roman"/>
          <w:sz w:val="24"/>
          <w:szCs w:val="24"/>
        </w:rPr>
        <w:t>, z późn. zm.</w:t>
      </w:r>
      <w:r w:rsidR="00553B00" w:rsidRPr="0018524B">
        <w:rPr>
          <w:rFonts w:ascii="Times New Roman" w:hAnsi="Times New Roman" w:cs="Times New Roman"/>
          <w:sz w:val="24"/>
          <w:szCs w:val="24"/>
        </w:rPr>
        <w:t xml:space="preserve">). </w:t>
      </w:r>
      <w:r w:rsidR="00114B7E" w:rsidRPr="0018524B">
        <w:rPr>
          <w:rFonts w:ascii="Times New Roman" w:hAnsi="Times New Roman" w:cs="Times New Roman"/>
          <w:sz w:val="24"/>
          <w:szCs w:val="24"/>
        </w:rPr>
        <w:t xml:space="preserve">Implementując art. 18a ust. 3 lit. e dyrektywy 2015/849, wprowadzono </w:t>
      </w:r>
      <w:r w:rsidR="00C51ADA" w:rsidRPr="0018524B">
        <w:rPr>
          <w:rFonts w:ascii="Times New Roman" w:hAnsi="Times New Roman" w:cs="Times New Roman"/>
          <w:sz w:val="24"/>
          <w:szCs w:val="24"/>
        </w:rPr>
        <w:t xml:space="preserve">art. 44c ust. </w:t>
      </w:r>
      <w:r w:rsidR="00977CB2" w:rsidRPr="0018524B">
        <w:rPr>
          <w:rFonts w:ascii="Times New Roman" w:hAnsi="Times New Roman" w:cs="Times New Roman"/>
          <w:sz w:val="24"/>
          <w:szCs w:val="24"/>
        </w:rPr>
        <w:t xml:space="preserve">1 </w:t>
      </w:r>
      <w:r w:rsidR="00C51ADA" w:rsidRPr="0018524B">
        <w:rPr>
          <w:rFonts w:ascii="Times New Roman" w:hAnsi="Times New Roman" w:cs="Times New Roman"/>
          <w:sz w:val="24"/>
          <w:szCs w:val="24"/>
        </w:rPr>
        <w:t xml:space="preserve">ustawy o p.p.p.f.t., </w:t>
      </w:r>
      <w:r w:rsidR="00114B7E" w:rsidRPr="0018524B">
        <w:rPr>
          <w:rFonts w:ascii="Times New Roman" w:hAnsi="Times New Roman" w:cs="Times New Roman"/>
          <w:sz w:val="24"/>
          <w:szCs w:val="24"/>
        </w:rPr>
        <w:t xml:space="preserve">zgodnie z którym </w:t>
      </w:r>
      <w:r w:rsidR="00C51ADA" w:rsidRPr="0018524B">
        <w:rPr>
          <w:rFonts w:ascii="Times New Roman" w:hAnsi="Times New Roman" w:cs="Times New Roman"/>
          <w:sz w:val="24"/>
          <w:szCs w:val="24"/>
        </w:rPr>
        <w:t xml:space="preserve">Generalny Inspektor Informacji Finansowej </w:t>
      </w:r>
      <w:r w:rsidR="00977CB2" w:rsidRPr="0018524B">
        <w:rPr>
          <w:rFonts w:ascii="Times New Roman" w:hAnsi="Times New Roman" w:cs="Times New Roman"/>
          <w:sz w:val="24"/>
          <w:szCs w:val="24"/>
        </w:rPr>
        <w:t xml:space="preserve">albo Komisja Nadzoru Finansowego </w:t>
      </w:r>
      <w:r w:rsidR="00C51ADA" w:rsidRPr="0018524B">
        <w:rPr>
          <w:rFonts w:ascii="Times New Roman" w:hAnsi="Times New Roman" w:cs="Times New Roman"/>
          <w:sz w:val="24"/>
          <w:szCs w:val="24"/>
        </w:rPr>
        <w:t xml:space="preserve">uzyska uprawnienie do </w:t>
      </w:r>
      <w:r w:rsidR="00114B7E" w:rsidRPr="0018524B">
        <w:rPr>
          <w:rFonts w:ascii="Times New Roman" w:hAnsi="Times New Roman" w:cs="Times New Roman"/>
          <w:sz w:val="24"/>
          <w:szCs w:val="24"/>
        </w:rPr>
        <w:t>wydania decyzji nakazującej zmianę zakresu lub zakończenie relacji korespondenckich z respondentem z państwa trzeciego wysokiego ryzyka.</w:t>
      </w:r>
      <w:r w:rsidR="00553B00" w:rsidRPr="0018524B">
        <w:rPr>
          <w:rFonts w:ascii="Times New Roman" w:hAnsi="Times New Roman" w:cs="Times New Roman"/>
          <w:sz w:val="24"/>
          <w:szCs w:val="24"/>
        </w:rPr>
        <w:t xml:space="preserve"> Brak wykonania przez instytucje obowiązane będące instytucjami finansowymi i kredytowymi przeglądu relacji korespondenckich, w ramach realizacji żądania wyrażonego przez Generalnego Inspektora Informacji Finansowej albo Komisję Nadzoru Finansowego, wiązać się będzie z wydaniem decyzji nakazującej zakończenie relacji korespondenckich z respondentem z państwa trzeciego wysokiego ryzyka.</w:t>
      </w:r>
    </w:p>
    <w:p w14:paraId="490422FA" w14:textId="730E8425" w:rsidR="00A86A47" w:rsidRPr="0018524B" w:rsidRDefault="00A86A47"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Zgodnie z </w:t>
      </w:r>
      <w:r w:rsidRPr="0018524B">
        <w:rPr>
          <w:rFonts w:ascii="Times New Roman" w:hAnsi="Times New Roman" w:cs="Times New Roman"/>
          <w:b/>
          <w:sz w:val="24"/>
          <w:szCs w:val="24"/>
        </w:rPr>
        <w:t>art. 44d</w:t>
      </w:r>
      <w:r w:rsidRPr="0018524B">
        <w:rPr>
          <w:rFonts w:ascii="Times New Roman" w:hAnsi="Times New Roman" w:cs="Times New Roman"/>
          <w:sz w:val="24"/>
          <w:szCs w:val="24"/>
        </w:rPr>
        <w:t xml:space="preserve"> do decyzji, o których mowa w art. 44b ust. 4 i 5 oraz art. 44c ust. 1</w:t>
      </w:r>
      <w:r w:rsidR="00F441AA">
        <w:rPr>
          <w:rFonts w:ascii="Times New Roman" w:hAnsi="Times New Roman" w:cs="Times New Roman"/>
          <w:sz w:val="24"/>
          <w:szCs w:val="24"/>
        </w:rPr>
        <w:t xml:space="preserve"> i 2</w:t>
      </w:r>
      <w:r w:rsidRPr="0018524B">
        <w:rPr>
          <w:rFonts w:ascii="Times New Roman" w:hAnsi="Times New Roman" w:cs="Times New Roman"/>
          <w:sz w:val="24"/>
          <w:szCs w:val="24"/>
        </w:rPr>
        <w:t>, stosuje się przepisy ustawy z dnia 14 czerwca 1960 r. – Kodeks postępowania administracyjnego.</w:t>
      </w:r>
      <w:r w:rsidR="00F441AA">
        <w:rPr>
          <w:rFonts w:ascii="Times New Roman" w:hAnsi="Times New Roman" w:cs="Times New Roman"/>
          <w:sz w:val="24"/>
          <w:szCs w:val="24"/>
        </w:rPr>
        <w:t xml:space="preserve"> Podkreślić należy, iż przepis nie przewiduje w tym zakresie ograniczeń, tym samym przykładowo w odniesieniu </w:t>
      </w:r>
      <w:r w:rsidR="0065235E">
        <w:rPr>
          <w:rFonts w:ascii="Times New Roman" w:hAnsi="Times New Roman" w:cs="Times New Roman"/>
          <w:sz w:val="24"/>
          <w:szCs w:val="24"/>
        </w:rPr>
        <w:t xml:space="preserve">do decyzji o której mowa w art. 44b ust. 5, przepisy Kodeksu postępowania administracyjnego będą miały zastosowanie do decyzji o zezwoleniu na utworzenie oddziału zarówno w zakresie w jakim decyzja będzie wskazywała na zezwolenie na utworzenia oddziału, jak i w zakresie, w jakim decyzja będzie zobowiązywała do wprowadzenia </w:t>
      </w:r>
      <w:r w:rsidR="0065235E" w:rsidRPr="0065235E">
        <w:rPr>
          <w:rFonts w:ascii="Times New Roman" w:hAnsi="Times New Roman" w:cs="Times New Roman"/>
          <w:sz w:val="24"/>
          <w:szCs w:val="24"/>
        </w:rPr>
        <w:t>zaostrzonych wymogów w</w:t>
      </w:r>
      <w:r w:rsidR="00C6045B">
        <w:rPr>
          <w:rFonts w:ascii="Times New Roman" w:hAnsi="Times New Roman" w:cs="Times New Roman"/>
          <w:sz w:val="24"/>
          <w:szCs w:val="24"/>
        </w:rPr>
        <w:t xml:space="preserve"> </w:t>
      </w:r>
      <w:r w:rsidR="0065235E" w:rsidRPr="0065235E">
        <w:rPr>
          <w:rFonts w:ascii="Times New Roman" w:hAnsi="Times New Roman" w:cs="Times New Roman"/>
          <w:sz w:val="24"/>
          <w:szCs w:val="24"/>
        </w:rPr>
        <w:t>zakresie nadzoru lub audytu zewnętrznego</w:t>
      </w:r>
      <w:r w:rsidR="0065235E">
        <w:rPr>
          <w:rFonts w:ascii="Times New Roman" w:hAnsi="Times New Roman" w:cs="Times New Roman"/>
          <w:sz w:val="24"/>
          <w:szCs w:val="24"/>
        </w:rPr>
        <w:t xml:space="preserve"> takiego oddziału. </w:t>
      </w:r>
    </w:p>
    <w:p w14:paraId="3548B3C9" w14:textId="47338DD0" w:rsidR="00C34D49" w:rsidRPr="0018524B" w:rsidRDefault="00977CB2"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Proponowany </w:t>
      </w:r>
      <w:r w:rsidRPr="0018524B">
        <w:rPr>
          <w:rFonts w:ascii="Times New Roman" w:hAnsi="Times New Roman" w:cs="Times New Roman"/>
          <w:b/>
          <w:sz w:val="24"/>
          <w:szCs w:val="24"/>
        </w:rPr>
        <w:t>art. 44</w:t>
      </w:r>
      <w:r w:rsidR="00A86A47" w:rsidRPr="0018524B">
        <w:rPr>
          <w:rFonts w:ascii="Times New Roman" w:hAnsi="Times New Roman" w:cs="Times New Roman"/>
          <w:b/>
          <w:sz w:val="24"/>
          <w:szCs w:val="24"/>
        </w:rPr>
        <w:t>e</w:t>
      </w:r>
      <w:r w:rsidRPr="0018524B">
        <w:rPr>
          <w:rFonts w:ascii="Times New Roman" w:hAnsi="Times New Roman" w:cs="Times New Roman"/>
          <w:sz w:val="24"/>
          <w:szCs w:val="24"/>
        </w:rPr>
        <w:t xml:space="preserve"> </w:t>
      </w:r>
      <w:r w:rsidRPr="0018524B">
        <w:rPr>
          <w:rFonts w:ascii="Times New Roman" w:hAnsi="Times New Roman" w:cs="Times New Roman"/>
          <w:b/>
          <w:sz w:val="24"/>
          <w:szCs w:val="24"/>
        </w:rPr>
        <w:t>ustawy o p.p.p.f.t.</w:t>
      </w:r>
      <w:r w:rsidRPr="0018524B">
        <w:rPr>
          <w:rFonts w:ascii="Times New Roman" w:hAnsi="Times New Roman" w:cs="Times New Roman"/>
          <w:sz w:val="24"/>
          <w:szCs w:val="24"/>
        </w:rPr>
        <w:t xml:space="preserve"> wprowadza wynikający z art. 18a ust. 5 dyrektywy 2015/849 obowiązek informowania Komisji Europejskiej o zastosowaniu środków przewidzianych w art. 18a ust. 3 dyrektywy.</w:t>
      </w:r>
    </w:p>
    <w:p w14:paraId="4125F6B8" w14:textId="0A9685A6" w:rsidR="0037768E" w:rsidRPr="0018524B" w:rsidRDefault="0037768E"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Korekta brzmienia </w:t>
      </w:r>
      <w:r w:rsidRPr="0018524B">
        <w:rPr>
          <w:rFonts w:ascii="Times New Roman" w:hAnsi="Times New Roman" w:cs="Times New Roman"/>
          <w:b/>
          <w:sz w:val="24"/>
          <w:szCs w:val="24"/>
        </w:rPr>
        <w:t>art. 45 ust. 1 ustawy o p.p.p.f.t</w:t>
      </w:r>
      <w:r w:rsidR="00EA6155" w:rsidRPr="0018524B">
        <w:rPr>
          <w:rFonts w:ascii="Times New Roman" w:hAnsi="Times New Roman" w:cs="Times New Roman"/>
          <w:b/>
          <w:sz w:val="24"/>
          <w:szCs w:val="24"/>
        </w:rPr>
        <w:t>.</w:t>
      </w:r>
      <w:r w:rsidRPr="0018524B">
        <w:rPr>
          <w:rFonts w:ascii="Times New Roman" w:hAnsi="Times New Roman" w:cs="Times New Roman"/>
          <w:sz w:val="24"/>
          <w:szCs w:val="24"/>
        </w:rPr>
        <w:t xml:space="preserve"> znajduje swoje źródło w art. 19</w:t>
      </w:r>
      <w:r w:rsidR="004D6C26" w:rsidRPr="0018524B">
        <w:rPr>
          <w:rFonts w:ascii="Times New Roman" w:hAnsi="Times New Roman" w:cs="Times New Roman"/>
          <w:sz w:val="24"/>
          <w:szCs w:val="24"/>
        </w:rPr>
        <w:t xml:space="preserve"> dyrektywy 2015/849</w:t>
      </w:r>
      <w:r w:rsidRPr="0018524B">
        <w:rPr>
          <w:rFonts w:ascii="Times New Roman" w:hAnsi="Times New Roman" w:cs="Times New Roman"/>
          <w:sz w:val="24"/>
          <w:szCs w:val="24"/>
        </w:rPr>
        <w:t>, którego część wprowadzając</w:t>
      </w:r>
      <w:r w:rsidR="004D6C26" w:rsidRPr="0018524B">
        <w:rPr>
          <w:rFonts w:ascii="Times New Roman" w:hAnsi="Times New Roman" w:cs="Times New Roman"/>
          <w:sz w:val="24"/>
          <w:szCs w:val="24"/>
        </w:rPr>
        <w:t>a została zmodyfikowana przez art. 1 pkt 19 dyrektywy 2018/843, zgodnie z którym obowiązek zastosowania wzmożonych środków bezpieczeństwa finansowego przez instytucje obowiązane stanowiące instytucje finansowe i kredytowe aktualny będzie jedynie w odniesieniu do transgranicznych relacji korespondenckich obejmujących realizację płatności.</w:t>
      </w:r>
      <w:r w:rsidR="009C207B" w:rsidRPr="0018524B">
        <w:rPr>
          <w:rFonts w:ascii="Times New Roman" w:hAnsi="Times New Roman" w:cs="Times New Roman"/>
          <w:sz w:val="24"/>
          <w:szCs w:val="24"/>
        </w:rPr>
        <w:t xml:space="preserve"> </w:t>
      </w:r>
    </w:p>
    <w:p w14:paraId="02D70CE7" w14:textId="512D59DD" w:rsidR="004D3798" w:rsidRPr="004D3798" w:rsidRDefault="00D22064" w:rsidP="004D3798">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lastRenderedPageBreak/>
        <w:t xml:space="preserve">Dodane do ustawy o p.p.p.f.t. przepisy </w:t>
      </w:r>
      <w:r w:rsidRPr="0018524B">
        <w:rPr>
          <w:rFonts w:ascii="Times New Roman" w:hAnsi="Times New Roman" w:cs="Times New Roman"/>
          <w:b/>
          <w:sz w:val="24"/>
          <w:szCs w:val="24"/>
        </w:rPr>
        <w:t>art. 46a</w:t>
      </w:r>
      <w:r w:rsidR="00C6045B">
        <w:rPr>
          <w:rFonts w:ascii="Times New Roman" w:hAnsi="Times New Roman" w:cs="Times New Roman"/>
          <w:b/>
          <w:sz w:val="24"/>
          <w:szCs w:val="24"/>
        </w:rPr>
        <w:t>–</w:t>
      </w:r>
      <w:r w:rsidRPr="0018524B">
        <w:rPr>
          <w:rFonts w:ascii="Times New Roman" w:hAnsi="Times New Roman" w:cs="Times New Roman"/>
          <w:b/>
          <w:sz w:val="24"/>
          <w:szCs w:val="24"/>
        </w:rPr>
        <w:t>46</w:t>
      </w:r>
      <w:r w:rsidR="00123FE5" w:rsidRPr="0018524B">
        <w:rPr>
          <w:rFonts w:ascii="Times New Roman" w:hAnsi="Times New Roman" w:cs="Times New Roman"/>
          <w:b/>
          <w:sz w:val="24"/>
          <w:szCs w:val="24"/>
        </w:rPr>
        <w:t>c</w:t>
      </w:r>
      <w:r w:rsidRPr="0018524B">
        <w:rPr>
          <w:rFonts w:ascii="Times New Roman" w:hAnsi="Times New Roman" w:cs="Times New Roman"/>
          <w:sz w:val="24"/>
          <w:szCs w:val="24"/>
        </w:rPr>
        <w:t xml:space="preserve"> implementują do krajowego porządku prawnego wymogi wynikające z dodanego do 4AMLD art. 20a</w:t>
      </w:r>
      <w:r w:rsidR="0059027F" w:rsidRPr="0018524B">
        <w:rPr>
          <w:rFonts w:ascii="Times New Roman" w:hAnsi="Times New Roman" w:cs="Times New Roman"/>
          <w:sz w:val="24"/>
          <w:szCs w:val="24"/>
        </w:rPr>
        <w:t xml:space="preserve"> ust. 1</w:t>
      </w:r>
      <w:r w:rsidRPr="0018524B">
        <w:rPr>
          <w:rFonts w:ascii="Times New Roman" w:hAnsi="Times New Roman" w:cs="Times New Roman"/>
          <w:sz w:val="24"/>
          <w:szCs w:val="24"/>
        </w:rPr>
        <w:t xml:space="preserve">, zgodnie z którym każde państwo członkowskie zobowiązane zostało do opracowania oraz publikacji listy tzw. „krajowych PEP-ów”, a więc osób, które zgodnie z przepisami krajowymi kwalifikowane są, jako osoby zajmujące eksponowane stanowiska polityczne. </w:t>
      </w:r>
      <w:r w:rsidR="001F1773" w:rsidRPr="0018524B">
        <w:rPr>
          <w:rFonts w:ascii="Times New Roman" w:hAnsi="Times New Roman" w:cs="Times New Roman"/>
          <w:sz w:val="24"/>
          <w:szCs w:val="24"/>
        </w:rPr>
        <w:t>Wykaz stanowisk i funkcji publicznych, które są eksponowanymi stanowiskami politycznym</w:t>
      </w:r>
      <w:r w:rsidR="0022768D">
        <w:rPr>
          <w:rFonts w:ascii="Times New Roman" w:hAnsi="Times New Roman" w:cs="Times New Roman"/>
          <w:sz w:val="24"/>
          <w:szCs w:val="24"/>
        </w:rPr>
        <w:t>,</w:t>
      </w:r>
      <w:r w:rsidR="001F1773" w:rsidRPr="0018524B">
        <w:rPr>
          <w:rFonts w:ascii="Times New Roman" w:hAnsi="Times New Roman" w:cs="Times New Roman"/>
          <w:sz w:val="24"/>
          <w:szCs w:val="24"/>
        </w:rPr>
        <w:t xml:space="preserve"> zostanie określony w formie rozporządzenia ministra właściwego ds. finansów publicznych. W związku z faktem, że wyczerpujące wyliczenie „krajowych PEP-ów” zawarte zostanie </w:t>
      </w:r>
      <w:r w:rsidR="0022768D">
        <w:rPr>
          <w:rFonts w:ascii="Times New Roman" w:hAnsi="Times New Roman" w:cs="Times New Roman"/>
          <w:sz w:val="24"/>
          <w:szCs w:val="24"/>
        </w:rPr>
        <w:t xml:space="preserve">w </w:t>
      </w:r>
      <w:r w:rsidR="001F1773" w:rsidRPr="0018524B">
        <w:rPr>
          <w:rFonts w:ascii="Times New Roman" w:hAnsi="Times New Roman" w:cs="Times New Roman"/>
          <w:sz w:val="24"/>
          <w:szCs w:val="24"/>
        </w:rPr>
        <w:t>ww. rozporządzeniu,</w:t>
      </w:r>
      <w:r w:rsidR="0068078C" w:rsidRPr="0018524B">
        <w:rPr>
          <w:rFonts w:ascii="Times New Roman" w:hAnsi="Times New Roman" w:cs="Times New Roman"/>
          <w:sz w:val="24"/>
          <w:szCs w:val="24"/>
        </w:rPr>
        <w:t xml:space="preserve"> w celu uniknięcia wątpliwości interpretacyjnych</w:t>
      </w:r>
      <w:r w:rsidR="001F1773" w:rsidRPr="0018524B">
        <w:rPr>
          <w:rFonts w:ascii="Times New Roman" w:hAnsi="Times New Roman" w:cs="Times New Roman"/>
          <w:sz w:val="24"/>
          <w:szCs w:val="24"/>
        </w:rPr>
        <w:t xml:space="preserve"> dokonano korekty, zawartej w </w:t>
      </w:r>
      <w:r w:rsidR="001F1773" w:rsidRPr="0018524B">
        <w:rPr>
          <w:rFonts w:ascii="Times New Roman" w:hAnsi="Times New Roman" w:cs="Times New Roman"/>
          <w:b/>
          <w:sz w:val="24"/>
          <w:szCs w:val="24"/>
        </w:rPr>
        <w:t xml:space="preserve">art. 2 ust. 2 pkt 11 </w:t>
      </w:r>
      <w:r w:rsidR="00123FE5" w:rsidRPr="0018524B">
        <w:rPr>
          <w:rFonts w:ascii="Times New Roman" w:hAnsi="Times New Roman" w:cs="Times New Roman"/>
          <w:b/>
          <w:sz w:val="24"/>
          <w:szCs w:val="24"/>
        </w:rPr>
        <w:t>ustawy o p.p.p.f.t.</w:t>
      </w:r>
      <w:r w:rsidR="00123FE5" w:rsidRPr="0018524B">
        <w:rPr>
          <w:rFonts w:ascii="Times New Roman" w:hAnsi="Times New Roman" w:cs="Times New Roman"/>
          <w:sz w:val="24"/>
          <w:szCs w:val="24"/>
        </w:rPr>
        <w:t xml:space="preserve"> </w:t>
      </w:r>
      <w:r w:rsidR="001F1773" w:rsidRPr="0018524B">
        <w:rPr>
          <w:rFonts w:ascii="Times New Roman" w:hAnsi="Times New Roman" w:cs="Times New Roman"/>
          <w:sz w:val="24"/>
          <w:szCs w:val="24"/>
        </w:rPr>
        <w:t xml:space="preserve">definicji „osób zajmujących eksponowane stanowisko polityczne” polegającej na usunięciu z poszczególnych jednostek redakcyjnych tego przepisu </w:t>
      </w:r>
      <w:r w:rsidR="0068078C" w:rsidRPr="0018524B">
        <w:rPr>
          <w:rFonts w:ascii="Times New Roman" w:hAnsi="Times New Roman" w:cs="Times New Roman"/>
          <w:sz w:val="24"/>
          <w:szCs w:val="24"/>
        </w:rPr>
        <w:t>wskazań stanowisk oraz</w:t>
      </w:r>
      <w:r w:rsidR="001F1773" w:rsidRPr="0018524B">
        <w:rPr>
          <w:rFonts w:ascii="Times New Roman" w:hAnsi="Times New Roman" w:cs="Times New Roman"/>
          <w:sz w:val="24"/>
          <w:szCs w:val="24"/>
        </w:rPr>
        <w:t xml:space="preserve"> funkcji </w:t>
      </w:r>
      <w:r w:rsidR="0068078C" w:rsidRPr="0018524B">
        <w:rPr>
          <w:rFonts w:ascii="Times New Roman" w:hAnsi="Times New Roman" w:cs="Times New Roman"/>
          <w:sz w:val="24"/>
          <w:szCs w:val="24"/>
        </w:rPr>
        <w:t xml:space="preserve">określonych w polskim porządku prawnym. </w:t>
      </w:r>
      <w:r w:rsidR="00564B0D">
        <w:rPr>
          <w:rFonts w:ascii="Times New Roman" w:hAnsi="Times New Roman" w:cs="Times New Roman"/>
          <w:sz w:val="24"/>
          <w:szCs w:val="24"/>
        </w:rPr>
        <w:t xml:space="preserve">Z tych samych przyczyn, tj. w celu wyczerpującego określenia katalogu </w:t>
      </w:r>
      <w:r w:rsidR="008B0E84">
        <w:rPr>
          <w:rFonts w:ascii="Times New Roman" w:hAnsi="Times New Roman" w:cs="Times New Roman"/>
          <w:sz w:val="24"/>
          <w:szCs w:val="24"/>
        </w:rPr>
        <w:t>„krajowych</w:t>
      </w:r>
      <w:r w:rsidR="00564B0D">
        <w:rPr>
          <w:rFonts w:ascii="Times New Roman" w:hAnsi="Times New Roman" w:cs="Times New Roman"/>
          <w:sz w:val="24"/>
          <w:szCs w:val="24"/>
        </w:rPr>
        <w:t xml:space="preserve"> PEP-ów” w akcie wykonawczym, konieczne było rozszerzenie ustawowej definicji osoby zajmującej eksponowane stanowisko polityczne o wskazane w art. 2 ust. 2 pkt 11 lit. j ustawy o p.p.p.f.t. „</w:t>
      </w:r>
      <w:r w:rsidR="00564B0D" w:rsidRPr="00054A6F">
        <w:rPr>
          <w:rFonts w:ascii="Times New Roman" w:hAnsi="Times New Roman" w:cs="Times New Roman"/>
          <w:sz w:val="24"/>
          <w:szCs w:val="24"/>
        </w:rPr>
        <w:t xml:space="preserve">inne osoby pełniące funkcje lub stanowiska publiczne w organach państwa lub centralnych </w:t>
      </w:r>
      <w:r w:rsidR="00564B0D">
        <w:rPr>
          <w:rFonts w:ascii="Times New Roman" w:hAnsi="Times New Roman" w:cs="Times New Roman"/>
          <w:sz w:val="24"/>
          <w:szCs w:val="24"/>
        </w:rPr>
        <w:t>organach administracji rządowej”. Brak uwzględnienia tego rodzaju zbiorczej kategorii w u</w:t>
      </w:r>
      <w:r w:rsidR="004D3798">
        <w:rPr>
          <w:rFonts w:ascii="Times New Roman" w:hAnsi="Times New Roman" w:cs="Times New Roman"/>
          <w:sz w:val="24"/>
          <w:szCs w:val="24"/>
        </w:rPr>
        <w:t>stawowej definicji uniemożliwiło</w:t>
      </w:r>
      <w:r w:rsidR="00564B0D">
        <w:rPr>
          <w:rFonts w:ascii="Times New Roman" w:hAnsi="Times New Roman" w:cs="Times New Roman"/>
          <w:sz w:val="24"/>
          <w:szCs w:val="24"/>
        </w:rPr>
        <w:t>by ujęcie szeregu funkcji i stanowisk w wykazie określonym przez ministra właściwego ds. finansów publicznych w rozporządzeniu. W związku z faktem, że w akcie wykonawczym do ustawy zostanie określony wyczerpujący katalog „krajowych PEP-ów” wyeliminowane zostanie ryzyko ewentualnych wątpliwości interpretacyjnych w odniesieniu do zakresu podmiotowego art.</w:t>
      </w:r>
      <w:r w:rsidR="00564B0D" w:rsidRPr="00821E34">
        <w:t xml:space="preserve"> </w:t>
      </w:r>
      <w:r w:rsidR="00564B0D" w:rsidRPr="00821E34">
        <w:rPr>
          <w:rFonts w:ascii="Times New Roman" w:hAnsi="Times New Roman" w:cs="Times New Roman"/>
          <w:sz w:val="24"/>
          <w:szCs w:val="24"/>
        </w:rPr>
        <w:t>2 ust. 2 pk</w:t>
      </w:r>
      <w:r w:rsidR="00564B0D">
        <w:rPr>
          <w:rFonts w:ascii="Times New Roman" w:hAnsi="Times New Roman" w:cs="Times New Roman"/>
          <w:sz w:val="24"/>
          <w:szCs w:val="24"/>
        </w:rPr>
        <w:t>t 11 lit. j ustawy o p.p.p.f.t.</w:t>
      </w:r>
      <w:r w:rsidR="00C6045B">
        <w:rPr>
          <w:rFonts w:ascii="Times New Roman" w:hAnsi="Times New Roman" w:cs="Times New Roman"/>
          <w:sz w:val="24"/>
          <w:szCs w:val="24"/>
        </w:rPr>
        <w:t xml:space="preserve"> </w:t>
      </w:r>
      <w:r w:rsidR="004D3798" w:rsidRPr="004D3798">
        <w:rPr>
          <w:rFonts w:ascii="Times New Roman" w:hAnsi="Times New Roman" w:cs="Times New Roman"/>
          <w:sz w:val="24"/>
          <w:szCs w:val="24"/>
        </w:rPr>
        <w:t>Z uwagi na fakt, iż art. 2 ust. 2 pkt 11 lit. j ustawy o p.p.p.f.t. stanowi rozwinięcie wstępu do wyliczenia, przepis ten należy czytać całościowo. Tym samym wskazane na podstawie lit. j stanowiska i funkcje muszą być „znaczące”, a ponadto przepis nie dotyczy grup stanowisk średniego i niższego szczebla.</w:t>
      </w:r>
    </w:p>
    <w:p w14:paraId="6876C7DF" w14:textId="4D6E7AC9" w:rsidR="0068078C" w:rsidRPr="0018524B" w:rsidRDefault="005F15AE" w:rsidP="00C81472">
      <w:pPr>
        <w:spacing w:line="400" w:lineRule="atLeast"/>
        <w:jc w:val="both"/>
        <w:rPr>
          <w:rFonts w:ascii="Times New Roman" w:hAnsi="Times New Roman" w:cs="Times New Roman"/>
          <w:sz w:val="24"/>
          <w:szCs w:val="24"/>
        </w:rPr>
      </w:pPr>
      <w:r>
        <w:rPr>
          <w:rFonts w:ascii="Times New Roman" w:hAnsi="Times New Roman" w:cs="Times New Roman"/>
          <w:sz w:val="24"/>
          <w:szCs w:val="24"/>
        </w:rPr>
        <w:t>W porównaniu do aktualnego stanu prawnego statusu „PEP-a” pozbawieni zostali „kierownicy</w:t>
      </w:r>
      <w:r w:rsidRPr="00130899">
        <w:rPr>
          <w:rFonts w:ascii="Times New Roman" w:hAnsi="Times New Roman" w:cs="Times New Roman"/>
          <w:sz w:val="24"/>
          <w:szCs w:val="24"/>
        </w:rPr>
        <w:t xml:space="preserve"> urzędów terenowych organów rządowej administracji specjalnej</w:t>
      </w:r>
      <w:r>
        <w:rPr>
          <w:rFonts w:ascii="Times New Roman" w:hAnsi="Times New Roman" w:cs="Times New Roman"/>
          <w:sz w:val="24"/>
          <w:szCs w:val="24"/>
        </w:rPr>
        <w:t>”. Powyższa zmiana wynika z pogłębionej analizy</w:t>
      </w:r>
      <w:r w:rsidR="0022768D">
        <w:rPr>
          <w:rFonts w:ascii="Times New Roman" w:hAnsi="Times New Roman" w:cs="Times New Roman"/>
          <w:sz w:val="24"/>
          <w:szCs w:val="24"/>
        </w:rPr>
        <w:t xml:space="preserve"> przepisów ustawy o p.p.p.f.t. U</w:t>
      </w:r>
      <w:r>
        <w:rPr>
          <w:rFonts w:ascii="Times New Roman" w:hAnsi="Times New Roman" w:cs="Times New Roman"/>
          <w:sz w:val="24"/>
          <w:szCs w:val="24"/>
        </w:rPr>
        <w:t>znano, że uwzględnienie ww. kategorii urzędników</w:t>
      </w:r>
      <w:r w:rsidRPr="00130899">
        <w:rPr>
          <w:rFonts w:ascii="Times New Roman" w:hAnsi="Times New Roman" w:cs="Times New Roman"/>
          <w:sz w:val="24"/>
          <w:szCs w:val="24"/>
        </w:rPr>
        <w:t xml:space="preserve"> </w:t>
      </w:r>
      <w:r>
        <w:rPr>
          <w:rFonts w:ascii="Times New Roman" w:hAnsi="Times New Roman" w:cs="Times New Roman"/>
          <w:sz w:val="24"/>
          <w:szCs w:val="24"/>
        </w:rPr>
        <w:t xml:space="preserve">w definicji osoby zajmującej eksponowane stanowisko polityczne stanowiło niepotrzebną „nadregulację” w stosunku do przepisów dyrektywy 2015/849, które wyraźnie wskazują, że definicja „PEP-a” nie obejmuje urzędników średniego lub niższego szczebla. </w:t>
      </w:r>
      <w:r w:rsidR="0068078C" w:rsidRPr="0018524B">
        <w:rPr>
          <w:rFonts w:ascii="Times New Roman" w:hAnsi="Times New Roman" w:cs="Times New Roman"/>
          <w:sz w:val="24"/>
          <w:szCs w:val="24"/>
        </w:rPr>
        <w:t>Ponadto, wprowadzenie do definicji uzupełniono o zawart</w:t>
      </w:r>
      <w:r w:rsidR="00A01FDF" w:rsidRPr="0018524B">
        <w:rPr>
          <w:rFonts w:ascii="Times New Roman" w:hAnsi="Times New Roman" w:cs="Times New Roman"/>
          <w:sz w:val="24"/>
          <w:szCs w:val="24"/>
        </w:rPr>
        <w:t>e</w:t>
      </w:r>
      <w:r w:rsidR="0068078C" w:rsidRPr="0018524B">
        <w:rPr>
          <w:rFonts w:ascii="Times New Roman" w:hAnsi="Times New Roman" w:cs="Times New Roman"/>
          <w:sz w:val="24"/>
          <w:szCs w:val="24"/>
        </w:rPr>
        <w:t xml:space="preserve"> w art. 3 pkt 9 </w:t>
      </w:r>
      <w:r w:rsidR="0022768D">
        <w:rPr>
          <w:rFonts w:ascii="Times New Roman" w:hAnsi="Times New Roman" w:cs="Times New Roman"/>
          <w:sz w:val="24"/>
          <w:szCs w:val="24"/>
        </w:rPr>
        <w:t>zd. ostatnie dyrektywy 2015/849</w:t>
      </w:r>
      <w:r w:rsidR="0068078C" w:rsidRPr="0018524B">
        <w:rPr>
          <w:rFonts w:ascii="Times New Roman" w:hAnsi="Times New Roman" w:cs="Times New Roman"/>
          <w:sz w:val="24"/>
          <w:szCs w:val="24"/>
        </w:rPr>
        <w:t xml:space="preserve"> doprecyzowanie wskazujące, że osoby będące „urzędnikami średniego lub niższego szczebla</w:t>
      </w:r>
      <w:r w:rsidR="0022768D">
        <w:rPr>
          <w:rFonts w:ascii="Times New Roman" w:hAnsi="Times New Roman" w:cs="Times New Roman"/>
          <w:sz w:val="24"/>
          <w:szCs w:val="24"/>
        </w:rPr>
        <w:t>” nie powinny być kwalifikowane</w:t>
      </w:r>
      <w:r w:rsidR="009C207B" w:rsidRPr="0018524B">
        <w:rPr>
          <w:rFonts w:ascii="Times New Roman" w:hAnsi="Times New Roman" w:cs="Times New Roman"/>
          <w:sz w:val="24"/>
          <w:szCs w:val="24"/>
        </w:rPr>
        <w:t xml:space="preserve"> </w:t>
      </w:r>
      <w:r w:rsidR="0068078C" w:rsidRPr="0018524B">
        <w:rPr>
          <w:rFonts w:ascii="Times New Roman" w:hAnsi="Times New Roman" w:cs="Times New Roman"/>
          <w:sz w:val="24"/>
          <w:szCs w:val="24"/>
        </w:rPr>
        <w:t xml:space="preserve">jako osoby zajmujące eksponowane stanowiska </w:t>
      </w:r>
      <w:r w:rsidR="0068078C" w:rsidRPr="0018524B">
        <w:rPr>
          <w:rFonts w:ascii="Times New Roman" w:hAnsi="Times New Roman" w:cs="Times New Roman"/>
          <w:sz w:val="24"/>
          <w:szCs w:val="24"/>
        </w:rPr>
        <w:lastRenderedPageBreak/>
        <w:t>polityczne.</w:t>
      </w:r>
      <w:r w:rsidR="00124DB0" w:rsidRPr="0018524B">
        <w:rPr>
          <w:rFonts w:ascii="Times New Roman" w:hAnsi="Times New Roman" w:cs="Times New Roman"/>
          <w:sz w:val="24"/>
          <w:szCs w:val="24"/>
        </w:rPr>
        <w:t xml:space="preserve"> </w:t>
      </w:r>
      <w:r w:rsidR="00123FE5" w:rsidRPr="0018524B">
        <w:rPr>
          <w:rFonts w:ascii="Times New Roman" w:hAnsi="Times New Roman" w:cs="Times New Roman"/>
          <w:sz w:val="24"/>
          <w:szCs w:val="24"/>
        </w:rPr>
        <w:t>Informacja o stanowis</w:t>
      </w:r>
      <w:r w:rsidR="0022768D">
        <w:rPr>
          <w:rFonts w:ascii="Times New Roman" w:hAnsi="Times New Roman" w:cs="Times New Roman"/>
          <w:sz w:val="24"/>
          <w:szCs w:val="24"/>
        </w:rPr>
        <w:t>kach oraz funkcjach publicznych</w:t>
      </w:r>
      <w:r w:rsidR="00123FE5" w:rsidRPr="0018524B">
        <w:rPr>
          <w:rFonts w:ascii="Times New Roman" w:hAnsi="Times New Roman" w:cs="Times New Roman"/>
          <w:sz w:val="24"/>
          <w:szCs w:val="24"/>
        </w:rPr>
        <w:t xml:space="preserve"> uznanych na gruncie prawa polskiego za eksponowane stanowiska polityczne z</w:t>
      </w:r>
      <w:r w:rsidR="00B21747" w:rsidRPr="0018524B">
        <w:rPr>
          <w:rFonts w:ascii="Times New Roman" w:hAnsi="Times New Roman" w:cs="Times New Roman"/>
          <w:sz w:val="24"/>
          <w:szCs w:val="24"/>
        </w:rPr>
        <w:t>o</w:t>
      </w:r>
      <w:r w:rsidR="00123FE5" w:rsidRPr="0018524B">
        <w:rPr>
          <w:rFonts w:ascii="Times New Roman" w:hAnsi="Times New Roman" w:cs="Times New Roman"/>
          <w:sz w:val="24"/>
          <w:szCs w:val="24"/>
        </w:rPr>
        <w:t>stanie na podstawie art. 46</w:t>
      </w:r>
      <w:r w:rsidR="00714A4F" w:rsidRPr="0018524B">
        <w:rPr>
          <w:rFonts w:ascii="Times New Roman" w:hAnsi="Times New Roman" w:cs="Times New Roman"/>
          <w:sz w:val="24"/>
          <w:szCs w:val="24"/>
        </w:rPr>
        <w:t>a</w:t>
      </w:r>
      <w:r w:rsidR="00123FE5" w:rsidRPr="0018524B">
        <w:rPr>
          <w:rFonts w:ascii="Times New Roman" w:hAnsi="Times New Roman" w:cs="Times New Roman"/>
          <w:sz w:val="24"/>
          <w:szCs w:val="24"/>
        </w:rPr>
        <w:t xml:space="preserve"> przekazana Komisji Europejskiej. </w:t>
      </w:r>
      <w:r w:rsidR="00124DB0" w:rsidRPr="0018524B">
        <w:rPr>
          <w:rFonts w:ascii="Times New Roman" w:hAnsi="Times New Roman" w:cs="Times New Roman"/>
          <w:sz w:val="24"/>
          <w:szCs w:val="24"/>
        </w:rPr>
        <w:t>Art. 46</w:t>
      </w:r>
      <w:r w:rsidR="00714A4F" w:rsidRPr="0018524B">
        <w:rPr>
          <w:rFonts w:ascii="Times New Roman" w:hAnsi="Times New Roman" w:cs="Times New Roman"/>
          <w:sz w:val="24"/>
          <w:szCs w:val="24"/>
        </w:rPr>
        <w:t>b</w:t>
      </w:r>
      <w:r w:rsidR="00B21747" w:rsidRPr="0018524B">
        <w:rPr>
          <w:rFonts w:ascii="Times New Roman" w:hAnsi="Times New Roman" w:cs="Times New Roman"/>
          <w:sz w:val="24"/>
          <w:szCs w:val="24"/>
        </w:rPr>
        <w:t xml:space="preserve"> </w:t>
      </w:r>
      <w:r w:rsidR="00124DB0" w:rsidRPr="0018524B">
        <w:rPr>
          <w:rFonts w:ascii="Times New Roman" w:hAnsi="Times New Roman" w:cs="Times New Roman"/>
          <w:sz w:val="24"/>
          <w:szCs w:val="24"/>
        </w:rPr>
        <w:t>ustawy o p.p.p.f.t.</w:t>
      </w:r>
      <w:r w:rsidR="0059027F" w:rsidRPr="0018524B">
        <w:rPr>
          <w:rFonts w:ascii="Times New Roman" w:hAnsi="Times New Roman" w:cs="Times New Roman"/>
          <w:sz w:val="24"/>
          <w:szCs w:val="24"/>
        </w:rPr>
        <w:t xml:space="preserve"> stanowi realizację wymogów określonych w art. 20a ust. 1 zd. drugie dyrektywy 2015/849 i nakłada na </w:t>
      </w:r>
      <w:r w:rsidR="00124DB0" w:rsidRPr="0018524B">
        <w:rPr>
          <w:rFonts w:ascii="Times New Roman" w:hAnsi="Times New Roman" w:cs="Times New Roman"/>
          <w:sz w:val="24"/>
          <w:szCs w:val="24"/>
        </w:rPr>
        <w:t>organizacje</w:t>
      </w:r>
      <w:r w:rsidR="009C207B" w:rsidRPr="0018524B">
        <w:rPr>
          <w:rFonts w:ascii="Times New Roman" w:hAnsi="Times New Roman" w:cs="Times New Roman"/>
          <w:sz w:val="24"/>
          <w:szCs w:val="24"/>
        </w:rPr>
        <w:t xml:space="preserve"> </w:t>
      </w:r>
      <w:r w:rsidR="00124DB0" w:rsidRPr="0018524B">
        <w:rPr>
          <w:rFonts w:ascii="Times New Roman" w:hAnsi="Times New Roman" w:cs="Times New Roman"/>
          <w:sz w:val="24"/>
          <w:szCs w:val="24"/>
        </w:rPr>
        <w:t>międzynarodowe</w:t>
      </w:r>
      <w:r w:rsidR="0059027F" w:rsidRPr="0018524B">
        <w:rPr>
          <w:rFonts w:ascii="Times New Roman" w:hAnsi="Times New Roman" w:cs="Times New Roman"/>
          <w:sz w:val="24"/>
          <w:szCs w:val="24"/>
        </w:rPr>
        <w:t xml:space="preserve"> z siedzibą na terytorium Rzeczypospolitej Polskiej obowiązek publikacji aktualnego wykazu stanowisk oraz funkcji w tych organizacjach międzynarodowych, które są eksponowanymi stanowiskami politycznymi. Organizacje te zostały również zobowiązane do </w:t>
      </w:r>
      <w:r w:rsidR="00833ABF" w:rsidRPr="0018524B">
        <w:rPr>
          <w:rFonts w:ascii="Times New Roman" w:hAnsi="Times New Roman" w:cs="Times New Roman"/>
          <w:sz w:val="24"/>
          <w:szCs w:val="24"/>
        </w:rPr>
        <w:t xml:space="preserve">przekazania </w:t>
      </w:r>
      <w:r w:rsidR="0059027F" w:rsidRPr="0018524B">
        <w:rPr>
          <w:rFonts w:ascii="Times New Roman" w:hAnsi="Times New Roman" w:cs="Times New Roman"/>
          <w:sz w:val="24"/>
          <w:szCs w:val="24"/>
        </w:rPr>
        <w:t>stosownych informacji Komisji Europejskiej.</w:t>
      </w:r>
      <w:r w:rsidR="009C207B" w:rsidRPr="0018524B">
        <w:rPr>
          <w:rFonts w:ascii="Times New Roman" w:hAnsi="Times New Roman" w:cs="Times New Roman"/>
          <w:sz w:val="24"/>
          <w:szCs w:val="24"/>
        </w:rPr>
        <w:t xml:space="preserve"> </w:t>
      </w:r>
      <w:r w:rsidR="005C4B09" w:rsidRPr="0018524B">
        <w:rPr>
          <w:rFonts w:ascii="Times New Roman" w:hAnsi="Times New Roman" w:cs="Times New Roman"/>
          <w:sz w:val="24"/>
          <w:szCs w:val="24"/>
        </w:rPr>
        <w:t xml:space="preserve">Zgodnie z projektowanym art. 46a ustawy o p.p.p.f.t., Generalny Inspektor Informacji Finansowej przekazuje Komisji Europejskiej wykaz krajowych stanowisk i funkcji publicznych będących eksponowanymi stanowiskami politycznymi, z wyłączeniem stanowisk oraz funkcji w organizacjach międzynarodowych. Obowiązek </w:t>
      </w:r>
      <w:r w:rsidR="00833ABF" w:rsidRPr="0018524B">
        <w:rPr>
          <w:rFonts w:ascii="Times New Roman" w:hAnsi="Times New Roman" w:cs="Times New Roman"/>
          <w:sz w:val="24"/>
          <w:szCs w:val="24"/>
        </w:rPr>
        <w:t xml:space="preserve">przekazania </w:t>
      </w:r>
      <w:r w:rsidR="00E14E1C" w:rsidRPr="0018524B">
        <w:rPr>
          <w:rFonts w:ascii="Times New Roman" w:hAnsi="Times New Roman" w:cs="Times New Roman"/>
          <w:sz w:val="24"/>
          <w:szCs w:val="24"/>
        </w:rPr>
        <w:t xml:space="preserve">Komisji Europejskiej stosownych informacji zgodnie z projektowanym art. 46b ustawy o p.p.p.f.t. spoczywał będzie bezpośrednio na organizacji międzynarodowej. Okoliczność ta wynika z faktu, iż zgłoszenie przekazywane Komisji Europejskiej przez Generalnego Inspektora Informacji Finansowej opierać się będzie na wykazie określonym przez ministra właściwego do spraw finansów publicznych w drodze rozporządzenia, wydanego na podstawie art. 46c ustawy o p.p.p.f.t. Wydając rozporządzenie, minister właściwy do spraw finansów publicznych może oprzeć się na informacjach dotyczących funkcjonowania poszczególnych organów administracji. W przypadku organizacji międzynarodowych, to charakter struktury organizacyjnej i </w:t>
      </w:r>
      <w:r w:rsidR="00535BF4" w:rsidRPr="0018524B">
        <w:rPr>
          <w:rFonts w:ascii="Times New Roman" w:hAnsi="Times New Roman" w:cs="Times New Roman"/>
          <w:sz w:val="24"/>
          <w:szCs w:val="24"/>
        </w:rPr>
        <w:t xml:space="preserve">podział zadań w ramach organizacji będzie decydujący dla uznania, że określone stanowisko lub funkcja jest eksponowanym stanowiskiem politycznym. Tym samym zasadnym jest, by to organizacja międzynarodowa podawała do publicznej wiadomości oraz </w:t>
      </w:r>
      <w:r w:rsidR="00833ABF" w:rsidRPr="0018524B">
        <w:rPr>
          <w:rFonts w:ascii="Times New Roman" w:hAnsi="Times New Roman" w:cs="Times New Roman"/>
          <w:sz w:val="24"/>
          <w:szCs w:val="24"/>
        </w:rPr>
        <w:t xml:space="preserve">przekazywała </w:t>
      </w:r>
      <w:r w:rsidR="00535BF4" w:rsidRPr="0018524B">
        <w:rPr>
          <w:rFonts w:ascii="Times New Roman" w:hAnsi="Times New Roman" w:cs="Times New Roman"/>
          <w:sz w:val="24"/>
          <w:szCs w:val="24"/>
        </w:rPr>
        <w:t>Komisji Europejskiej informacje na temat funkcji i stanowisk, które w jej strukturze powinny zostać zakwalifikowane jako eksponowane stanowiska polityczne.</w:t>
      </w:r>
    </w:p>
    <w:p w14:paraId="0AE4956F" w14:textId="15035D81" w:rsidR="00D37D41" w:rsidRPr="0018524B" w:rsidRDefault="002A4413"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Nowelizacja </w:t>
      </w:r>
      <w:r w:rsidRPr="0018524B">
        <w:rPr>
          <w:rFonts w:ascii="Times New Roman" w:hAnsi="Times New Roman" w:cs="Times New Roman"/>
          <w:b/>
          <w:sz w:val="24"/>
          <w:szCs w:val="24"/>
        </w:rPr>
        <w:t>a</w:t>
      </w:r>
      <w:r w:rsidR="009C207B" w:rsidRPr="0018524B">
        <w:rPr>
          <w:rFonts w:ascii="Times New Roman" w:hAnsi="Times New Roman" w:cs="Times New Roman"/>
          <w:b/>
          <w:sz w:val="24"/>
          <w:szCs w:val="24"/>
        </w:rPr>
        <w:t xml:space="preserve">rt. 49 </w:t>
      </w:r>
      <w:r w:rsidRPr="0018524B">
        <w:rPr>
          <w:rFonts w:ascii="Times New Roman" w:hAnsi="Times New Roman" w:cs="Times New Roman"/>
          <w:b/>
          <w:sz w:val="24"/>
          <w:szCs w:val="24"/>
        </w:rPr>
        <w:t>ustawy o p.p.p.f.t.</w:t>
      </w:r>
      <w:r w:rsidRPr="0018524B">
        <w:rPr>
          <w:rFonts w:ascii="Times New Roman" w:hAnsi="Times New Roman" w:cs="Times New Roman"/>
          <w:sz w:val="24"/>
          <w:szCs w:val="24"/>
        </w:rPr>
        <w:t xml:space="preserve"> </w:t>
      </w:r>
      <w:r w:rsidR="00203E95" w:rsidRPr="0018524B">
        <w:rPr>
          <w:rFonts w:ascii="Times New Roman" w:hAnsi="Times New Roman" w:cs="Times New Roman"/>
          <w:sz w:val="24"/>
          <w:szCs w:val="24"/>
        </w:rPr>
        <w:t xml:space="preserve">zmierza do pełnego dostosowania przepisów dotyczących przechowywania dokumentacji do wymogów wynikających z art. 40 ust. 1 dyrektywy 2015/849 i </w:t>
      </w:r>
      <w:r w:rsidRPr="0018524B">
        <w:rPr>
          <w:rFonts w:ascii="Times New Roman" w:hAnsi="Times New Roman" w:cs="Times New Roman"/>
          <w:sz w:val="24"/>
          <w:szCs w:val="24"/>
        </w:rPr>
        <w:t xml:space="preserve">sprowadza się do </w:t>
      </w:r>
      <w:r w:rsidR="00203E95" w:rsidRPr="0018524B">
        <w:rPr>
          <w:rFonts w:ascii="Times New Roman" w:hAnsi="Times New Roman" w:cs="Times New Roman"/>
          <w:sz w:val="24"/>
          <w:szCs w:val="24"/>
        </w:rPr>
        <w:t>wskazania „konieczności” oraz „proporcjonalności”, jako przesłanek</w:t>
      </w:r>
      <w:r w:rsidR="00535BF4" w:rsidRPr="0018524B">
        <w:rPr>
          <w:rFonts w:ascii="Times New Roman" w:hAnsi="Times New Roman" w:cs="Times New Roman"/>
          <w:sz w:val="24"/>
          <w:szCs w:val="24"/>
        </w:rPr>
        <w:t>,</w:t>
      </w:r>
      <w:r w:rsidR="00203E95" w:rsidRPr="0018524B">
        <w:rPr>
          <w:rFonts w:ascii="Times New Roman" w:hAnsi="Times New Roman" w:cs="Times New Roman"/>
          <w:sz w:val="24"/>
          <w:szCs w:val="24"/>
        </w:rPr>
        <w:t xml:space="preserve"> przez pryzmat których Generalny</w:t>
      </w:r>
      <w:r w:rsidRPr="0018524B">
        <w:rPr>
          <w:rFonts w:ascii="Times New Roman" w:hAnsi="Times New Roman" w:cs="Times New Roman"/>
          <w:sz w:val="24"/>
          <w:szCs w:val="24"/>
        </w:rPr>
        <w:t xml:space="preserve"> Inspektorowi </w:t>
      </w:r>
      <w:r w:rsidR="00203E95" w:rsidRPr="0018524B">
        <w:rPr>
          <w:rFonts w:ascii="Times New Roman" w:hAnsi="Times New Roman" w:cs="Times New Roman"/>
          <w:sz w:val="24"/>
          <w:szCs w:val="24"/>
        </w:rPr>
        <w:t xml:space="preserve">oceniać będzie możliwość </w:t>
      </w:r>
      <w:r w:rsidRPr="0018524B">
        <w:rPr>
          <w:rFonts w:ascii="Times New Roman" w:hAnsi="Times New Roman" w:cs="Times New Roman"/>
          <w:sz w:val="24"/>
          <w:szCs w:val="24"/>
        </w:rPr>
        <w:t>dalszego przechowywania przez instytucje obowiązane dokumentacji</w:t>
      </w:r>
      <w:r w:rsidR="00282A7D" w:rsidRPr="0018524B">
        <w:rPr>
          <w:rFonts w:ascii="Times New Roman" w:hAnsi="Times New Roman" w:cs="Times New Roman"/>
          <w:sz w:val="24"/>
          <w:szCs w:val="24"/>
        </w:rPr>
        <w:t>,</w:t>
      </w:r>
      <w:r w:rsidRPr="0018524B">
        <w:rPr>
          <w:rFonts w:ascii="Times New Roman" w:hAnsi="Times New Roman" w:cs="Times New Roman"/>
          <w:sz w:val="24"/>
          <w:szCs w:val="24"/>
        </w:rPr>
        <w:t xml:space="preserve"> o której mowa w art. 49 ust. 1 i 2 ustawy o p.p.p.f.t. </w:t>
      </w:r>
      <w:r w:rsidR="00283854" w:rsidRPr="0018524B">
        <w:rPr>
          <w:rFonts w:ascii="Times New Roman" w:hAnsi="Times New Roman" w:cs="Times New Roman"/>
          <w:sz w:val="24"/>
          <w:szCs w:val="24"/>
        </w:rPr>
        <w:t>Wystosowanie przez Generalnego Inspektora do instytucji obowiązanej żądania dalszego przechowywania informacji</w:t>
      </w:r>
      <w:r w:rsidR="00735545" w:rsidRPr="0018524B">
        <w:rPr>
          <w:rFonts w:ascii="Times New Roman" w:hAnsi="Times New Roman" w:cs="Times New Roman"/>
          <w:sz w:val="24"/>
          <w:szCs w:val="24"/>
        </w:rPr>
        <w:t xml:space="preserve"> </w:t>
      </w:r>
      <w:r w:rsidR="00283854" w:rsidRPr="0018524B">
        <w:rPr>
          <w:rFonts w:ascii="Times New Roman" w:hAnsi="Times New Roman" w:cs="Times New Roman"/>
          <w:sz w:val="24"/>
          <w:szCs w:val="24"/>
        </w:rPr>
        <w:t xml:space="preserve">możliwe będzie tylko wtedy, gdy takie dalsze przechowywanie będzie niezbędne dla zapewnienia prawidłowości postępowań w sprawach dotyczących przeciwdziałania praniu pieniędzy lub finansowaniu terroryzmu lub </w:t>
      </w:r>
      <w:r w:rsidR="00283854" w:rsidRPr="0018524B">
        <w:rPr>
          <w:rFonts w:ascii="Times New Roman" w:hAnsi="Times New Roman" w:cs="Times New Roman"/>
          <w:sz w:val="24"/>
          <w:szCs w:val="24"/>
        </w:rPr>
        <w:lastRenderedPageBreak/>
        <w:t xml:space="preserve">postępowań karnych. </w:t>
      </w:r>
      <w:r w:rsidR="0096423A" w:rsidRPr="0018524B">
        <w:rPr>
          <w:rFonts w:ascii="Times New Roman" w:hAnsi="Times New Roman" w:cs="Times New Roman"/>
          <w:sz w:val="24"/>
          <w:szCs w:val="24"/>
        </w:rPr>
        <w:t xml:space="preserve">Art. 49 ustawy o p.p.p.f.t. w dotychczasowym brzmieniu obowiązuje </w:t>
      </w:r>
      <w:r w:rsidR="00C16099" w:rsidRPr="0018524B">
        <w:rPr>
          <w:rFonts w:ascii="Times New Roman" w:hAnsi="Times New Roman" w:cs="Times New Roman"/>
          <w:sz w:val="24"/>
          <w:szCs w:val="24"/>
        </w:rPr>
        <w:t>przez okres krótszy niż 5 lat</w:t>
      </w:r>
      <w:r w:rsidR="0096423A" w:rsidRPr="0018524B">
        <w:rPr>
          <w:rFonts w:ascii="Times New Roman" w:hAnsi="Times New Roman" w:cs="Times New Roman"/>
          <w:sz w:val="24"/>
          <w:szCs w:val="24"/>
        </w:rPr>
        <w:t xml:space="preserve">, </w:t>
      </w:r>
      <w:r w:rsidR="00C16099" w:rsidRPr="0018524B">
        <w:rPr>
          <w:rFonts w:ascii="Times New Roman" w:hAnsi="Times New Roman" w:cs="Times New Roman"/>
          <w:sz w:val="24"/>
          <w:szCs w:val="24"/>
        </w:rPr>
        <w:t xml:space="preserve">co za tym idzie </w:t>
      </w:r>
      <w:r w:rsidR="00606AF4">
        <w:rPr>
          <w:rFonts w:ascii="Times New Roman" w:hAnsi="Times New Roman" w:cs="Times New Roman"/>
          <w:sz w:val="24"/>
          <w:szCs w:val="24"/>
        </w:rPr>
        <w:t>nie upłynęły jeszcze terminy dla przechowywania dokumentacji określone na podstawie obecnie obowiązujących przepisów. Nie ma również możliwości, aby terminy takie upłynęły w okres</w:t>
      </w:r>
      <w:r w:rsidR="006A1D89">
        <w:rPr>
          <w:rFonts w:ascii="Times New Roman" w:hAnsi="Times New Roman" w:cs="Times New Roman"/>
          <w:sz w:val="24"/>
          <w:szCs w:val="24"/>
        </w:rPr>
        <w:t>ie</w:t>
      </w:r>
      <w:r w:rsidR="00606AF4">
        <w:rPr>
          <w:rFonts w:ascii="Times New Roman" w:hAnsi="Times New Roman" w:cs="Times New Roman"/>
          <w:sz w:val="24"/>
          <w:szCs w:val="24"/>
        </w:rPr>
        <w:t xml:space="preserve"> </w:t>
      </w:r>
      <w:r w:rsidR="00606AF4" w:rsidRPr="00C241CB">
        <w:rPr>
          <w:rFonts w:ascii="Times New Roman" w:hAnsi="Times New Roman" w:cs="Times New Roman"/>
          <w:i/>
          <w:sz w:val="24"/>
          <w:szCs w:val="24"/>
        </w:rPr>
        <w:t>vacati</w:t>
      </w:r>
      <w:r w:rsidR="00606AF4">
        <w:rPr>
          <w:rFonts w:ascii="Times New Roman" w:hAnsi="Times New Roman" w:cs="Times New Roman"/>
          <w:i/>
          <w:sz w:val="24"/>
          <w:szCs w:val="24"/>
        </w:rPr>
        <w:t>o leg</w:t>
      </w:r>
      <w:r w:rsidR="00606AF4" w:rsidRPr="00C241CB">
        <w:rPr>
          <w:rFonts w:ascii="Times New Roman" w:hAnsi="Times New Roman" w:cs="Times New Roman"/>
          <w:i/>
          <w:sz w:val="24"/>
          <w:szCs w:val="24"/>
        </w:rPr>
        <w:t>is</w:t>
      </w:r>
      <w:r w:rsidR="00606AF4">
        <w:rPr>
          <w:rFonts w:ascii="Times New Roman" w:hAnsi="Times New Roman" w:cs="Times New Roman"/>
          <w:sz w:val="24"/>
          <w:szCs w:val="24"/>
        </w:rPr>
        <w:t xml:space="preserve"> art. 49 w projektowanym brzmieniu. Nie ma zatem,</w:t>
      </w:r>
      <w:r w:rsidR="00C16099" w:rsidRPr="0018524B">
        <w:rPr>
          <w:rFonts w:ascii="Times New Roman" w:hAnsi="Times New Roman" w:cs="Times New Roman"/>
          <w:sz w:val="24"/>
          <w:szCs w:val="24"/>
        </w:rPr>
        <w:t xml:space="preserve"> potrzeby wprowadzania przepisów przejściowych ani dostosowujących. </w:t>
      </w:r>
      <w:r w:rsidR="00606AF4">
        <w:rPr>
          <w:rFonts w:ascii="Times New Roman" w:hAnsi="Times New Roman" w:cs="Times New Roman"/>
          <w:sz w:val="24"/>
          <w:szCs w:val="24"/>
        </w:rPr>
        <w:t>Z dniem wejścia w życie p</w:t>
      </w:r>
      <w:r w:rsidR="00BA6A4D" w:rsidRPr="0018524B">
        <w:rPr>
          <w:rFonts w:ascii="Times New Roman" w:hAnsi="Times New Roman" w:cs="Times New Roman"/>
          <w:sz w:val="24"/>
          <w:szCs w:val="24"/>
        </w:rPr>
        <w:t xml:space="preserve">rzepis </w:t>
      </w:r>
      <w:r w:rsidR="00606AF4">
        <w:rPr>
          <w:rFonts w:ascii="Times New Roman" w:hAnsi="Times New Roman" w:cs="Times New Roman"/>
          <w:sz w:val="24"/>
          <w:szCs w:val="24"/>
        </w:rPr>
        <w:t>art. 49 ustawy o p.p.p.f.t. w nowym brzmieniu</w:t>
      </w:r>
      <w:r w:rsidR="00606AF4" w:rsidRPr="0018524B">
        <w:rPr>
          <w:rFonts w:ascii="Times New Roman" w:hAnsi="Times New Roman" w:cs="Times New Roman"/>
          <w:sz w:val="24"/>
          <w:szCs w:val="24"/>
        </w:rPr>
        <w:t xml:space="preserve"> </w:t>
      </w:r>
      <w:r w:rsidR="00BA6A4D" w:rsidRPr="0018524B">
        <w:rPr>
          <w:rFonts w:ascii="Times New Roman" w:hAnsi="Times New Roman" w:cs="Times New Roman"/>
          <w:sz w:val="24"/>
          <w:szCs w:val="24"/>
        </w:rPr>
        <w:t>znajdzie zastosowanie również do dokumentów, których przechowywanie rozpoczęło się przed dniem wejścia w życie niniejszej ustawy.</w:t>
      </w:r>
    </w:p>
    <w:p w14:paraId="19127624" w14:textId="1F66E807" w:rsidR="008B2E22" w:rsidRPr="0018524B" w:rsidRDefault="00D37D41"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Zmiany wprowadzone do </w:t>
      </w:r>
      <w:r w:rsidRPr="0018524B">
        <w:rPr>
          <w:rFonts w:ascii="Times New Roman" w:hAnsi="Times New Roman" w:cs="Times New Roman"/>
          <w:b/>
          <w:sz w:val="24"/>
          <w:szCs w:val="24"/>
        </w:rPr>
        <w:t>art. 50 ust. 2 ustawy o p.p.p.f.t.</w:t>
      </w:r>
      <w:r w:rsidRPr="0018524B">
        <w:rPr>
          <w:rFonts w:ascii="Times New Roman" w:hAnsi="Times New Roman" w:cs="Times New Roman"/>
          <w:sz w:val="24"/>
          <w:szCs w:val="24"/>
        </w:rPr>
        <w:t xml:space="preserve">, określającym minimalny zakres przedmiotowy wewnętrznej procedury instytucji obowiązanej są pochodną nowych obowiązków nałożonych na instytucje obowiązane tj. wynikającego z art. </w:t>
      </w:r>
      <w:r w:rsidR="00F07DBC" w:rsidRPr="0018524B">
        <w:rPr>
          <w:rFonts w:ascii="Times New Roman" w:hAnsi="Times New Roman" w:cs="Times New Roman"/>
          <w:sz w:val="24"/>
          <w:szCs w:val="24"/>
        </w:rPr>
        <w:t>6</w:t>
      </w:r>
      <w:r w:rsidR="007C78BB" w:rsidRPr="0018524B">
        <w:rPr>
          <w:rFonts w:ascii="Times New Roman" w:hAnsi="Times New Roman" w:cs="Times New Roman"/>
          <w:sz w:val="24"/>
          <w:szCs w:val="24"/>
        </w:rPr>
        <w:t>1a ustawy o p.p.p.f.t. obowiązku odnotowywania rozbieżności pomiędzy informacjami zgromadzonymi w Centralnym Rejestrze Beneficjentów Rzeczywistych a informacjami o beneficjentach rzeczywistych klienta ustalonymi w związku ze stosowaniem ustawy oraz obowiązku dokumentowania trudności napotkanych przez instytucję obowiązaną w związku ze stosowaniem środka bezpieczeństwa finansowego obejmującego identyfikację tożsamości beneficjenta rzeczywistego.</w:t>
      </w:r>
      <w:r w:rsidR="00A729AA" w:rsidRPr="0018524B">
        <w:rPr>
          <w:rFonts w:ascii="Times New Roman" w:hAnsi="Times New Roman" w:cs="Times New Roman"/>
          <w:sz w:val="24"/>
          <w:szCs w:val="24"/>
        </w:rPr>
        <w:t xml:space="preserve"> Ponadto, w </w:t>
      </w:r>
      <w:r w:rsidR="00A729AA" w:rsidRPr="0018524B">
        <w:rPr>
          <w:rFonts w:ascii="Times New Roman" w:hAnsi="Times New Roman" w:cs="Times New Roman"/>
          <w:b/>
          <w:sz w:val="24"/>
          <w:szCs w:val="24"/>
        </w:rPr>
        <w:t>art. 50 ust. 1 ustawy o p.p.p.f.t.</w:t>
      </w:r>
      <w:r w:rsidR="00A729AA" w:rsidRPr="0018524B">
        <w:rPr>
          <w:rFonts w:ascii="Times New Roman" w:hAnsi="Times New Roman" w:cs="Times New Roman"/>
          <w:sz w:val="24"/>
          <w:szCs w:val="24"/>
        </w:rPr>
        <w:t xml:space="preserve"> wyartykułowano wprost, wynikający z art. 8 ust. 5 dyrektywy 2015/849 obowiązek</w:t>
      </w:r>
      <w:r w:rsidR="00C6045B">
        <w:rPr>
          <w:rFonts w:ascii="Times New Roman" w:hAnsi="Times New Roman" w:cs="Times New Roman"/>
          <w:sz w:val="24"/>
          <w:szCs w:val="24"/>
        </w:rPr>
        <w:t xml:space="preserve"> </w:t>
      </w:r>
      <w:r w:rsidR="00A729AA" w:rsidRPr="0018524B">
        <w:rPr>
          <w:rFonts w:ascii="Times New Roman" w:hAnsi="Times New Roman" w:cs="Times New Roman"/>
          <w:sz w:val="24"/>
          <w:szCs w:val="24"/>
        </w:rPr>
        <w:t>bieżącej weryfikacji oraz w razie potrzeby aktualizacji wewnętrznej procedury instytucji obowiązanej.</w:t>
      </w:r>
      <w:r w:rsidR="00827569" w:rsidRPr="0018524B">
        <w:rPr>
          <w:rFonts w:ascii="Times New Roman" w:hAnsi="Times New Roman" w:cs="Times New Roman"/>
          <w:sz w:val="24"/>
          <w:szCs w:val="24"/>
        </w:rPr>
        <w:t xml:space="preserve"> Wprowadzenie art. 50 </w:t>
      </w:r>
      <w:r w:rsidR="00E83C80" w:rsidRPr="0018524B">
        <w:rPr>
          <w:rFonts w:ascii="Times New Roman" w:hAnsi="Times New Roman" w:cs="Times New Roman"/>
          <w:sz w:val="24"/>
          <w:szCs w:val="24"/>
        </w:rPr>
        <w:t>ust. 2 pkt 10 i 11 ustawy o p.p.p.f.t. wiąże się z potrzebą aktualizacji procedur wewnętrznych instytucji obowiązanych, ze względu na nowe obowiązkowe elementy procedury. Zauważyć przy tym należy, iż zgodnie z art. 50 ust. 1 ustawy o p.p.p.f.t., instytucje ob</w:t>
      </w:r>
      <w:r w:rsidR="00BA6A4D" w:rsidRPr="0018524B">
        <w:rPr>
          <w:rFonts w:ascii="Times New Roman" w:hAnsi="Times New Roman" w:cs="Times New Roman"/>
          <w:sz w:val="24"/>
          <w:szCs w:val="24"/>
        </w:rPr>
        <w:t>o</w:t>
      </w:r>
      <w:r w:rsidR="00E83C80" w:rsidRPr="0018524B">
        <w:rPr>
          <w:rFonts w:ascii="Times New Roman" w:hAnsi="Times New Roman" w:cs="Times New Roman"/>
          <w:sz w:val="24"/>
          <w:szCs w:val="24"/>
        </w:rPr>
        <w:t xml:space="preserve">wiązane w razie potrzeby dokonują aktualizacji wewnętrznej procedury. Wprowadzenie nowych elementów obowiązkowych procedury wewnętrznej niewątpliwie stanowi element świadczący o potrzebie aktualizacji procedury wewnętrznej. Jednocześnie okres od </w:t>
      </w:r>
      <w:r w:rsidR="001B1A8F" w:rsidRPr="0018524B">
        <w:rPr>
          <w:rFonts w:ascii="Times New Roman" w:hAnsi="Times New Roman" w:cs="Times New Roman"/>
          <w:sz w:val="24"/>
          <w:szCs w:val="24"/>
        </w:rPr>
        <w:t xml:space="preserve">wejścia w </w:t>
      </w:r>
      <w:r w:rsidR="00FF379E" w:rsidRPr="0018524B">
        <w:rPr>
          <w:rFonts w:ascii="Times New Roman" w:hAnsi="Times New Roman" w:cs="Times New Roman"/>
          <w:sz w:val="24"/>
          <w:szCs w:val="24"/>
        </w:rPr>
        <w:t>życie</w:t>
      </w:r>
      <w:r w:rsidR="00E83C80" w:rsidRPr="0018524B">
        <w:rPr>
          <w:rFonts w:ascii="Times New Roman" w:hAnsi="Times New Roman" w:cs="Times New Roman"/>
          <w:sz w:val="24"/>
          <w:szCs w:val="24"/>
        </w:rPr>
        <w:t xml:space="preserve"> ustawy nowelizującej do wejścia w życie art. 50 ust. 2 pkt 10 i 11 należy uznać za wystarczający do podjęcia przez instytucje obowiązane działań zmierzających do zaktualizowania procedur wewnętrznych. </w:t>
      </w:r>
      <w:r w:rsidR="00B63A59" w:rsidRPr="0018524B">
        <w:rPr>
          <w:rFonts w:ascii="Times New Roman" w:hAnsi="Times New Roman" w:cs="Times New Roman"/>
          <w:sz w:val="24"/>
          <w:szCs w:val="24"/>
        </w:rPr>
        <w:t>Tym samym w związku z wprowadzeniem art. 50 ust. 2 pkt 10 i 1</w:t>
      </w:r>
      <w:r w:rsidR="00CE37EC" w:rsidRPr="0018524B">
        <w:rPr>
          <w:rFonts w:ascii="Times New Roman" w:hAnsi="Times New Roman" w:cs="Times New Roman"/>
          <w:sz w:val="24"/>
          <w:szCs w:val="24"/>
        </w:rPr>
        <w:t>1</w:t>
      </w:r>
      <w:r w:rsidR="00B63A59" w:rsidRPr="0018524B">
        <w:rPr>
          <w:rFonts w:ascii="Times New Roman" w:hAnsi="Times New Roman" w:cs="Times New Roman"/>
          <w:sz w:val="24"/>
          <w:szCs w:val="24"/>
        </w:rPr>
        <w:t xml:space="preserve"> ustawy o p.p.p.f.t. nie zachodzi potrzeba wprowadzenia przepisów przejściowych.</w:t>
      </w:r>
      <w:r w:rsidR="00E83C80" w:rsidRPr="0018524B">
        <w:rPr>
          <w:rFonts w:ascii="Times New Roman" w:hAnsi="Times New Roman" w:cs="Times New Roman"/>
          <w:sz w:val="24"/>
          <w:szCs w:val="24"/>
        </w:rPr>
        <w:t xml:space="preserve"> </w:t>
      </w:r>
    </w:p>
    <w:p w14:paraId="3FD83368" w14:textId="0C8589C0" w:rsidR="00F84A12" w:rsidRPr="0018524B" w:rsidRDefault="00F84A12"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Art. 45 ust. 4 dyrektywy 2015/849 w brzmieniu nadanym przez dyrektywę 2018/843 wskazuje kryteria uwzględniane podczas dokonywania oceny prawa państwa trzeciego, w kontekście ustalenia możliwości wdrożenia strategii i procedur dotyczących wymiany informacji w obrębie grupy do celów przeciwdziałania praniu pieniędzy oraz finansowaniu terroryzmu. Wdrożenie omawianego przepisu do prawa polskiego nastąpiło w </w:t>
      </w:r>
      <w:r w:rsidRPr="0018524B">
        <w:rPr>
          <w:rFonts w:ascii="Times New Roman" w:hAnsi="Times New Roman" w:cs="Times New Roman"/>
          <w:b/>
          <w:sz w:val="24"/>
          <w:szCs w:val="24"/>
        </w:rPr>
        <w:t xml:space="preserve">art. 51 ust. 5 ustawy o </w:t>
      </w:r>
      <w:r w:rsidRPr="0018524B">
        <w:rPr>
          <w:rFonts w:ascii="Times New Roman" w:hAnsi="Times New Roman" w:cs="Times New Roman"/>
          <w:b/>
          <w:sz w:val="24"/>
          <w:szCs w:val="24"/>
        </w:rPr>
        <w:lastRenderedPageBreak/>
        <w:t>p.p.p.f.t.</w:t>
      </w:r>
      <w:r w:rsidRPr="0018524B">
        <w:rPr>
          <w:rFonts w:ascii="Times New Roman" w:hAnsi="Times New Roman" w:cs="Times New Roman"/>
          <w:sz w:val="24"/>
          <w:szCs w:val="24"/>
        </w:rPr>
        <w:t>, w którym wskazano na konieczność uwzględnienia przez Generalnego Inspektora Informacji Finansowej okoliczności wymienionych w art. 45 ust. 4 dyrektywy 2015/849 w brzmieniu nadanym przez dyrektywę 2018/843.</w:t>
      </w:r>
    </w:p>
    <w:p w14:paraId="744F640E" w14:textId="37382498" w:rsidR="00E35173" w:rsidRPr="0018524B" w:rsidRDefault="008B2E22"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Zmiana redakcji </w:t>
      </w:r>
      <w:r w:rsidRPr="0018524B">
        <w:rPr>
          <w:rFonts w:ascii="Times New Roman" w:hAnsi="Times New Roman" w:cs="Times New Roman"/>
          <w:b/>
          <w:sz w:val="24"/>
          <w:szCs w:val="24"/>
        </w:rPr>
        <w:t>art. 52 ust. 1 ustawy o p.p.p.f.t.</w:t>
      </w:r>
      <w:r w:rsidRPr="0018524B">
        <w:rPr>
          <w:rFonts w:ascii="Times New Roman" w:hAnsi="Times New Roman" w:cs="Times New Roman"/>
          <w:sz w:val="24"/>
          <w:szCs w:val="24"/>
        </w:rPr>
        <w:t xml:space="preserve"> ma na celu precyzyjniejsze oddanie treści art. 46 ust. 1 dyrektywy 2015/849, który wprost wskazuje, że programy szkoleniowe realizowane</w:t>
      </w:r>
      <w:r w:rsidR="00E35173" w:rsidRPr="0018524B">
        <w:rPr>
          <w:rFonts w:ascii="Times New Roman" w:hAnsi="Times New Roman" w:cs="Times New Roman"/>
          <w:sz w:val="24"/>
          <w:szCs w:val="24"/>
        </w:rPr>
        <w:t xml:space="preserve"> w instytucjach obowiązanych powinny obejmować również</w:t>
      </w:r>
      <w:r w:rsidR="00C6045B">
        <w:rPr>
          <w:rFonts w:ascii="Times New Roman" w:hAnsi="Times New Roman" w:cs="Times New Roman"/>
          <w:sz w:val="24"/>
          <w:szCs w:val="24"/>
        </w:rPr>
        <w:t xml:space="preserve"> </w:t>
      </w:r>
      <w:r w:rsidR="00E35173" w:rsidRPr="0018524B">
        <w:rPr>
          <w:rFonts w:ascii="Times New Roman" w:hAnsi="Times New Roman" w:cs="Times New Roman"/>
          <w:sz w:val="24"/>
          <w:szCs w:val="24"/>
        </w:rPr>
        <w:t>zagadnienia związane z ochroną danych osobowych.</w:t>
      </w:r>
    </w:p>
    <w:p w14:paraId="56F0EF59" w14:textId="0AA1E7FE" w:rsidR="002F352C" w:rsidRPr="0018524B" w:rsidRDefault="00E35173"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Zmiana redakcji </w:t>
      </w:r>
      <w:r w:rsidRPr="0018524B">
        <w:rPr>
          <w:rFonts w:ascii="Times New Roman" w:hAnsi="Times New Roman" w:cs="Times New Roman"/>
          <w:b/>
          <w:sz w:val="24"/>
          <w:szCs w:val="24"/>
        </w:rPr>
        <w:t xml:space="preserve">art. 53 ust. 2 pkt 3 i 4 </w:t>
      </w:r>
      <w:r w:rsidRPr="0018524B">
        <w:rPr>
          <w:rFonts w:ascii="Times New Roman" w:hAnsi="Times New Roman" w:cs="Times New Roman"/>
          <w:sz w:val="24"/>
          <w:szCs w:val="24"/>
        </w:rPr>
        <w:t>ustawy o p.p.p.f.t. ma na celu rozszerzenie obowiązku zapewnienia ochrony również na osoby, które nie są związane z instytucją obowiązaną umow</w:t>
      </w:r>
      <w:r w:rsidR="00CE37EC" w:rsidRPr="0018524B">
        <w:rPr>
          <w:rFonts w:ascii="Times New Roman" w:hAnsi="Times New Roman" w:cs="Times New Roman"/>
          <w:sz w:val="24"/>
          <w:szCs w:val="24"/>
        </w:rPr>
        <w:t>ą</w:t>
      </w:r>
      <w:r w:rsidRPr="0018524B">
        <w:rPr>
          <w:rFonts w:ascii="Times New Roman" w:hAnsi="Times New Roman" w:cs="Times New Roman"/>
          <w:sz w:val="24"/>
          <w:szCs w:val="24"/>
        </w:rPr>
        <w:t xml:space="preserve"> o pracę, ale działają na jej rzecz</w:t>
      </w:r>
      <w:r w:rsidR="00CE37EC" w:rsidRPr="0018524B">
        <w:rPr>
          <w:rFonts w:ascii="Times New Roman" w:hAnsi="Times New Roman" w:cs="Times New Roman"/>
          <w:sz w:val="24"/>
          <w:szCs w:val="24"/>
        </w:rPr>
        <w:t>,</w:t>
      </w:r>
      <w:r w:rsidRPr="0018524B">
        <w:rPr>
          <w:rFonts w:ascii="Times New Roman" w:hAnsi="Times New Roman" w:cs="Times New Roman"/>
          <w:sz w:val="24"/>
          <w:szCs w:val="24"/>
        </w:rPr>
        <w:t xml:space="preserve"> np. osoby wykonujące czynności na rzecz instytucji obowiązanej na podstawie umowy cywilnoprawnej. Ponadto, zgodnie z przepisami dyrektywy 2015/849 instytucja obowiązana powinna zapewnić stosowną ochronę nie tylko osobie dokonującej zgłoszenia, ale również osobie, której zgłoszenie dotyczy. </w:t>
      </w:r>
      <w:r w:rsidR="00450BA4" w:rsidRPr="0018524B">
        <w:rPr>
          <w:rFonts w:ascii="Times New Roman" w:hAnsi="Times New Roman" w:cs="Times New Roman"/>
          <w:sz w:val="24"/>
          <w:szCs w:val="24"/>
        </w:rPr>
        <w:t>Regulacja dodanych do art. 53 ust</w:t>
      </w:r>
      <w:r w:rsidR="00024176">
        <w:rPr>
          <w:rFonts w:ascii="Times New Roman" w:hAnsi="Times New Roman" w:cs="Times New Roman"/>
          <w:sz w:val="24"/>
          <w:szCs w:val="24"/>
        </w:rPr>
        <w:t>.</w:t>
      </w:r>
      <w:r w:rsidR="00450BA4" w:rsidRPr="0018524B">
        <w:rPr>
          <w:rFonts w:ascii="Times New Roman" w:hAnsi="Times New Roman" w:cs="Times New Roman"/>
          <w:sz w:val="24"/>
          <w:szCs w:val="24"/>
        </w:rPr>
        <w:t xml:space="preserve"> 3 i 4 wynikają z nowelizacji art. 38 dyrektywy 2015/849</w:t>
      </w:r>
      <w:r w:rsidR="002F352C" w:rsidRPr="0018524B">
        <w:rPr>
          <w:rFonts w:ascii="Times New Roman" w:hAnsi="Times New Roman" w:cs="Times New Roman"/>
          <w:sz w:val="24"/>
          <w:szCs w:val="24"/>
        </w:rPr>
        <w:t>, który przewiduje konieczność zapewnienia ochrony przed „narażeniem na groźby lub odwetowe lub wrogie działania”</w:t>
      </w:r>
      <w:r w:rsidR="00450BA4" w:rsidRPr="0018524B">
        <w:rPr>
          <w:rFonts w:ascii="Times New Roman" w:hAnsi="Times New Roman" w:cs="Times New Roman"/>
          <w:sz w:val="24"/>
          <w:szCs w:val="24"/>
        </w:rPr>
        <w:t>.</w:t>
      </w:r>
      <w:r w:rsidR="002F352C" w:rsidRPr="0018524B">
        <w:rPr>
          <w:rFonts w:ascii="Times New Roman" w:hAnsi="Times New Roman" w:cs="Times New Roman"/>
          <w:sz w:val="24"/>
          <w:szCs w:val="24"/>
        </w:rPr>
        <w:t xml:space="preserve"> Instytucje obowiązane będą zobowiązane do takiej organizacji pracy, czy też przyjęcia takich procedur, by zminimalizować ryzyko wystąpienia niepożądanych zjawisk w odniesieniu do swoich pracowników lub innych osób działających na ich rzecz. Ochrona</w:t>
      </w:r>
      <w:r w:rsidR="006A1D89">
        <w:rPr>
          <w:rFonts w:ascii="Times New Roman" w:hAnsi="Times New Roman" w:cs="Times New Roman"/>
          <w:sz w:val="24"/>
          <w:szCs w:val="24"/>
        </w:rPr>
        <w:t>,</w:t>
      </w:r>
      <w:r w:rsidR="002F352C" w:rsidRPr="0018524B">
        <w:rPr>
          <w:rFonts w:ascii="Times New Roman" w:hAnsi="Times New Roman" w:cs="Times New Roman"/>
          <w:sz w:val="24"/>
          <w:szCs w:val="24"/>
        </w:rPr>
        <w:t xml:space="preserve"> jaką ma zapewnić instytucja obowiązana swoim pracownikom</w:t>
      </w:r>
      <w:r w:rsidR="006A1D89">
        <w:rPr>
          <w:rFonts w:ascii="Times New Roman" w:hAnsi="Times New Roman" w:cs="Times New Roman"/>
          <w:sz w:val="24"/>
          <w:szCs w:val="24"/>
        </w:rPr>
        <w:t>,</w:t>
      </w:r>
      <w:r w:rsidR="002F352C" w:rsidRPr="0018524B">
        <w:rPr>
          <w:rFonts w:ascii="Times New Roman" w:hAnsi="Times New Roman" w:cs="Times New Roman"/>
          <w:sz w:val="24"/>
          <w:szCs w:val="24"/>
        </w:rPr>
        <w:t xml:space="preserve"> wiąże się między innymi z koniecznością zapewnienia odpowiednich procedur, czy też ochroną informacji w zakresie danych osób dokonujących zgłoszeń, by zneutralizować ryzyka wystąpienia działań o charakterze represyjnym. W tym zakresie art. 53 ustawy o p.p.p.f.t. uzupełnia zakres ochrony danych osobowych pracowników oraz innych osób działających na rzecz</w:t>
      </w:r>
      <w:r w:rsidR="005F0B55" w:rsidRPr="0018524B">
        <w:rPr>
          <w:rFonts w:ascii="Times New Roman" w:hAnsi="Times New Roman" w:cs="Times New Roman"/>
          <w:sz w:val="24"/>
          <w:szCs w:val="24"/>
        </w:rPr>
        <w:t xml:space="preserve"> instytucji obowiązanych</w:t>
      </w:r>
      <w:r w:rsidR="002F352C" w:rsidRPr="0018524B">
        <w:rPr>
          <w:rFonts w:ascii="Times New Roman" w:hAnsi="Times New Roman" w:cs="Times New Roman"/>
          <w:sz w:val="24"/>
          <w:szCs w:val="24"/>
        </w:rPr>
        <w:t>, wynikający z art. 102 ustawy o p.p.p.f.t.</w:t>
      </w:r>
    </w:p>
    <w:p w14:paraId="7E43F477" w14:textId="4B8B57F3" w:rsidR="00257C71" w:rsidRPr="0018524B" w:rsidRDefault="00257C71" w:rsidP="00C81472">
      <w:pPr>
        <w:spacing w:line="400" w:lineRule="atLeast"/>
        <w:jc w:val="both"/>
        <w:rPr>
          <w:rFonts w:ascii="Times New Roman" w:hAnsi="Times New Roman" w:cs="Times New Roman"/>
          <w:sz w:val="24"/>
          <w:szCs w:val="24"/>
        </w:rPr>
      </w:pPr>
      <w:r w:rsidRPr="0018524B">
        <w:rPr>
          <w:rFonts w:ascii="Times New Roman" w:hAnsi="Times New Roman" w:cs="Times New Roman"/>
          <w:b/>
          <w:sz w:val="24"/>
          <w:szCs w:val="24"/>
        </w:rPr>
        <w:t>Art. 53a ustawy</w:t>
      </w:r>
      <w:r w:rsidRPr="0018524B">
        <w:rPr>
          <w:rFonts w:ascii="Times New Roman" w:hAnsi="Times New Roman" w:cs="Times New Roman"/>
          <w:sz w:val="24"/>
          <w:szCs w:val="24"/>
        </w:rPr>
        <w:t xml:space="preserve"> </w:t>
      </w:r>
      <w:r w:rsidRPr="0018524B">
        <w:rPr>
          <w:rFonts w:ascii="Times New Roman" w:hAnsi="Times New Roman" w:cs="Times New Roman"/>
          <w:b/>
          <w:sz w:val="24"/>
          <w:szCs w:val="24"/>
        </w:rPr>
        <w:t>o p.p.p.f.t.</w:t>
      </w:r>
      <w:r w:rsidRPr="0018524B">
        <w:rPr>
          <w:rFonts w:ascii="Times New Roman" w:hAnsi="Times New Roman" w:cs="Times New Roman"/>
          <w:sz w:val="24"/>
          <w:szCs w:val="24"/>
        </w:rPr>
        <w:t xml:space="preserve"> wdraża do przepisów krajowych wymogi wynikające z art. </w:t>
      </w:r>
      <w:r w:rsidR="00AC6E8E" w:rsidRPr="0018524B">
        <w:rPr>
          <w:rFonts w:ascii="Times New Roman" w:hAnsi="Times New Roman" w:cs="Times New Roman"/>
          <w:sz w:val="24"/>
          <w:szCs w:val="24"/>
        </w:rPr>
        <w:t>38 4AMLD</w:t>
      </w:r>
      <w:r w:rsidRPr="0018524B">
        <w:rPr>
          <w:rFonts w:ascii="Times New Roman" w:hAnsi="Times New Roman" w:cs="Times New Roman"/>
          <w:sz w:val="24"/>
          <w:szCs w:val="24"/>
        </w:rPr>
        <w:t xml:space="preserve"> w brzmieniu nadanym mu przez art. 1 pkt 23 dyrektywy 2018/843. Przepis</w:t>
      </w:r>
      <w:r w:rsidR="00216F16" w:rsidRPr="0018524B">
        <w:rPr>
          <w:rFonts w:ascii="Times New Roman" w:hAnsi="Times New Roman" w:cs="Times New Roman"/>
          <w:sz w:val="24"/>
          <w:szCs w:val="24"/>
        </w:rPr>
        <w:t xml:space="preserve"> art. 53a ust. 1</w:t>
      </w:r>
      <w:r w:rsidR="009C207B" w:rsidRPr="0018524B">
        <w:rPr>
          <w:rFonts w:ascii="Times New Roman" w:hAnsi="Times New Roman" w:cs="Times New Roman"/>
          <w:sz w:val="24"/>
          <w:szCs w:val="24"/>
        </w:rPr>
        <w:t xml:space="preserve"> </w:t>
      </w:r>
      <w:r w:rsidR="00216F16" w:rsidRPr="0018524B">
        <w:rPr>
          <w:rFonts w:ascii="Times New Roman" w:hAnsi="Times New Roman" w:cs="Times New Roman"/>
          <w:sz w:val="24"/>
          <w:szCs w:val="24"/>
        </w:rPr>
        <w:t xml:space="preserve">ustawy o p.p.p.f.t. </w:t>
      </w:r>
      <w:r w:rsidRPr="0018524B">
        <w:rPr>
          <w:rFonts w:ascii="Times New Roman" w:hAnsi="Times New Roman" w:cs="Times New Roman"/>
          <w:sz w:val="24"/>
          <w:szCs w:val="24"/>
        </w:rPr>
        <w:t>obliguje instytucje obowiązane do zapewnienia swoim pracownikom oraz osobom</w:t>
      </w:r>
      <w:r w:rsidR="00AC6E8E" w:rsidRPr="0018524B">
        <w:rPr>
          <w:rFonts w:ascii="Times New Roman" w:hAnsi="Times New Roman" w:cs="Times New Roman"/>
          <w:sz w:val="24"/>
          <w:szCs w:val="24"/>
        </w:rPr>
        <w:t xml:space="preserve"> działającym na rzecz instytucji obowiązanych i wykonującym czynności związane z </w:t>
      </w:r>
      <w:r w:rsidR="00216F16" w:rsidRPr="0018524B">
        <w:rPr>
          <w:rFonts w:ascii="Times New Roman" w:hAnsi="Times New Roman" w:cs="Times New Roman"/>
          <w:sz w:val="24"/>
          <w:szCs w:val="24"/>
        </w:rPr>
        <w:t xml:space="preserve">raportowaniem Generalnemu Inspektorowi lub właściwemu prokuratorowi podejrzeń popełniania przestępstwa prania pieniędzy lub finansowania terroryzmu albo innych przestępstw lub przestępstw skarbowych odpowiedniego stopnia ochrony przed negatywnymi działaniami, w tym w szczególności działaniami o charakterze represyjnym lub polegającymi na kierowaniu gróźb pod adresem takich osób. Ustęp pierwszy dotyczy sytuacji, w których </w:t>
      </w:r>
      <w:r w:rsidR="00216F16" w:rsidRPr="0018524B">
        <w:rPr>
          <w:rFonts w:ascii="Times New Roman" w:hAnsi="Times New Roman" w:cs="Times New Roman"/>
          <w:sz w:val="24"/>
          <w:szCs w:val="24"/>
        </w:rPr>
        <w:lastRenderedPageBreak/>
        <w:t>działania o charakterze negatywnym są podejmowane wobec pracowników instytucji obowiązanej przez podmioty zewnętrzne np. klientów</w:t>
      </w:r>
      <w:r w:rsidR="001176B2" w:rsidRPr="0018524B">
        <w:rPr>
          <w:rFonts w:ascii="Times New Roman" w:hAnsi="Times New Roman" w:cs="Times New Roman"/>
          <w:sz w:val="24"/>
          <w:szCs w:val="24"/>
        </w:rPr>
        <w:t xml:space="preserve">, których dane zostały przekazane uprawnionym organom w związku z wykonywaniem obowiązków przewidzianych w art. 74, art. 86, art. 89 i art. 90 ustawy o p.p.p.f.t. </w:t>
      </w:r>
      <w:r w:rsidR="0071364F" w:rsidRPr="0018524B">
        <w:rPr>
          <w:rFonts w:ascii="Times New Roman" w:hAnsi="Times New Roman" w:cs="Times New Roman"/>
          <w:sz w:val="24"/>
          <w:szCs w:val="24"/>
        </w:rPr>
        <w:t>A</w:t>
      </w:r>
      <w:r w:rsidR="001176B2" w:rsidRPr="0018524B">
        <w:rPr>
          <w:rFonts w:ascii="Times New Roman" w:hAnsi="Times New Roman" w:cs="Times New Roman"/>
          <w:sz w:val="24"/>
          <w:szCs w:val="24"/>
        </w:rPr>
        <w:t>rt. 53a ust. 1 ustawy o p.p.p.f.t. uzupełnia</w:t>
      </w:r>
      <w:r w:rsidR="002F352C" w:rsidRPr="0018524B">
        <w:rPr>
          <w:rFonts w:ascii="Times New Roman" w:hAnsi="Times New Roman" w:cs="Times New Roman"/>
          <w:sz w:val="24"/>
          <w:szCs w:val="24"/>
        </w:rPr>
        <w:t>ny jest przez</w:t>
      </w:r>
      <w:r w:rsidR="001176B2" w:rsidRPr="0018524B">
        <w:rPr>
          <w:rFonts w:ascii="Times New Roman" w:hAnsi="Times New Roman" w:cs="Times New Roman"/>
          <w:sz w:val="24"/>
          <w:szCs w:val="24"/>
        </w:rPr>
        <w:t xml:space="preserve"> regulacj</w:t>
      </w:r>
      <w:r w:rsidR="00727CE6" w:rsidRPr="0018524B">
        <w:rPr>
          <w:rFonts w:ascii="Times New Roman" w:hAnsi="Times New Roman" w:cs="Times New Roman"/>
          <w:sz w:val="24"/>
          <w:szCs w:val="24"/>
        </w:rPr>
        <w:t>ę</w:t>
      </w:r>
      <w:r w:rsidR="001176B2" w:rsidRPr="0018524B">
        <w:rPr>
          <w:rFonts w:ascii="Times New Roman" w:hAnsi="Times New Roman" w:cs="Times New Roman"/>
          <w:sz w:val="24"/>
          <w:szCs w:val="24"/>
        </w:rPr>
        <w:t xml:space="preserve"> ustępu drugiego</w:t>
      </w:r>
      <w:r w:rsidR="002F352C" w:rsidRPr="0018524B">
        <w:rPr>
          <w:rFonts w:ascii="Times New Roman" w:hAnsi="Times New Roman" w:cs="Times New Roman"/>
          <w:sz w:val="24"/>
          <w:szCs w:val="24"/>
        </w:rPr>
        <w:t>,</w:t>
      </w:r>
      <w:r w:rsidR="001176B2" w:rsidRPr="0018524B">
        <w:rPr>
          <w:rFonts w:ascii="Times New Roman" w:hAnsi="Times New Roman" w:cs="Times New Roman"/>
          <w:sz w:val="24"/>
          <w:szCs w:val="24"/>
        </w:rPr>
        <w:t xml:space="preserve"> nakazując</w:t>
      </w:r>
      <w:r w:rsidR="00727CE6" w:rsidRPr="0018524B">
        <w:rPr>
          <w:rFonts w:ascii="Times New Roman" w:hAnsi="Times New Roman" w:cs="Times New Roman"/>
          <w:sz w:val="24"/>
          <w:szCs w:val="24"/>
        </w:rPr>
        <w:t>ą</w:t>
      </w:r>
      <w:r w:rsidR="001176B2" w:rsidRPr="0018524B">
        <w:rPr>
          <w:rFonts w:ascii="Times New Roman" w:hAnsi="Times New Roman" w:cs="Times New Roman"/>
          <w:sz w:val="24"/>
          <w:szCs w:val="24"/>
        </w:rPr>
        <w:t xml:space="preserve"> instytucjom obwiązanym zapewnienie osobom wskazanym w tym przepisie ochrony przed działaniami o charakterze negatywnym podejmowanymi wobec nich nie przez podmioty zewnętrzne, ale przez osoby funkcjonujące w strukturze instytucji obowiązanej. W tym kontekście szczególnie istotne jest zapewnienie, że prawidłowa realizacja przez pracowników obowiązków przewidzianych w art. 74, art. 86, art. 89 i art. 90 ustawy o p.p.p.f.t. nie narazi ich na pogorszenie ich warunków pracy lub zatrudnienia. </w:t>
      </w:r>
      <w:r w:rsidR="00B80FB4" w:rsidRPr="0018524B">
        <w:rPr>
          <w:rFonts w:ascii="Times New Roman" w:hAnsi="Times New Roman" w:cs="Times New Roman"/>
          <w:sz w:val="24"/>
          <w:szCs w:val="24"/>
        </w:rPr>
        <w:t>Z</w:t>
      </w:r>
      <w:r w:rsidR="001176B2" w:rsidRPr="0018524B">
        <w:rPr>
          <w:rFonts w:ascii="Times New Roman" w:hAnsi="Times New Roman" w:cs="Times New Roman"/>
          <w:sz w:val="24"/>
          <w:szCs w:val="24"/>
        </w:rPr>
        <w:t xml:space="preserve">akres podmiotowy art. 53a ustawy o p.p.p.f.t. obejmuje nie tylko pracowników właściwych komórek organizacyjnych instytucji obwiązanych dedykowanych wykonywaniu obowiązków związanych z przeciwdziałaniem praniu pieniędzy oraz finansowaniu terroryzmu, ale również inne osoby, które w konkretnych przypadkach wykonują czynności związane z realizacją </w:t>
      </w:r>
      <w:r w:rsidR="003A2566" w:rsidRPr="0018524B">
        <w:rPr>
          <w:rFonts w:ascii="Times New Roman" w:hAnsi="Times New Roman" w:cs="Times New Roman"/>
          <w:sz w:val="24"/>
          <w:szCs w:val="24"/>
        </w:rPr>
        <w:t xml:space="preserve">obowiązków, o których mowa </w:t>
      </w:r>
      <w:r w:rsidR="001176B2" w:rsidRPr="0018524B">
        <w:rPr>
          <w:rFonts w:ascii="Times New Roman" w:hAnsi="Times New Roman" w:cs="Times New Roman"/>
          <w:sz w:val="24"/>
          <w:szCs w:val="24"/>
        </w:rPr>
        <w:t>w art. 74, art. 86, art. 89 i art. 90 ustawy o p.p.p.f.t.</w:t>
      </w:r>
      <w:r w:rsidR="003A2566" w:rsidRPr="0018524B">
        <w:rPr>
          <w:rFonts w:ascii="Times New Roman" w:hAnsi="Times New Roman" w:cs="Times New Roman"/>
          <w:sz w:val="24"/>
          <w:szCs w:val="24"/>
        </w:rPr>
        <w:t>, np. pracowników „</w:t>
      </w:r>
      <w:r w:rsidR="003A2566" w:rsidRPr="0018524B">
        <w:rPr>
          <w:rFonts w:ascii="Times New Roman" w:hAnsi="Times New Roman" w:cs="Times New Roman"/>
          <w:i/>
          <w:sz w:val="24"/>
          <w:szCs w:val="24"/>
        </w:rPr>
        <w:t>front office</w:t>
      </w:r>
      <w:r w:rsidR="003A2566" w:rsidRPr="0018524B">
        <w:rPr>
          <w:rFonts w:ascii="Times New Roman" w:hAnsi="Times New Roman" w:cs="Times New Roman"/>
          <w:sz w:val="24"/>
          <w:szCs w:val="24"/>
        </w:rPr>
        <w:t>”</w:t>
      </w:r>
      <w:r w:rsidR="001176B2" w:rsidRPr="0018524B">
        <w:rPr>
          <w:rFonts w:ascii="Times New Roman" w:hAnsi="Times New Roman" w:cs="Times New Roman"/>
          <w:sz w:val="24"/>
          <w:szCs w:val="24"/>
        </w:rPr>
        <w:t xml:space="preserve"> </w:t>
      </w:r>
      <w:r w:rsidR="003A2566" w:rsidRPr="0018524B">
        <w:rPr>
          <w:rFonts w:ascii="Times New Roman" w:hAnsi="Times New Roman" w:cs="Times New Roman"/>
          <w:sz w:val="24"/>
          <w:szCs w:val="24"/>
        </w:rPr>
        <w:t>lub komórek audytu wewnętrznego przekazujących w ramach struktury wewnętrznej instytucji obowiązanej informacje pozwalające na realizację ww. obowiązków.</w:t>
      </w:r>
      <w:r w:rsidR="00DA319E" w:rsidRPr="0018524B">
        <w:rPr>
          <w:rFonts w:ascii="Times New Roman" w:hAnsi="Times New Roman" w:cs="Times New Roman"/>
          <w:sz w:val="24"/>
          <w:szCs w:val="24"/>
        </w:rPr>
        <w:t xml:space="preserve"> Obowiązek zapewnienia ochrony osobom wskazanym w przepisie art. 53a</w:t>
      </w:r>
      <w:r w:rsidR="003A2566" w:rsidRPr="0018524B">
        <w:rPr>
          <w:rFonts w:ascii="Times New Roman" w:hAnsi="Times New Roman" w:cs="Times New Roman"/>
          <w:sz w:val="24"/>
          <w:szCs w:val="24"/>
        </w:rPr>
        <w:t xml:space="preserve"> </w:t>
      </w:r>
      <w:r w:rsidR="00DA319E" w:rsidRPr="0018524B">
        <w:rPr>
          <w:rFonts w:ascii="Times New Roman" w:hAnsi="Times New Roman" w:cs="Times New Roman"/>
          <w:sz w:val="24"/>
          <w:szCs w:val="24"/>
        </w:rPr>
        <w:t>ustawy o p.p.p.f.t. ma istotne znaczenie dla prawidłowości realizacji przez instytucje obowiązane ich obowiązków związanych z raportowaniem podejrzeń popełnienia przestępstwa prani</w:t>
      </w:r>
      <w:r w:rsidR="00727CE6" w:rsidRPr="0018524B">
        <w:rPr>
          <w:rFonts w:ascii="Times New Roman" w:hAnsi="Times New Roman" w:cs="Times New Roman"/>
          <w:sz w:val="24"/>
          <w:szCs w:val="24"/>
        </w:rPr>
        <w:t>a</w:t>
      </w:r>
      <w:r w:rsidR="00DA319E" w:rsidRPr="0018524B">
        <w:rPr>
          <w:rFonts w:ascii="Times New Roman" w:hAnsi="Times New Roman" w:cs="Times New Roman"/>
          <w:sz w:val="24"/>
          <w:szCs w:val="24"/>
        </w:rPr>
        <w:t xml:space="preserve"> pieniędzy, finansowania terroryzmu i innych przestępstw lub przestępstw skarbowych. </w:t>
      </w:r>
      <w:r w:rsidR="005F0B55" w:rsidRPr="0018524B">
        <w:rPr>
          <w:rFonts w:ascii="Times New Roman" w:hAnsi="Times New Roman" w:cs="Times New Roman"/>
          <w:sz w:val="24"/>
          <w:szCs w:val="24"/>
        </w:rPr>
        <w:t xml:space="preserve">. Ochrona jaką ma zapewnić instytucja obowiązana swoim pracownikom oraz innym osobom działającym na jej rzecz wiąże się między innymi z koniecznością zapewnienia odpowiednich procedur, czy też ochroną informacji w zakresie danych osób dokonujących zgłoszeń, by zneutralizować ryzyka wystąpienia działań o charakterze represyjnym. W tym zakresie art. 53a ustawy o p.p.p.f.t. uzupełnia zakres ochrony danych osobowych pracowników oraz innych osób działających na rzecz instytucji obowiązanych, wynikający z art. 102 ustawy o p.p.p.f.t. </w:t>
      </w:r>
      <w:r w:rsidR="003C581A" w:rsidRPr="0018524B">
        <w:rPr>
          <w:rFonts w:ascii="Times New Roman" w:hAnsi="Times New Roman" w:cs="Times New Roman"/>
          <w:sz w:val="24"/>
          <w:szCs w:val="24"/>
        </w:rPr>
        <w:t xml:space="preserve">Art. 53a ust. 3 ustawy o p.p.p.f.t. stwarza pracownikom </w:t>
      </w:r>
      <w:r w:rsidR="007A6FC5" w:rsidRPr="0018524B">
        <w:rPr>
          <w:rFonts w:ascii="Times New Roman" w:hAnsi="Times New Roman" w:cs="Times New Roman"/>
          <w:sz w:val="24"/>
          <w:szCs w:val="24"/>
        </w:rPr>
        <w:t>oraz innym osobom działającym na rzecz instytucji obowiązanych przy wykonywaniu obowiązków przewidzianych w art. 74, art. 86, art. 89 i art. 90 ustawy o p.p.p.f.t., któ</w:t>
      </w:r>
      <w:r w:rsidR="00CF1688" w:rsidRPr="0018524B">
        <w:rPr>
          <w:rFonts w:ascii="Times New Roman" w:hAnsi="Times New Roman" w:cs="Times New Roman"/>
          <w:sz w:val="24"/>
          <w:szCs w:val="24"/>
        </w:rPr>
        <w:t>rym nie zapewniono właściwej ochrony przed</w:t>
      </w:r>
      <w:r w:rsidR="007A6FC5" w:rsidRPr="0018524B">
        <w:rPr>
          <w:rFonts w:ascii="Times New Roman" w:hAnsi="Times New Roman" w:cs="Times New Roman"/>
          <w:sz w:val="24"/>
          <w:szCs w:val="24"/>
        </w:rPr>
        <w:t xml:space="preserve"> </w:t>
      </w:r>
      <w:r w:rsidR="00CF1688" w:rsidRPr="0018524B">
        <w:rPr>
          <w:rFonts w:ascii="Times New Roman" w:hAnsi="Times New Roman" w:cs="Times New Roman"/>
          <w:sz w:val="24"/>
          <w:szCs w:val="24"/>
        </w:rPr>
        <w:t>działaniami o charakterze negatywnym</w:t>
      </w:r>
      <w:r w:rsidR="00D2485D" w:rsidRPr="0018524B">
        <w:rPr>
          <w:rFonts w:ascii="Times New Roman" w:hAnsi="Times New Roman" w:cs="Times New Roman"/>
          <w:sz w:val="24"/>
          <w:szCs w:val="24"/>
        </w:rPr>
        <w:t>,</w:t>
      </w:r>
      <w:r w:rsidR="00CF1688" w:rsidRPr="0018524B">
        <w:rPr>
          <w:rFonts w:ascii="Times New Roman" w:hAnsi="Times New Roman" w:cs="Times New Roman"/>
          <w:sz w:val="24"/>
          <w:szCs w:val="24"/>
        </w:rPr>
        <w:t xml:space="preserve"> podstawę prawną do zgłaszania takich prz</w:t>
      </w:r>
      <w:r w:rsidR="00A01FDF" w:rsidRPr="0018524B">
        <w:rPr>
          <w:rFonts w:ascii="Times New Roman" w:hAnsi="Times New Roman" w:cs="Times New Roman"/>
          <w:sz w:val="24"/>
          <w:szCs w:val="24"/>
        </w:rPr>
        <w:t>y</w:t>
      </w:r>
      <w:r w:rsidR="00CF1688" w:rsidRPr="0018524B">
        <w:rPr>
          <w:rFonts w:ascii="Times New Roman" w:hAnsi="Times New Roman" w:cs="Times New Roman"/>
          <w:sz w:val="24"/>
          <w:szCs w:val="24"/>
        </w:rPr>
        <w:t xml:space="preserve">padków bezpośrednio Generalnemu Inspektorowi. </w:t>
      </w:r>
      <w:r w:rsidR="005F0B55" w:rsidRPr="0018524B">
        <w:rPr>
          <w:rFonts w:ascii="Times New Roman" w:hAnsi="Times New Roman" w:cs="Times New Roman"/>
          <w:sz w:val="24"/>
          <w:szCs w:val="24"/>
        </w:rPr>
        <w:t xml:space="preserve">W przepisie tym znalazło się również odesłanie do odpowiedniego stosowania art. 80 ust. 1 i 2 ustawy o p.p.p.f.t., wskazującego sposób postępowania Generalnego Inspektora z wpływającymi do niego zgłoszeniami. </w:t>
      </w:r>
      <w:r w:rsidR="00CF1688" w:rsidRPr="0018524B">
        <w:rPr>
          <w:rFonts w:ascii="Times New Roman" w:hAnsi="Times New Roman" w:cs="Times New Roman"/>
          <w:sz w:val="24"/>
          <w:szCs w:val="24"/>
        </w:rPr>
        <w:t xml:space="preserve">W </w:t>
      </w:r>
      <w:r w:rsidR="0039510F" w:rsidRPr="0018524B">
        <w:rPr>
          <w:rFonts w:ascii="Times New Roman" w:hAnsi="Times New Roman" w:cs="Times New Roman"/>
          <w:sz w:val="24"/>
          <w:szCs w:val="24"/>
        </w:rPr>
        <w:t>celu zapewnienia odpowiedniego poziomu ochrony osób dokonujących zgłoszenia</w:t>
      </w:r>
      <w:r w:rsidR="002B5712" w:rsidRPr="0018524B">
        <w:rPr>
          <w:rFonts w:ascii="Times New Roman" w:hAnsi="Times New Roman" w:cs="Times New Roman"/>
          <w:sz w:val="24"/>
          <w:szCs w:val="24"/>
        </w:rPr>
        <w:t>,</w:t>
      </w:r>
      <w:r w:rsidR="0039510F" w:rsidRPr="0018524B">
        <w:rPr>
          <w:rFonts w:ascii="Times New Roman" w:hAnsi="Times New Roman" w:cs="Times New Roman"/>
          <w:sz w:val="24"/>
          <w:szCs w:val="24"/>
        </w:rPr>
        <w:t xml:space="preserve"> w tym danych osobowych </w:t>
      </w:r>
      <w:r w:rsidR="0039510F" w:rsidRPr="0018524B">
        <w:rPr>
          <w:rFonts w:ascii="Times New Roman" w:hAnsi="Times New Roman" w:cs="Times New Roman"/>
          <w:sz w:val="24"/>
          <w:szCs w:val="24"/>
        </w:rPr>
        <w:lastRenderedPageBreak/>
        <w:t>tych osób</w:t>
      </w:r>
      <w:r w:rsidR="00D2485D" w:rsidRPr="0018524B">
        <w:rPr>
          <w:rFonts w:ascii="Times New Roman" w:hAnsi="Times New Roman" w:cs="Times New Roman"/>
          <w:sz w:val="24"/>
          <w:szCs w:val="24"/>
        </w:rPr>
        <w:t>,</w:t>
      </w:r>
      <w:r w:rsidR="0039510F" w:rsidRPr="0018524B">
        <w:rPr>
          <w:rFonts w:ascii="Times New Roman" w:hAnsi="Times New Roman" w:cs="Times New Roman"/>
          <w:sz w:val="24"/>
          <w:szCs w:val="24"/>
        </w:rPr>
        <w:t xml:space="preserve"> w art. 53a ust. 4 ustawy o p.p.p.f.t. z</w:t>
      </w:r>
      <w:r w:rsidR="00D2485D" w:rsidRPr="0018524B">
        <w:rPr>
          <w:rFonts w:ascii="Times New Roman" w:hAnsi="Times New Roman" w:cs="Times New Roman"/>
          <w:sz w:val="24"/>
          <w:szCs w:val="24"/>
        </w:rPr>
        <w:t>a</w:t>
      </w:r>
      <w:r w:rsidR="0039510F" w:rsidRPr="0018524B">
        <w:rPr>
          <w:rFonts w:ascii="Times New Roman" w:hAnsi="Times New Roman" w:cs="Times New Roman"/>
          <w:sz w:val="24"/>
          <w:szCs w:val="24"/>
        </w:rPr>
        <w:t>warto przepis upoważniający ministra właściwego ds. finansów publicznych do wydania rozporządz</w:t>
      </w:r>
      <w:r w:rsidR="00F01CFE" w:rsidRPr="0018524B">
        <w:rPr>
          <w:rFonts w:ascii="Times New Roman" w:hAnsi="Times New Roman" w:cs="Times New Roman"/>
          <w:sz w:val="24"/>
          <w:szCs w:val="24"/>
        </w:rPr>
        <w:t>e</w:t>
      </w:r>
      <w:r w:rsidR="0039510F" w:rsidRPr="0018524B">
        <w:rPr>
          <w:rFonts w:ascii="Times New Roman" w:hAnsi="Times New Roman" w:cs="Times New Roman"/>
          <w:sz w:val="24"/>
          <w:szCs w:val="24"/>
        </w:rPr>
        <w:t xml:space="preserve">nia określającego sposób postępowania ze zgłoszeniami i ich przechowywania, a także informowania o działaniach, jakie mogą być podejmowane w wyniku ich przyjęcia. </w:t>
      </w:r>
    </w:p>
    <w:p w14:paraId="10067C22" w14:textId="6ADC6EA1" w:rsidR="00C531A8" w:rsidRPr="0018524B" w:rsidRDefault="00C531A8"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Zmiana redakcji </w:t>
      </w:r>
      <w:r w:rsidRPr="0018524B">
        <w:rPr>
          <w:rFonts w:ascii="Times New Roman" w:hAnsi="Times New Roman" w:cs="Times New Roman"/>
          <w:b/>
          <w:sz w:val="24"/>
          <w:szCs w:val="24"/>
        </w:rPr>
        <w:t>art. 54 ust. 2 pkt 1 ustawy</w:t>
      </w:r>
      <w:r w:rsidRPr="0018524B">
        <w:rPr>
          <w:rFonts w:ascii="Times New Roman" w:hAnsi="Times New Roman" w:cs="Times New Roman"/>
          <w:sz w:val="24"/>
          <w:szCs w:val="24"/>
        </w:rPr>
        <w:t xml:space="preserve"> o p.p.p.f.t. wynika z nowego brzmienia art. 39 ust. 3</w:t>
      </w:r>
      <w:r w:rsidR="00471115" w:rsidRPr="0018524B">
        <w:rPr>
          <w:rFonts w:ascii="Times New Roman" w:hAnsi="Times New Roman" w:cs="Times New Roman"/>
          <w:sz w:val="24"/>
          <w:szCs w:val="24"/>
        </w:rPr>
        <w:t xml:space="preserve"> </w:t>
      </w:r>
      <w:r w:rsidRPr="0018524B">
        <w:rPr>
          <w:rFonts w:ascii="Times New Roman" w:hAnsi="Times New Roman" w:cs="Times New Roman"/>
          <w:sz w:val="24"/>
          <w:szCs w:val="24"/>
        </w:rPr>
        <w:t xml:space="preserve">dyrektywy 2015/849. Przepis ten określa jeden z wyjątków od zasady zachowania w tajemnicy informacji </w:t>
      </w:r>
      <w:r w:rsidR="002D154D" w:rsidRPr="0018524B">
        <w:rPr>
          <w:rFonts w:ascii="Times New Roman" w:hAnsi="Times New Roman" w:cs="Times New Roman"/>
          <w:sz w:val="24"/>
          <w:szCs w:val="24"/>
        </w:rPr>
        <w:t>przekazywanych</w:t>
      </w:r>
      <w:r w:rsidRPr="0018524B">
        <w:rPr>
          <w:rFonts w:ascii="Times New Roman" w:hAnsi="Times New Roman" w:cs="Times New Roman"/>
          <w:sz w:val="24"/>
          <w:szCs w:val="24"/>
        </w:rPr>
        <w:t xml:space="preserve"> przez </w:t>
      </w:r>
      <w:r w:rsidR="002D154D" w:rsidRPr="0018524B">
        <w:rPr>
          <w:rFonts w:ascii="Times New Roman" w:hAnsi="Times New Roman" w:cs="Times New Roman"/>
          <w:sz w:val="24"/>
          <w:szCs w:val="24"/>
        </w:rPr>
        <w:t>instytucje</w:t>
      </w:r>
      <w:r w:rsidRPr="0018524B">
        <w:rPr>
          <w:rFonts w:ascii="Times New Roman" w:hAnsi="Times New Roman" w:cs="Times New Roman"/>
          <w:sz w:val="24"/>
          <w:szCs w:val="24"/>
        </w:rPr>
        <w:t xml:space="preserve"> obowiązane uprawnionym organom oraz prowadzenia przez </w:t>
      </w:r>
      <w:r w:rsidR="002D154D" w:rsidRPr="0018524B">
        <w:rPr>
          <w:rFonts w:ascii="Times New Roman" w:hAnsi="Times New Roman" w:cs="Times New Roman"/>
          <w:sz w:val="24"/>
          <w:szCs w:val="24"/>
        </w:rPr>
        <w:t>te instytucje</w:t>
      </w:r>
      <w:r w:rsidRPr="0018524B">
        <w:rPr>
          <w:rFonts w:ascii="Times New Roman" w:hAnsi="Times New Roman" w:cs="Times New Roman"/>
          <w:sz w:val="24"/>
          <w:szCs w:val="24"/>
        </w:rPr>
        <w:t xml:space="preserve"> analiz związanych z</w:t>
      </w:r>
      <w:r w:rsidR="009C207B" w:rsidRPr="0018524B">
        <w:rPr>
          <w:rFonts w:ascii="Times New Roman" w:hAnsi="Times New Roman" w:cs="Times New Roman"/>
          <w:sz w:val="24"/>
          <w:szCs w:val="24"/>
        </w:rPr>
        <w:t xml:space="preserve"> </w:t>
      </w:r>
      <w:r w:rsidRPr="0018524B">
        <w:rPr>
          <w:rFonts w:ascii="Times New Roman" w:hAnsi="Times New Roman" w:cs="Times New Roman"/>
          <w:sz w:val="24"/>
          <w:szCs w:val="24"/>
        </w:rPr>
        <w:t>podejrzeniami prania pieniędzy oraz finansowania terroryzmu.</w:t>
      </w:r>
      <w:r w:rsidR="009C207B" w:rsidRPr="0018524B">
        <w:rPr>
          <w:rFonts w:ascii="Times New Roman" w:hAnsi="Times New Roman" w:cs="Times New Roman"/>
          <w:sz w:val="24"/>
          <w:szCs w:val="24"/>
        </w:rPr>
        <w:t xml:space="preserve"> </w:t>
      </w:r>
      <w:r w:rsidRPr="0018524B">
        <w:rPr>
          <w:rFonts w:ascii="Times New Roman" w:hAnsi="Times New Roman" w:cs="Times New Roman"/>
          <w:sz w:val="24"/>
          <w:szCs w:val="24"/>
        </w:rPr>
        <w:t xml:space="preserve">Przewidziany w </w:t>
      </w:r>
      <w:r w:rsidRPr="0018524B">
        <w:rPr>
          <w:rFonts w:ascii="Times New Roman" w:hAnsi="Times New Roman" w:cs="Times New Roman"/>
          <w:b/>
          <w:sz w:val="24"/>
          <w:szCs w:val="24"/>
        </w:rPr>
        <w:t>art. 54 ust. 2 pkt 1</w:t>
      </w:r>
      <w:r w:rsidRPr="0018524B">
        <w:rPr>
          <w:rFonts w:ascii="Times New Roman" w:hAnsi="Times New Roman" w:cs="Times New Roman"/>
          <w:sz w:val="24"/>
          <w:szCs w:val="24"/>
        </w:rPr>
        <w:t xml:space="preserve"> ustawy o p.p.p.f.t. wyjątek dotyczy wymiany informacji pomiędzy</w:t>
      </w:r>
      <w:r w:rsidR="002D154D" w:rsidRPr="0018524B">
        <w:rPr>
          <w:rFonts w:ascii="Times New Roman" w:hAnsi="Times New Roman" w:cs="Times New Roman"/>
          <w:sz w:val="24"/>
          <w:szCs w:val="24"/>
        </w:rPr>
        <w:t xml:space="preserve"> wchodzącymi w skład grupy</w:t>
      </w:r>
      <w:r w:rsidRPr="0018524B">
        <w:rPr>
          <w:rFonts w:ascii="Times New Roman" w:hAnsi="Times New Roman" w:cs="Times New Roman"/>
          <w:sz w:val="24"/>
          <w:szCs w:val="24"/>
        </w:rPr>
        <w:t xml:space="preserve"> instytucjami finansowymi i kredytowymi z siedzibą w państwach członkowskich</w:t>
      </w:r>
      <w:r w:rsidR="002D154D" w:rsidRPr="0018524B">
        <w:rPr>
          <w:rFonts w:ascii="Times New Roman" w:hAnsi="Times New Roman" w:cs="Times New Roman"/>
          <w:sz w:val="24"/>
          <w:szCs w:val="24"/>
        </w:rPr>
        <w:t xml:space="preserve"> oraz ich oddziałami oraz jednostkami zależnymi. Ze względu na fakt, że przepis ten dopuszcza wymianę informacji nie tylko pomiędzy instytucjami finansowymi oraz kredytowymi stanowiącymi instytucje obowiązane w rozumieniu ustawy o p.p.p.f.t., ale również z instytucjami finansowymi oraz kredytowymi z siedzibą w innych państwach członkowskich posłużono się odwołaniem do definicji instytucji finansowej i kredytowej w rozumieniu dyrektywy 2015/849. Stosowani</w:t>
      </w:r>
      <w:r w:rsidR="00A53903" w:rsidRPr="0018524B">
        <w:rPr>
          <w:rFonts w:ascii="Times New Roman" w:hAnsi="Times New Roman" w:cs="Times New Roman"/>
          <w:sz w:val="24"/>
          <w:szCs w:val="24"/>
        </w:rPr>
        <w:t>e</w:t>
      </w:r>
      <w:r w:rsidR="002D154D" w:rsidRPr="0018524B">
        <w:rPr>
          <w:rFonts w:ascii="Times New Roman" w:hAnsi="Times New Roman" w:cs="Times New Roman"/>
          <w:sz w:val="24"/>
          <w:szCs w:val="24"/>
        </w:rPr>
        <w:t xml:space="preserve"> przez oddziały oraz jednostki zależne strategii oraz procedur związanych z przeciwdziałaniem praniu pieniędzy oraz finansowaniu terroryzmu, przyjętych do stosowania w grupie zgodnie z przepisami wydanymi na podstawie art. 45 dyrektywy 2015/849 jest warunkiem</w:t>
      </w:r>
      <w:r w:rsidR="00A01FDF" w:rsidRPr="0018524B">
        <w:rPr>
          <w:rFonts w:ascii="Times New Roman" w:hAnsi="Times New Roman" w:cs="Times New Roman"/>
          <w:sz w:val="24"/>
          <w:szCs w:val="24"/>
        </w:rPr>
        <w:t>,</w:t>
      </w:r>
      <w:r w:rsidR="002D154D" w:rsidRPr="0018524B">
        <w:rPr>
          <w:rFonts w:ascii="Times New Roman" w:hAnsi="Times New Roman" w:cs="Times New Roman"/>
          <w:sz w:val="24"/>
          <w:szCs w:val="24"/>
        </w:rPr>
        <w:t xml:space="preserve"> pod którym taka wymiana informacji będzie dopuszczalna. </w:t>
      </w:r>
      <w:r w:rsidR="0065235E">
        <w:rPr>
          <w:rFonts w:ascii="Times New Roman" w:hAnsi="Times New Roman" w:cs="Times New Roman"/>
          <w:sz w:val="24"/>
          <w:szCs w:val="24"/>
        </w:rPr>
        <w:t>Podkreślić przy tym należy, iż a</w:t>
      </w:r>
      <w:r w:rsidR="0065235E" w:rsidRPr="0065235E">
        <w:rPr>
          <w:rFonts w:ascii="Times New Roman" w:hAnsi="Times New Roman" w:cs="Times New Roman"/>
          <w:sz w:val="24"/>
          <w:szCs w:val="24"/>
        </w:rPr>
        <w:t xml:space="preserve">rt. 54 ust. 2 pkt 1 ustawy </w:t>
      </w:r>
      <w:r w:rsidR="0065235E" w:rsidRPr="0018524B">
        <w:rPr>
          <w:rFonts w:ascii="Times New Roman" w:hAnsi="Times New Roman" w:cs="Times New Roman"/>
          <w:sz w:val="24"/>
          <w:szCs w:val="24"/>
        </w:rPr>
        <w:t xml:space="preserve">o p.p.p.f.t. </w:t>
      </w:r>
      <w:r w:rsidR="0065235E" w:rsidRPr="0065235E">
        <w:rPr>
          <w:rFonts w:ascii="Times New Roman" w:hAnsi="Times New Roman" w:cs="Times New Roman"/>
          <w:sz w:val="24"/>
          <w:szCs w:val="24"/>
        </w:rPr>
        <w:t>stanowi implementację art. 39 ust. 3 dyrektywy 2015/849, w brzmieniu nadanym przez dyrektywę 2018/843. Zwolnienie z obowiązku zachowania tajemnicy, określone w art. 39 ust. 3 dyrektywy odnosi się bezpośrednio do instytucji kredytowych i finansowych</w:t>
      </w:r>
      <w:r w:rsidR="00C6045B">
        <w:rPr>
          <w:rFonts w:ascii="Times New Roman" w:hAnsi="Times New Roman" w:cs="Times New Roman"/>
          <w:sz w:val="24"/>
          <w:szCs w:val="24"/>
        </w:rPr>
        <w:t xml:space="preserve"> </w:t>
      </w:r>
      <w:r w:rsidR="0065235E" w:rsidRPr="0065235E">
        <w:rPr>
          <w:rFonts w:ascii="Times New Roman" w:hAnsi="Times New Roman" w:cs="Times New Roman"/>
          <w:sz w:val="24"/>
          <w:szCs w:val="24"/>
        </w:rPr>
        <w:t>oraz ich oddziałów i jednostek zależnych z państw trzecich, należących do tej samej grupy. Wymiana informacji jest dopuszczalna pod warunkiem, i</w:t>
      </w:r>
      <w:r w:rsidR="0065235E">
        <w:rPr>
          <w:rFonts w:ascii="Times New Roman" w:hAnsi="Times New Roman" w:cs="Times New Roman"/>
          <w:sz w:val="24"/>
          <w:szCs w:val="24"/>
        </w:rPr>
        <w:t>ż oddziały i jednostki zależne „</w:t>
      </w:r>
      <w:r w:rsidR="0065235E" w:rsidRPr="0065235E">
        <w:rPr>
          <w:rFonts w:ascii="Times New Roman" w:hAnsi="Times New Roman" w:cs="Times New Roman"/>
          <w:sz w:val="24"/>
          <w:szCs w:val="24"/>
        </w:rPr>
        <w:t xml:space="preserve">w pełni stosują się do strategii i procedur obejmujących całą grupę", łącznie z procedurami dotyczącymi wymiany informacji w obrębie grupy, zgodnie z art. 45 dyrektywy. Art. 45 ust. 1 dyrektywy 2015/849 nakłada obowiązek ustanowienia </w:t>
      </w:r>
      <w:r w:rsidR="0065235E" w:rsidRPr="0065235E">
        <w:rPr>
          <w:rFonts w:ascii="Times New Roman" w:hAnsi="Times New Roman" w:cs="Times New Roman"/>
          <w:b/>
          <w:sz w:val="24"/>
          <w:szCs w:val="24"/>
        </w:rPr>
        <w:t>strategii i procedur</w:t>
      </w:r>
      <w:r w:rsidR="0065235E" w:rsidRPr="0065235E">
        <w:rPr>
          <w:rFonts w:ascii="Times New Roman" w:hAnsi="Times New Roman" w:cs="Times New Roman"/>
          <w:sz w:val="24"/>
          <w:szCs w:val="24"/>
        </w:rPr>
        <w:t xml:space="preserve"> obejmujących całą grupę</w:t>
      </w:r>
      <w:r w:rsidR="0065235E">
        <w:rPr>
          <w:rFonts w:ascii="Times New Roman" w:hAnsi="Times New Roman" w:cs="Times New Roman"/>
          <w:sz w:val="24"/>
          <w:szCs w:val="24"/>
        </w:rPr>
        <w:t>,</w:t>
      </w:r>
      <w:r w:rsidR="0065235E" w:rsidRPr="0065235E">
        <w:rPr>
          <w:rFonts w:ascii="Times New Roman" w:hAnsi="Times New Roman" w:cs="Times New Roman"/>
          <w:sz w:val="24"/>
          <w:szCs w:val="24"/>
        </w:rPr>
        <w:t xml:space="preserve"> </w:t>
      </w:r>
      <w:r w:rsidR="0065235E">
        <w:rPr>
          <w:rFonts w:ascii="Times New Roman" w:hAnsi="Times New Roman" w:cs="Times New Roman"/>
          <w:sz w:val="24"/>
          <w:szCs w:val="24"/>
        </w:rPr>
        <w:t xml:space="preserve">przy czym w </w:t>
      </w:r>
      <w:r w:rsidR="0065235E" w:rsidRPr="0065235E">
        <w:rPr>
          <w:rFonts w:ascii="Times New Roman" w:hAnsi="Times New Roman" w:cs="Times New Roman"/>
          <w:sz w:val="24"/>
          <w:szCs w:val="24"/>
        </w:rPr>
        <w:t xml:space="preserve">art. 45 </w:t>
      </w:r>
      <w:r w:rsidR="0065235E">
        <w:rPr>
          <w:rFonts w:ascii="Times New Roman" w:hAnsi="Times New Roman" w:cs="Times New Roman"/>
          <w:sz w:val="24"/>
          <w:szCs w:val="24"/>
        </w:rPr>
        <w:t xml:space="preserve">ust. 7 oraz 11 </w:t>
      </w:r>
      <w:r w:rsidR="0065235E" w:rsidRPr="0065235E">
        <w:rPr>
          <w:rFonts w:ascii="Times New Roman" w:hAnsi="Times New Roman" w:cs="Times New Roman"/>
          <w:sz w:val="24"/>
          <w:szCs w:val="24"/>
        </w:rPr>
        <w:t xml:space="preserve">dyrektywy 2015/849 </w:t>
      </w:r>
      <w:r w:rsidR="0065235E">
        <w:rPr>
          <w:rFonts w:ascii="Times New Roman" w:hAnsi="Times New Roman" w:cs="Times New Roman"/>
          <w:sz w:val="24"/>
          <w:szCs w:val="24"/>
        </w:rPr>
        <w:t xml:space="preserve">przewidziano podstawę do wydania przez Komisję Europejską </w:t>
      </w:r>
      <w:r w:rsidR="0065235E" w:rsidRPr="0065235E">
        <w:rPr>
          <w:rFonts w:ascii="Times New Roman" w:hAnsi="Times New Roman" w:cs="Times New Roman"/>
          <w:sz w:val="24"/>
          <w:szCs w:val="24"/>
        </w:rPr>
        <w:t>regula</w:t>
      </w:r>
      <w:r w:rsidR="0065235E">
        <w:rPr>
          <w:rFonts w:ascii="Times New Roman" w:hAnsi="Times New Roman" w:cs="Times New Roman"/>
          <w:sz w:val="24"/>
          <w:szCs w:val="24"/>
        </w:rPr>
        <w:t>cyjnych standardów technicznych</w:t>
      </w:r>
      <w:r w:rsidR="0065235E" w:rsidRPr="0065235E">
        <w:rPr>
          <w:rFonts w:ascii="Times New Roman" w:hAnsi="Times New Roman" w:cs="Times New Roman"/>
          <w:sz w:val="24"/>
          <w:szCs w:val="24"/>
        </w:rPr>
        <w:t xml:space="preserve">. Art. 54 ust. 2 pkt 1 ustawy wprost odnosi się do </w:t>
      </w:r>
      <w:r w:rsidR="0065235E" w:rsidRPr="0065235E">
        <w:rPr>
          <w:rFonts w:ascii="Times New Roman" w:hAnsi="Times New Roman" w:cs="Times New Roman"/>
          <w:b/>
          <w:sz w:val="24"/>
          <w:szCs w:val="24"/>
        </w:rPr>
        <w:t>strategii i procedur</w:t>
      </w:r>
      <w:r w:rsidR="0065235E" w:rsidRPr="0065235E">
        <w:rPr>
          <w:rFonts w:ascii="Times New Roman" w:hAnsi="Times New Roman" w:cs="Times New Roman"/>
          <w:sz w:val="24"/>
          <w:szCs w:val="24"/>
        </w:rPr>
        <w:t xml:space="preserve"> przyjętych do stosowania w grupie zgodnie z przepisami wydanymi na podstawie art. 45 dyrektywy 2015/849. Odniesienie się w </w:t>
      </w:r>
      <w:r w:rsidR="0065235E">
        <w:rPr>
          <w:rFonts w:ascii="Times New Roman" w:hAnsi="Times New Roman" w:cs="Times New Roman"/>
          <w:sz w:val="24"/>
          <w:szCs w:val="24"/>
        </w:rPr>
        <w:t>art. 54 ust. 2 pkt 1 ustawy do „</w:t>
      </w:r>
      <w:r w:rsidR="0065235E" w:rsidRPr="0065235E">
        <w:rPr>
          <w:rFonts w:ascii="Times New Roman" w:hAnsi="Times New Roman" w:cs="Times New Roman"/>
          <w:sz w:val="24"/>
          <w:szCs w:val="24"/>
        </w:rPr>
        <w:t>strategii i procedur" przesądza zatem, iż wskazanie na przepisy wydane na podstawie art. 45 dyrektywy 2015/849</w:t>
      </w:r>
      <w:r w:rsidR="0065235E">
        <w:rPr>
          <w:rFonts w:ascii="Times New Roman" w:hAnsi="Times New Roman" w:cs="Times New Roman"/>
          <w:sz w:val="24"/>
          <w:szCs w:val="24"/>
        </w:rPr>
        <w:t xml:space="preserve"> </w:t>
      </w:r>
      <w:r w:rsidR="0065235E" w:rsidRPr="0065235E">
        <w:rPr>
          <w:rFonts w:ascii="Times New Roman" w:hAnsi="Times New Roman" w:cs="Times New Roman"/>
          <w:sz w:val="24"/>
          <w:szCs w:val="24"/>
        </w:rPr>
        <w:t xml:space="preserve">nie dotyczy regulacyjnych standardów technicznych, o </w:t>
      </w:r>
      <w:r w:rsidR="0065235E" w:rsidRPr="0065235E">
        <w:rPr>
          <w:rFonts w:ascii="Times New Roman" w:hAnsi="Times New Roman" w:cs="Times New Roman"/>
          <w:sz w:val="24"/>
          <w:szCs w:val="24"/>
        </w:rPr>
        <w:lastRenderedPageBreak/>
        <w:t xml:space="preserve">których mowa </w:t>
      </w:r>
      <w:r w:rsidR="0065235E">
        <w:rPr>
          <w:rFonts w:ascii="Times New Roman" w:hAnsi="Times New Roman" w:cs="Times New Roman"/>
          <w:sz w:val="24"/>
          <w:szCs w:val="24"/>
        </w:rPr>
        <w:t xml:space="preserve">w ust. 7 oraz 11 tego przepisu. </w:t>
      </w:r>
      <w:r w:rsidR="00471115" w:rsidRPr="0018524B">
        <w:rPr>
          <w:rFonts w:ascii="Times New Roman" w:hAnsi="Times New Roman" w:cs="Times New Roman"/>
          <w:sz w:val="24"/>
          <w:szCs w:val="24"/>
        </w:rPr>
        <w:t xml:space="preserve">Zmiana redakcji </w:t>
      </w:r>
      <w:r w:rsidR="00471115" w:rsidRPr="0018524B">
        <w:rPr>
          <w:rFonts w:ascii="Times New Roman" w:hAnsi="Times New Roman" w:cs="Times New Roman"/>
          <w:b/>
          <w:sz w:val="24"/>
          <w:szCs w:val="24"/>
        </w:rPr>
        <w:t>art. 54 ust. 1</w:t>
      </w:r>
      <w:r w:rsidR="00471115" w:rsidRPr="0018524B">
        <w:rPr>
          <w:rFonts w:ascii="Times New Roman" w:hAnsi="Times New Roman" w:cs="Times New Roman"/>
          <w:sz w:val="24"/>
          <w:szCs w:val="24"/>
        </w:rPr>
        <w:t xml:space="preserve"> ustawy o p.p.p.f.t. jest zmianą o charakterze technicznym i ma </w:t>
      </w:r>
      <w:r w:rsidR="00A53903" w:rsidRPr="0018524B">
        <w:rPr>
          <w:rFonts w:ascii="Times New Roman" w:hAnsi="Times New Roman" w:cs="Times New Roman"/>
          <w:sz w:val="24"/>
          <w:szCs w:val="24"/>
        </w:rPr>
        <w:t xml:space="preserve">na </w:t>
      </w:r>
      <w:r w:rsidR="00471115" w:rsidRPr="0018524B">
        <w:rPr>
          <w:rFonts w:ascii="Times New Roman" w:hAnsi="Times New Roman" w:cs="Times New Roman"/>
          <w:sz w:val="24"/>
          <w:szCs w:val="24"/>
        </w:rPr>
        <w:t>celu precyzyjne określenie zakresu przedmiotowego informacji objętych zakazem ujawniania.</w:t>
      </w:r>
      <w:r w:rsidR="009C207B" w:rsidRPr="0018524B">
        <w:rPr>
          <w:rFonts w:ascii="Times New Roman" w:hAnsi="Times New Roman" w:cs="Times New Roman"/>
          <w:sz w:val="24"/>
          <w:szCs w:val="24"/>
        </w:rPr>
        <w:t xml:space="preserve"> </w:t>
      </w:r>
    </w:p>
    <w:p w14:paraId="63D4E46A" w14:textId="2421421A" w:rsidR="00A53903" w:rsidRPr="0018524B" w:rsidRDefault="009D135C" w:rsidP="00C81472">
      <w:pPr>
        <w:spacing w:line="400" w:lineRule="atLeast"/>
        <w:jc w:val="both"/>
        <w:rPr>
          <w:rFonts w:ascii="Times New Roman" w:hAnsi="Times New Roman" w:cs="Times New Roman"/>
          <w:sz w:val="24"/>
          <w:szCs w:val="24"/>
        </w:rPr>
      </w:pPr>
      <w:r w:rsidRPr="0018524B">
        <w:rPr>
          <w:rFonts w:ascii="Times New Roman" w:hAnsi="Times New Roman" w:cs="Times New Roman"/>
          <w:b/>
          <w:sz w:val="24"/>
          <w:szCs w:val="24"/>
        </w:rPr>
        <w:t>Art. 54 ust. 3 ustawy o p.p.p.f.t.</w:t>
      </w:r>
      <w:r w:rsidRPr="0018524B">
        <w:rPr>
          <w:rFonts w:ascii="Times New Roman" w:hAnsi="Times New Roman" w:cs="Times New Roman"/>
          <w:sz w:val="24"/>
          <w:szCs w:val="24"/>
        </w:rPr>
        <w:t xml:space="preserve"> implementuje do krajowego porządku prawnego wymogi wynikające z art. 45 ust. 8 dyrektywy 2015/849, który wprost nakazuje, aby określone w tym przepisie informacje dotyczące podejrzeń prania pieniędzy oraz finansowania terroryzmu były wymieniane pomiędzy podmiotami wchodzącymi w skład grupy.</w:t>
      </w:r>
      <w:r w:rsidR="00020BFB" w:rsidRPr="0018524B">
        <w:rPr>
          <w:rFonts w:ascii="Times New Roman" w:hAnsi="Times New Roman" w:cs="Times New Roman"/>
          <w:sz w:val="24"/>
          <w:szCs w:val="24"/>
        </w:rPr>
        <w:t xml:space="preserve"> W przepisie przewidzian</w:t>
      </w:r>
      <w:r w:rsidR="00714322" w:rsidRPr="0018524B">
        <w:rPr>
          <w:rFonts w:ascii="Times New Roman" w:hAnsi="Times New Roman" w:cs="Times New Roman"/>
          <w:sz w:val="24"/>
          <w:szCs w:val="24"/>
        </w:rPr>
        <w:t>o</w:t>
      </w:r>
      <w:r w:rsidR="00020BFB" w:rsidRPr="0018524B">
        <w:rPr>
          <w:rFonts w:ascii="Times New Roman" w:hAnsi="Times New Roman" w:cs="Times New Roman"/>
          <w:sz w:val="24"/>
          <w:szCs w:val="24"/>
        </w:rPr>
        <w:t xml:space="preserve"> kompetencję dla Generalnego Inspektora do wydania instytucji obowiązanej nakazu zachowania w tajemnicy faktu powzięcia podejrzenia dotyczącego prania pieniędzy lub finansowania terroryzmu. </w:t>
      </w:r>
    </w:p>
    <w:p w14:paraId="794B9BF5" w14:textId="3EDCF9EC" w:rsidR="0072007E" w:rsidRPr="0018524B" w:rsidRDefault="00AC120F" w:rsidP="00AC120F">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Zmiana redakcji </w:t>
      </w:r>
      <w:r w:rsidRPr="0018524B">
        <w:rPr>
          <w:rFonts w:ascii="Times New Roman" w:hAnsi="Times New Roman" w:cs="Times New Roman"/>
          <w:b/>
          <w:sz w:val="24"/>
          <w:szCs w:val="24"/>
        </w:rPr>
        <w:t>art. 55 ustawy o p.p.p.f.t.</w:t>
      </w:r>
      <w:r w:rsidRPr="0018524B">
        <w:rPr>
          <w:rFonts w:ascii="Times New Roman" w:hAnsi="Times New Roman" w:cs="Times New Roman"/>
          <w:sz w:val="24"/>
          <w:szCs w:val="24"/>
        </w:rPr>
        <w:t xml:space="preserve"> jest wynikiem rozszerzania zakresu podmiotów, których dane gromadzone są w Centralnym Rejestrze Beneficjentów Rzeczywistych, o dane powierników trustów.</w:t>
      </w:r>
    </w:p>
    <w:p w14:paraId="210E55A9" w14:textId="58AD2FAA" w:rsidR="009B4CB9" w:rsidRPr="0018524B" w:rsidRDefault="009B4CB9"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Zmiana </w:t>
      </w:r>
      <w:r w:rsidRPr="0018524B">
        <w:rPr>
          <w:rFonts w:ascii="Times New Roman" w:hAnsi="Times New Roman" w:cs="Times New Roman"/>
          <w:b/>
          <w:sz w:val="24"/>
          <w:szCs w:val="24"/>
        </w:rPr>
        <w:t>art. 57 ust. 1</w:t>
      </w:r>
      <w:r w:rsidRPr="0018524B">
        <w:rPr>
          <w:b/>
        </w:rPr>
        <w:t xml:space="preserve"> </w:t>
      </w:r>
      <w:r w:rsidRPr="0018524B">
        <w:rPr>
          <w:rFonts w:ascii="Times New Roman" w:hAnsi="Times New Roman" w:cs="Times New Roman"/>
          <w:b/>
          <w:sz w:val="24"/>
          <w:szCs w:val="24"/>
        </w:rPr>
        <w:t>ustawy o p.p.p.f.t.</w:t>
      </w:r>
      <w:r w:rsidRPr="0018524B">
        <w:rPr>
          <w:rFonts w:ascii="Times New Roman" w:hAnsi="Times New Roman" w:cs="Times New Roman"/>
          <w:sz w:val="24"/>
          <w:szCs w:val="24"/>
        </w:rPr>
        <w:t xml:space="preserve"> polegająca na zastąpieniu sformułowania „zgromadzonych” wyrazem „przetwarzanych” jest zmianą o charakterze technicznym, podobnie jak zmiana </w:t>
      </w:r>
      <w:r w:rsidRPr="0018524B">
        <w:rPr>
          <w:rFonts w:ascii="Times New Roman" w:hAnsi="Times New Roman" w:cs="Times New Roman"/>
          <w:b/>
          <w:sz w:val="24"/>
          <w:szCs w:val="24"/>
        </w:rPr>
        <w:t>art. 57 ust. 2 pkt 2 ustawy o p.p.p.f.t.</w:t>
      </w:r>
      <w:r w:rsidRPr="0018524B">
        <w:rPr>
          <w:rFonts w:ascii="Times New Roman" w:hAnsi="Times New Roman" w:cs="Times New Roman"/>
          <w:sz w:val="24"/>
          <w:szCs w:val="24"/>
        </w:rPr>
        <w:t xml:space="preserve"> doprecyzowująca zakres danych przetwarzanych w Centralnym Rejestrze Beneficjentów Rzeczywistych. </w:t>
      </w:r>
    </w:p>
    <w:p w14:paraId="64AB03F5" w14:textId="4E3E01D7" w:rsidR="00C34D49" w:rsidRPr="0018524B" w:rsidRDefault="00C34D49"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W </w:t>
      </w:r>
      <w:r w:rsidRPr="0018524B">
        <w:rPr>
          <w:rFonts w:ascii="Times New Roman" w:hAnsi="Times New Roman" w:cs="Times New Roman"/>
          <w:b/>
          <w:sz w:val="24"/>
          <w:szCs w:val="24"/>
        </w:rPr>
        <w:t>art. 57 ustawy o p.p.p.f.t.,</w:t>
      </w:r>
      <w:r w:rsidRPr="0018524B">
        <w:rPr>
          <w:rFonts w:ascii="Times New Roman" w:hAnsi="Times New Roman" w:cs="Times New Roman"/>
          <w:sz w:val="24"/>
          <w:szCs w:val="24"/>
        </w:rPr>
        <w:t xml:space="preserve"> w ust. 2 dodano pkt 4, zgodnie z którym do zadań organu właściwego w sprawach </w:t>
      </w:r>
      <w:r w:rsidR="00E94F6F" w:rsidRPr="0018524B">
        <w:rPr>
          <w:rFonts w:ascii="Times New Roman" w:hAnsi="Times New Roman" w:cs="Times New Roman"/>
          <w:sz w:val="24"/>
          <w:szCs w:val="24"/>
        </w:rPr>
        <w:t>C</w:t>
      </w:r>
      <w:r w:rsidRPr="0018524B">
        <w:rPr>
          <w:rFonts w:ascii="Times New Roman" w:hAnsi="Times New Roman" w:cs="Times New Roman"/>
          <w:sz w:val="24"/>
          <w:szCs w:val="24"/>
        </w:rPr>
        <w:t xml:space="preserve">entralnego </w:t>
      </w:r>
      <w:r w:rsidR="00E94F6F" w:rsidRPr="0018524B">
        <w:rPr>
          <w:rFonts w:ascii="Times New Roman" w:hAnsi="Times New Roman" w:cs="Times New Roman"/>
          <w:sz w:val="24"/>
          <w:szCs w:val="24"/>
        </w:rPr>
        <w:t>R</w:t>
      </w:r>
      <w:r w:rsidRPr="0018524B">
        <w:rPr>
          <w:rFonts w:ascii="Times New Roman" w:hAnsi="Times New Roman" w:cs="Times New Roman"/>
          <w:sz w:val="24"/>
          <w:szCs w:val="24"/>
        </w:rPr>
        <w:t xml:space="preserve">ejestru </w:t>
      </w:r>
      <w:r w:rsidR="00E94F6F" w:rsidRPr="0018524B">
        <w:rPr>
          <w:rFonts w:ascii="Times New Roman" w:hAnsi="Times New Roman" w:cs="Times New Roman"/>
          <w:sz w:val="24"/>
          <w:szCs w:val="24"/>
        </w:rPr>
        <w:t>B</w:t>
      </w:r>
      <w:r w:rsidRPr="0018524B">
        <w:rPr>
          <w:rFonts w:ascii="Times New Roman" w:hAnsi="Times New Roman" w:cs="Times New Roman"/>
          <w:sz w:val="24"/>
          <w:szCs w:val="24"/>
        </w:rPr>
        <w:t xml:space="preserve">eneficjentów </w:t>
      </w:r>
      <w:r w:rsidR="00E94F6F" w:rsidRPr="0018524B">
        <w:rPr>
          <w:rFonts w:ascii="Times New Roman" w:hAnsi="Times New Roman" w:cs="Times New Roman"/>
          <w:sz w:val="24"/>
          <w:szCs w:val="24"/>
        </w:rPr>
        <w:t>R</w:t>
      </w:r>
      <w:r w:rsidRPr="0018524B">
        <w:rPr>
          <w:rFonts w:ascii="Times New Roman" w:hAnsi="Times New Roman" w:cs="Times New Roman"/>
          <w:sz w:val="24"/>
          <w:szCs w:val="24"/>
        </w:rPr>
        <w:t xml:space="preserve">zeczywistych, dodano uprawnienie do nakładania kar na podmioty </w:t>
      </w:r>
      <w:r w:rsidR="002A7639" w:rsidRPr="0018524B">
        <w:rPr>
          <w:rFonts w:ascii="Times New Roman" w:hAnsi="Times New Roman" w:cs="Times New Roman"/>
          <w:sz w:val="24"/>
          <w:szCs w:val="24"/>
        </w:rPr>
        <w:t>wymienione w art. 58 pkt 1–</w:t>
      </w:r>
      <w:r w:rsidR="009B4CB9" w:rsidRPr="0018524B">
        <w:rPr>
          <w:rFonts w:ascii="Times New Roman" w:hAnsi="Times New Roman" w:cs="Times New Roman"/>
          <w:sz w:val="24"/>
          <w:szCs w:val="24"/>
        </w:rPr>
        <w:t>5 oraz 7</w:t>
      </w:r>
      <w:r w:rsidR="00C6045B">
        <w:rPr>
          <w:rFonts w:ascii="Times New Roman" w:hAnsi="Times New Roman" w:cs="Times New Roman"/>
          <w:sz w:val="24"/>
          <w:szCs w:val="24"/>
        </w:rPr>
        <w:t>–</w:t>
      </w:r>
      <w:r w:rsidR="002A7639" w:rsidRPr="0018524B">
        <w:rPr>
          <w:rFonts w:ascii="Times New Roman" w:hAnsi="Times New Roman" w:cs="Times New Roman"/>
          <w:sz w:val="24"/>
          <w:szCs w:val="24"/>
        </w:rPr>
        <w:t>13 ustawy o p.p.p.f.t. (spółki jawne, spółki komandytowe, spółki komandytowo-akcyjne, spółki z ograniczoną odpowiedzialnością, proste spółki akcyjne, spółki akcyjne, spółki partnerskie, europejskie zgrupowania interesów gospodarczych, spółki europejskie, spółdzielnie, spółdzielnie europejskie, stowarzyszenia podlegające wpisowi do Krajowego Rejestru Sądowego, fundacje) oraz na osoby, o których mowa w art. 58 pkt 6 ustawy o p.p.p.f.t.</w:t>
      </w:r>
      <w:r w:rsidR="00C6045B">
        <w:rPr>
          <w:rFonts w:ascii="Times New Roman" w:hAnsi="Times New Roman" w:cs="Times New Roman"/>
          <w:sz w:val="24"/>
          <w:szCs w:val="24"/>
        </w:rPr>
        <w:t xml:space="preserve"> </w:t>
      </w:r>
      <w:r w:rsidR="002A7639" w:rsidRPr="0018524B">
        <w:rPr>
          <w:rFonts w:ascii="Times New Roman" w:hAnsi="Times New Roman" w:cs="Times New Roman"/>
          <w:sz w:val="24"/>
          <w:szCs w:val="24"/>
        </w:rPr>
        <w:t>(powiernicy lub osoby zajmujące stanowiska równoważne, którzy mają miejsce zamieszkania lub siedzibę na terytorium Rzeczypospolitej Polskiej lub nawiązują stosunki gospodarcze lub nabywają nieruchomość na terytorium Rzeczypospolitej Polskiej, na rzecz trustu)</w:t>
      </w:r>
      <w:r w:rsidRPr="0018524B">
        <w:rPr>
          <w:rFonts w:ascii="Times New Roman" w:hAnsi="Times New Roman" w:cs="Times New Roman"/>
          <w:sz w:val="24"/>
          <w:szCs w:val="24"/>
        </w:rPr>
        <w:t xml:space="preserve">, które nie dopełniły obowiązku zgłoszenia </w:t>
      </w:r>
      <w:r w:rsidR="004420A5" w:rsidRPr="0018524B">
        <w:rPr>
          <w:rFonts w:ascii="Times New Roman" w:hAnsi="Times New Roman" w:cs="Times New Roman"/>
          <w:sz w:val="24"/>
          <w:szCs w:val="24"/>
        </w:rPr>
        <w:t xml:space="preserve">lub aktualizacji </w:t>
      </w:r>
      <w:r w:rsidRPr="0018524B">
        <w:rPr>
          <w:rFonts w:ascii="Times New Roman" w:hAnsi="Times New Roman" w:cs="Times New Roman"/>
          <w:sz w:val="24"/>
          <w:szCs w:val="24"/>
        </w:rPr>
        <w:t xml:space="preserve">danych do </w:t>
      </w:r>
      <w:r w:rsidR="0054042E" w:rsidRPr="0018524B">
        <w:rPr>
          <w:rFonts w:ascii="Times New Roman" w:hAnsi="Times New Roman" w:cs="Times New Roman"/>
          <w:sz w:val="24"/>
          <w:szCs w:val="24"/>
        </w:rPr>
        <w:t>Centralnego Rejestru Beneficjentów Rzeczywistych</w:t>
      </w:r>
      <w:r w:rsidRPr="0018524B">
        <w:rPr>
          <w:rFonts w:ascii="Times New Roman" w:hAnsi="Times New Roman" w:cs="Times New Roman"/>
          <w:sz w:val="24"/>
          <w:szCs w:val="24"/>
        </w:rPr>
        <w:t xml:space="preserve">. </w:t>
      </w:r>
      <w:r w:rsidR="00E94F6F" w:rsidRPr="0018524B">
        <w:rPr>
          <w:rFonts w:ascii="Times New Roman" w:hAnsi="Times New Roman" w:cs="Times New Roman"/>
          <w:sz w:val="24"/>
          <w:szCs w:val="24"/>
        </w:rPr>
        <w:t xml:space="preserve">Przepis </w:t>
      </w:r>
      <w:r w:rsidRPr="0018524B">
        <w:rPr>
          <w:rFonts w:ascii="Times New Roman" w:hAnsi="Times New Roman" w:cs="Times New Roman"/>
          <w:sz w:val="24"/>
          <w:szCs w:val="24"/>
        </w:rPr>
        <w:t>ten jest konieczny dla zapewnienia możliwości nakładania sankcji na podmioty</w:t>
      </w:r>
      <w:r w:rsidR="002A7639" w:rsidRPr="0018524B">
        <w:rPr>
          <w:rFonts w:ascii="Times New Roman" w:hAnsi="Times New Roman" w:cs="Times New Roman"/>
          <w:sz w:val="24"/>
          <w:szCs w:val="24"/>
        </w:rPr>
        <w:t xml:space="preserve"> i osoby</w:t>
      </w:r>
      <w:r w:rsidRPr="0018524B">
        <w:rPr>
          <w:rFonts w:ascii="Times New Roman" w:hAnsi="Times New Roman" w:cs="Times New Roman"/>
          <w:sz w:val="24"/>
          <w:szCs w:val="24"/>
        </w:rPr>
        <w:t xml:space="preserve"> niewypełniające obowiązków dotyczących zgłaszania danych, co jest konieczne dla prawidłowej implementacji art. 30 ust. 4 </w:t>
      </w:r>
      <w:r w:rsidR="002A7639" w:rsidRPr="0018524B">
        <w:rPr>
          <w:rFonts w:ascii="Times New Roman" w:hAnsi="Times New Roman" w:cs="Times New Roman"/>
          <w:sz w:val="24"/>
          <w:szCs w:val="24"/>
        </w:rPr>
        <w:t xml:space="preserve">i </w:t>
      </w:r>
      <w:r w:rsidR="00A01FDF" w:rsidRPr="0018524B">
        <w:rPr>
          <w:rFonts w:ascii="Times New Roman" w:hAnsi="Times New Roman" w:cs="Times New Roman"/>
          <w:sz w:val="24"/>
          <w:szCs w:val="24"/>
        </w:rPr>
        <w:t xml:space="preserve">art. </w:t>
      </w:r>
      <w:r w:rsidR="002A7639" w:rsidRPr="0018524B">
        <w:rPr>
          <w:rFonts w:ascii="Times New Roman" w:hAnsi="Times New Roman" w:cs="Times New Roman"/>
          <w:sz w:val="24"/>
          <w:szCs w:val="24"/>
        </w:rPr>
        <w:t xml:space="preserve">31 ust. 5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y, w zakresie zapewnienia przez państwo członkowskie, by dane zawarte w rejestrze były </w:t>
      </w:r>
      <w:r w:rsidRPr="0018524B">
        <w:rPr>
          <w:rFonts w:ascii="Times New Roman" w:hAnsi="Times New Roman" w:cs="Times New Roman"/>
          <w:sz w:val="24"/>
          <w:szCs w:val="24"/>
        </w:rPr>
        <w:lastRenderedPageBreak/>
        <w:t>dokładne oraz aktualne.</w:t>
      </w:r>
      <w:r w:rsidR="00A97480" w:rsidRPr="0018524B">
        <w:rPr>
          <w:rFonts w:ascii="Times New Roman" w:hAnsi="Times New Roman" w:cs="Times New Roman"/>
          <w:sz w:val="24"/>
          <w:szCs w:val="24"/>
        </w:rPr>
        <w:t xml:space="preserve"> Ponadto, </w:t>
      </w:r>
      <w:r w:rsidR="006E1D46" w:rsidRPr="0018524B">
        <w:rPr>
          <w:rFonts w:ascii="Times New Roman" w:hAnsi="Times New Roman" w:cs="Times New Roman"/>
          <w:sz w:val="24"/>
          <w:szCs w:val="24"/>
        </w:rPr>
        <w:t xml:space="preserve">w art. 57 ust. 2 pkt </w:t>
      </w:r>
      <w:r w:rsidR="00664BDD">
        <w:rPr>
          <w:rFonts w:ascii="Times New Roman" w:hAnsi="Times New Roman" w:cs="Times New Roman"/>
          <w:sz w:val="24"/>
          <w:szCs w:val="24"/>
        </w:rPr>
        <w:t>4</w:t>
      </w:r>
      <w:r w:rsidR="006E1D46" w:rsidRPr="0018524B">
        <w:rPr>
          <w:rFonts w:ascii="Times New Roman" w:hAnsi="Times New Roman" w:cs="Times New Roman"/>
          <w:sz w:val="24"/>
          <w:szCs w:val="24"/>
        </w:rPr>
        <w:t xml:space="preserve"> ustawy o p.p.p.f.t. przewidziano </w:t>
      </w:r>
      <w:r w:rsidR="00A97480" w:rsidRPr="0018524B">
        <w:rPr>
          <w:rFonts w:ascii="Times New Roman" w:hAnsi="Times New Roman" w:cs="Times New Roman"/>
          <w:sz w:val="24"/>
          <w:szCs w:val="24"/>
        </w:rPr>
        <w:t>uprawnienie</w:t>
      </w:r>
      <w:r w:rsidR="006E1D46" w:rsidRPr="0018524B">
        <w:rPr>
          <w:rFonts w:ascii="Times New Roman" w:hAnsi="Times New Roman" w:cs="Times New Roman"/>
          <w:sz w:val="24"/>
          <w:szCs w:val="24"/>
        </w:rPr>
        <w:t xml:space="preserve"> dla organu właściwego ws. Rejestru</w:t>
      </w:r>
      <w:r w:rsidR="00A97480" w:rsidRPr="0018524B">
        <w:rPr>
          <w:rFonts w:ascii="Times New Roman" w:hAnsi="Times New Roman" w:cs="Times New Roman"/>
          <w:sz w:val="24"/>
          <w:szCs w:val="24"/>
        </w:rPr>
        <w:t xml:space="preserve"> do nałożenia kary pieniężnej </w:t>
      </w:r>
      <w:r w:rsidR="006E1D46" w:rsidRPr="0018524B">
        <w:rPr>
          <w:rFonts w:ascii="Times New Roman" w:hAnsi="Times New Roman" w:cs="Times New Roman"/>
          <w:sz w:val="24"/>
          <w:szCs w:val="24"/>
        </w:rPr>
        <w:t>na beneficjenta rzeczywistego, który nie dopełnił obowiązku, o którym mowa w art. 60a, a więc dostarczenia stosownych informacji podmiotowi obowiązanemu do dokonania wpisu do</w:t>
      </w:r>
      <w:r w:rsidR="006E1D46" w:rsidRPr="0018524B">
        <w:t xml:space="preserve"> </w:t>
      </w:r>
      <w:r w:rsidR="006E1D46" w:rsidRPr="0018524B">
        <w:rPr>
          <w:rFonts w:ascii="Times New Roman" w:hAnsi="Times New Roman" w:cs="Times New Roman"/>
          <w:sz w:val="24"/>
          <w:szCs w:val="24"/>
        </w:rPr>
        <w:t>Centralnego Rejestru Beneficjentów Rzeczywistych.</w:t>
      </w:r>
      <w:r w:rsidR="005152BD" w:rsidRPr="0018524B">
        <w:rPr>
          <w:rFonts w:ascii="Times New Roman" w:hAnsi="Times New Roman" w:cs="Times New Roman"/>
          <w:sz w:val="24"/>
          <w:szCs w:val="24"/>
        </w:rPr>
        <w:t xml:space="preserve"> </w:t>
      </w:r>
    </w:p>
    <w:p w14:paraId="0FC3B4E2" w14:textId="38E86076" w:rsidR="008A69FA" w:rsidRPr="0018524B" w:rsidRDefault="002A7639"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Zmiana redakcji </w:t>
      </w:r>
      <w:r w:rsidRPr="0018524B">
        <w:rPr>
          <w:rFonts w:ascii="Times New Roman" w:hAnsi="Times New Roman" w:cs="Times New Roman"/>
          <w:b/>
          <w:sz w:val="24"/>
          <w:szCs w:val="24"/>
        </w:rPr>
        <w:t>art. 58 ustawy o p.p.p.f.t.</w:t>
      </w:r>
      <w:r w:rsidRPr="0018524B">
        <w:rPr>
          <w:rFonts w:ascii="Times New Roman" w:hAnsi="Times New Roman" w:cs="Times New Roman"/>
          <w:sz w:val="24"/>
          <w:szCs w:val="24"/>
        </w:rPr>
        <w:t xml:space="preserve"> wynika z nowego brzemienia art. 31 ust. 1 i 3a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y 2015/849. Zmiana polega na rozszerzeniu </w:t>
      </w:r>
      <w:r w:rsidR="00E94F6F" w:rsidRPr="0018524B">
        <w:rPr>
          <w:rFonts w:ascii="Times New Roman" w:hAnsi="Times New Roman" w:cs="Times New Roman"/>
          <w:sz w:val="24"/>
          <w:szCs w:val="24"/>
        </w:rPr>
        <w:t xml:space="preserve">katalogu </w:t>
      </w:r>
      <w:r w:rsidRPr="0018524B">
        <w:rPr>
          <w:rFonts w:ascii="Times New Roman" w:hAnsi="Times New Roman" w:cs="Times New Roman"/>
          <w:sz w:val="24"/>
          <w:szCs w:val="24"/>
        </w:rPr>
        <w:t>podmiotów, które są zobowiązane do zgłaszania informacji o beneficjentach rzeczywistych</w:t>
      </w:r>
      <w:r w:rsidR="00733C2F" w:rsidRPr="0018524B">
        <w:rPr>
          <w:rFonts w:ascii="Times New Roman" w:hAnsi="Times New Roman" w:cs="Times New Roman"/>
          <w:sz w:val="24"/>
          <w:szCs w:val="24"/>
        </w:rPr>
        <w:t xml:space="preserve"> o trusty, których powiernicy lub osoby zajmujące stanowiska równoważne mają miejsce zamieszkania na terytorium Rzeczypospolitej Polskiej oraz o trusty, których powiernicy lub osoby zajmujące równoważne stanowiska w imieniu lub na rzecz trustu nawiązują stosunki gospodarcze lub nabywają nieruchomość na terytorium Rzeczypospolitej Polskiej. W wyniku przeglądu rozwiązań prawnych przyjętych w innych państwach członkowskich rozszerzony został również katalog podmiotów „o charakterze korporacyjnym oraz innych podmiotów prawnych” (art. 30 ust. 1 dyrektywy 2015/849) zobowiązanych do zgłoszenia informacji do Centralnego Rejestru Beneficjentów Rzeczywistych. Obowiązkiem tym objęte zostały: spółki partnerskie,</w:t>
      </w:r>
      <w:r w:rsidR="00C6045B">
        <w:rPr>
          <w:rFonts w:ascii="Times New Roman" w:hAnsi="Times New Roman" w:cs="Times New Roman"/>
          <w:sz w:val="24"/>
          <w:szCs w:val="24"/>
        </w:rPr>
        <w:t xml:space="preserve"> </w:t>
      </w:r>
      <w:r w:rsidR="00733C2F" w:rsidRPr="0018524B">
        <w:rPr>
          <w:rFonts w:ascii="Times New Roman" w:hAnsi="Times New Roman" w:cs="Times New Roman"/>
          <w:sz w:val="24"/>
          <w:szCs w:val="24"/>
        </w:rPr>
        <w:t>europejskie zgrupowania interesów gospodarczych, spółki europejskie, spółdzielnie, spółdzielnie europejskie, stowarzyszenia podlegające wpisowi</w:t>
      </w:r>
      <w:r w:rsidR="00434814" w:rsidRPr="0018524B">
        <w:rPr>
          <w:rFonts w:ascii="Times New Roman" w:hAnsi="Times New Roman" w:cs="Times New Roman"/>
          <w:sz w:val="24"/>
          <w:szCs w:val="24"/>
        </w:rPr>
        <w:t xml:space="preserve"> do Krajowego Rejestru Sądowego oraz </w:t>
      </w:r>
      <w:r w:rsidR="00733C2F" w:rsidRPr="0018524B">
        <w:rPr>
          <w:rFonts w:ascii="Times New Roman" w:hAnsi="Times New Roman" w:cs="Times New Roman"/>
          <w:sz w:val="24"/>
          <w:szCs w:val="24"/>
        </w:rPr>
        <w:t>fundacje</w:t>
      </w:r>
      <w:r w:rsidRPr="0018524B">
        <w:rPr>
          <w:rFonts w:ascii="Times New Roman" w:hAnsi="Times New Roman" w:cs="Times New Roman"/>
          <w:sz w:val="24"/>
          <w:szCs w:val="24"/>
        </w:rPr>
        <w:t xml:space="preserve">. </w:t>
      </w:r>
    </w:p>
    <w:p w14:paraId="6B360DB7" w14:textId="576CFFD6" w:rsidR="00434814" w:rsidRPr="0018524B" w:rsidRDefault="00CA14F2" w:rsidP="00434814">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W</w:t>
      </w:r>
      <w:r w:rsidRPr="0018524B">
        <w:rPr>
          <w:rFonts w:ascii="Times New Roman" w:hAnsi="Times New Roman" w:cs="Times New Roman"/>
          <w:b/>
          <w:sz w:val="24"/>
          <w:szCs w:val="24"/>
        </w:rPr>
        <w:t xml:space="preserve"> a</w:t>
      </w:r>
      <w:r w:rsidR="008A69FA" w:rsidRPr="0018524B">
        <w:rPr>
          <w:rFonts w:ascii="Times New Roman" w:hAnsi="Times New Roman" w:cs="Times New Roman"/>
          <w:b/>
          <w:sz w:val="24"/>
          <w:szCs w:val="24"/>
        </w:rPr>
        <w:t xml:space="preserve">rt. 59 </w:t>
      </w:r>
      <w:r w:rsidR="002C5D01" w:rsidRPr="0018524B">
        <w:rPr>
          <w:rFonts w:ascii="Times New Roman" w:hAnsi="Times New Roman" w:cs="Times New Roman"/>
          <w:b/>
          <w:sz w:val="24"/>
          <w:szCs w:val="24"/>
        </w:rPr>
        <w:t>pkt</w:t>
      </w:r>
      <w:r w:rsidR="008A69FA" w:rsidRPr="0018524B">
        <w:rPr>
          <w:rFonts w:ascii="Times New Roman" w:hAnsi="Times New Roman" w:cs="Times New Roman"/>
          <w:b/>
          <w:sz w:val="24"/>
          <w:szCs w:val="24"/>
        </w:rPr>
        <w:t xml:space="preserve"> 1</w:t>
      </w:r>
      <w:r w:rsidR="008A69FA" w:rsidRPr="0018524B">
        <w:rPr>
          <w:rFonts w:ascii="Times New Roman" w:hAnsi="Times New Roman" w:cs="Times New Roman"/>
          <w:sz w:val="24"/>
          <w:szCs w:val="24"/>
        </w:rPr>
        <w:t xml:space="preserve"> </w:t>
      </w:r>
      <w:r w:rsidRPr="0018524B">
        <w:rPr>
          <w:rFonts w:ascii="Times New Roman" w:hAnsi="Times New Roman" w:cs="Times New Roman"/>
          <w:sz w:val="24"/>
          <w:szCs w:val="24"/>
        </w:rPr>
        <w:t xml:space="preserve">następuje zmiana redakcji </w:t>
      </w:r>
      <w:r w:rsidR="002C5D01" w:rsidRPr="0018524B">
        <w:rPr>
          <w:rFonts w:ascii="Times New Roman" w:hAnsi="Times New Roman" w:cs="Times New Roman"/>
          <w:sz w:val="24"/>
          <w:szCs w:val="24"/>
        </w:rPr>
        <w:t>wprowadzeni</w:t>
      </w:r>
      <w:r w:rsidRPr="0018524B">
        <w:rPr>
          <w:rFonts w:ascii="Times New Roman" w:hAnsi="Times New Roman" w:cs="Times New Roman"/>
          <w:sz w:val="24"/>
          <w:szCs w:val="24"/>
        </w:rPr>
        <w:t>a</w:t>
      </w:r>
      <w:r w:rsidR="002C5D01" w:rsidRPr="0018524B">
        <w:rPr>
          <w:rFonts w:ascii="Times New Roman" w:hAnsi="Times New Roman" w:cs="Times New Roman"/>
          <w:sz w:val="24"/>
          <w:szCs w:val="24"/>
        </w:rPr>
        <w:t xml:space="preserve"> do wyliczenia</w:t>
      </w:r>
      <w:r w:rsidRPr="0018524B">
        <w:rPr>
          <w:rFonts w:ascii="Times New Roman" w:hAnsi="Times New Roman" w:cs="Times New Roman"/>
          <w:sz w:val="24"/>
          <w:szCs w:val="24"/>
        </w:rPr>
        <w:t>.</w:t>
      </w:r>
      <w:r w:rsidR="002C5D01" w:rsidRPr="0018524B">
        <w:rPr>
          <w:rFonts w:ascii="Times New Roman" w:hAnsi="Times New Roman" w:cs="Times New Roman"/>
          <w:sz w:val="24"/>
          <w:szCs w:val="24"/>
        </w:rPr>
        <w:t xml:space="preserve"> </w:t>
      </w:r>
      <w:r w:rsidR="008A69FA" w:rsidRPr="0018524B">
        <w:rPr>
          <w:rFonts w:ascii="Times New Roman" w:hAnsi="Times New Roman" w:cs="Times New Roman"/>
          <w:sz w:val="24"/>
          <w:szCs w:val="24"/>
        </w:rPr>
        <w:t>Z</w:t>
      </w:r>
      <w:r w:rsidR="002A7639" w:rsidRPr="0018524B">
        <w:rPr>
          <w:rFonts w:ascii="Times New Roman" w:hAnsi="Times New Roman" w:cs="Times New Roman"/>
          <w:sz w:val="24"/>
          <w:szCs w:val="24"/>
        </w:rPr>
        <w:t xml:space="preserve">e względu na konieczność poszerzenia katalogu podmiotów obowiązanych do zgłaszania informacji w rejestrze o podmioty niebędące spółkami, </w:t>
      </w:r>
      <w:r w:rsidR="00A97445" w:rsidRPr="0018524B">
        <w:rPr>
          <w:rFonts w:ascii="Times New Roman" w:hAnsi="Times New Roman" w:cs="Times New Roman"/>
          <w:sz w:val="24"/>
          <w:szCs w:val="24"/>
        </w:rPr>
        <w:t xml:space="preserve">konieczna </w:t>
      </w:r>
      <w:r w:rsidR="002A7639" w:rsidRPr="0018524B">
        <w:rPr>
          <w:rFonts w:ascii="Times New Roman" w:hAnsi="Times New Roman" w:cs="Times New Roman"/>
          <w:sz w:val="24"/>
          <w:szCs w:val="24"/>
        </w:rPr>
        <w:t>stał</w:t>
      </w:r>
      <w:r w:rsidR="00A97445" w:rsidRPr="0018524B">
        <w:rPr>
          <w:rFonts w:ascii="Times New Roman" w:hAnsi="Times New Roman" w:cs="Times New Roman"/>
          <w:sz w:val="24"/>
          <w:szCs w:val="24"/>
        </w:rPr>
        <w:t>a</w:t>
      </w:r>
      <w:r w:rsidR="002A7639" w:rsidRPr="0018524B">
        <w:rPr>
          <w:rFonts w:ascii="Times New Roman" w:hAnsi="Times New Roman" w:cs="Times New Roman"/>
          <w:sz w:val="24"/>
          <w:szCs w:val="24"/>
        </w:rPr>
        <w:t xml:space="preserve"> się za</w:t>
      </w:r>
      <w:r w:rsidR="00A97445" w:rsidRPr="0018524B">
        <w:rPr>
          <w:rFonts w:ascii="Times New Roman" w:hAnsi="Times New Roman" w:cs="Times New Roman"/>
          <w:sz w:val="24"/>
          <w:szCs w:val="24"/>
        </w:rPr>
        <w:t xml:space="preserve">miana </w:t>
      </w:r>
      <w:r w:rsidR="002A7639" w:rsidRPr="0018524B">
        <w:rPr>
          <w:rFonts w:ascii="Times New Roman" w:hAnsi="Times New Roman" w:cs="Times New Roman"/>
          <w:sz w:val="24"/>
          <w:szCs w:val="24"/>
        </w:rPr>
        <w:t>słowa „spółki” na „podmioty”.</w:t>
      </w:r>
      <w:r w:rsidR="00F2333E" w:rsidRPr="0018524B">
        <w:rPr>
          <w:rFonts w:ascii="Times New Roman" w:hAnsi="Times New Roman" w:cs="Times New Roman"/>
          <w:sz w:val="24"/>
          <w:szCs w:val="24"/>
        </w:rPr>
        <w:t xml:space="preserve"> Zmiany w katalogu danych przewidzianych w </w:t>
      </w:r>
      <w:r w:rsidR="00F2333E" w:rsidRPr="0018524B">
        <w:rPr>
          <w:rFonts w:ascii="Times New Roman" w:hAnsi="Times New Roman" w:cs="Times New Roman"/>
          <w:b/>
          <w:sz w:val="24"/>
          <w:szCs w:val="24"/>
        </w:rPr>
        <w:t>art. 59 pkt 2 i 3 ustawy o p.p.p.f.t.</w:t>
      </w:r>
      <w:r w:rsidR="00F2333E" w:rsidRPr="0018524B">
        <w:rPr>
          <w:rFonts w:ascii="Times New Roman" w:hAnsi="Times New Roman" w:cs="Times New Roman"/>
          <w:sz w:val="24"/>
          <w:szCs w:val="24"/>
        </w:rPr>
        <w:t xml:space="preserve"> są konsekwencją rozszerzania zakresu podmiotów objętych obowiązkami rejestracyjnymi</w:t>
      </w:r>
      <w:r w:rsidR="00434814" w:rsidRPr="0018524B">
        <w:rPr>
          <w:rFonts w:ascii="Times New Roman" w:hAnsi="Times New Roman" w:cs="Times New Roman"/>
          <w:sz w:val="24"/>
          <w:szCs w:val="24"/>
        </w:rPr>
        <w:t xml:space="preserve"> i koniecznością dostosowania zakresu danych przetwarzanych w rejestrze do specyfiki tych podmiotów. W wyniku nowelizacji art. 59 pkt 2 lit. b ustawy o p.p.p.f.t. w przypadku beneficjentów rzeczywistych</w:t>
      </w:r>
      <w:r w:rsidR="00C6045B">
        <w:rPr>
          <w:rFonts w:ascii="Times New Roman" w:hAnsi="Times New Roman" w:cs="Times New Roman"/>
          <w:sz w:val="24"/>
          <w:szCs w:val="24"/>
        </w:rPr>
        <w:t xml:space="preserve"> </w:t>
      </w:r>
      <w:r w:rsidR="00434814" w:rsidRPr="0018524B">
        <w:rPr>
          <w:rFonts w:ascii="Times New Roman" w:hAnsi="Times New Roman" w:cs="Times New Roman"/>
          <w:sz w:val="24"/>
          <w:szCs w:val="24"/>
        </w:rPr>
        <w:t xml:space="preserve">posiadających obywatelstwo więcej niż jednego państwa konieczne będzie zgłoszenie do rejestru informacji o wszystkich posiadanych obywatelstwach. </w:t>
      </w:r>
      <w:r w:rsidR="007F63A1">
        <w:rPr>
          <w:rFonts w:ascii="Times New Roman" w:hAnsi="Times New Roman" w:cs="Times New Roman"/>
          <w:sz w:val="24"/>
          <w:szCs w:val="24"/>
        </w:rPr>
        <w:t xml:space="preserve">Projektowana regulacja nie wpłynie na zakres przepisu upoważniającego, o którym mowa w art. 71 ustawy, gdyż dotyczy on sposobu sporządzania i składania wniosków o udostępnienie informacji z </w:t>
      </w:r>
      <w:r w:rsidR="007F63A1" w:rsidRPr="0018524B">
        <w:rPr>
          <w:rFonts w:ascii="Times New Roman" w:hAnsi="Times New Roman" w:cs="Times New Roman"/>
          <w:sz w:val="24"/>
          <w:szCs w:val="24"/>
        </w:rPr>
        <w:t>Centralnego Rejestru Beneficjentów Rzeczywistych</w:t>
      </w:r>
      <w:r w:rsidR="007F63A1">
        <w:rPr>
          <w:rFonts w:ascii="Times New Roman" w:hAnsi="Times New Roman" w:cs="Times New Roman"/>
          <w:sz w:val="24"/>
          <w:szCs w:val="24"/>
        </w:rPr>
        <w:t xml:space="preserve"> oraz trybu składania tych wniosków. Tym samym nie dojdzie do pośredniego uchylenia obowiązującego rozporządzenia </w:t>
      </w:r>
      <w:r w:rsidR="007F63A1" w:rsidRPr="00732412">
        <w:rPr>
          <w:rFonts w:ascii="Times New Roman" w:hAnsi="Times New Roman" w:cs="Times New Roman"/>
          <w:sz w:val="24"/>
          <w:szCs w:val="24"/>
        </w:rPr>
        <w:t>Ministra Finansów z dnia 16 maja 2018 r</w:t>
      </w:r>
      <w:r w:rsidR="007F63A1" w:rsidRPr="009F5791">
        <w:t xml:space="preserve"> </w:t>
      </w:r>
      <w:r w:rsidR="007F63A1" w:rsidRPr="009F5791">
        <w:rPr>
          <w:rFonts w:ascii="Times New Roman" w:hAnsi="Times New Roman" w:cs="Times New Roman"/>
          <w:sz w:val="24"/>
          <w:szCs w:val="24"/>
        </w:rPr>
        <w:t>w sprawie wniosków o udostępnienie informacji o beneficjentach rzeczywistych oraz udostępniania tych informacji</w:t>
      </w:r>
      <w:r w:rsidR="007F63A1">
        <w:rPr>
          <w:rFonts w:ascii="Times New Roman" w:hAnsi="Times New Roman" w:cs="Times New Roman"/>
          <w:sz w:val="24"/>
          <w:szCs w:val="24"/>
        </w:rPr>
        <w:t xml:space="preserve"> (Dz.U. poz. 965).</w:t>
      </w:r>
    </w:p>
    <w:p w14:paraId="233DA259" w14:textId="5D10C34E" w:rsidR="00434814" w:rsidRPr="0018524B" w:rsidRDefault="00434814"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lastRenderedPageBreak/>
        <w:t xml:space="preserve">Nowa regulacja </w:t>
      </w:r>
      <w:r w:rsidRPr="0018524B">
        <w:rPr>
          <w:rFonts w:ascii="Times New Roman" w:hAnsi="Times New Roman" w:cs="Times New Roman"/>
          <w:b/>
          <w:sz w:val="24"/>
          <w:szCs w:val="24"/>
        </w:rPr>
        <w:t>art. 60 ustawy o p.p.p.f.t.</w:t>
      </w:r>
      <w:r w:rsidRPr="0018524B">
        <w:rPr>
          <w:rFonts w:ascii="Times New Roman" w:hAnsi="Times New Roman" w:cs="Times New Roman"/>
          <w:sz w:val="24"/>
          <w:szCs w:val="24"/>
        </w:rPr>
        <w:t xml:space="preserve"> precyzyjnie określa rozpoczęcie biegu terminu 7 dni na dopełnienie obowiązku zgłoszenia informacji do Centralnego Rejestru Beneficjentów Rzeczywistych lub ich aktualizacji. Sama długość terminu nie uległa zmianie w stosunku do obecnie obowiązujących przepisów.</w:t>
      </w:r>
      <w:r w:rsidR="00C6045B">
        <w:rPr>
          <w:rFonts w:ascii="Times New Roman" w:hAnsi="Times New Roman" w:cs="Times New Roman"/>
          <w:sz w:val="24"/>
          <w:szCs w:val="24"/>
        </w:rPr>
        <w:t xml:space="preserve"> </w:t>
      </w:r>
    </w:p>
    <w:p w14:paraId="3506C61A" w14:textId="35757284" w:rsidR="0072007E" w:rsidRPr="0018524B" w:rsidRDefault="00503208"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Zgodnie z </w:t>
      </w:r>
      <w:r w:rsidRPr="0018524B">
        <w:rPr>
          <w:rFonts w:ascii="Times New Roman" w:hAnsi="Times New Roman" w:cs="Times New Roman"/>
          <w:b/>
          <w:sz w:val="24"/>
          <w:szCs w:val="24"/>
        </w:rPr>
        <w:t>art. 60a ustawy o p.p.p.f.t.,</w:t>
      </w:r>
      <w:r w:rsidRPr="0018524B">
        <w:rPr>
          <w:rFonts w:ascii="Times New Roman" w:hAnsi="Times New Roman" w:cs="Times New Roman"/>
          <w:sz w:val="24"/>
          <w:szCs w:val="24"/>
        </w:rPr>
        <w:t xml:space="preserve"> beneficjenci rzeczywiści zostali zobligowani do dostarczania podmiotom</w:t>
      </w:r>
      <w:r w:rsidR="003E2259" w:rsidRPr="0018524B">
        <w:rPr>
          <w:rFonts w:ascii="Times New Roman" w:hAnsi="Times New Roman" w:cs="Times New Roman"/>
          <w:sz w:val="24"/>
          <w:szCs w:val="24"/>
        </w:rPr>
        <w:t>,</w:t>
      </w:r>
      <w:r w:rsidRPr="0018524B">
        <w:rPr>
          <w:rFonts w:ascii="Times New Roman" w:hAnsi="Times New Roman" w:cs="Times New Roman"/>
          <w:sz w:val="24"/>
          <w:szCs w:val="24"/>
        </w:rPr>
        <w:t xml:space="preserve"> o których mowa w art. 58 pkt 1–5 i 7</w:t>
      </w:r>
      <w:r w:rsidR="00C6045B">
        <w:rPr>
          <w:rFonts w:ascii="Times New Roman" w:hAnsi="Times New Roman" w:cs="Times New Roman"/>
          <w:sz w:val="24"/>
          <w:szCs w:val="24"/>
        </w:rPr>
        <w:t>–</w:t>
      </w:r>
      <w:r w:rsidRPr="0018524B">
        <w:rPr>
          <w:rFonts w:ascii="Times New Roman" w:hAnsi="Times New Roman" w:cs="Times New Roman"/>
          <w:sz w:val="24"/>
          <w:szCs w:val="24"/>
        </w:rPr>
        <w:t>13</w:t>
      </w:r>
      <w:r w:rsidR="00A01FDF" w:rsidRPr="0018524B">
        <w:rPr>
          <w:rFonts w:ascii="Times New Roman" w:hAnsi="Times New Roman" w:cs="Times New Roman"/>
          <w:sz w:val="24"/>
          <w:szCs w:val="24"/>
        </w:rPr>
        <w:t>,</w:t>
      </w:r>
      <w:r w:rsidRPr="0018524B">
        <w:rPr>
          <w:rFonts w:ascii="Times New Roman" w:hAnsi="Times New Roman" w:cs="Times New Roman"/>
          <w:sz w:val="24"/>
          <w:szCs w:val="24"/>
        </w:rPr>
        <w:t xml:space="preserve"> oraz osobom, o których mowa w art. 58 pkt 6 ustawy o p.p.p.f.t.</w:t>
      </w:r>
      <w:r w:rsidR="00A01FDF" w:rsidRPr="0018524B">
        <w:rPr>
          <w:rFonts w:ascii="Times New Roman" w:hAnsi="Times New Roman" w:cs="Times New Roman"/>
          <w:sz w:val="24"/>
          <w:szCs w:val="24"/>
        </w:rPr>
        <w:t>,</w:t>
      </w:r>
      <w:r w:rsidRPr="0018524B">
        <w:rPr>
          <w:rFonts w:ascii="Times New Roman" w:hAnsi="Times New Roman" w:cs="Times New Roman"/>
          <w:sz w:val="24"/>
          <w:szCs w:val="24"/>
        </w:rPr>
        <w:t xml:space="preserve"> wszelkich informacji niezbędnych do wypełnienia przez te podmioty obowiązków zgłoszenia informacji do </w:t>
      </w:r>
      <w:r w:rsidR="00A01FDF" w:rsidRPr="0018524B">
        <w:rPr>
          <w:rFonts w:ascii="Times New Roman" w:hAnsi="Times New Roman" w:cs="Times New Roman"/>
          <w:sz w:val="24"/>
          <w:szCs w:val="24"/>
        </w:rPr>
        <w:t>C</w:t>
      </w:r>
      <w:r w:rsidRPr="0018524B">
        <w:rPr>
          <w:rFonts w:ascii="Times New Roman" w:hAnsi="Times New Roman" w:cs="Times New Roman"/>
          <w:sz w:val="24"/>
          <w:szCs w:val="24"/>
        </w:rPr>
        <w:t xml:space="preserve">entralnego </w:t>
      </w:r>
      <w:r w:rsidR="00A01FDF" w:rsidRPr="0018524B">
        <w:rPr>
          <w:rFonts w:ascii="Times New Roman" w:hAnsi="Times New Roman" w:cs="Times New Roman"/>
          <w:sz w:val="24"/>
          <w:szCs w:val="24"/>
        </w:rPr>
        <w:t>R</w:t>
      </w:r>
      <w:r w:rsidRPr="0018524B">
        <w:rPr>
          <w:rFonts w:ascii="Times New Roman" w:hAnsi="Times New Roman" w:cs="Times New Roman"/>
          <w:sz w:val="24"/>
          <w:szCs w:val="24"/>
        </w:rPr>
        <w:t xml:space="preserve">ejestru </w:t>
      </w:r>
      <w:r w:rsidR="00A01FDF" w:rsidRPr="0018524B">
        <w:rPr>
          <w:rFonts w:ascii="Times New Roman" w:hAnsi="Times New Roman" w:cs="Times New Roman"/>
          <w:sz w:val="24"/>
          <w:szCs w:val="24"/>
        </w:rPr>
        <w:t>B</w:t>
      </w:r>
      <w:r w:rsidRPr="0018524B">
        <w:rPr>
          <w:rFonts w:ascii="Times New Roman" w:hAnsi="Times New Roman" w:cs="Times New Roman"/>
          <w:sz w:val="24"/>
          <w:szCs w:val="24"/>
        </w:rPr>
        <w:t xml:space="preserve">eneficjentów </w:t>
      </w:r>
      <w:r w:rsidR="00A01FDF" w:rsidRPr="0018524B">
        <w:rPr>
          <w:rFonts w:ascii="Times New Roman" w:hAnsi="Times New Roman" w:cs="Times New Roman"/>
          <w:sz w:val="24"/>
          <w:szCs w:val="24"/>
        </w:rPr>
        <w:t>R</w:t>
      </w:r>
      <w:r w:rsidRPr="0018524B">
        <w:rPr>
          <w:rFonts w:ascii="Times New Roman" w:hAnsi="Times New Roman" w:cs="Times New Roman"/>
          <w:sz w:val="24"/>
          <w:szCs w:val="24"/>
        </w:rPr>
        <w:t xml:space="preserve">zeczywistych. Tym samym poprzez zapisy art. 60a ustawy o p.p.p.f.t., podmioty korporacyjne i inne podmioty prawne, wskazane w art. 30 ust. 1 oraz powiernicy trustów wskazani w art. 31 ust. 1 dyrektywy 2015/849 w brzmieniu nadanym przez dyrektywę 2018/843, uzyskają </w:t>
      </w:r>
      <w:r w:rsidR="00434814" w:rsidRPr="0018524B">
        <w:rPr>
          <w:rFonts w:ascii="Times New Roman" w:hAnsi="Times New Roman" w:cs="Times New Roman"/>
          <w:sz w:val="24"/>
          <w:szCs w:val="24"/>
        </w:rPr>
        <w:t xml:space="preserve">uprawnienie do żądania od beneficjentów rzeczywistych informacji niezbędnych do spełnienia przez te podmioty obowiązków rejestracyjnych. </w:t>
      </w:r>
      <w:r w:rsidR="0078738D" w:rsidRPr="0018524B">
        <w:rPr>
          <w:rFonts w:ascii="Times New Roman" w:hAnsi="Times New Roman" w:cs="Times New Roman"/>
          <w:sz w:val="24"/>
          <w:szCs w:val="24"/>
        </w:rPr>
        <w:t xml:space="preserve">Przepis ten ma za zadanie ułatwienie uzyskiwania przez podmioty zobowiązane do zgłoszenia informacji do Centralnego Rejestru Beneficjentów Rzeczywistych, wszelkich niezbędnych do wykonania obowiązku danych. </w:t>
      </w:r>
      <w:r w:rsidR="002C11FA" w:rsidRPr="0018524B">
        <w:rPr>
          <w:rFonts w:ascii="Times New Roman" w:hAnsi="Times New Roman" w:cs="Times New Roman"/>
          <w:sz w:val="24"/>
          <w:szCs w:val="24"/>
        </w:rPr>
        <w:t xml:space="preserve">Obowiązek wyrażony w art. 60a ustawy o p.p.p.f.t. co do zasady był już przez beneficjentów rzeczywistych realizowany, mimo braku wyraźnego zobowiązania ustawowego. </w:t>
      </w:r>
      <w:r w:rsidR="0057042C" w:rsidRPr="0018524B">
        <w:rPr>
          <w:rFonts w:ascii="Times New Roman" w:hAnsi="Times New Roman" w:cs="Times New Roman"/>
          <w:sz w:val="24"/>
          <w:szCs w:val="24"/>
        </w:rPr>
        <w:t>Termin do wprowadzenia danych do</w:t>
      </w:r>
      <w:r w:rsidR="002C11FA" w:rsidRPr="0018524B">
        <w:rPr>
          <w:rFonts w:ascii="Times New Roman" w:hAnsi="Times New Roman" w:cs="Times New Roman"/>
          <w:sz w:val="24"/>
          <w:szCs w:val="24"/>
        </w:rPr>
        <w:t xml:space="preserve"> Centraln</w:t>
      </w:r>
      <w:r w:rsidR="0057042C" w:rsidRPr="0018524B">
        <w:rPr>
          <w:rFonts w:ascii="Times New Roman" w:hAnsi="Times New Roman" w:cs="Times New Roman"/>
          <w:sz w:val="24"/>
          <w:szCs w:val="24"/>
        </w:rPr>
        <w:t>ego</w:t>
      </w:r>
      <w:r w:rsidR="002C11FA" w:rsidRPr="0018524B">
        <w:rPr>
          <w:rFonts w:ascii="Times New Roman" w:hAnsi="Times New Roman" w:cs="Times New Roman"/>
          <w:sz w:val="24"/>
          <w:szCs w:val="24"/>
        </w:rPr>
        <w:t xml:space="preserve"> Rejestr</w:t>
      </w:r>
      <w:r w:rsidR="0057042C" w:rsidRPr="0018524B">
        <w:rPr>
          <w:rFonts w:ascii="Times New Roman" w:hAnsi="Times New Roman" w:cs="Times New Roman"/>
          <w:sz w:val="24"/>
          <w:szCs w:val="24"/>
        </w:rPr>
        <w:t>u</w:t>
      </w:r>
      <w:r w:rsidR="002C11FA" w:rsidRPr="0018524B">
        <w:rPr>
          <w:rFonts w:ascii="Times New Roman" w:hAnsi="Times New Roman" w:cs="Times New Roman"/>
          <w:sz w:val="24"/>
          <w:szCs w:val="24"/>
        </w:rPr>
        <w:t xml:space="preserve"> Beneficjentów Rzeczywistych</w:t>
      </w:r>
      <w:r w:rsidR="0057042C" w:rsidRPr="0018524B">
        <w:rPr>
          <w:rFonts w:ascii="Times New Roman" w:hAnsi="Times New Roman" w:cs="Times New Roman"/>
          <w:sz w:val="24"/>
          <w:szCs w:val="24"/>
        </w:rPr>
        <w:t xml:space="preserve"> zgodnie z art. 60 ust. 1 oraz 1a wynosi co do zasady 7 dni</w:t>
      </w:r>
      <w:r w:rsidR="002C11FA" w:rsidRPr="0018524B">
        <w:rPr>
          <w:rFonts w:ascii="Times New Roman" w:hAnsi="Times New Roman" w:cs="Times New Roman"/>
          <w:sz w:val="24"/>
          <w:szCs w:val="24"/>
        </w:rPr>
        <w:t xml:space="preserve">. </w:t>
      </w:r>
      <w:r w:rsidR="0057042C" w:rsidRPr="0018524B">
        <w:rPr>
          <w:rFonts w:ascii="Times New Roman" w:hAnsi="Times New Roman" w:cs="Times New Roman"/>
          <w:sz w:val="24"/>
          <w:szCs w:val="24"/>
        </w:rPr>
        <w:t xml:space="preserve">Od dnia wejścia w życie art. 60a ustawy o p.p.p.f.t. beneficjenci rzeczywiści będą zobligowani do przekazywania stosownych informacji w sposób umożliwiający dochowanie przez podmioty o których mowa w art. 58 terminów wskazanych w art. 60 ustawy o p.p.p.f.t. </w:t>
      </w:r>
      <w:r w:rsidR="002C11FA" w:rsidRPr="0018524B">
        <w:rPr>
          <w:rFonts w:ascii="Times New Roman" w:hAnsi="Times New Roman" w:cs="Times New Roman"/>
          <w:sz w:val="24"/>
          <w:szCs w:val="24"/>
        </w:rPr>
        <w:t>Co za tym idzie, wprowadzanie przepisów przejściowych dla beneficjentów rzeczywistych w związku z wprowadzeniem art. 60a ustawy o p.p.p.f.t. nie jest konieczne.</w:t>
      </w:r>
    </w:p>
    <w:p w14:paraId="5FEAA03F" w14:textId="6C2CE226" w:rsidR="003E2259" w:rsidRPr="0018524B" w:rsidRDefault="00434814" w:rsidP="00C81472">
      <w:pPr>
        <w:spacing w:line="400" w:lineRule="atLeast"/>
        <w:jc w:val="both"/>
        <w:rPr>
          <w:rFonts w:ascii="Times New Roman" w:hAnsi="Times New Roman" w:cs="Times New Roman"/>
          <w:b/>
          <w:sz w:val="24"/>
          <w:szCs w:val="24"/>
        </w:rPr>
      </w:pPr>
      <w:r w:rsidRPr="0018524B">
        <w:rPr>
          <w:rFonts w:ascii="Times New Roman" w:hAnsi="Times New Roman" w:cs="Times New Roman"/>
          <w:sz w:val="24"/>
          <w:szCs w:val="24"/>
        </w:rPr>
        <w:t xml:space="preserve">Zmiana redakcji </w:t>
      </w:r>
      <w:r w:rsidRPr="0018524B">
        <w:rPr>
          <w:rFonts w:ascii="Times New Roman" w:hAnsi="Times New Roman" w:cs="Times New Roman"/>
          <w:b/>
          <w:sz w:val="24"/>
          <w:szCs w:val="24"/>
        </w:rPr>
        <w:t>art. 61 ust. 1 ustawy o p.p.p.f.t.</w:t>
      </w:r>
      <w:r w:rsidRPr="0018524B">
        <w:rPr>
          <w:rFonts w:ascii="Times New Roman" w:hAnsi="Times New Roman" w:cs="Times New Roman"/>
          <w:sz w:val="24"/>
          <w:szCs w:val="24"/>
        </w:rPr>
        <w:t xml:space="preserve"> ma na celu precyzyjne określenie kategorii osób zobowiązanych do dokonania zgłoszenia informacji do Centralnego Rejestru Beneficjentów Rzeczywistych. W dodanym do art.</w:t>
      </w:r>
      <w:r w:rsidRPr="0018524B" w:rsidDel="002C6BBB">
        <w:rPr>
          <w:rFonts w:ascii="Times New Roman" w:hAnsi="Times New Roman" w:cs="Times New Roman"/>
          <w:sz w:val="24"/>
          <w:szCs w:val="24"/>
        </w:rPr>
        <w:t xml:space="preserve"> </w:t>
      </w:r>
      <w:r w:rsidRPr="0018524B">
        <w:rPr>
          <w:rFonts w:ascii="Times New Roman" w:hAnsi="Times New Roman" w:cs="Times New Roman"/>
          <w:sz w:val="24"/>
          <w:szCs w:val="24"/>
        </w:rPr>
        <w:t>61 ustawy o p.p.p.f.t. ust</w:t>
      </w:r>
      <w:r w:rsidR="00664BDD">
        <w:rPr>
          <w:rFonts w:ascii="Times New Roman" w:hAnsi="Times New Roman" w:cs="Times New Roman"/>
          <w:sz w:val="24"/>
          <w:szCs w:val="24"/>
        </w:rPr>
        <w:t>.</w:t>
      </w:r>
      <w:r w:rsidRPr="0018524B">
        <w:rPr>
          <w:rFonts w:ascii="Times New Roman" w:hAnsi="Times New Roman" w:cs="Times New Roman"/>
          <w:sz w:val="24"/>
          <w:szCs w:val="24"/>
        </w:rPr>
        <w:t xml:space="preserve"> 1a określono zakres danych identyfikacyjnych, które osoba dokonująca zgłoszenia do rejestru obowiązana jest podać. </w:t>
      </w:r>
      <w:r w:rsidR="007F63A1">
        <w:rPr>
          <w:rFonts w:ascii="Times New Roman" w:hAnsi="Times New Roman" w:cs="Times New Roman"/>
          <w:sz w:val="24"/>
          <w:szCs w:val="24"/>
        </w:rPr>
        <w:t>Projektowana regulacja nie wpłynie na zakres przepisu upoważniającego, o którym mowa w art. 62 ustawy, gdyż dotyczy on sposobu i trybu składania zgłoszenia do</w:t>
      </w:r>
      <w:r w:rsidR="007F63A1" w:rsidRPr="0018524B">
        <w:rPr>
          <w:rFonts w:ascii="Times New Roman" w:hAnsi="Times New Roman" w:cs="Times New Roman"/>
          <w:sz w:val="24"/>
          <w:szCs w:val="24"/>
        </w:rPr>
        <w:t xml:space="preserve"> Centralnego Rejestru Beneficjentów Rzeczywistych</w:t>
      </w:r>
      <w:r w:rsidR="007F63A1">
        <w:rPr>
          <w:rFonts w:ascii="Times New Roman" w:hAnsi="Times New Roman" w:cs="Times New Roman"/>
          <w:sz w:val="24"/>
          <w:szCs w:val="24"/>
        </w:rPr>
        <w:t xml:space="preserve">. Tym samym nie dojdzie do pośredniego uchylenia obowiązującego rozporządzenia </w:t>
      </w:r>
      <w:r w:rsidR="007F63A1" w:rsidRPr="00732412">
        <w:rPr>
          <w:rFonts w:ascii="Times New Roman" w:hAnsi="Times New Roman" w:cs="Times New Roman"/>
          <w:sz w:val="24"/>
          <w:szCs w:val="24"/>
        </w:rPr>
        <w:t>Ministra Finansów z dnia 16 maja 2018</w:t>
      </w:r>
      <w:r w:rsidR="007F63A1">
        <w:rPr>
          <w:rFonts w:ascii="Times New Roman" w:hAnsi="Times New Roman" w:cs="Times New Roman"/>
          <w:sz w:val="24"/>
          <w:szCs w:val="24"/>
        </w:rPr>
        <w:t> </w:t>
      </w:r>
      <w:r w:rsidR="007F63A1" w:rsidRPr="00732412">
        <w:rPr>
          <w:rFonts w:ascii="Times New Roman" w:hAnsi="Times New Roman" w:cs="Times New Roman"/>
          <w:sz w:val="24"/>
          <w:szCs w:val="24"/>
        </w:rPr>
        <w:t>r. w sprawie zgłaszania informacji o beneficjentach rzeczywistych</w:t>
      </w:r>
      <w:r w:rsidR="007F63A1">
        <w:rPr>
          <w:rFonts w:ascii="Times New Roman" w:hAnsi="Times New Roman" w:cs="Times New Roman"/>
          <w:sz w:val="24"/>
          <w:szCs w:val="24"/>
        </w:rPr>
        <w:t xml:space="preserve"> (Dz.U. poz. 968). Z uwagi na fakt, że</w:t>
      </w:r>
      <w:r w:rsidR="007F63A1" w:rsidRPr="00C05D8B">
        <w:rPr>
          <w:rFonts w:ascii="Times New Roman" w:hAnsi="Times New Roman" w:cs="Times New Roman"/>
          <w:sz w:val="24"/>
          <w:szCs w:val="24"/>
        </w:rPr>
        <w:t xml:space="preserve"> wprowadzanie </w:t>
      </w:r>
      <w:r w:rsidR="007F63A1">
        <w:rPr>
          <w:rFonts w:ascii="Times New Roman" w:hAnsi="Times New Roman" w:cs="Times New Roman"/>
          <w:sz w:val="24"/>
          <w:szCs w:val="24"/>
        </w:rPr>
        <w:t xml:space="preserve">danych do </w:t>
      </w:r>
      <w:r w:rsidR="007F63A1" w:rsidRPr="0018524B">
        <w:rPr>
          <w:rFonts w:ascii="Times New Roman" w:hAnsi="Times New Roman" w:cs="Times New Roman"/>
          <w:sz w:val="24"/>
          <w:szCs w:val="24"/>
        </w:rPr>
        <w:t>Centralnego Rejestru Beneficjentów Rzeczywistych</w:t>
      </w:r>
      <w:r w:rsidR="007F63A1" w:rsidRPr="00C05D8B">
        <w:rPr>
          <w:rFonts w:ascii="Times New Roman" w:hAnsi="Times New Roman" w:cs="Times New Roman"/>
          <w:sz w:val="24"/>
          <w:szCs w:val="24"/>
        </w:rPr>
        <w:t xml:space="preserve"> </w:t>
      </w:r>
      <w:r w:rsidR="007F63A1">
        <w:rPr>
          <w:rFonts w:ascii="Times New Roman" w:hAnsi="Times New Roman" w:cs="Times New Roman"/>
          <w:sz w:val="24"/>
          <w:szCs w:val="24"/>
        </w:rPr>
        <w:t>następuje</w:t>
      </w:r>
      <w:r w:rsidR="007F63A1" w:rsidRPr="00C05D8B">
        <w:rPr>
          <w:rFonts w:ascii="Times New Roman" w:hAnsi="Times New Roman" w:cs="Times New Roman"/>
          <w:sz w:val="24"/>
          <w:szCs w:val="24"/>
        </w:rPr>
        <w:t xml:space="preserve"> </w:t>
      </w:r>
      <w:r w:rsidR="007F63A1" w:rsidRPr="00C05D8B">
        <w:rPr>
          <w:rFonts w:ascii="Times New Roman" w:hAnsi="Times New Roman" w:cs="Times New Roman"/>
          <w:sz w:val="24"/>
          <w:szCs w:val="24"/>
        </w:rPr>
        <w:lastRenderedPageBreak/>
        <w:t>automatyczn</w:t>
      </w:r>
      <w:r w:rsidR="00DB7E81">
        <w:rPr>
          <w:rFonts w:ascii="Times New Roman" w:hAnsi="Times New Roman" w:cs="Times New Roman"/>
          <w:sz w:val="24"/>
          <w:szCs w:val="24"/>
        </w:rPr>
        <w:t>i</w:t>
      </w:r>
      <w:r w:rsidR="007F63A1" w:rsidRPr="00C05D8B">
        <w:rPr>
          <w:rFonts w:ascii="Times New Roman" w:hAnsi="Times New Roman" w:cs="Times New Roman"/>
          <w:sz w:val="24"/>
          <w:szCs w:val="24"/>
        </w:rPr>
        <w:t>e</w:t>
      </w:r>
      <w:r w:rsidR="007F63A1">
        <w:rPr>
          <w:rFonts w:ascii="Times New Roman" w:hAnsi="Times New Roman" w:cs="Times New Roman"/>
          <w:sz w:val="24"/>
          <w:szCs w:val="24"/>
        </w:rPr>
        <w:t xml:space="preserve"> </w:t>
      </w:r>
      <w:r w:rsidR="00DB7E81">
        <w:rPr>
          <w:rFonts w:ascii="Times New Roman" w:hAnsi="Times New Roman" w:cs="Times New Roman"/>
          <w:sz w:val="24"/>
          <w:szCs w:val="24"/>
        </w:rPr>
        <w:t>(wraz z przekazaniem zgłoszenia),</w:t>
      </w:r>
      <w:r w:rsidR="007F63A1">
        <w:rPr>
          <w:rFonts w:ascii="Times New Roman" w:hAnsi="Times New Roman" w:cs="Times New Roman"/>
          <w:sz w:val="24"/>
          <w:szCs w:val="24"/>
        </w:rPr>
        <w:t xml:space="preserve"> </w:t>
      </w:r>
      <w:r w:rsidR="00DB7E81">
        <w:rPr>
          <w:rFonts w:ascii="Times New Roman" w:hAnsi="Times New Roman" w:cs="Times New Roman"/>
          <w:sz w:val="24"/>
          <w:szCs w:val="24"/>
        </w:rPr>
        <w:t>nie zachodzi potrzeba</w:t>
      </w:r>
      <w:r w:rsidR="007F63A1">
        <w:rPr>
          <w:rFonts w:ascii="Times New Roman" w:hAnsi="Times New Roman" w:cs="Times New Roman"/>
          <w:sz w:val="24"/>
          <w:szCs w:val="24"/>
        </w:rPr>
        <w:t xml:space="preserve"> wprowadzenia przepisów przejściowych.</w:t>
      </w:r>
    </w:p>
    <w:p w14:paraId="29A08737" w14:textId="7AE7DABF" w:rsidR="00C34D49" w:rsidRPr="0018524B" w:rsidRDefault="00434814" w:rsidP="00C81472">
      <w:pPr>
        <w:spacing w:line="400" w:lineRule="atLeast"/>
        <w:jc w:val="both"/>
        <w:rPr>
          <w:rFonts w:ascii="Times New Roman" w:hAnsi="Times New Roman" w:cs="Times New Roman"/>
          <w:sz w:val="24"/>
          <w:szCs w:val="24"/>
        </w:rPr>
      </w:pPr>
      <w:r w:rsidRPr="0018524B">
        <w:rPr>
          <w:rFonts w:ascii="Times New Roman" w:hAnsi="Times New Roman" w:cs="Times New Roman"/>
          <w:b/>
          <w:sz w:val="24"/>
          <w:szCs w:val="24"/>
        </w:rPr>
        <w:t>Art. 61a ustawy o p.p.p.f.t.</w:t>
      </w:r>
      <w:r w:rsidRPr="0018524B">
        <w:rPr>
          <w:rFonts w:ascii="Times New Roman" w:hAnsi="Times New Roman" w:cs="Times New Roman"/>
          <w:sz w:val="24"/>
          <w:szCs w:val="24"/>
        </w:rPr>
        <w:t xml:space="preserve"> wprowadza mechanizm weryfikacji prawidłowości i prawdziwości informacji znajdujących się w Centralnym Rejestrze Beneficjentów Rzeczywistych. Art. 61a ust. 1 ustawy o p.p.p.f.t. nakłada na instytucje obowiązane obowiązek odnotowywania wszelkich rozbieżności pomiędzy stanem faktycznym dotyczącym klienta, ustalonym przez tą instytucję obowiązaną, a danymi dostępnymi w centralnym rejestrze beneficjentów rzeczywistych. Jednocześnie instytucja obowiązana będzie musiała podjąć odpowiednie czynności w celu wyjaśnienia ustalonych rozbieżności, a w przypadku potwierdzenia rozbieżności, przekazać organowi właściwemu w sprawie rejestru informacje o stwierdzonych rozbieżnościach, wraz z uzasadnieniem (art. 61a ust. 2 ustawy o p.p.p.f.t.). Wprowadzane przepisy mają na celu zapewnienie po stronie instytucji obowiązanych minimalnego poziomu zaangażowania w wyjaśnienie ustalonych rozbieżności, co ma za zadanie odseparowanie przypadków rozbieżności faktycznych, wynikających z występowania w centralnym rejestrze beneficjentów rzeczywistych danych nieprawidłowych, od rozbieżności pozornych. Rozbieżność pozorna wystąpić może na przykład w sytuacji dokonania prawidłowego wpisu do centralnego rejestru beneficjentów rzeczywistych, wskazującego na zmianę właściciela osoby prawnej, w sytuacji gdy zmiana taka nie została jeszcze odnotowana w Krajowym Rejestrze Sądowym. Zgłaszanie przez instytucje obowiązane rozbieżności pozornych byłoby niepożądane, ponieważ mogłoby istotnie wpłynąć na wydłużenie czasu rozpatrywania zgłoszeń dotyczących faktycznych rozbieżności w centralnym rejestrze beneficjentów rzeczywistych. Ustalenie sposobu odnotowywania rozbieżności, o którym mowa w art. 61a ust. 1 ustawy o p.p.p.f.t. powinno nastąpić w procedurze wewnętrznej instytucji obowiązanej, co znalazło odzwierciedlenie w brzmieniu art. 50 ust. 2 pkt 10 ustawy o p.p.p.f.t.</w:t>
      </w:r>
      <w:r w:rsidR="0057042C" w:rsidRPr="0018524B">
        <w:rPr>
          <w:rFonts w:ascii="Times New Roman" w:hAnsi="Times New Roman" w:cs="Times New Roman"/>
          <w:sz w:val="24"/>
          <w:szCs w:val="24"/>
        </w:rPr>
        <w:t xml:space="preserve"> </w:t>
      </w:r>
      <w:r w:rsidRPr="0018524B">
        <w:rPr>
          <w:rFonts w:ascii="Times New Roman" w:hAnsi="Times New Roman" w:cs="Times New Roman"/>
          <w:sz w:val="24"/>
          <w:szCs w:val="24"/>
        </w:rPr>
        <w:t>Przepis implementuje art. 30 ust. 4 dyrektywy 2015/849 w zakresie nałożenia na podmioty zobowiązane obowiązku informowania o rozbieżnościach. Uprawnienie do przekazywania informacji o odnotowanych rozbieżnościach pomiędzy informacjami znajdującymi się w Centralnym Rejestrze Beneficjentów Rzeczywistych, a posiadanymi informacjami przyznane zostało również jednostkom współpracującym (art. 61a ust. 3 ustawy o p.p.p.f.t.). Do przekazania informacji przez jednostkę współpracującą odpowiednie zastosowanie znajdzie art. 61a ust. 2 ustawy o p.p.p.f.t., a więc także w przypadku przekazywania informacji przez jednostkę współpracującą konieczne będzie załączeni</w:t>
      </w:r>
      <w:r w:rsidR="00DE4715" w:rsidRPr="0018524B">
        <w:rPr>
          <w:rFonts w:ascii="Times New Roman" w:hAnsi="Times New Roman" w:cs="Times New Roman"/>
          <w:sz w:val="24"/>
          <w:szCs w:val="24"/>
        </w:rPr>
        <w:t>e</w:t>
      </w:r>
      <w:r w:rsidRPr="0018524B">
        <w:rPr>
          <w:rFonts w:ascii="Times New Roman" w:hAnsi="Times New Roman" w:cs="Times New Roman"/>
          <w:sz w:val="24"/>
          <w:szCs w:val="24"/>
        </w:rPr>
        <w:t xml:space="preserve"> uzasadnienia oraz odpowiedniej dokumentacji. W celu usprawnienia procesu przekazywania informacji przewidziano możliwość wykorzystania w tym celu infrastruktury systemu teleinformatycznego, o którym mowa w art. 55 ustawy o </w:t>
      </w:r>
      <w:r w:rsidRPr="0018524B">
        <w:rPr>
          <w:rFonts w:ascii="Times New Roman" w:hAnsi="Times New Roman" w:cs="Times New Roman"/>
          <w:sz w:val="24"/>
          <w:szCs w:val="24"/>
        </w:rPr>
        <w:lastRenderedPageBreak/>
        <w:t>p.p.p.f.t. (art. 61a ust. 4 ustawy o p.p.p.f.t.).</w:t>
      </w:r>
      <w:r w:rsidR="00C6045B">
        <w:rPr>
          <w:rFonts w:ascii="Times New Roman" w:hAnsi="Times New Roman" w:cs="Times New Roman"/>
          <w:sz w:val="24"/>
          <w:szCs w:val="24"/>
        </w:rPr>
        <w:t xml:space="preserve"> </w:t>
      </w:r>
      <w:r w:rsidRPr="0018524B">
        <w:rPr>
          <w:rFonts w:ascii="Times New Roman" w:hAnsi="Times New Roman" w:cs="Times New Roman"/>
          <w:sz w:val="24"/>
          <w:szCs w:val="24"/>
        </w:rPr>
        <w:t xml:space="preserve">Organ właściwy w sprawach rejestru, zgodnie z art. 61a ust. 5 ustawy o p.p.p.f.t., podejmie czynności zmierzające do wyjaśnienia rozbieżności zgłoszonych na podstawie art. 61a ust. </w:t>
      </w:r>
      <w:r w:rsidR="00DE4715" w:rsidRPr="0018524B">
        <w:rPr>
          <w:rFonts w:ascii="Times New Roman" w:hAnsi="Times New Roman" w:cs="Times New Roman"/>
          <w:sz w:val="24"/>
          <w:szCs w:val="24"/>
        </w:rPr>
        <w:t>2</w:t>
      </w:r>
      <w:r w:rsidR="00C6045B">
        <w:rPr>
          <w:rFonts w:ascii="Times New Roman" w:hAnsi="Times New Roman" w:cs="Times New Roman"/>
          <w:sz w:val="24"/>
          <w:szCs w:val="24"/>
        </w:rPr>
        <w:t>–</w:t>
      </w:r>
      <w:r w:rsidR="00DE4715" w:rsidRPr="0018524B">
        <w:rPr>
          <w:rFonts w:ascii="Times New Roman" w:hAnsi="Times New Roman" w:cs="Times New Roman"/>
          <w:sz w:val="24"/>
          <w:szCs w:val="24"/>
        </w:rPr>
        <w:t>3</w:t>
      </w:r>
      <w:r w:rsidRPr="0018524B">
        <w:rPr>
          <w:rFonts w:ascii="Times New Roman" w:hAnsi="Times New Roman" w:cs="Times New Roman"/>
          <w:sz w:val="24"/>
          <w:szCs w:val="24"/>
        </w:rPr>
        <w:t xml:space="preserve"> ustawy o p.p.p.f.t., przy czym w ramach przedmiotowych czynności organ może podjąć działania inne niż wymienione w </w:t>
      </w:r>
      <w:r w:rsidR="00727CE6" w:rsidRPr="0018524B">
        <w:rPr>
          <w:rFonts w:ascii="Times New Roman" w:hAnsi="Times New Roman" w:cs="Times New Roman"/>
          <w:sz w:val="24"/>
          <w:szCs w:val="24"/>
        </w:rPr>
        <w:t xml:space="preserve">art. 61b </w:t>
      </w:r>
      <w:r w:rsidRPr="0018524B">
        <w:rPr>
          <w:rFonts w:ascii="Times New Roman" w:hAnsi="Times New Roman" w:cs="Times New Roman"/>
          <w:sz w:val="24"/>
          <w:szCs w:val="24"/>
        </w:rPr>
        <w:t>ust.</w:t>
      </w:r>
      <w:r w:rsidR="00727CE6" w:rsidRPr="0018524B">
        <w:rPr>
          <w:rFonts w:ascii="Times New Roman" w:hAnsi="Times New Roman" w:cs="Times New Roman"/>
          <w:sz w:val="24"/>
          <w:szCs w:val="24"/>
        </w:rPr>
        <w:t> 1</w:t>
      </w:r>
      <w:r w:rsidRPr="0018524B">
        <w:rPr>
          <w:rFonts w:ascii="Times New Roman" w:hAnsi="Times New Roman" w:cs="Times New Roman"/>
          <w:sz w:val="24"/>
          <w:szCs w:val="24"/>
        </w:rPr>
        <w:t xml:space="preserve">. </w:t>
      </w:r>
      <w:r w:rsidR="003A1D93" w:rsidRPr="0018524B">
        <w:rPr>
          <w:rFonts w:ascii="Times New Roman" w:hAnsi="Times New Roman" w:cs="Times New Roman"/>
          <w:sz w:val="24"/>
          <w:szCs w:val="24"/>
        </w:rPr>
        <w:t>Zgodnie z art. 61b ust. 1</w:t>
      </w:r>
      <w:r w:rsidRPr="0018524B">
        <w:rPr>
          <w:rFonts w:ascii="Times New Roman" w:hAnsi="Times New Roman" w:cs="Times New Roman"/>
          <w:sz w:val="24"/>
          <w:szCs w:val="24"/>
        </w:rPr>
        <w:t xml:space="preserve"> organ właściwy w sprawach rejestru </w:t>
      </w:r>
      <w:r w:rsidR="003A1D93" w:rsidRPr="0018524B">
        <w:rPr>
          <w:rFonts w:ascii="Times New Roman" w:hAnsi="Times New Roman" w:cs="Times New Roman"/>
          <w:sz w:val="24"/>
          <w:szCs w:val="24"/>
        </w:rPr>
        <w:t>będzie mógł</w:t>
      </w:r>
      <w:r w:rsidR="00727CE6" w:rsidRPr="0018524B">
        <w:rPr>
          <w:rFonts w:ascii="Times New Roman" w:hAnsi="Times New Roman" w:cs="Times New Roman"/>
          <w:sz w:val="24"/>
          <w:szCs w:val="24"/>
        </w:rPr>
        <w:t xml:space="preserve"> </w:t>
      </w:r>
      <w:r w:rsidRPr="0018524B">
        <w:rPr>
          <w:rFonts w:ascii="Times New Roman" w:hAnsi="Times New Roman" w:cs="Times New Roman"/>
          <w:sz w:val="24"/>
          <w:szCs w:val="24"/>
        </w:rPr>
        <w:t>wszcz</w:t>
      </w:r>
      <w:r w:rsidR="00727CE6" w:rsidRPr="0018524B">
        <w:rPr>
          <w:rFonts w:ascii="Times New Roman" w:hAnsi="Times New Roman" w:cs="Times New Roman"/>
          <w:sz w:val="24"/>
          <w:szCs w:val="24"/>
        </w:rPr>
        <w:t>ąć</w:t>
      </w:r>
      <w:r w:rsidRPr="0018524B">
        <w:rPr>
          <w:rFonts w:ascii="Times New Roman" w:hAnsi="Times New Roman" w:cs="Times New Roman"/>
          <w:sz w:val="24"/>
          <w:szCs w:val="24"/>
        </w:rPr>
        <w:t xml:space="preserve"> postępowanie, </w:t>
      </w:r>
      <w:r w:rsidR="00727CE6" w:rsidRPr="0018524B">
        <w:rPr>
          <w:rFonts w:ascii="Times New Roman" w:hAnsi="Times New Roman" w:cs="Times New Roman"/>
          <w:sz w:val="24"/>
          <w:szCs w:val="24"/>
        </w:rPr>
        <w:t>w celu zapewnienia, aby informacje zgromadzone w rejestrze były prawidłowe i aktualne.</w:t>
      </w:r>
      <w:r w:rsidRPr="0018524B">
        <w:rPr>
          <w:rFonts w:ascii="Times New Roman" w:hAnsi="Times New Roman" w:cs="Times New Roman"/>
          <w:sz w:val="24"/>
          <w:szCs w:val="24"/>
        </w:rPr>
        <w:t xml:space="preserve"> </w:t>
      </w:r>
      <w:r w:rsidR="00727CE6" w:rsidRPr="0018524B">
        <w:rPr>
          <w:rFonts w:ascii="Times New Roman" w:hAnsi="Times New Roman" w:cs="Times New Roman"/>
          <w:sz w:val="24"/>
          <w:szCs w:val="24"/>
        </w:rPr>
        <w:t>W</w:t>
      </w:r>
      <w:r w:rsidRPr="0018524B">
        <w:rPr>
          <w:rFonts w:ascii="Times New Roman" w:hAnsi="Times New Roman" w:cs="Times New Roman"/>
          <w:sz w:val="24"/>
          <w:szCs w:val="24"/>
        </w:rPr>
        <w:t xml:space="preserve">szczęcie postępowania powinno być poprzedzone </w:t>
      </w:r>
      <w:r w:rsidR="003A1D93" w:rsidRPr="0018524B">
        <w:rPr>
          <w:rFonts w:ascii="Times New Roman" w:hAnsi="Times New Roman" w:cs="Times New Roman"/>
          <w:sz w:val="24"/>
          <w:szCs w:val="24"/>
        </w:rPr>
        <w:t xml:space="preserve">podejmowanymi na podstawie art. 61a ust. 5 ustawy o p.p.p.f.t. </w:t>
      </w:r>
      <w:r w:rsidRPr="0018524B">
        <w:rPr>
          <w:rFonts w:ascii="Times New Roman" w:hAnsi="Times New Roman" w:cs="Times New Roman"/>
          <w:sz w:val="24"/>
          <w:szCs w:val="24"/>
        </w:rPr>
        <w:t xml:space="preserve">czynnościami zmierzającymi do </w:t>
      </w:r>
      <w:r w:rsidR="00727CE6" w:rsidRPr="0018524B">
        <w:rPr>
          <w:rFonts w:ascii="Times New Roman" w:hAnsi="Times New Roman" w:cs="Times New Roman"/>
          <w:sz w:val="24"/>
          <w:szCs w:val="24"/>
        </w:rPr>
        <w:t>wyjaśnienia rozbieżności zgłoszonych na podstawie art. 61</w:t>
      </w:r>
      <w:r w:rsidR="003A1D93" w:rsidRPr="0018524B">
        <w:rPr>
          <w:rFonts w:ascii="Times New Roman" w:hAnsi="Times New Roman" w:cs="Times New Roman"/>
          <w:sz w:val="24"/>
          <w:szCs w:val="24"/>
        </w:rPr>
        <w:t xml:space="preserve">a ust. </w:t>
      </w:r>
      <w:r w:rsidR="00DE4715" w:rsidRPr="0018524B">
        <w:rPr>
          <w:rFonts w:ascii="Times New Roman" w:hAnsi="Times New Roman" w:cs="Times New Roman"/>
          <w:sz w:val="24"/>
          <w:szCs w:val="24"/>
        </w:rPr>
        <w:t>2</w:t>
      </w:r>
      <w:r w:rsidR="00C6045B">
        <w:rPr>
          <w:rFonts w:ascii="Times New Roman" w:hAnsi="Times New Roman" w:cs="Times New Roman"/>
          <w:sz w:val="24"/>
          <w:szCs w:val="24"/>
        </w:rPr>
        <w:t>–</w:t>
      </w:r>
      <w:r w:rsidR="00DE4715" w:rsidRPr="0018524B">
        <w:rPr>
          <w:rFonts w:ascii="Times New Roman" w:hAnsi="Times New Roman" w:cs="Times New Roman"/>
          <w:sz w:val="24"/>
          <w:szCs w:val="24"/>
        </w:rPr>
        <w:t>3</w:t>
      </w:r>
      <w:r w:rsidR="003A1D93" w:rsidRPr="0018524B">
        <w:rPr>
          <w:rFonts w:ascii="Times New Roman" w:hAnsi="Times New Roman" w:cs="Times New Roman"/>
          <w:sz w:val="24"/>
          <w:szCs w:val="24"/>
        </w:rPr>
        <w:t xml:space="preserve"> ustawy o p.p.p.f.t</w:t>
      </w:r>
      <w:r w:rsidRPr="0018524B">
        <w:rPr>
          <w:rFonts w:ascii="Times New Roman" w:hAnsi="Times New Roman" w:cs="Times New Roman"/>
          <w:sz w:val="24"/>
          <w:szCs w:val="24"/>
        </w:rPr>
        <w:t>. Czynności, o których mowa w</w:t>
      </w:r>
      <w:r w:rsidR="003A1D93" w:rsidRPr="0018524B">
        <w:rPr>
          <w:rFonts w:ascii="Times New Roman" w:hAnsi="Times New Roman" w:cs="Times New Roman"/>
          <w:sz w:val="24"/>
          <w:szCs w:val="24"/>
        </w:rPr>
        <w:t xml:space="preserve"> art. 61a</w:t>
      </w:r>
      <w:r w:rsidRPr="0018524B">
        <w:rPr>
          <w:rFonts w:ascii="Times New Roman" w:hAnsi="Times New Roman" w:cs="Times New Roman"/>
          <w:sz w:val="24"/>
          <w:szCs w:val="24"/>
        </w:rPr>
        <w:t xml:space="preserve"> ust. 5, mogą polegać na ustaleniu, czy zgłoszone rozbieżności mają charakter faktyczny czy pozorny (działania analogiczne do podejmowanych przez instytucje obowiązane zgodnie z ust. 2</w:t>
      </w:r>
      <w:r w:rsidR="003A1D93" w:rsidRPr="0018524B">
        <w:rPr>
          <w:rFonts w:ascii="Times New Roman" w:hAnsi="Times New Roman" w:cs="Times New Roman"/>
          <w:sz w:val="24"/>
          <w:szCs w:val="24"/>
        </w:rPr>
        <w:t>)</w:t>
      </w:r>
      <w:r w:rsidRPr="0018524B">
        <w:rPr>
          <w:rFonts w:ascii="Times New Roman" w:hAnsi="Times New Roman" w:cs="Times New Roman"/>
          <w:sz w:val="24"/>
          <w:szCs w:val="24"/>
        </w:rPr>
        <w:t xml:space="preserve">. W przypadku </w:t>
      </w:r>
      <w:r w:rsidR="003A1D93" w:rsidRPr="0018524B">
        <w:rPr>
          <w:rFonts w:ascii="Times New Roman" w:hAnsi="Times New Roman" w:cs="Times New Roman"/>
          <w:sz w:val="24"/>
          <w:szCs w:val="24"/>
        </w:rPr>
        <w:t>braku wyjaśnienia rozbieżności na podstawie podjętych działań,</w:t>
      </w:r>
      <w:r w:rsidRPr="0018524B">
        <w:rPr>
          <w:rFonts w:ascii="Times New Roman" w:hAnsi="Times New Roman" w:cs="Times New Roman"/>
          <w:sz w:val="24"/>
          <w:szCs w:val="24"/>
        </w:rPr>
        <w:t xml:space="preserve"> organ właściwy w sprawach Centralnego Rejestru Beneficjentów Rzeczywistych</w:t>
      </w:r>
      <w:r w:rsidR="003A1D93" w:rsidRPr="0018524B">
        <w:rPr>
          <w:rFonts w:ascii="Times New Roman" w:hAnsi="Times New Roman" w:cs="Times New Roman"/>
          <w:sz w:val="24"/>
          <w:szCs w:val="24"/>
        </w:rPr>
        <w:t xml:space="preserve"> uzyska uprawnienie </w:t>
      </w:r>
      <w:r w:rsidR="001F5953" w:rsidRPr="0018524B">
        <w:rPr>
          <w:rFonts w:ascii="Times New Roman" w:hAnsi="Times New Roman" w:cs="Times New Roman"/>
          <w:sz w:val="24"/>
          <w:szCs w:val="24"/>
        </w:rPr>
        <w:t xml:space="preserve">do </w:t>
      </w:r>
      <w:r w:rsidRPr="0018524B">
        <w:rPr>
          <w:rFonts w:ascii="Times New Roman" w:hAnsi="Times New Roman" w:cs="Times New Roman"/>
          <w:sz w:val="24"/>
          <w:szCs w:val="24"/>
        </w:rPr>
        <w:t>wszczęci</w:t>
      </w:r>
      <w:r w:rsidR="003A1D93" w:rsidRPr="0018524B">
        <w:rPr>
          <w:rFonts w:ascii="Times New Roman" w:hAnsi="Times New Roman" w:cs="Times New Roman"/>
          <w:sz w:val="24"/>
          <w:szCs w:val="24"/>
        </w:rPr>
        <w:t>a</w:t>
      </w:r>
      <w:r w:rsidRPr="0018524B">
        <w:rPr>
          <w:rFonts w:ascii="Times New Roman" w:hAnsi="Times New Roman" w:cs="Times New Roman"/>
          <w:sz w:val="24"/>
          <w:szCs w:val="24"/>
        </w:rPr>
        <w:t xml:space="preserve"> postępowania w sprawie zapewnienia zgodności danych zapisanych w rejestrze ze stanem faktycznym</w:t>
      </w:r>
      <w:r w:rsidR="003A1D93" w:rsidRPr="0018524B">
        <w:rPr>
          <w:rFonts w:ascii="Times New Roman" w:hAnsi="Times New Roman" w:cs="Times New Roman"/>
          <w:sz w:val="24"/>
          <w:szCs w:val="24"/>
        </w:rPr>
        <w:t>, co wynika z art. 61b ust. 1 ustawy o p.p.p.f.t.</w:t>
      </w:r>
      <w:r w:rsidRPr="0018524B">
        <w:rPr>
          <w:rFonts w:ascii="Times New Roman" w:hAnsi="Times New Roman" w:cs="Times New Roman"/>
          <w:sz w:val="24"/>
          <w:szCs w:val="24"/>
        </w:rPr>
        <w:t xml:space="preserve"> </w:t>
      </w:r>
      <w:r w:rsidR="003A1D93" w:rsidRPr="0018524B">
        <w:rPr>
          <w:rFonts w:ascii="Times New Roman" w:hAnsi="Times New Roman" w:cs="Times New Roman"/>
          <w:sz w:val="24"/>
          <w:szCs w:val="24"/>
        </w:rPr>
        <w:t>Zauważyć należy, iż wskazanie w art. 61b ust. 1, iż organ właściwy „</w:t>
      </w:r>
      <w:r w:rsidR="003A1D93" w:rsidRPr="0018524B">
        <w:rPr>
          <w:rFonts w:ascii="Times New Roman" w:hAnsi="Times New Roman" w:cs="Times New Roman"/>
          <w:i/>
          <w:sz w:val="24"/>
          <w:szCs w:val="24"/>
        </w:rPr>
        <w:t>może</w:t>
      </w:r>
      <w:r w:rsidR="003A1D93" w:rsidRPr="0018524B">
        <w:rPr>
          <w:rFonts w:ascii="Times New Roman" w:hAnsi="Times New Roman" w:cs="Times New Roman"/>
          <w:sz w:val="24"/>
          <w:szCs w:val="24"/>
        </w:rPr>
        <w:t>” wszcząć postępowanie, nie oznacza uznaniowości organ</w:t>
      </w:r>
      <w:r w:rsidR="00DE4715" w:rsidRPr="0018524B">
        <w:rPr>
          <w:rFonts w:ascii="Times New Roman" w:hAnsi="Times New Roman" w:cs="Times New Roman"/>
          <w:sz w:val="24"/>
          <w:szCs w:val="24"/>
        </w:rPr>
        <w:t>u</w:t>
      </w:r>
      <w:r w:rsidR="003A1D93" w:rsidRPr="0018524B">
        <w:rPr>
          <w:rFonts w:ascii="Times New Roman" w:hAnsi="Times New Roman" w:cs="Times New Roman"/>
          <w:sz w:val="24"/>
          <w:szCs w:val="24"/>
        </w:rPr>
        <w:t xml:space="preserve"> przy podejmowaniu działań, a oznacza jedynie uprawnienie do działania. Jednocześnie </w:t>
      </w:r>
      <w:r w:rsidR="00DE4715" w:rsidRPr="0018524B">
        <w:rPr>
          <w:rFonts w:ascii="Times New Roman" w:hAnsi="Times New Roman" w:cs="Times New Roman"/>
          <w:sz w:val="24"/>
          <w:szCs w:val="24"/>
        </w:rPr>
        <w:t xml:space="preserve">należy podkreślić, iż </w:t>
      </w:r>
      <w:r w:rsidR="003A1D93" w:rsidRPr="0018524B">
        <w:rPr>
          <w:rFonts w:ascii="Times New Roman" w:hAnsi="Times New Roman" w:cs="Times New Roman"/>
          <w:sz w:val="24"/>
          <w:szCs w:val="24"/>
        </w:rPr>
        <w:t>nie byłoby zasadne posłużenie się w art. 61b ust. 1 zwrotem wskazującym, iż organ właściwy „</w:t>
      </w:r>
      <w:r w:rsidR="003A1D93" w:rsidRPr="0018524B">
        <w:rPr>
          <w:rFonts w:ascii="Times New Roman" w:hAnsi="Times New Roman" w:cs="Times New Roman"/>
          <w:i/>
          <w:sz w:val="24"/>
          <w:szCs w:val="24"/>
        </w:rPr>
        <w:t>wszczyna postępowanie</w:t>
      </w:r>
      <w:r w:rsidR="003A1D93" w:rsidRPr="0018524B">
        <w:rPr>
          <w:rFonts w:ascii="Times New Roman" w:hAnsi="Times New Roman" w:cs="Times New Roman"/>
          <w:sz w:val="24"/>
          <w:szCs w:val="24"/>
        </w:rPr>
        <w:t xml:space="preserve">” w </w:t>
      </w:r>
      <w:r w:rsidR="00DE4715" w:rsidRPr="0018524B">
        <w:rPr>
          <w:rFonts w:ascii="Times New Roman" w:hAnsi="Times New Roman" w:cs="Times New Roman"/>
          <w:sz w:val="24"/>
          <w:szCs w:val="24"/>
        </w:rPr>
        <w:t xml:space="preserve">każdym </w:t>
      </w:r>
      <w:r w:rsidR="003A1D93" w:rsidRPr="0018524B">
        <w:rPr>
          <w:rFonts w:ascii="Times New Roman" w:hAnsi="Times New Roman" w:cs="Times New Roman"/>
          <w:sz w:val="24"/>
          <w:szCs w:val="24"/>
        </w:rPr>
        <w:t xml:space="preserve">przypadku </w:t>
      </w:r>
      <w:r w:rsidR="00DE4715" w:rsidRPr="0018524B">
        <w:rPr>
          <w:rFonts w:ascii="Times New Roman" w:hAnsi="Times New Roman" w:cs="Times New Roman"/>
          <w:sz w:val="24"/>
          <w:szCs w:val="24"/>
        </w:rPr>
        <w:t>wystąpienia podejrzenia co do prawidłowości danych zawartych w rejestrze, ponieważ zapis ten całkowicie pomijałby możliwość wyjaśnienia takiego podejrzenia w ramach czynności</w:t>
      </w:r>
      <w:r w:rsidR="00E454D3" w:rsidRPr="0018524B">
        <w:rPr>
          <w:rFonts w:ascii="Times New Roman" w:hAnsi="Times New Roman" w:cs="Times New Roman"/>
          <w:sz w:val="24"/>
          <w:szCs w:val="24"/>
        </w:rPr>
        <w:t>,</w:t>
      </w:r>
      <w:r w:rsidR="00DE4715" w:rsidRPr="0018524B">
        <w:rPr>
          <w:rFonts w:ascii="Times New Roman" w:hAnsi="Times New Roman" w:cs="Times New Roman"/>
          <w:sz w:val="24"/>
          <w:szCs w:val="24"/>
        </w:rPr>
        <w:t xml:space="preserve"> o których mowa w art. 61a ust. 5</w:t>
      </w:r>
      <w:r w:rsidR="003A1D93" w:rsidRPr="0018524B">
        <w:rPr>
          <w:rFonts w:ascii="Times New Roman" w:hAnsi="Times New Roman" w:cs="Times New Roman"/>
          <w:sz w:val="24"/>
          <w:szCs w:val="24"/>
        </w:rPr>
        <w:t xml:space="preserve"> </w:t>
      </w:r>
      <w:r w:rsidR="00DE4715" w:rsidRPr="0018524B">
        <w:rPr>
          <w:rFonts w:ascii="Times New Roman" w:hAnsi="Times New Roman" w:cs="Times New Roman"/>
          <w:sz w:val="24"/>
          <w:szCs w:val="24"/>
        </w:rPr>
        <w:t>ustawy o p.p.p.f.t.</w:t>
      </w:r>
      <w:r w:rsidR="008D449A" w:rsidRPr="0018524B">
        <w:rPr>
          <w:rFonts w:ascii="Times New Roman" w:hAnsi="Times New Roman" w:cs="Times New Roman"/>
          <w:sz w:val="24"/>
          <w:szCs w:val="24"/>
        </w:rPr>
        <w:t xml:space="preserve"> W związku z powyższym, jako optymalne przyjęto rozwiązanie zakładające, iż organ właściwy „</w:t>
      </w:r>
      <w:r w:rsidR="008D449A" w:rsidRPr="0018524B">
        <w:rPr>
          <w:rFonts w:ascii="Times New Roman" w:hAnsi="Times New Roman" w:cs="Times New Roman"/>
          <w:i/>
          <w:sz w:val="24"/>
          <w:szCs w:val="24"/>
        </w:rPr>
        <w:t>może</w:t>
      </w:r>
      <w:r w:rsidR="008D449A" w:rsidRPr="0018524B">
        <w:rPr>
          <w:rFonts w:ascii="Times New Roman" w:hAnsi="Times New Roman" w:cs="Times New Roman"/>
          <w:sz w:val="24"/>
          <w:szCs w:val="24"/>
        </w:rPr>
        <w:t>” wszcząć postępowanie, mając na uwadze, iż zwrot ten wskazuje na uprawnienie organu do wszczęcia postępowania, gdy działania podejmowane na podstawie art. 61a ust. 5 ustawy o p.p.p.f.t. nie pozwoliły wyjaśnić wątpliwości w zakresie prawidłowości wpisu.</w:t>
      </w:r>
      <w:r w:rsidR="00DE4715" w:rsidRPr="0018524B">
        <w:rPr>
          <w:rFonts w:ascii="Times New Roman" w:hAnsi="Times New Roman" w:cs="Times New Roman"/>
          <w:sz w:val="24"/>
          <w:szCs w:val="24"/>
        </w:rPr>
        <w:t xml:space="preserve"> </w:t>
      </w:r>
      <w:r w:rsidR="008D449A" w:rsidRPr="0018524B">
        <w:rPr>
          <w:rFonts w:ascii="Times New Roman" w:hAnsi="Times New Roman" w:cs="Times New Roman"/>
          <w:sz w:val="24"/>
          <w:szCs w:val="24"/>
        </w:rPr>
        <w:t>Zgodnie z art. 61b ust. 1, o</w:t>
      </w:r>
      <w:r w:rsidRPr="0018524B">
        <w:rPr>
          <w:rFonts w:ascii="Times New Roman" w:hAnsi="Times New Roman" w:cs="Times New Roman"/>
          <w:sz w:val="24"/>
          <w:szCs w:val="24"/>
        </w:rPr>
        <w:t>dpowiednia informacja na temat</w:t>
      </w:r>
      <w:r w:rsidR="003A1D93" w:rsidRPr="0018524B">
        <w:rPr>
          <w:rFonts w:ascii="Times New Roman" w:hAnsi="Times New Roman" w:cs="Times New Roman"/>
          <w:sz w:val="24"/>
          <w:szCs w:val="24"/>
        </w:rPr>
        <w:t xml:space="preserve"> wszczęcia oraz zakończenia postępowania</w:t>
      </w:r>
      <w:r w:rsidRPr="0018524B">
        <w:rPr>
          <w:rFonts w:ascii="Times New Roman" w:hAnsi="Times New Roman" w:cs="Times New Roman"/>
          <w:sz w:val="24"/>
          <w:szCs w:val="24"/>
        </w:rPr>
        <w:t xml:space="preserve"> </w:t>
      </w:r>
      <w:r w:rsidR="003A1D93" w:rsidRPr="0018524B">
        <w:rPr>
          <w:rFonts w:ascii="Times New Roman" w:hAnsi="Times New Roman" w:cs="Times New Roman"/>
          <w:sz w:val="24"/>
          <w:szCs w:val="24"/>
        </w:rPr>
        <w:t xml:space="preserve">zostanie </w:t>
      </w:r>
      <w:r w:rsidRPr="0018524B">
        <w:rPr>
          <w:rFonts w:ascii="Times New Roman" w:hAnsi="Times New Roman" w:cs="Times New Roman"/>
          <w:sz w:val="24"/>
          <w:szCs w:val="24"/>
        </w:rPr>
        <w:t>zamieszczona w rejestrze</w:t>
      </w:r>
      <w:r w:rsidR="003A1D93" w:rsidRPr="0018524B">
        <w:rPr>
          <w:rFonts w:ascii="Times New Roman" w:hAnsi="Times New Roman" w:cs="Times New Roman"/>
          <w:sz w:val="24"/>
          <w:szCs w:val="24"/>
        </w:rPr>
        <w:t>.</w:t>
      </w:r>
      <w:r w:rsidRPr="0018524B">
        <w:rPr>
          <w:rFonts w:ascii="Times New Roman" w:hAnsi="Times New Roman" w:cs="Times New Roman"/>
          <w:sz w:val="24"/>
          <w:szCs w:val="24"/>
        </w:rPr>
        <w:t xml:space="preserve"> Przepis ten zapewnia implementację art. 30 ust. 4 dyrektywy, przewidującego konieczność umieszczenia wzmianki w rejestrze, w stosownych przypadkach dotyczących zgłoszonych rozbieżności. Organ właściwy w sprawach rejestru będzie mógł na podstawie art. 61</w:t>
      </w:r>
      <w:r w:rsidR="003A1D93" w:rsidRPr="0018524B">
        <w:rPr>
          <w:rFonts w:ascii="Times New Roman" w:hAnsi="Times New Roman" w:cs="Times New Roman"/>
          <w:sz w:val="24"/>
          <w:szCs w:val="24"/>
        </w:rPr>
        <w:t>b</w:t>
      </w:r>
      <w:r w:rsidRPr="0018524B">
        <w:rPr>
          <w:rFonts w:ascii="Times New Roman" w:hAnsi="Times New Roman" w:cs="Times New Roman"/>
          <w:sz w:val="24"/>
          <w:szCs w:val="24"/>
        </w:rPr>
        <w:t xml:space="preserve"> ust. </w:t>
      </w:r>
      <w:r w:rsidR="003A1D93" w:rsidRPr="0018524B">
        <w:rPr>
          <w:rFonts w:ascii="Times New Roman" w:hAnsi="Times New Roman" w:cs="Times New Roman"/>
          <w:sz w:val="24"/>
          <w:szCs w:val="24"/>
        </w:rPr>
        <w:t>2</w:t>
      </w:r>
      <w:r w:rsidRPr="0018524B">
        <w:rPr>
          <w:rFonts w:ascii="Times New Roman" w:hAnsi="Times New Roman" w:cs="Times New Roman"/>
          <w:sz w:val="24"/>
          <w:szCs w:val="24"/>
        </w:rPr>
        <w:t xml:space="preserve"> ustawy o p.p.p.f.t. wydać decyzję w przedmiocie sprostowania danych w Centralnym Rejestrze Beneficjentów Rzeczywistych. </w:t>
      </w:r>
      <w:r w:rsidR="00E574B2">
        <w:rPr>
          <w:rFonts w:ascii="Times New Roman" w:hAnsi="Times New Roman" w:cs="Times New Roman"/>
          <w:sz w:val="24"/>
          <w:szCs w:val="24"/>
        </w:rPr>
        <w:t>W art. 61b ust. 3 ustawy o p.p.p.f.t. wskazano przepisy</w:t>
      </w:r>
      <w:r w:rsidR="00E574B2" w:rsidRPr="002C5A75">
        <w:t xml:space="preserve"> </w:t>
      </w:r>
      <w:r w:rsidR="00E574B2" w:rsidRPr="002C5A75">
        <w:rPr>
          <w:rFonts w:ascii="Times New Roman" w:hAnsi="Times New Roman" w:cs="Times New Roman"/>
          <w:sz w:val="24"/>
          <w:szCs w:val="24"/>
        </w:rPr>
        <w:t>ustawy z dnia 14 czerwca 1960 r. – Kodeks postępowania administracyjnego</w:t>
      </w:r>
      <w:r w:rsidR="00E574B2">
        <w:rPr>
          <w:rFonts w:ascii="Times New Roman" w:hAnsi="Times New Roman" w:cs="Times New Roman"/>
          <w:sz w:val="24"/>
          <w:szCs w:val="24"/>
        </w:rPr>
        <w:t xml:space="preserve">, które nie znajdą zastosowania w postępowaniu administracyjnym wszczętym na podstawie art. 61b ust. 1 ustawy o p.p.p.f.t. Przepis powiela regulację art. 126 ustawy o p.p.p.f.t. Należy domniemywać, </w:t>
      </w:r>
      <w:r w:rsidR="006A1D89">
        <w:rPr>
          <w:rFonts w:ascii="Times New Roman" w:hAnsi="Times New Roman" w:cs="Times New Roman"/>
          <w:sz w:val="24"/>
          <w:szCs w:val="24"/>
        </w:rPr>
        <w:lastRenderedPageBreak/>
        <w:t>ż</w:t>
      </w:r>
      <w:r w:rsidR="00E574B2">
        <w:rPr>
          <w:rFonts w:ascii="Times New Roman" w:hAnsi="Times New Roman" w:cs="Times New Roman"/>
          <w:sz w:val="24"/>
          <w:szCs w:val="24"/>
        </w:rPr>
        <w:t xml:space="preserve">e przynajmniej część postępowań administracyjnych wszczętych w </w:t>
      </w:r>
      <w:r w:rsidR="00E574B2" w:rsidRPr="002C5A75">
        <w:rPr>
          <w:rFonts w:ascii="Times New Roman" w:hAnsi="Times New Roman" w:cs="Times New Roman"/>
          <w:sz w:val="24"/>
          <w:szCs w:val="24"/>
        </w:rPr>
        <w:t>celu wyjaśnienia, czy informacje zgromadzone w Rejestrze są prawidłowe i aktualne</w:t>
      </w:r>
      <w:r w:rsidR="00E574B2">
        <w:rPr>
          <w:rFonts w:ascii="Times New Roman" w:hAnsi="Times New Roman" w:cs="Times New Roman"/>
          <w:sz w:val="24"/>
          <w:szCs w:val="24"/>
        </w:rPr>
        <w:t xml:space="preserve"> toczyć się będzie bez aktywnego udziału strony. Wyłączenie stosowania wskazanych w ustępie 3 przepisów </w:t>
      </w:r>
      <w:r w:rsidR="00E574B2" w:rsidRPr="002C5A75">
        <w:rPr>
          <w:rFonts w:ascii="Times New Roman" w:hAnsi="Times New Roman" w:cs="Times New Roman"/>
          <w:sz w:val="24"/>
          <w:szCs w:val="24"/>
        </w:rPr>
        <w:t>Kodeks</w:t>
      </w:r>
      <w:r w:rsidR="00E574B2">
        <w:rPr>
          <w:rFonts w:ascii="Times New Roman" w:hAnsi="Times New Roman" w:cs="Times New Roman"/>
          <w:sz w:val="24"/>
          <w:szCs w:val="24"/>
        </w:rPr>
        <w:t>u</w:t>
      </w:r>
      <w:r w:rsidR="00E574B2" w:rsidRPr="002C5A75">
        <w:rPr>
          <w:rFonts w:ascii="Times New Roman" w:hAnsi="Times New Roman" w:cs="Times New Roman"/>
          <w:sz w:val="24"/>
          <w:szCs w:val="24"/>
        </w:rPr>
        <w:t xml:space="preserve"> postępowania administracyjnego</w:t>
      </w:r>
      <w:r w:rsidR="00E574B2" w:rsidRPr="0018524B">
        <w:rPr>
          <w:rFonts w:ascii="Times New Roman" w:hAnsi="Times New Roman" w:cs="Times New Roman"/>
          <w:sz w:val="24"/>
          <w:szCs w:val="24"/>
        </w:rPr>
        <w:t xml:space="preserve"> </w:t>
      </w:r>
      <w:r w:rsidR="00E574B2">
        <w:rPr>
          <w:rFonts w:ascii="Times New Roman" w:hAnsi="Times New Roman" w:cs="Times New Roman"/>
          <w:sz w:val="24"/>
          <w:szCs w:val="24"/>
        </w:rPr>
        <w:t>pozwoli na efektywne prowadzenie tego rodzaju postępowań, przy jednoczesnym zachowaniu praw strony postępowania.</w:t>
      </w:r>
    </w:p>
    <w:p w14:paraId="415BA980" w14:textId="4C6DCAD3" w:rsidR="00047268" w:rsidRPr="0018524B" w:rsidRDefault="00E27B5F" w:rsidP="00C81472">
      <w:pPr>
        <w:spacing w:line="400" w:lineRule="atLeast"/>
        <w:jc w:val="both"/>
        <w:rPr>
          <w:rFonts w:ascii="Times New Roman" w:hAnsi="Times New Roman" w:cs="Times New Roman"/>
          <w:sz w:val="24"/>
          <w:szCs w:val="24"/>
        </w:rPr>
      </w:pPr>
      <w:r w:rsidRPr="0018524B">
        <w:rPr>
          <w:rFonts w:ascii="Times New Roman" w:hAnsi="Times New Roman" w:cs="Times New Roman"/>
          <w:b/>
          <w:sz w:val="24"/>
          <w:szCs w:val="24"/>
        </w:rPr>
        <w:t>Art. 64 ustawy o</w:t>
      </w:r>
      <w:r w:rsidRPr="0018524B">
        <w:rPr>
          <w:rFonts w:ascii="Times New Roman" w:hAnsi="Times New Roman" w:cs="Times New Roman"/>
          <w:sz w:val="24"/>
          <w:szCs w:val="24"/>
        </w:rPr>
        <w:t xml:space="preserve"> p.p.p.f.t.</w:t>
      </w:r>
      <w:r w:rsidR="001A11E7" w:rsidRPr="0018524B">
        <w:rPr>
          <w:rFonts w:ascii="Times New Roman" w:hAnsi="Times New Roman" w:cs="Times New Roman"/>
          <w:sz w:val="24"/>
          <w:szCs w:val="24"/>
        </w:rPr>
        <w:t xml:space="preserve"> </w:t>
      </w:r>
      <w:r w:rsidR="00434814" w:rsidRPr="0018524B">
        <w:rPr>
          <w:rFonts w:ascii="Times New Roman" w:hAnsi="Times New Roman" w:cs="Times New Roman"/>
          <w:sz w:val="24"/>
          <w:szCs w:val="24"/>
        </w:rPr>
        <w:t xml:space="preserve">określa okres retencji danych przetwarzanych w Centralnym Rejestrze Beneficjentów Rzeczywistych. </w:t>
      </w:r>
      <w:r w:rsidR="00E543F6" w:rsidRPr="0018524B">
        <w:rPr>
          <w:rFonts w:ascii="Times New Roman" w:hAnsi="Times New Roman" w:cs="Times New Roman"/>
          <w:sz w:val="24"/>
          <w:szCs w:val="24"/>
        </w:rPr>
        <w:t>Dyrektywa 201</w:t>
      </w:r>
      <w:r w:rsidR="00434814" w:rsidRPr="0018524B">
        <w:rPr>
          <w:rFonts w:ascii="Times New Roman" w:hAnsi="Times New Roman" w:cs="Times New Roman"/>
          <w:sz w:val="24"/>
          <w:szCs w:val="24"/>
        </w:rPr>
        <w:t>5</w:t>
      </w:r>
      <w:r w:rsidR="00E543F6" w:rsidRPr="0018524B">
        <w:rPr>
          <w:rFonts w:ascii="Times New Roman" w:hAnsi="Times New Roman" w:cs="Times New Roman"/>
          <w:sz w:val="24"/>
          <w:szCs w:val="24"/>
        </w:rPr>
        <w:t>/84</w:t>
      </w:r>
      <w:r w:rsidR="00434814" w:rsidRPr="0018524B">
        <w:rPr>
          <w:rFonts w:ascii="Times New Roman" w:hAnsi="Times New Roman" w:cs="Times New Roman"/>
          <w:sz w:val="24"/>
          <w:szCs w:val="24"/>
        </w:rPr>
        <w:t>9</w:t>
      </w:r>
      <w:r w:rsidR="00E543F6" w:rsidRPr="0018524B">
        <w:rPr>
          <w:rFonts w:ascii="Times New Roman" w:hAnsi="Times New Roman" w:cs="Times New Roman"/>
          <w:sz w:val="24"/>
          <w:szCs w:val="24"/>
        </w:rPr>
        <w:t xml:space="preserve"> </w:t>
      </w:r>
      <w:r w:rsidR="00434814" w:rsidRPr="0018524B">
        <w:rPr>
          <w:rFonts w:ascii="Times New Roman" w:hAnsi="Times New Roman" w:cs="Times New Roman"/>
          <w:sz w:val="24"/>
          <w:szCs w:val="24"/>
        </w:rPr>
        <w:t xml:space="preserve">w </w:t>
      </w:r>
      <w:r w:rsidR="00E543F6" w:rsidRPr="0018524B">
        <w:rPr>
          <w:rFonts w:ascii="Times New Roman" w:hAnsi="Times New Roman" w:cs="Times New Roman"/>
          <w:sz w:val="24"/>
          <w:szCs w:val="24"/>
        </w:rPr>
        <w:t xml:space="preserve">art. 30 ust. 10 </w:t>
      </w:r>
      <w:r w:rsidR="00BC25D9" w:rsidRPr="0018524B">
        <w:rPr>
          <w:rFonts w:ascii="Times New Roman" w:hAnsi="Times New Roman" w:cs="Times New Roman"/>
          <w:sz w:val="24"/>
          <w:szCs w:val="24"/>
        </w:rPr>
        <w:t xml:space="preserve">oraz w art. 31 ust. 9 </w:t>
      </w:r>
      <w:r w:rsidR="00E543F6" w:rsidRPr="0018524B">
        <w:rPr>
          <w:rFonts w:ascii="Times New Roman" w:hAnsi="Times New Roman" w:cs="Times New Roman"/>
          <w:sz w:val="24"/>
          <w:szCs w:val="24"/>
        </w:rPr>
        <w:t>regul</w:t>
      </w:r>
      <w:r w:rsidR="00BC25D9" w:rsidRPr="0018524B">
        <w:rPr>
          <w:rFonts w:ascii="Times New Roman" w:hAnsi="Times New Roman" w:cs="Times New Roman"/>
          <w:sz w:val="24"/>
          <w:szCs w:val="24"/>
        </w:rPr>
        <w:t>uje</w:t>
      </w:r>
      <w:r w:rsidR="00E543F6" w:rsidRPr="0018524B">
        <w:rPr>
          <w:rFonts w:ascii="Times New Roman" w:hAnsi="Times New Roman" w:cs="Times New Roman"/>
          <w:sz w:val="24"/>
          <w:szCs w:val="24"/>
        </w:rPr>
        <w:t xml:space="preserve"> okres przechowywania informacji w rejestrach beneficjentów rzeczywistych państw członkowskich. </w:t>
      </w:r>
      <w:r w:rsidR="00DC577F" w:rsidRPr="0018524B">
        <w:rPr>
          <w:rFonts w:ascii="Times New Roman" w:hAnsi="Times New Roman" w:cs="Times New Roman"/>
          <w:sz w:val="24"/>
          <w:szCs w:val="24"/>
        </w:rPr>
        <w:t xml:space="preserve">Art. 64 </w:t>
      </w:r>
      <w:r w:rsidR="00951AB8" w:rsidRPr="0018524B">
        <w:rPr>
          <w:rFonts w:ascii="Times New Roman" w:hAnsi="Times New Roman" w:cs="Times New Roman"/>
          <w:sz w:val="24"/>
          <w:szCs w:val="24"/>
        </w:rPr>
        <w:t>pkt</w:t>
      </w:r>
      <w:r w:rsidR="00DC577F" w:rsidRPr="0018524B">
        <w:rPr>
          <w:rFonts w:ascii="Times New Roman" w:hAnsi="Times New Roman" w:cs="Times New Roman"/>
          <w:sz w:val="24"/>
          <w:szCs w:val="24"/>
        </w:rPr>
        <w:t xml:space="preserve"> 1 ustawy o p.p.p.f.t. reguluje okres przechowywania informacji dotyczących podmiotów podlegających wpisowi do Krajowego Rejestru Sądowego, natomiast</w:t>
      </w:r>
      <w:r w:rsidR="00951AB8" w:rsidRPr="0018524B">
        <w:rPr>
          <w:rFonts w:ascii="Times New Roman" w:hAnsi="Times New Roman" w:cs="Times New Roman"/>
          <w:sz w:val="24"/>
          <w:szCs w:val="24"/>
        </w:rPr>
        <w:t xml:space="preserve"> pkt</w:t>
      </w:r>
      <w:r w:rsidR="00DC577F" w:rsidRPr="0018524B">
        <w:rPr>
          <w:rFonts w:ascii="Times New Roman" w:hAnsi="Times New Roman" w:cs="Times New Roman"/>
          <w:sz w:val="24"/>
          <w:szCs w:val="24"/>
        </w:rPr>
        <w:t xml:space="preserve"> 2 reguluje okres przechowywania informacji dotyczących trustów, które jako podmioty lub porozumienia prawne regulowane prawem obcym, nie podlegają wpisowi do Krajowego Rejestru Sądowego. W obu przypadkach przewidziano okres przechowywania informacji nieprzekraczający 10 lat od momentu ustania obowiązku zgłoszenia danych do rejestru, co odpowiada wymogom nałożonym przez art. 30 ust. 10 </w:t>
      </w:r>
      <w:r w:rsidR="00BC25D9" w:rsidRPr="0018524B">
        <w:rPr>
          <w:rFonts w:ascii="Times New Roman" w:hAnsi="Times New Roman" w:cs="Times New Roman"/>
          <w:sz w:val="24"/>
          <w:szCs w:val="24"/>
        </w:rPr>
        <w:t xml:space="preserve">oraz w art. 31 ust. 9 </w:t>
      </w:r>
      <w:r w:rsidR="00832446" w:rsidRPr="0018524B">
        <w:rPr>
          <w:rFonts w:ascii="Times New Roman" w:hAnsi="Times New Roman" w:cs="Times New Roman"/>
          <w:sz w:val="24"/>
          <w:szCs w:val="24"/>
        </w:rPr>
        <w:t>dyrektyw</w:t>
      </w:r>
      <w:r w:rsidR="00DC577F" w:rsidRPr="0018524B">
        <w:rPr>
          <w:rFonts w:ascii="Times New Roman" w:hAnsi="Times New Roman" w:cs="Times New Roman"/>
          <w:sz w:val="24"/>
          <w:szCs w:val="24"/>
        </w:rPr>
        <w:t xml:space="preserve">y 2015/849 w brzmieniu nadanym przez </w:t>
      </w:r>
      <w:r w:rsidR="00832446" w:rsidRPr="0018524B">
        <w:rPr>
          <w:rFonts w:ascii="Times New Roman" w:hAnsi="Times New Roman" w:cs="Times New Roman"/>
          <w:sz w:val="24"/>
          <w:szCs w:val="24"/>
        </w:rPr>
        <w:t>dyrektyw</w:t>
      </w:r>
      <w:r w:rsidR="00DC577F" w:rsidRPr="0018524B">
        <w:rPr>
          <w:rFonts w:ascii="Times New Roman" w:hAnsi="Times New Roman" w:cs="Times New Roman"/>
          <w:sz w:val="24"/>
          <w:szCs w:val="24"/>
        </w:rPr>
        <w:t>ę 2018/843.</w:t>
      </w:r>
      <w:r w:rsidR="00951AB8" w:rsidRPr="0018524B">
        <w:rPr>
          <w:rFonts w:ascii="Times New Roman" w:hAnsi="Times New Roman" w:cs="Times New Roman"/>
          <w:sz w:val="24"/>
          <w:szCs w:val="24"/>
        </w:rPr>
        <w:t xml:space="preserve"> Art. 64 ustawy o p.p.p.f.t. w dotychczasowym brzmieniu znajdował zastosowanie do danych wprowadzanych do Centralnego Rejestru Beneficjentów Rzeczywistych od października 2019 r., do wprowadzenia ustawy nowelizującej nie upłynął zatem okres przechowywania tych informacji. </w:t>
      </w:r>
      <w:r w:rsidR="005439E7">
        <w:rPr>
          <w:rFonts w:ascii="Times New Roman" w:hAnsi="Times New Roman" w:cs="Times New Roman"/>
          <w:sz w:val="24"/>
          <w:szCs w:val="24"/>
        </w:rPr>
        <w:t xml:space="preserve">Nie ma również możliwości, aby terminy przechowywania upłynęły w okres </w:t>
      </w:r>
      <w:r w:rsidR="005439E7" w:rsidRPr="00C241CB">
        <w:rPr>
          <w:rFonts w:ascii="Times New Roman" w:hAnsi="Times New Roman" w:cs="Times New Roman"/>
          <w:i/>
          <w:sz w:val="24"/>
          <w:szCs w:val="24"/>
        </w:rPr>
        <w:t>vacati</w:t>
      </w:r>
      <w:r w:rsidR="005439E7">
        <w:rPr>
          <w:rFonts w:ascii="Times New Roman" w:hAnsi="Times New Roman" w:cs="Times New Roman"/>
          <w:i/>
          <w:sz w:val="24"/>
          <w:szCs w:val="24"/>
        </w:rPr>
        <w:t>o leg</w:t>
      </w:r>
      <w:r w:rsidR="005439E7" w:rsidRPr="00C241CB">
        <w:rPr>
          <w:rFonts w:ascii="Times New Roman" w:hAnsi="Times New Roman" w:cs="Times New Roman"/>
          <w:i/>
          <w:sz w:val="24"/>
          <w:szCs w:val="24"/>
        </w:rPr>
        <w:t>is</w:t>
      </w:r>
      <w:r w:rsidR="005439E7">
        <w:rPr>
          <w:rFonts w:ascii="Times New Roman" w:hAnsi="Times New Roman" w:cs="Times New Roman"/>
          <w:sz w:val="24"/>
          <w:szCs w:val="24"/>
        </w:rPr>
        <w:t xml:space="preserve"> art. 64 ustawy o p.p.p.f.t. w projektowanym brzmieniu. </w:t>
      </w:r>
      <w:r w:rsidR="00951AB8" w:rsidRPr="0018524B">
        <w:rPr>
          <w:rFonts w:ascii="Times New Roman" w:hAnsi="Times New Roman" w:cs="Times New Roman"/>
          <w:sz w:val="24"/>
          <w:szCs w:val="24"/>
        </w:rPr>
        <w:t xml:space="preserve">Co za tym idzie w odniesieniu do informacji przechowywanych w Centralnym Rejestrze Beneficjentów Rzeczywistych zgodnie z dotychczas obowiązującą ustawą nie ma potrzeby wprowadzania przepisów przejściowych ani dostosowujących. </w:t>
      </w:r>
      <w:r w:rsidR="005439E7">
        <w:rPr>
          <w:rFonts w:ascii="Times New Roman" w:hAnsi="Times New Roman" w:cs="Times New Roman"/>
          <w:sz w:val="24"/>
          <w:szCs w:val="24"/>
        </w:rPr>
        <w:t>Z dniem wejścia w życie p</w:t>
      </w:r>
      <w:r w:rsidR="005439E7" w:rsidRPr="0018524B">
        <w:rPr>
          <w:rFonts w:ascii="Times New Roman" w:hAnsi="Times New Roman" w:cs="Times New Roman"/>
          <w:sz w:val="24"/>
          <w:szCs w:val="24"/>
        </w:rPr>
        <w:t xml:space="preserve">rzepis </w:t>
      </w:r>
      <w:r w:rsidR="005439E7">
        <w:rPr>
          <w:rFonts w:ascii="Times New Roman" w:hAnsi="Times New Roman" w:cs="Times New Roman"/>
          <w:sz w:val="24"/>
          <w:szCs w:val="24"/>
        </w:rPr>
        <w:t>art. 64 ustawy o p.p.p.f.t. w nowym brzmieniu</w:t>
      </w:r>
      <w:r w:rsidR="005439E7" w:rsidRPr="0018524B">
        <w:rPr>
          <w:rFonts w:ascii="Times New Roman" w:hAnsi="Times New Roman" w:cs="Times New Roman"/>
          <w:sz w:val="24"/>
          <w:szCs w:val="24"/>
        </w:rPr>
        <w:t xml:space="preserve"> znajdzie zastosowanie </w:t>
      </w:r>
      <w:r w:rsidR="00D25BAE" w:rsidRPr="0018524B">
        <w:rPr>
          <w:rFonts w:ascii="Times New Roman" w:hAnsi="Times New Roman" w:cs="Times New Roman"/>
          <w:sz w:val="24"/>
          <w:szCs w:val="24"/>
        </w:rPr>
        <w:t xml:space="preserve">również do informacji wprowadzonych do Centralnego Rejestru Beneficjentów Rzeczywistych przed wejściem w życie nowelizacji. </w:t>
      </w:r>
    </w:p>
    <w:p w14:paraId="322B64AD" w14:textId="77777777" w:rsidR="00BC25D9" w:rsidRPr="0018524B" w:rsidRDefault="00BC25D9" w:rsidP="00BC25D9">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Uchylenie </w:t>
      </w:r>
      <w:r w:rsidRPr="0018524B">
        <w:rPr>
          <w:rFonts w:ascii="Times New Roman" w:hAnsi="Times New Roman" w:cs="Times New Roman"/>
          <w:b/>
          <w:sz w:val="24"/>
          <w:szCs w:val="24"/>
        </w:rPr>
        <w:t>art. 65 ustawy o p.p.p.f.t.</w:t>
      </w:r>
      <w:r w:rsidRPr="0018524B">
        <w:rPr>
          <w:rFonts w:ascii="Times New Roman" w:hAnsi="Times New Roman" w:cs="Times New Roman"/>
          <w:sz w:val="24"/>
          <w:szCs w:val="24"/>
        </w:rPr>
        <w:t xml:space="preserve"> ma na celu wyeliminowanie przepis duplikującego przepisy rozporządzenia Parlamentu Europejskiego i Rady (UE) 2016/679 z dnia 27 kwietnia 2016 r. w sprawie ochrony osób fizycznych w związku z przetwarzaniem danych osobowych i w sprawie swobodnego przepływu takich danych oraz uchylenia dyrektywy 95/46/WE (RODO).</w:t>
      </w:r>
    </w:p>
    <w:p w14:paraId="45C2178A" w14:textId="77777777" w:rsidR="00BC25D9" w:rsidRPr="0018524B" w:rsidRDefault="00BC25D9" w:rsidP="00BC25D9">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Zmiany wprowadzone do </w:t>
      </w:r>
      <w:r w:rsidRPr="0018524B">
        <w:rPr>
          <w:rFonts w:ascii="Times New Roman" w:hAnsi="Times New Roman" w:cs="Times New Roman"/>
          <w:b/>
          <w:sz w:val="24"/>
          <w:szCs w:val="24"/>
        </w:rPr>
        <w:t>art. 68, art. 69 oraz art. 70 ustawy o p.p.p.f.t.</w:t>
      </w:r>
      <w:r w:rsidRPr="0018524B">
        <w:rPr>
          <w:rFonts w:ascii="Times New Roman" w:hAnsi="Times New Roman" w:cs="Times New Roman"/>
          <w:sz w:val="24"/>
          <w:szCs w:val="24"/>
        </w:rPr>
        <w:t xml:space="preserve"> są zmianami o charakterze technicznym nie mającymi wpływu na treść normatywną tych przepisów.</w:t>
      </w:r>
    </w:p>
    <w:p w14:paraId="1FA4EE7A" w14:textId="7A257F08" w:rsidR="004F0EAB" w:rsidRPr="0018524B" w:rsidRDefault="007A505E" w:rsidP="00BC25D9">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lastRenderedPageBreak/>
        <w:t xml:space="preserve">Dodanie </w:t>
      </w:r>
      <w:r w:rsidRPr="0018524B">
        <w:rPr>
          <w:rFonts w:ascii="Times New Roman" w:hAnsi="Times New Roman" w:cs="Times New Roman"/>
          <w:b/>
          <w:sz w:val="24"/>
          <w:szCs w:val="24"/>
        </w:rPr>
        <w:t>art. 7</w:t>
      </w:r>
      <w:r w:rsidR="004F0EAB" w:rsidRPr="0018524B">
        <w:rPr>
          <w:rFonts w:ascii="Times New Roman" w:hAnsi="Times New Roman" w:cs="Times New Roman"/>
          <w:b/>
          <w:sz w:val="24"/>
          <w:szCs w:val="24"/>
        </w:rPr>
        <w:t>1</w:t>
      </w:r>
      <w:r w:rsidRPr="0018524B">
        <w:rPr>
          <w:rFonts w:ascii="Times New Roman" w:hAnsi="Times New Roman" w:cs="Times New Roman"/>
          <w:b/>
          <w:sz w:val="24"/>
          <w:szCs w:val="24"/>
        </w:rPr>
        <w:t>a</w:t>
      </w:r>
      <w:r w:rsidRPr="0018524B">
        <w:rPr>
          <w:rFonts w:ascii="Times New Roman" w:hAnsi="Times New Roman" w:cs="Times New Roman"/>
          <w:sz w:val="24"/>
          <w:szCs w:val="24"/>
        </w:rPr>
        <w:t xml:space="preserve"> </w:t>
      </w:r>
      <w:r w:rsidRPr="0018524B">
        <w:rPr>
          <w:rFonts w:ascii="Times New Roman" w:hAnsi="Times New Roman" w:cs="Times New Roman"/>
          <w:b/>
          <w:sz w:val="24"/>
          <w:szCs w:val="24"/>
        </w:rPr>
        <w:t xml:space="preserve">ustawy o p.p.p.f.t. </w:t>
      </w:r>
      <w:r w:rsidRPr="0018524B">
        <w:rPr>
          <w:rFonts w:ascii="Times New Roman" w:hAnsi="Times New Roman" w:cs="Times New Roman"/>
          <w:sz w:val="24"/>
          <w:szCs w:val="24"/>
        </w:rPr>
        <w:t xml:space="preserve">stanowi zmianę mającą na celu prawidłowe umiejscowienie uprawnienia dla ministra właściwego do spraw finansów publicznych do </w:t>
      </w:r>
      <w:r w:rsidR="004F0EAB" w:rsidRPr="0018524B">
        <w:rPr>
          <w:rFonts w:ascii="Times New Roman" w:hAnsi="Times New Roman" w:cs="Times New Roman"/>
          <w:sz w:val="24"/>
          <w:szCs w:val="24"/>
        </w:rPr>
        <w:t>wyznaczenia</w:t>
      </w:r>
      <w:r w:rsidRPr="0018524B">
        <w:rPr>
          <w:rFonts w:ascii="Times New Roman" w:hAnsi="Times New Roman" w:cs="Times New Roman"/>
          <w:sz w:val="24"/>
          <w:szCs w:val="24"/>
        </w:rPr>
        <w:t xml:space="preserve"> organu Krajowej Administracji Skarbowej do wykonywania zadań organu właściwego. W </w:t>
      </w:r>
      <w:r w:rsidR="00F31450" w:rsidRPr="0018524B">
        <w:rPr>
          <w:rFonts w:ascii="Times New Roman" w:hAnsi="Times New Roman" w:cs="Times New Roman"/>
          <w:sz w:val="24"/>
          <w:szCs w:val="24"/>
        </w:rPr>
        <w:t xml:space="preserve">dotychczasowym </w:t>
      </w:r>
      <w:r w:rsidRPr="0018524B">
        <w:rPr>
          <w:rFonts w:ascii="Times New Roman" w:hAnsi="Times New Roman" w:cs="Times New Roman"/>
          <w:sz w:val="24"/>
          <w:szCs w:val="24"/>
        </w:rPr>
        <w:t xml:space="preserve">brzmieniu ustawy, </w:t>
      </w:r>
      <w:r w:rsidR="00F31450" w:rsidRPr="0018524B">
        <w:rPr>
          <w:rFonts w:ascii="Times New Roman" w:hAnsi="Times New Roman" w:cs="Times New Roman"/>
          <w:sz w:val="24"/>
          <w:szCs w:val="24"/>
        </w:rPr>
        <w:t>przepis u</w:t>
      </w:r>
      <w:r w:rsidRPr="0018524B">
        <w:rPr>
          <w:rFonts w:ascii="Times New Roman" w:hAnsi="Times New Roman" w:cs="Times New Roman"/>
          <w:sz w:val="24"/>
          <w:szCs w:val="24"/>
        </w:rPr>
        <w:t>możliw</w:t>
      </w:r>
      <w:r w:rsidR="00F31450" w:rsidRPr="0018524B">
        <w:rPr>
          <w:rFonts w:ascii="Times New Roman" w:hAnsi="Times New Roman" w:cs="Times New Roman"/>
          <w:sz w:val="24"/>
          <w:szCs w:val="24"/>
        </w:rPr>
        <w:t>iający</w:t>
      </w:r>
      <w:r w:rsidRPr="0018524B">
        <w:rPr>
          <w:rFonts w:ascii="Times New Roman" w:hAnsi="Times New Roman" w:cs="Times New Roman"/>
          <w:sz w:val="24"/>
          <w:szCs w:val="24"/>
        </w:rPr>
        <w:t xml:space="preserve"> upoważnieni</w:t>
      </w:r>
      <w:r w:rsidR="00F31450" w:rsidRPr="0018524B">
        <w:rPr>
          <w:rFonts w:ascii="Times New Roman" w:hAnsi="Times New Roman" w:cs="Times New Roman"/>
          <w:sz w:val="24"/>
          <w:szCs w:val="24"/>
        </w:rPr>
        <w:t>e</w:t>
      </w:r>
      <w:r w:rsidRPr="0018524B">
        <w:rPr>
          <w:rFonts w:ascii="Times New Roman" w:hAnsi="Times New Roman" w:cs="Times New Roman"/>
          <w:sz w:val="24"/>
          <w:szCs w:val="24"/>
        </w:rPr>
        <w:t xml:space="preserve"> organu Krajowej Administracji Skarbowej znajdował się w art. 57 ust. 3 ustawy o p.p.p.f.t., niemniej ze względu na nowe brzmienie rozdziału 6 ustawy, zgodnie z którym zmienił się między innymi zakres zadań organu właściwego w sprawach rejestru, zasadne stało się przeniesienie uprawnienia ministra właściwego do spraw finansów publicznych do </w:t>
      </w:r>
      <w:r w:rsidR="004F0EAB" w:rsidRPr="0018524B">
        <w:rPr>
          <w:rFonts w:ascii="Times New Roman" w:hAnsi="Times New Roman" w:cs="Times New Roman"/>
          <w:sz w:val="24"/>
          <w:szCs w:val="24"/>
        </w:rPr>
        <w:t>wyznaczenia</w:t>
      </w:r>
      <w:r w:rsidRPr="0018524B">
        <w:rPr>
          <w:rFonts w:ascii="Times New Roman" w:hAnsi="Times New Roman" w:cs="Times New Roman"/>
          <w:sz w:val="24"/>
          <w:szCs w:val="24"/>
        </w:rPr>
        <w:t xml:space="preserve"> organu Krajowej Administracji Skarbowej do wykonywania zadań organu właściwego do odrębnej jednostki redakcyjnej. Ponadto poszerzenie zakresu zadań realizowanych przez organ właściwy zgodnie z nowym brzmieniem rozdziału 6 ustawy wiąże się z koniecznością przyjęcia, iż wyznaczenie organu Krajowej Administracji Skarbowej powinno nastąpić w formie rozporządzenia. </w:t>
      </w:r>
      <w:r w:rsidR="004F0EAB" w:rsidRPr="0018524B">
        <w:rPr>
          <w:rFonts w:ascii="Times New Roman" w:hAnsi="Times New Roman" w:cs="Times New Roman"/>
          <w:sz w:val="24"/>
          <w:szCs w:val="24"/>
        </w:rPr>
        <w:t>Wydając rozporządzenie</w:t>
      </w:r>
      <w:r w:rsidR="00E454D3" w:rsidRPr="0018524B">
        <w:rPr>
          <w:rFonts w:ascii="Times New Roman" w:hAnsi="Times New Roman" w:cs="Times New Roman"/>
          <w:sz w:val="24"/>
          <w:szCs w:val="24"/>
        </w:rPr>
        <w:t>,</w:t>
      </w:r>
      <w:r w:rsidR="004F0EAB" w:rsidRPr="0018524B">
        <w:rPr>
          <w:rFonts w:ascii="Times New Roman" w:hAnsi="Times New Roman" w:cs="Times New Roman"/>
          <w:sz w:val="24"/>
          <w:szCs w:val="24"/>
        </w:rPr>
        <w:t xml:space="preserve"> o którym mowa w art. 71a ustawy o p.p.p.f.t., minister właściwy do spraw finansów publicznych może wyznaczyć organ Krajowej Administracji Skarbowej do wykonywania wszystkich zadań przewidzianych w rozdziale 6 ustawy o p.p.p.f.t. dla organu właściwego, może również wskazać poszczególne zadania, do wykonywania których będzie wyznaczony ten organ.</w:t>
      </w:r>
      <w:r w:rsidR="0057042C" w:rsidRPr="0018524B">
        <w:rPr>
          <w:rFonts w:ascii="Times New Roman" w:hAnsi="Times New Roman" w:cs="Times New Roman"/>
          <w:sz w:val="24"/>
          <w:szCs w:val="24"/>
        </w:rPr>
        <w:t xml:space="preserve"> Wraz z wydaniem rozporządzenia, o którym mowa w art. 71a ustawy o p.p.p.f.t., zostanie uchylone zarządzenie wydane na podstawie art. 57 ust. 3 ustawy o p.p.p.f.t.</w:t>
      </w:r>
    </w:p>
    <w:p w14:paraId="1C27606E" w14:textId="10ECB2FC" w:rsidR="00C87D4A" w:rsidRPr="0018524B" w:rsidRDefault="00C87D4A" w:rsidP="00BC25D9">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W </w:t>
      </w:r>
      <w:r w:rsidRPr="0018524B">
        <w:rPr>
          <w:rFonts w:ascii="Times New Roman" w:hAnsi="Times New Roman" w:cs="Times New Roman"/>
          <w:b/>
          <w:sz w:val="24"/>
          <w:szCs w:val="24"/>
        </w:rPr>
        <w:t>art. 97 ustawy o p.p.p.f.t.</w:t>
      </w:r>
      <w:r w:rsidRPr="0018524B">
        <w:rPr>
          <w:rFonts w:ascii="Times New Roman" w:hAnsi="Times New Roman" w:cs="Times New Roman"/>
          <w:sz w:val="24"/>
          <w:szCs w:val="24"/>
        </w:rPr>
        <w:t xml:space="preserve"> projektodawca proponuje uchylić ust. 8. Zgodnie ze stanowiskiem Biura Legislacyjnego Kancelarii Sejmu zgłoszonym w związku z opracowywaniem jednolitego tekstu ustawy o p.p.p.f.t. oraz stanowiskiem Rządowego Centrum Legislacji zawartym w piśmie z dnia 1 marca 2019 r. znak RCL.DDUTJ.5570.5/2019 stosownie do którego cyt. „Analizując przepis art. 97 ustawy z dnia 1 marca 2018 r. </w:t>
      </w:r>
      <w:r w:rsidRPr="0018524B">
        <w:rPr>
          <w:rFonts w:ascii="Times New Roman" w:hAnsi="Times New Roman" w:cs="Times New Roman"/>
          <w:i/>
          <w:sz w:val="24"/>
          <w:szCs w:val="24"/>
        </w:rPr>
        <w:t>o przeciwdziałaniu praniu pieniędzy oraz finansowaniu terroryzmu</w:t>
      </w:r>
      <w:r w:rsidRPr="0018524B">
        <w:rPr>
          <w:rFonts w:ascii="Times New Roman" w:hAnsi="Times New Roman" w:cs="Times New Roman"/>
          <w:sz w:val="24"/>
          <w:szCs w:val="24"/>
        </w:rPr>
        <w:t xml:space="preserve"> (Dz. U. poz. 723, z późn. zm.), można przychylić się do stanowiska Biura Legislacyjnego Kancelarii Sejmu z którego wynika, że polecenie nowelizacyjne zawarte w art. 96 pkt 3 ustawy z dnia 14 grudnia 2018 r. </w:t>
      </w:r>
      <w:r w:rsidRPr="0018524B">
        <w:rPr>
          <w:rFonts w:ascii="Times New Roman" w:hAnsi="Times New Roman" w:cs="Times New Roman"/>
          <w:i/>
          <w:sz w:val="24"/>
          <w:szCs w:val="24"/>
        </w:rPr>
        <w:t>o ochronie danych osobowych przetwarzanych w związku z zapobieganiem i zwalczaniem przestępczości</w:t>
      </w:r>
      <w:r w:rsidRPr="0018524B">
        <w:rPr>
          <w:rFonts w:ascii="Times New Roman" w:hAnsi="Times New Roman" w:cs="Times New Roman"/>
          <w:sz w:val="24"/>
          <w:szCs w:val="24"/>
        </w:rPr>
        <w:t xml:space="preserve">, dotyczące uchylenia ust. 8, odnosi się do art. 97 powyższej ustawy, niemniej rozstrzygające stanowisko w tym zakresie powinien zająć projektodawca ustawy z dnia 14 grudnia 2018 r. </w:t>
      </w:r>
      <w:r w:rsidRPr="0018524B">
        <w:rPr>
          <w:rFonts w:ascii="Times New Roman" w:hAnsi="Times New Roman" w:cs="Times New Roman"/>
          <w:i/>
          <w:sz w:val="24"/>
          <w:szCs w:val="24"/>
        </w:rPr>
        <w:t>o ochronie danych osobowych przetwarzanych w związku z zapobieganiem i zwalczaniem przestępczości</w:t>
      </w:r>
      <w:r w:rsidRPr="0018524B">
        <w:rPr>
          <w:rFonts w:ascii="Times New Roman" w:hAnsi="Times New Roman" w:cs="Times New Roman"/>
          <w:sz w:val="24"/>
          <w:szCs w:val="24"/>
        </w:rPr>
        <w:t xml:space="preserve">. Natomiast w opinii Rządowego Centrum Legislacji jednoznaczne rozstrzygnięcie obecnego brzmienia art. 97 ustawy </w:t>
      </w:r>
      <w:r w:rsidR="00AE73F1" w:rsidRPr="0018524B">
        <w:rPr>
          <w:rFonts w:ascii="Times New Roman" w:hAnsi="Times New Roman" w:cs="Times New Roman"/>
          <w:sz w:val="24"/>
          <w:szCs w:val="24"/>
        </w:rPr>
        <w:t xml:space="preserve">z dnia 1 marca 2018 r. </w:t>
      </w:r>
      <w:r w:rsidR="00AE73F1" w:rsidRPr="0018524B">
        <w:rPr>
          <w:rFonts w:ascii="Times New Roman" w:hAnsi="Times New Roman" w:cs="Times New Roman"/>
          <w:i/>
          <w:sz w:val="24"/>
          <w:szCs w:val="24"/>
        </w:rPr>
        <w:t xml:space="preserve">o przeciwdziałaniu </w:t>
      </w:r>
      <w:r w:rsidR="00AE73F1" w:rsidRPr="0018524B">
        <w:rPr>
          <w:rFonts w:ascii="Times New Roman" w:hAnsi="Times New Roman" w:cs="Times New Roman"/>
          <w:i/>
          <w:sz w:val="24"/>
          <w:szCs w:val="24"/>
        </w:rPr>
        <w:lastRenderedPageBreak/>
        <w:t>praniu pieniędzy oraz finansowaniu terroryzmu</w:t>
      </w:r>
      <w:r w:rsidR="00AE73F1" w:rsidRPr="0018524B" w:rsidDel="00AE73F1">
        <w:rPr>
          <w:rFonts w:ascii="Times New Roman" w:hAnsi="Times New Roman" w:cs="Times New Roman"/>
          <w:sz w:val="24"/>
          <w:szCs w:val="24"/>
        </w:rPr>
        <w:t xml:space="preserve"> </w:t>
      </w:r>
      <w:r w:rsidRPr="0018524B">
        <w:rPr>
          <w:rFonts w:ascii="Times New Roman" w:hAnsi="Times New Roman" w:cs="Times New Roman"/>
          <w:sz w:val="24"/>
          <w:szCs w:val="24"/>
        </w:rPr>
        <w:t>powinno nastąpić w drodze kolejnej nowelizacji ustawy.”.</w:t>
      </w:r>
    </w:p>
    <w:p w14:paraId="420DE90B" w14:textId="5BFFAB80" w:rsidR="00BC25D9" w:rsidRPr="0018524B" w:rsidRDefault="00BC25D9" w:rsidP="00BC25D9">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Dodanie do treści </w:t>
      </w:r>
      <w:r w:rsidRPr="0018524B">
        <w:rPr>
          <w:rFonts w:ascii="Times New Roman" w:hAnsi="Times New Roman" w:cs="Times New Roman"/>
          <w:b/>
          <w:sz w:val="24"/>
          <w:szCs w:val="24"/>
        </w:rPr>
        <w:t>art. 98 ustawy o p.p.p.f.t.</w:t>
      </w:r>
      <w:r w:rsidRPr="0018524B">
        <w:rPr>
          <w:rFonts w:ascii="Times New Roman" w:hAnsi="Times New Roman" w:cs="Times New Roman"/>
          <w:sz w:val="24"/>
          <w:szCs w:val="24"/>
        </w:rPr>
        <w:t xml:space="preserve"> ustępu 5</w:t>
      </w:r>
      <w:r w:rsidR="004420A5" w:rsidRPr="0018524B">
        <w:rPr>
          <w:rFonts w:ascii="Times New Roman" w:hAnsi="Times New Roman" w:cs="Times New Roman"/>
          <w:sz w:val="24"/>
          <w:szCs w:val="24"/>
        </w:rPr>
        <w:t>, a także idąca za tym zmiana treści ustępu 2,</w:t>
      </w:r>
      <w:r w:rsidRPr="0018524B">
        <w:rPr>
          <w:rFonts w:ascii="Times New Roman" w:hAnsi="Times New Roman" w:cs="Times New Roman"/>
          <w:sz w:val="24"/>
          <w:szCs w:val="24"/>
        </w:rPr>
        <w:t xml:space="preserve"> </w:t>
      </w:r>
      <w:r w:rsidR="00606AF4">
        <w:rPr>
          <w:rFonts w:ascii="Times New Roman" w:hAnsi="Times New Roman" w:cs="Times New Roman"/>
          <w:sz w:val="24"/>
          <w:szCs w:val="24"/>
        </w:rPr>
        <w:t xml:space="preserve">nie modyfikują zasad na jakich </w:t>
      </w:r>
      <w:r w:rsidR="004420A5" w:rsidRPr="0018524B">
        <w:rPr>
          <w:rFonts w:ascii="Times New Roman" w:hAnsi="Times New Roman" w:cs="Times New Roman"/>
          <w:sz w:val="24"/>
          <w:szCs w:val="24"/>
        </w:rPr>
        <w:t xml:space="preserve">Sąd Okręgowy w Warszawie </w:t>
      </w:r>
      <w:r w:rsidR="00606AF4">
        <w:rPr>
          <w:rFonts w:ascii="Times New Roman" w:hAnsi="Times New Roman" w:cs="Times New Roman"/>
          <w:sz w:val="24"/>
          <w:szCs w:val="24"/>
        </w:rPr>
        <w:t xml:space="preserve">sprawuje </w:t>
      </w:r>
      <w:r w:rsidRPr="0018524B">
        <w:rPr>
          <w:rFonts w:ascii="Times New Roman" w:hAnsi="Times New Roman" w:cs="Times New Roman"/>
          <w:sz w:val="24"/>
          <w:szCs w:val="24"/>
        </w:rPr>
        <w:t>kontrol</w:t>
      </w:r>
      <w:r w:rsidR="00606AF4">
        <w:rPr>
          <w:rFonts w:ascii="Times New Roman" w:hAnsi="Times New Roman" w:cs="Times New Roman"/>
          <w:sz w:val="24"/>
          <w:szCs w:val="24"/>
        </w:rPr>
        <w:t>ę</w:t>
      </w:r>
      <w:r w:rsidRPr="0018524B">
        <w:rPr>
          <w:rFonts w:ascii="Times New Roman" w:hAnsi="Times New Roman" w:cs="Times New Roman"/>
          <w:sz w:val="24"/>
          <w:szCs w:val="24"/>
        </w:rPr>
        <w:t xml:space="preserve"> </w:t>
      </w:r>
      <w:r w:rsidR="00606AF4">
        <w:rPr>
          <w:rFonts w:ascii="Times New Roman" w:hAnsi="Times New Roman" w:cs="Times New Roman"/>
          <w:sz w:val="24"/>
          <w:szCs w:val="24"/>
        </w:rPr>
        <w:t xml:space="preserve">nad </w:t>
      </w:r>
      <w:r w:rsidRPr="0018524B">
        <w:rPr>
          <w:rFonts w:ascii="Times New Roman" w:hAnsi="Times New Roman" w:cs="Times New Roman"/>
          <w:sz w:val="24"/>
          <w:szCs w:val="24"/>
        </w:rPr>
        <w:t>uzyskiwani</w:t>
      </w:r>
      <w:r w:rsidR="00606AF4">
        <w:rPr>
          <w:rFonts w:ascii="Times New Roman" w:hAnsi="Times New Roman" w:cs="Times New Roman"/>
          <w:sz w:val="24"/>
          <w:szCs w:val="24"/>
        </w:rPr>
        <w:t>em</w:t>
      </w:r>
      <w:r w:rsidRPr="0018524B">
        <w:rPr>
          <w:rFonts w:ascii="Times New Roman" w:hAnsi="Times New Roman" w:cs="Times New Roman"/>
          <w:sz w:val="24"/>
          <w:szCs w:val="24"/>
        </w:rPr>
        <w:t xml:space="preserve"> przez Generalnego Inspektora objętych tajemnicą telekomunikacyjną informacji o adresach IP, z których następowało połączenie z systemem teleinformatycznym instytucji obowiązanej, oraz czasów połączeń z tym systemem.</w:t>
      </w:r>
      <w:r w:rsidR="007F63A1" w:rsidRPr="007F63A1">
        <w:rPr>
          <w:rFonts w:ascii="Times New Roman" w:hAnsi="Times New Roman" w:cs="Times New Roman"/>
          <w:sz w:val="24"/>
          <w:szCs w:val="24"/>
        </w:rPr>
        <w:t xml:space="preserve"> </w:t>
      </w:r>
      <w:r w:rsidR="00606AF4">
        <w:rPr>
          <w:rFonts w:ascii="Times New Roman" w:hAnsi="Times New Roman" w:cs="Times New Roman"/>
          <w:sz w:val="24"/>
          <w:szCs w:val="24"/>
        </w:rPr>
        <w:t>Celem</w:t>
      </w:r>
      <w:r w:rsidR="00606AF4" w:rsidRPr="00606AF4">
        <w:rPr>
          <w:rFonts w:ascii="Times New Roman" w:hAnsi="Times New Roman" w:cs="Times New Roman"/>
          <w:sz w:val="24"/>
          <w:szCs w:val="24"/>
        </w:rPr>
        <w:t xml:space="preserve"> zmian w art. 98 ustawy o p.p.p.f.t. jest ujednolicenie redakcji przepisów ustawy regulujących obowiązki związane z zachowaniem tajemnic prawnie chronionych. </w:t>
      </w:r>
      <w:r w:rsidR="007F63A1" w:rsidRPr="002051F0">
        <w:rPr>
          <w:rFonts w:ascii="Times New Roman" w:hAnsi="Times New Roman" w:cs="Times New Roman"/>
          <w:sz w:val="24"/>
          <w:szCs w:val="24"/>
        </w:rPr>
        <w:t>Wymóg stosowania przepisów o ochronie informacji niejawnych w odniesieniu do ust. 2, zosta</w:t>
      </w:r>
      <w:r w:rsidR="007F63A1">
        <w:rPr>
          <w:rFonts w:ascii="Times New Roman" w:hAnsi="Times New Roman" w:cs="Times New Roman"/>
          <w:sz w:val="24"/>
          <w:szCs w:val="24"/>
        </w:rPr>
        <w:t>nie</w:t>
      </w:r>
      <w:r w:rsidR="007F63A1" w:rsidRPr="002051F0">
        <w:rPr>
          <w:rFonts w:ascii="Times New Roman" w:hAnsi="Times New Roman" w:cs="Times New Roman"/>
          <w:sz w:val="24"/>
          <w:szCs w:val="24"/>
        </w:rPr>
        <w:t xml:space="preserve"> zachowany </w:t>
      </w:r>
      <w:r w:rsidR="00606AF4">
        <w:rPr>
          <w:rFonts w:ascii="Times New Roman" w:hAnsi="Times New Roman" w:cs="Times New Roman"/>
          <w:sz w:val="24"/>
          <w:szCs w:val="24"/>
        </w:rPr>
        <w:t>w związku z wprowadzeniem</w:t>
      </w:r>
      <w:r w:rsidR="007F63A1" w:rsidRPr="002051F0">
        <w:rPr>
          <w:rFonts w:ascii="Times New Roman" w:hAnsi="Times New Roman" w:cs="Times New Roman"/>
          <w:sz w:val="24"/>
          <w:szCs w:val="24"/>
        </w:rPr>
        <w:t xml:space="preserve"> ust. 5. </w:t>
      </w:r>
      <w:r w:rsidR="007F63A1">
        <w:rPr>
          <w:rFonts w:ascii="Times New Roman" w:hAnsi="Times New Roman" w:cs="Times New Roman"/>
          <w:sz w:val="24"/>
          <w:szCs w:val="24"/>
        </w:rPr>
        <w:t xml:space="preserve">Z uwagi na powyższe </w:t>
      </w:r>
      <w:r w:rsidR="00606AF4">
        <w:rPr>
          <w:rFonts w:ascii="Times New Roman" w:hAnsi="Times New Roman" w:cs="Times New Roman"/>
          <w:sz w:val="24"/>
          <w:szCs w:val="24"/>
        </w:rPr>
        <w:t xml:space="preserve">nie zachodzi potrzeba </w:t>
      </w:r>
      <w:r w:rsidR="007F63A1" w:rsidRPr="002051F0">
        <w:rPr>
          <w:rFonts w:ascii="Times New Roman" w:hAnsi="Times New Roman" w:cs="Times New Roman"/>
          <w:sz w:val="24"/>
          <w:szCs w:val="24"/>
        </w:rPr>
        <w:t>wprowadzania przepis</w:t>
      </w:r>
      <w:r w:rsidR="007F63A1">
        <w:rPr>
          <w:rFonts w:ascii="Times New Roman" w:hAnsi="Times New Roman" w:cs="Times New Roman"/>
          <w:sz w:val="24"/>
          <w:szCs w:val="24"/>
        </w:rPr>
        <w:t>ów</w:t>
      </w:r>
      <w:r w:rsidR="007F63A1" w:rsidRPr="002051F0">
        <w:rPr>
          <w:rFonts w:ascii="Times New Roman" w:hAnsi="Times New Roman" w:cs="Times New Roman"/>
          <w:sz w:val="24"/>
          <w:szCs w:val="24"/>
        </w:rPr>
        <w:t xml:space="preserve"> przejściow</w:t>
      </w:r>
      <w:r w:rsidR="007F63A1">
        <w:rPr>
          <w:rFonts w:ascii="Times New Roman" w:hAnsi="Times New Roman" w:cs="Times New Roman"/>
          <w:sz w:val="24"/>
          <w:szCs w:val="24"/>
        </w:rPr>
        <w:t>ych</w:t>
      </w:r>
      <w:r w:rsidR="007F63A1" w:rsidRPr="002051F0">
        <w:rPr>
          <w:rFonts w:ascii="Times New Roman" w:hAnsi="Times New Roman" w:cs="Times New Roman"/>
          <w:sz w:val="24"/>
          <w:szCs w:val="24"/>
        </w:rPr>
        <w:t>.</w:t>
      </w:r>
    </w:p>
    <w:p w14:paraId="2AB211A8" w14:textId="0A5CC1B3" w:rsidR="00BC25D9" w:rsidRPr="0018524B" w:rsidRDefault="00BC25D9" w:rsidP="00BC25D9">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Zmiana redakcji </w:t>
      </w:r>
      <w:r w:rsidRPr="0018524B">
        <w:rPr>
          <w:rFonts w:ascii="Times New Roman" w:hAnsi="Times New Roman" w:cs="Times New Roman"/>
          <w:b/>
          <w:sz w:val="24"/>
          <w:szCs w:val="24"/>
        </w:rPr>
        <w:t>art. 102 ust. 1 pkt 1 ustawy o p.p.p.f.t.</w:t>
      </w:r>
      <w:r w:rsidRPr="0018524B">
        <w:rPr>
          <w:rFonts w:ascii="Times New Roman" w:hAnsi="Times New Roman" w:cs="Times New Roman"/>
          <w:sz w:val="24"/>
          <w:szCs w:val="24"/>
        </w:rPr>
        <w:t xml:space="preserve"> ma na celu precyzyjniejsze wyrażanie wymogów wynikających z dyrektywy 2015/849 poprzez zwiększenie zakresu ochrony przewidzianej dla osób dokonujących w imieniu instytucji obowiązanych również na przypadki dokonywania zgłoszeń o, których mowa w art. 89 ust. 1 i art. 90 ust. 1 ustawy o p.p.p.f.t.</w:t>
      </w:r>
      <w:r w:rsidR="00C6045B">
        <w:rPr>
          <w:rFonts w:ascii="Times New Roman" w:hAnsi="Times New Roman" w:cs="Times New Roman"/>
          <w:sz w:val="24"/>
          <w:szCs w:val="24"/>
        </w:rPr>
        <w:t xml:space="preserve"> </w:t>
      </w:r>
    </w:p>
    <w:p w14:paraId="649DF6D9" w14:textId="2A8A26E9" w:rsidR="0002441E" w:rsidRPr="0018524B" w:rsidRDefault="00A00C44"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W ramach nowelizacji </w:t>
      </w:r>
      <w:r w:rsidRPr="0018524B">
        <w:rPr>
          <w:rFonts w:ascii="Times New Roman" w:hAnsi="Times New Roman" w:cs="Times New Roman"/>
          <w:b/>
          <w:sz w:val="24"/>
          <w:szCs w:val="24"/>
        </w:rPr>
        <w:t xml:space="preserve">dodano </w:t>
      </w:r>
      <w:r w:rsidR="00A01FDF" w:rsidRPr="0018524B">
        <w:rPr>
          <w:rFonts w:ascii="Times New Roman" w:hAnsi="Times New Roman" w:cs="Times New Roman"/>
          <w:b/>
          <w:sz w:val="24"/>
          <w:szCs w:val="24"/>
        </w:rPr>
        <w:t>do art. 104</w:t>
      </w:r>
      <w:r w:rsidR="00A01FDF" w:rsidRPr="0018524B">
        <w:rPr>
          <w:rFonts w:ascii="Times New Roman" w:hAnsi="Times New Roman" w:cs="Times New Roman"/>
          <w:sz w:val="24"/>
          <w:szCs w:val="24"/>
        </w:rPr>
        <w:t xml:space="preserve"> </w:t>
      </w:r>
      <w:r w:rsidRPr="0018524B">
        <w:rPr>
          <w:rFonts w:ascii="Times New Roman" w:hAnsi="Times New Roman" w:cs="Times New Roman"/>
          <w:b/>
          <w:sz w:val="24"/>
          <w:szCs w:val="24"/>
        </w:rPr>
        <w:t xml:space="preserve">ust. 4 </w:t>
      </w:r>
      <w:r w:rsidRPr="0018524B">
        <w:rPr>
          <w:rFonts w:ascii="Times New Roman" w:hAnsi="Times New Roman" w:cs="Times New Roman"/>
          <w:sz w:val="24"/>
          <w:szCs w:val="24"/>
        </w:rPr>
        <w:t xml:space="preserve">ustawy o p.p.p.f.t., a także nadano </w:t>
      </w:r>
      <w:r w:rsidRPr="0018524B">
        <w:rPr>
          <w:rFonts w:ascii="Times New Roman" w:hAnsi="Times New Roman" w:cs="Times New Roman"/>
          <w:b/>
          <w:sz w:val="24"/>
          <w:szCs w:val="24"/>
        </w:rPr>
        <w:t>nowe brzmienie art. 105 ust. 6 ustawy o p.p.p.f.t.</w:t>
      </w:r>
      <w:r w:rsidRPr="0018524B">
        <w:rPr>
          <w:rFonts w:ascii="Times New Roman" w:hAnsi="Times New Roman" w:cs="Times New Roman"/>
          <w:sz w:val="24"/>
          <w:szCs w:val="24"/>
        </w:rPr>
        <w:t xml:space="preserve"> Obie zmiany wynikają z potrzeby pełniejszego oddania w przepisach krajowych </w:t>
      </w:r>
      <w:r w:rsidR="0002441E" w:rsidRPr="0018524B">
        <w:rPr>
          <w:rFonts w:ascii="Times New Roman" w:hAnsi="Times New Roman" w:cs="Times New Roman"/>
          <w:sz w:val="24"/>
          <w:szCs w:val="24"/>
        </w:rPr>
        <w:t>wymogów</w:t>
      </w:r>
      <w:r w:rsidRPr="0018524B">
        <w:rPr>
          <w:rFonts w:ascii="Times New Roman" w:hAnsi="Times New Roman" w:cs="Times New Roman"/>
          <w:sz w:val="24"/>
          <w:szCs w:val="24"/>
        </w:rPr>
        <w:t xml:space="preserve"> art. 32 ust. </w:t>
      </w:r>
      <w:r w:rsidR="0002441E" w:rsidRPr="0018524B">
        <w:rPr>
          <w:rFonts w:ascii="Times New Roman" w:hAnsi="Times New Roman" w:cs="Times New Roman"/>
          <w:sz w:val="24"/>
          <w:szCs w:val="24"/>
        </w:rPr>
        <w:t xml:space="preserve">4 i </w:t>
      </w:r>
      <w:r w:rsidRPr="0018524B">
        <w:rPr>
          <w:rFonts w:ascii="Times New Roman" w:hAnsi="Times New Roman" w:cs="Times New Roman"/>
          <w:sz w:val="24"/>
          <w:szCs w:val="24"/>
        </w:rPr>
        <w:t xml:space="preserve">5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y 2015/849, wskazującego przesłanki odmowy udzielenia </w:t>
      </w:r>
      <w:r w:rsidR="003C2B4D" w:rsidRPr="0018524B">
        <w:rPr>
          <w:rFonts w:ascii="Times New Roman" w:hAnsi="Times New Roman" w:cs="Times New Roman"/>
          <w:sz w:val="24"/>
          <w:szCs w:val="24"/>
        </w:rPr>
        <w:t xml:space="preserve">przez jednostkę analityki finansowej </w:t>
      </w:r>
      <w:r w:rsidRPr="0018524B">
        <w:rPr>
          <w:rFonts w:ascii="Times New Roman" w:hAnsi="Times New Roman" w:cs="Times New Roman"/>
          <w:sz w:val="24"/>
          <w:szCs w:val="24"/>
        </w:rPr>
        <w:t>informacji</w:t>
      </w:r>
      <w:r w:rsidR="003C2B4D" w:rsidRPr="0018524B">
        <w:rPr>
          <w:rFonts w:ascii="Times New Roman" w:hAnsi="Times New Roman" w:cs="Times New Roman"/>
          <w:sz w:val="24"/>
          <w:szCs w:val="24"/>
        </w:rPr>
        <w:t xml:space="preserve"> organom właściwym. Zgodnie z przyjętymi na gruncie prawa polskiego rozwiązaniami, krajowe organy uprawnione do uzyskiwania informacji finansowej zostały wymienione w art. 104 i 105 ustawy o p.p.p.f.t., dlatego też </w:t>
      </w:r>
      <w:r w:rsidR="00B95DE8" w:rsidRPr="0018524B">
        <w:rPr>
          <w:rFonts w:ascii="Times New Roman" w:hAnsi="Times New Roman" w:cs="Times New Roman"/>
          <w:sz w:val="24"/>
          <w:szCs w:val="24"/>
        </w:rPr>
        <w:t xml:space="preserve">to w tych przepisach zostały wyszczególnione </w:t>
      </w:r>
      <w:r w:rsidR="003C2B4D" w:rsidRPr="0018524B">
        <w:rPr>
          <w:rFonts w:ascii="Times New Roman" w:hAnsi="Times New Roman" w:cs="Times New Roman"/>
          <w:sz w:val="24"/>
          <w:szCs w:val="24"/>
        </w:rPr>
        <w:t>przesłanki odmowy udzielenia informacji</w:t>
      </w:r>
      <w:r w:rsidRPr="0018524B">
        <w:rPr>
          <w:rFonts w:ascii="Times New Roman" w:hAnsi="Times New Roman" w:cs="Times New Roman"/>
          <w:sz w:val="24"/>
          <w:szCs w:val="24"/>
        </w:rPr>
        <w:t>.</w:t>
      </w:r>
      <w:r w:rsidR="00BC25D9" w:rsidRPr="0018524B">
        <w:rPr>
          <w:rFonts w:ascii="Times New Roman" w:hAnsi="Times New Roman" w:cs="Times New Roman"/>
          <w:sz w:val="24"/>
          <w:szCs w:val="24"/>
        </w:rPr>
        <w:t xml:space="preserve"> </w:t>
      </w:r>
      <w:r w:rsidR="0002441E" w:rsidRPr="0018524B">
        <w:rPr>
          <w:rFonts w:ascii="Times New Roman" w:hAnsi="Times New Roman" w:cs="Times New Roman"/>
          <w:sz w:val="24"/>
          <w:szCs w:val="24"/>
        </w:rPr>
        <w:t>Przywołany przepis dyrektywy 2015/849</w:t>
      </w:r>
      <w:r w:rsidR="00C6045B">
        <w:rPr>
          <w:rFonts w:ascii="Times New Roman" w:hAnsi="Times New Roman" w:cs="Times New Roman"/>
          <w:sz w:val="24"/>
          <w:szCs w:val="24"/>
        </w:rPr>
        <w:t xml:space="preserve"> </w:t>
      </w:r>
      <w:r w:rsidR="0002441E" w:rsidRPr="0018524B">
        <w:rPr>
          <w:rFonts w:ascii="Times New Roman" w:hAnsi="Times New Roman" w:cs="Times New Roman"/>
          <w:sz w:val="24"/>
          <w:szCs w:val="24"/>
        </w:rPr>
        <w:t xml:space="preserve">wskazuje przesłanki odmowy udzielenia przez jednostkę analityki finansowej informacji organom właściwym. W świetle art. 32 ust. 4 zd. 2 dyrektywy 2015/849 Generalny Inspektor Informacji Finansowej (działając jako krajowa jednostka analityki finansowej) musi być w stanie odpowiadać na wnioski o informacje składane przez właściwe organy, gdy podstawą tych wniosków są przestępstwa źródłowe powiązane z praniem pieniędzy lub kwestie związane z finansowaniem terroryzmu. Decyzja o przeprowadzeniu analizy lub rozpowszechnieniu informacji w świetle art. 32 ust. 4 zd. 3 dyrektywy 2015/849 powinna jednak pozostawać w gestii Generalnego Inspektora Informacji Finansowej (działającego jako krajowa jednostka analityki finansowej). Wymaga podkreślenia, że w tym zakresie dyrektywa nie przewiduje żadnych wyjątków. W związku z tym zgodnie z dyrektywą 2015/849 Generalny Inspektor </w:t>
      </w:r>
      <w:r w:rsidR="0002441E" w:rsidRPr="0018524B">
        <w:rPr>
          <w:rFonts w:ascii="Times New Roman" w:hAnsi="Times New Roman" w:cs="Times New Roman"/>
          <w:sz w:val="24"/>
          <w:szCs w:val="24"/>
        </w:rPr>
        <w:lastRenderedPageBreak/>
        <w:t>Informacji Finansowej musi być wyposażony w kompetencję odmowy udzielenia informacji każdemu organowi bez względu na jego uprawnienia wynikające z przepisów polskiego prawa. W świetle art. 32 ust. 5 dyrektywy 2015/849 w sytuacji gdy istnieją obiektywne przesłanki, aby zakładać, że udzielenie takich informacji miałoby negatywny wpływ na trwające dochodzenia lub analizy, lub w wyjątkowych okolicznościach, gdy ujawnienie takich informacji byłoby wyraźnie nieproporcjonalne do uzasadnionych interesów osoby fizycznej lub prawnej lub nieistotne z punktu widzenia celów, dla których złożono wniosek o ich udzielenie Generalny Inspektor Informacji Finansowej (działając jako polska jednostka analityki finansowej) nie powinien mieć obowiązku przychylenia się do takiego wniosku o informacje. Wymaga podkreślenia, że dyrektywa 2015/849</w:t>
      </w:r>
      <w:r w:rsidR="00C6045B">
        <w:rPr>
          <w:rFonts w:ascii="Times New Roman" w:hAnsi="Times New Roman" w:cs="Times New Roman"/>
          <w:sz w:val="24"/>
          <w:szCs w:val="24"/>
        </w:rPr>
        <w:t xml:space="preserve"> </w:t>
      </w:r>
      <w:r w:rsidR="0002441E" w:rsidRPr="0018524B">
        <w:rPr>
          <w:rFonts w:ascii="Times New Roman" w:hAnsi="Times New Roman" w:cs="Times New Roman"/>
          <w:sz w:val="24"/>
          <w:szCs w:val="24"/>
        </w:rPr>
        <w:t>nie wiąże przesłanek odmowy udostępnienia informacji z konkretnymi podmiotami. W związku z tym zgodnie z dyrektywą 2015/849 wszystkie powyżej wskazane przesłanki muszą znaleźć zastosowanie do wszystkich kierowanych do Generalnego Inspektora Informacji Finansowej wniosków, w tym również składanych przez organy prowadzące postępowanie karne. Wskazać należy również na motyw 37 preambuły dyrektywy 2015/849, zgodnie z którym „wszystkie państwa członkowskie ustanowiły lub powinny ustanowić niezależne i autonomiczne pod względem operacyjnym jednostki analityki finansowej odpowiedzialne za gromadzenie i analizowanie informacji przez nie otrzymywanych w celu ustalenia powiązań między podejrzanymi transakcjami a leżącą u ich podstaw działalnością przestępczą w celu zapobiegania praniu pieniędzy i finansowaniu terroryzmu oraz ich zwalczania. Niezależna i autonomiczna pod względem operacyjnym jednostka analityki finansowej powinna oznaczać jednostkę posiadającą uprawnienia i możliwości, by swobodnie wykonywać swoje funkcje, w tym podejmować autonomiczne decyzje w zakresie analizowania, żądania i rozpowszechniania określonych informacji.” Projektodawca podkreśla, że konieczność zmiany treści art. 104 ust. 4 ustawy o p.p.p.f.t. została wyraźnie wskazana przez Komisję Europejską w dodatkowej uzasadnionej opinii wystosowanej do Rzeczypospolitej Polskiej w toku postępowania nr 2017/0401.</w:t>
      </w:r>
      <w:r w:rsidR="00C6045B">
        <w:rPr>
          <w:rFonts w:ascii="Times New Roman" w:hAnsi="Times New Roman" w:cs="Times New Roman"/>
          <w:sz w:val="24"/>
          <w:szCs w:val="24"/>
        </w:rPr>
        <w:t xml:space="preserve"> </w:t>
      </w:r>
      <w:r w:rsidR="0002441E" w:rsidRPr="0018524B">
        <w:rPr>
          <w:rFonts w:ascii="Times New Roman" w:hAnsi="Times New Roman" w:cs="Times New Roman"/>
          <w:sz w:val="24"/>
          <w:szCs w:val="24"/>
        </w:rPr>
        <w:t>Komisja Europejska przedstawiła uwagi do sposobu implementacji art. 32 ust. 4 i 5 dyrektywy 2015/849, zgodnie z którymi „podczas gdy art. 104 zapewnia, że na żądanie Generalny Inspektor Informacji Finansowej udziela informacji sądom i prokuratorom do celów postępowania karnego. Nie ma przepisu gwarantującego, że decyzja o przeprowadzeniu analizy lub rozpowszechnieniu informacji dla sądów i prokuratorów należy do Generalnego Inspektora Informacji Finansowej.</w:t>
      </w:r>
      <w:r w:rsidR="00C6045B">
        <w:rPr>
          <w:rFonts w:ascii="Times New Roman" w:hAnsi="Times New Roman" w:cs="Times New Roman"/>
          <w:sz w:val="24"/>
          <w:szCs w:val="24"/>
        </w:rPr>
        <w:t xml:space="preserve"> </w:t>
      </w:r>
      <w:r w:rsidR="0002441E" w:rsidRPr="0018524B">
        <w:rPr>
          <w:rFonts w:ascii="Times New Roman" w:hAnsi="Times New Roman" w:cs="Times New Roman"/>
          <w:sz w:val="24"/>
          <w:szCs w:val="24"/>
        </w:rPr>
        <w:t>Nie zostało wyraźnie stwierdzone, że Generalny Inspektor Informacji Finansowej może odmówić udzielenia informacji, jeżeli żądane informacje są nieistotne w odniesieniu do celów, dla k</w:t>
      </w:r>
      <w:r w:rsidR="002B4931" w:rsidRPr="0018524B">
        <w:rPr>
          <w:rFonts w:ascii="Times New Roman" w:hAnsi="Times New Roman" w:cs="Times New Roman"/>
          <w:sz w:val="24"/>
          <w:szCs w:val="24"/>
        </w:rPr>
        <w:t xml:space="preserve">tórych zostały zawnioskowane.” </w:t>
      </w:r>
      <w:r w:rsidR="0002441E" w:rsidRPr="0018524B">
        <w:rPr>
          <w:rFonts w:ascii="Times New Roman" w:hAnsi="Times New Roman" w:cs="Times New Roman"/>
          <w:sz w:val="24"/>
          <w:szCs w:val="24"/>
        </w:rPr>
        <w:t xml:space="preserve">W związku z powyższym projektodawca, zobowiązany jest do wzięcia pod uwagę w tym zakresie uwag i wytycznych </w:t>
      </w:r>
      <w:r w:rsidR="0002441E" w:rsidRPr="0018524B">
        <w:rPr>
          <w:rFonts w:ascii="Times New Roman" w:hAnsi="Times New Roman" w:cs="Times New Roman"/>
          <w:sz w:val="24"/>
          <w:szCs w:val="24"/>
        </w:rPr>
        <w:lastRenderedPageBreak/>
        <w:t>Komisji Europejskiej. Wydaje się jednocześnie, że sytuacja</w:t>
      </w:r>
      <w:r w:rsidR="00563B5F">
        <w:rPr>
          <w:rFonts w:ascii="Times New Roman" w:hAnsi="Times New Roman" w:cs="Times New Roman"/>
          <w:sz w:val="24"/>
          <w:szCs w:val="24"/>
        </w:rPr>
        <w:t>,</w:t>
      </w:r>
      <w:r w:rsidR="0002441E" w:rsidRPr="0018524B">
        <w:rPr>
          <w:rFonts w:ascii="Times New Roman" w:hAnsi="Times New Roman" w:cs="Times New Roman"/>
          <w:sz w:val="24"/>
          <w:szCs w:val="24"/>
        </w:rPr>
        <w:t xml:space="preserve"> w której wniosek o udostępnienie informacji lub dokumentów skierowany przez uprawniony do tego organ na potrzeby postępowania karnego zostałby uznany przez Generalnego Inspektora Informacji Finansowej za spełniający przesłanki, o których mowa w art. 104 ust. 4 ustawy o p.p.p.f.t., z założenia jest sytuacją wyjątkową. Niemniej zgodnie z postanowieniami dyrektywy, wprowadzenie art. 104 ust. 4</w:t>
      </w:r>
      <w:r w:rsidR="00C6045B">
        <w:rPr>
          <w:rFonts w:ascii="Times New Roman" w:hAnsi="Times New Roman" w:cs="Times New Roman"/>
          <w:sz w:val="24"/>
          <w:szCs w:val="24"/>
        </w:rPr>
        <w:t xml:space="preserve"> </w:t>
      </w:r>
      <w:r w:rsidR="00ED1152" w:rsidRPr="0018524B">
        <w:rPr>
          <w:rFonts w:ascii="Times New Roman" w:hAnsi="Times New Roman" w:cs="Times New Roman"/>
          <w:sz w:val="24"/>
          <w:szCs w:val="24"/>
        </w:rPr>
        <w:t xml:space="preserve">oraz odpowiednią modyfikację treści art. 105 ust. 6 </w:t>
      </w:r>
      <w:r w:rsidR="0002441E" w:rsidRPr="0018524B">
        <w:rPr>
          <w:rFonts w:ascii="Times New Roman" w:hAnsi="Times New Roman" w:cs="Times New Roman"/>
          <w:sz w:val="24"/>
          <w:szCs w:val="24"/>
        </w:rPr>
        <w:t xml:space="preserve">ustawy o p.p.p.f.t. </w:t>
      </w:r>
      <w:r w:rsidR="00ED1152" w:rsidRPr="0018524B">
        <w:rPr>
          <w:rFonts w:ascii="Times New Roman" w:hAnsi="Times New Roman" w:cs="Times New Roman"/>
          <w:sz w:val="24"/>
          <w:szCs w:val="24"/>
        </w:rPr>
        <w:t>należy uznać za konieczne.</w:t>
      </w:r>
      <w:r w:rsidR="00B7781E" w:rsidRPr="0018524B">
        <w:rPr>
          <w:rFonts w:ascii="Times New Roman" w:hAnsi="Times New Roman" w:cs="Times New Roman"/>
          <w:sz w:val="24"/>
          <w:szCs w:val="24"/>
        </w:rPr>
        <w:t xml:space="preserve"> </w:t>
      </w:r>
      <w:r w:rsidR="00915710" w:rsidRPr="0018524B">
        <w:rPr>
          <w:rFonts w:ascii="Times New Roman" w:hAnsi="Times New Roman" w:cs="Times New Roman"/>
          <w:sz w:val="24"/>
          <w:szCs w:val="24"/>
        </w:rPr>
        <w:t xml:space="preserve">Projektodawca zauważa </w:t>
      </w:r>
      <w:r w:rsidR="00B7781E" w:rsidRPr="0018524B">
        <w:rPr>
          <w:rFonts w:ascii="Times New Roman" w:hAnsi="Times New Roman" w:cs="Times New Roman"/>
          <w:sz w:val="24"/>
          <w:szCs w:val="24"/>
        </w:rPr>
        <w:t>ponadto, że przepisy ustawy o p.p.p.f.t. nie wyłączają uprawnień sądów i prokuratur do pozyskiwania materiału dowodowego na podstawie przepisów regulujących postępowanie karne.</w:t>
      </w:r>
      <w:r w:rsidR="00806E15" w:rsidRPr="0018524B">
        <w:rPr>
          <w:rFonts w:ascii="Times New Roman" w:hAnsi="Times New Roman" w:cs="Times New Roman"/>
          <w:sz w:val="24"/>
          <w:szCs w:val="24"/>
        </w:rPr>
        <w:t xml:space="preserve"> Zauważyć ponadto należy, iż </w:t>
      </w:r>
      <w:r w:rsidR="008C4FC5" w:rsidRPr="0018524B">
        <w:rPr>
          <w:rFonts w:ascii="Times New Roman" w:hAnsi="Times New Roman" w:cs="Times New Roman"/>
          <w:sz w:val="24"/>
          <w:szCs w:val="24"/>
        </w:rPr>
        <w:t>w art. 104 ust. 4 ustawy o p.p.p.f.t. wskazano na podstawę do odmowy udzielenia odpowiedzi na wniosek złożony na podstawie ust. 1 tego przepisu. Odpowiedź na w</w:t>
      </w:r>
      <w:r w:rsidR="00563B5F">
        <w:rPr>
          <w:rFonts w:ascii="Times New Roman" w:hAnsi="Times New Roman" w:cs="Times New Roman"/>
          <w:sz w:val="24"/>
          <w:szCs w:val="24"/>
        </w:rPr>
        <w:t>n</w:t>
      </w:r>
      <w:r w:rsidR="008C4FC5" w:rsidRPr="0018524B">
        <w:rPr>
          <w:rFonts w:ascii="Times New Roman" w:hAnsi="Times New Roman" w:cs="Times New Roman"/>
          <w:sz w:val="24"/>
          <w:szCs w:val="24"/>
        </w:rPr>
        <w:t>iosek składany przez prokuratora na podstawie art. 104 ust. 2 ustawy o p.p.p.f.t. zostanie udzielona każdorazowo. Różne potraktowanie wniosków z art. 104 ust. 1 oraz ust. 2 ustawy o p.p.p.f.t. wynika z faktu, iż art. 104 ust. 2 ustawy o p.p.p.f.t. przewiduje faktycznie możliwość złożenia wniosku o uzupełnienie zawiadomienia o podejrzeniu popełnienia przestępstwa, złożonego przez Generalnego Inspektora. Tym samym sprawa</w:t>
      </w:r>
      <w:r w:rsidR="00563B5F">
        <w:rPr>
          <w:rFonts w:ascii="Times New Roman" w:hAnsi="Times New Roman" w:cs="Times New Roman"/>
          <w:sz w:val="24"/>
          <w:szCs w:val="24"/>
        </w:rPr>
        <w:t>,</w:t>
      </w:r>
      <w:r w:rsidR="008C4FC5" w:rsidRPr="0018524B">
        <w:rPr>
          <w:rFonts w:ascii="Times New Roman" w:hAnsi="Times New Roman" w:cs="Times New Roman"/>
          <w:sz w:val="24"/>
          <w:szCs w:val="24"/>
        </w:rPr>
        <w:t xml:space="preserve"> w której składany jest wniosek na podstawie art. 104 ust. 2 ustawy o p.p.p.f.t., została zainicjowana przez Generalnego Inspektora, który w momencie składania zawiadomienia podjął decyzję o rozpowszechnieniu informacji będących w jego posiadaniu. </w:t>
      </w:r>
    </w:p>
    <w:p w14:paraId="748262C5" w14:textId="59F4A1EF" w:rsidR="00A00C44" w:rsidRPr="0018524B" w:rsidRDefault="00BC25D9"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Ponadto, </w:t>
      </w:r>
      <w:r w:rsidR="00025112" w:rsidRPr="0018524B">
        <w:rPr>
          <w:rFonts w:ascii="Times New Roman" w:hAnsi="Times New Roman" w:cs="Times New Roman"/>
          <w:sz w:val="24"/>
          <w:szCs w:val="24"/>
        </w:rPr>
        <w:t xml:space="preserve">w art. 105 ust. 2 ustawy o p.p.p.f.t. dodano punkt trzeci, </w:t>
      </w:r>
      <w:r w:rsidRPr="0018524B">
        <w:rPr>
          <w:rFonts w:ascii="Times New Roman" w:hAnsi="Times New Roman" w:cs="Times New Roman"/>
          <w:sz w:val="24"/>
          <w:szCs w:val="24"/>
        </w:rPr>
        <w:t>wprowadz</w:t>
      </w:r>
      <w:r w:rsidR="00025112" w:rsidRPr="0018524B">
        <w:rPr>
          <w:rFonts w:ascii="Times New Roman" w:hAnsi="Times New Roman" w:cs="Times New Roman"/>
          <w:sz w:val="24"/>
          <w:szCs w:val="24"/>
        </w:rPr>
        <w:t>ając</w:t>
      </w:r>
      <w:r w:rsidRPr="0018524B">
        <w:rPr>
          <w:rFonts w:ascii="Times New Roman" w:hAnsi="Times New Roman" w:cs="Times New Roman"/>
          <w:sz w:val="24"/>
          <w:szCs w:val="24"/>
        </w:rPr>
        <w:t xml:space="preserve"> możliwość udostępniania Szefowi Krajowej Administracji Skarbowej informacji, o których mowa w art. 72, a więc informacji o tzw. „transakcjach ponadprogowych” na zasadach analogicznych do tych przewidzianych dla Centralnego Biura Antykorupcyjnego oraz Szefa Agencji Bezpieczeństwa Wewnętrznego.</w:t>
      </w:r>
    </w:p>
    <w:p w14:paraId="49142683" w14:textId="66E13E7D" w:rsidR="00C34D49" w:rsidRPr="0018524B" w:rsidRDefault="00BC25D9"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Zmiany wprowadzone do </w:t>
      </w:r>
      <w:r w:rsidR="002B6798" w:rsidRPr="0018524B">
        <w:rPr>
          <w:rFonts w:ascii="Times New Roman" w:hAnsi="Times New Roman" w:cs="Times New Roman"/>
          <w:b/>
          <w:sz w:val="24"/>
          <w:szCs w:val="24"/>
        </w:rPr>
        <w:t xml:space="preserve">art. 111 ust. </w:t>
      </w:r>
      <w:r w:rsidRPr="0018524B">
        <w:rPr>
          <w:rFonts w:ascii="Times New Roman" w:hAnsi="Times New Roman" w:cs="Times New Roman"/>
          <w:b/>
          <w:sz w:val="24"/>
          <w:szCs w:val="24"/>
        </w:rPr>
        <w:t>6</w:t>
      </w:r>
      <w:r w:rsidR="00C6045B">
        <w:rPr>
          <w:rFonts w:ascii="Times New Roman" w:hAnsi="Times New Roman" w:cs="Times New Roman"/>
          <w:sz w:val="24"/>
          <w:szCs w:val="24"/>
        </w:rPr>
        <w:t xml:space="preserve"> </w:t>
      </w:r>
      <w:r w:rsidRPr="0018524B">
        <w:rPr>
          <w:rFonts w:ascii="Times New Roman" w:hAnsi="Times New Roman" w:cs="Times New Roman"/>
          <w:sz w:val="24"/>
          <w:szCs w:val="24"/>
        </w:rPr>
        <w:t>mają na celu wdrożenia regulacji wynikającej</w:t>
      </w:r>
      <w:r w:rsidR="00C6045B">
        <w:rPr>
          <w:rFonts w:ascii="Times New Roman" w:hAnsi="Times New Roman" w:cs="Times New Roman"/>
          <w:sz w:val="24"/>
          <w:szCs w:val="24"/>
        </w:rPr>
        <w:t xml:space="preserve"> </w:t>
      </w:r>
      <w:r w:rsidRPr="0018524B">
        <w:rPr>
          <w:rFonts w:ascii="Times New Roman" w:hAnsi="Times New Roman" w:cs="Times New Roman"/>
          <w:sz w:val="24"/>
          <w:szCs w:val="24"/>
        </w:rPr>
        <w:t xml:space="preserve">ze znowelizowanego </w:t>
      </w:r>
      <w:r w:rsidR="00C34D49" w:rsidRPr="0018524B">
        <w:rPr>
          <w:rFonts w:ascii="Times New Roman" w:hAnsi="Times New Roman" w:cs="Times New Roman"/>
          <w:sz w:val="24"/>
          <w:szCs w:val="24"/>
        </w:rPr>
        <w:t xml:space="preserve">art. 53 ust. 2 </w:t>
      </w:r>
      <w:r w:rsidR="00832446" w:rsidRPr="0018524B">
        <w:rPr>
          <w:rFonts w:ascii="Times New Roman" w:hAnsi="Times New Roman" w:cs="Times New Roman"/>
          <w:sz w:val="24"/>
          <w:szCs w:val="24"/>
        </w:rPr>
        <w:t>dyrektyw</w:t>
      </w:r>
      <w:r w:rsidR="00C34D49" w:rsidRPr="0018524B">
        <w:rPr>
          <w:rFonts w:ascii="Times New Roman" w:hAnsi="Times New Roman" w:cs="Times New Roman"/>
          <w:sz w:val="24"/>
          <w:szCs w:val="24"/>
        </w:rPr>
        <w:t>y 2015/849</w:t>
      </w:r>
      <w:r w:rsidRPr="0018524B">
        <w:rPr>
          <w:rFonts w:ascii="Times New Roman" w:hAnsi="Times New Roman" w:cs="Times New Roman"/>
          <w:sz w:val="24"/>
          <w:szCs w:val="24"/>
        </w:rPr>
        <w:t>,</w:t>
      </w:r>
      <w:r w:rsidR="00C34D49" w:rsidRPr="0018524B">
        <w:rPr>
          <w:rFonts w:ascii="Times New Roman" w:hAnsi="Times New Roman" w:cs="Times New Roman"/>
          <w:sz w:val="24"/>
          <w:szCs w:val="24"/>
        </w:rPr>
        <w:t xml:space="preserve"> </w:t>
      </w:r>
      <w:r w:rsidRPr="0018524B">
        <w:rPr>
          <w:rFonts w:ascii="Times New Roman" w:hAnsi="Times New Roman" w:cs="Times New Roman"/>
          <w:sz w:val="24"/>
          <w:szCs w:val="24"/>
        </w:rPr>
        <w:t>który wymaga aby</w:t>
      </w:r>
      <w:r w:rsidR="00C34D49" w:rsidRPr="0018524B">
        <w:rPr>
          <w:rFonts w:ascii="Times New Roman" w:hAnsi="Times New Roman" w:cs="Times New Roman"/>
          <w:sz w:val="24"/>
          <w:szCs w:val="24"/>
        </w:rPr>
        <w:t xml:space="preserve"> jednostka analityki finansowej, do której został skierowany wniosek o udostępnienie informacji od innej jednostki analityki finansowej</w:t>
      </w:r>
      <w:r w:rsidR="00E05C3E" w:rsidRPr="0018524B">
        <w:rPr>
          <w:rFonts w:ascii="Times New Roman" w:hAnsi="Times New Roman" w:cs="Times New Roman"/>
          <w:sz w:val="24"/>
          <w:szCs w:val="24"/>
        </w:rPr>
        <w:t>,</w:t>
      </w:r>
      <w:r w:rsidR="00235B60" w:rsidRPr="0018524B">
        <w:rPr>
          <w:rFonts w:ascii="Times New Roman" w:hAnsi="Times New Roman" w:cs="Times New Roman"/>
          <w:sz w:val="24"/>
          <w:szCs w:val="24"/>
        </w:rPr>
        <w:t xml:space="preserve"> była</w:t>
      </w:r>
      <w:r w:rsidR="00C34D49" w:rsidRPr="0018524B">
        <w:rPr>
          <w:rFonts w:ascii="Times New Roman" w:hAnsi="Times New Roman" w:cs="Times New Roman"/>
          <w:sz w:val="24"/>
          <w:szCs w:val="24"/>
        </w:rPr>
        <w:t xml:space="preserve"> obowiązana do uzyskania danych od podmiotów zobowiązanych oraz niezwłocznego przekazania odpowiedzi. </w:t>
      </w:r>
    </w:p>
    <w:p w14:paraId="63D50994" w14:textId="77777777" w:rsidR="00C34D49" w:rsidRPr="0018524B" w:rsidRDefault="00C34D49"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Art. 53 ust. 2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y wskazuje ponadto na konieczność niezwłocznego przekazywania odpowiedzi na zapytania zagranicznej jednostki analityki finansowej. W dotychczasowym brzmieniu art. 111 ust. 6 obowiązywał termin 30 dni na udzielenie odpowiedzi, jednakże należy zauważyć, iż był to termin maksymalny, w praktyce odpowiedzi były udzielane możliwie jak </w:t>
      </w:r>
      <w:r w:rsidRPr="0018524B">
        <w:rPr>
          <w:rFonts w:ascii="Times New Roman" w:hAnsi="Times New Roman" w:cs="Times New Roman"/>
          <w:sz w:val="24"/>
          <w:szCs w:val="24"/>
        </w:rPr>
        <w:lastRenderedPageBreak/>
        <w:t xml:space="preserve">najszybciej. Wskazanie terminu 30 dni wiązało się z faktem, iż nie wszystkie zagraniczne jednostki analityki finansowej korzystają z systemów elektronicznej wymiany informacji, takich jak FIU.net. Przy wykorzystaniu korespondencji tradycyjnej, zasadnym było wskazanie terminu umożliwiającego faktyczne zrealizowanie wniosku. W celu uniknięcia wątpliwości co do terminowości udzielania odpowiedzi zagranicznym jednostkom analityki finansowej, znowelizowano </w:t>
      </w:r>
      <w:r w:rsidRPr="0018524B">
        <w:rPr>
          <w:rFonts w:ascii="Times New Roman" w:hAnsi="Times New Roman" w:cs="Times New Roman"/>
          <w:b/>
          <w:sz w:val="24"/>
          <w:szCs w:val="24"/>
        </w:rPr>
        <w:t>art. 111 ust. 6 ustawy o p.p.p.f.t.</w:t>
      </w:r>
      <w:r w:rsidRPr="0018524B">
        <w:rPr>
          <w:rFonts w:ascii="Times New Roman" w:hAnsi="Times New Roman" w:cs="Times New Roman"/>
          <w:sz w:val="24"/>
          <w:szCs w:val="24"/>
        </w:rPr>
        <w:t xml:space="preserve">, poprzez wskazanie, iż w przypadku jednostek analityki finansowej państw członkowskich, informacje będą udostępniane niezwłocznie (państwa członkowskie korzystają z systemów elektronicznej wymiany informacji). W przypadku jednostek analityki finansowej z państw trzecich niebędących państwami członkowskimi, informacje będą udzielane najszybciej jak to możliwe, nie dłużej niż w terminie 30 dni (ze względu na potencjalny brak możliwości skorzystania z systemów elektronicznej wymiany informacji). </w:t>
      </w:r>
    </w:p>
    <w:p w14:paraId="7EDD5E95" w14:textId="2B8EB658" w:rsidR="004908C1" w:rsidRPr="0018524B" w:rsidRDefault="004908C1"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Znowelizowany </w:t>
      </w:r>
      <w:r w:rsidRPr="0018524B">
        <w:rPr>
          <w:rFonts w:ascii="Times New Roman" w:hAnsi="Times New Roman" w:cs="Times New Roman"/>
          <w:b/>
          <w:sz w:val="24"/>
          <w:szCs w:val="24"/>
        </w:rPr>
        <w:t>art. 113 ust. 1 ustawy o p.p.p.f.t.</w:t>
      </w:r>
      <w:r w:rsidRPr="0018524B">
        <w:rPr>
          <w:rFonts w:ascii="Times New Roman" w:hAnsi="Times New Roman" w:cs="Times New Roman"/>
          <w:sz w:val="24"/>
          <w:szCs w:val="24"/>
        </w:rPr>
        <w:t xml:space="preserve"> wprowadza zmiany w zakresie przekazywania informacji zagranicznym jednostkom analityki finansowej. W dotychczasowym brzmieniu przepisu zastosowano zwrot wskazujący, iż „Generalny Inspektor Informacji Finansowej może zezwolić na przekazanie udostępnionych informacji”. Poprzez zmianę struktury przepisu oraz rezygnację z zastosowania słowa „może”, usunięto pojawiające się wątpliwości co do potencjalnej uznaniowości działań Generalnego Inspektora Informacji Finansowej w zakresie przekazywania informacji zagranicznej jednostce analityki finansowej. Art. 55 ust. 2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y 2015/849 </w:t>
      </w:r>
      <w:r w:rsidR="00573732" w:rsidRPr="0018524B">
        <w:rPr>
          <w:rFonts w:ascii="Times New Roman" w:hAnsi="Times New Roman" w:cs="Times New Roman"/>
          <w:sz w:val="24"/>
          <w:szCs w:val="24"/>
        </w:rPr>
        <w:t>wskazuje, iż jednostki analityki finansowej przekazujące informacje do swoich odpowiedników w państwach członkowskich, powinny</w:t>
      </w:r>
      <w:r w:rsidR="00C6045B">
        <w:rPr>
          <w:rFonts w:ascii="Times New Roman" w:hAnsi="Times New Roman" w:cs="Times New Roman"/>
          <w:sz w:val="24"/>
          <w:szCs w:val="24"/>
        </w:rPr>
        <w:t xml:space="preserve"> </w:t>
      </w:r>
      <w:r w:rsidR="00573732" w:rsidRPr="0018524B">
        <w:rPr>
          <w:rFonts w:ascii="Times New Roman" w:hAnsi="Times New Roman" w:cs="Times New Roman"/>
          <w:sz w:val="24"/>
          <w:szCs w:val="24"/>
        </w:rPr>
        <w:t>„</w:t>
      </w:r>
      <w:r w:rsidR="00573732" w:rsidRPr="0018524B">
        <w:rPr>
          <w:rFonts w:ascii="Times New Roman" w:hAnsi="Times New Roman" w:cs="Times New Roman"/>
          <w:i/>
          <w:sz w:val="24"/>
          <w:szCs w:val="24"/>
        </w:rPr>
        <w:t>jak najszybciej i w jak najszerszym możliwym zakresie</w:t>
      </w:r>
      <w:r w:rsidR="00573732" w:rsidRPr="0018524B">
        <w:rPr>
          <w:rFonts w:ascii="Times New Roman" w:hAnsi="Times New Roman" w:cs="Times New Roman"/>
          <w:sz w:val="24"/>
          <w:szCs w:val="24"/>
        </w:rPr>
        <w:t>” udzielać uprzedniej zgody na</w:t>
      </w:r>
      <w:r w:rsidR="00B366EA" w:rsidRPr="0018524B">
        <w:rPr>
          <w:rFonts w:ascii="Times New Roman" w:hAnsi="Times New Roman" w:cs="Times New Roman"/>
          <w:sz w:val="24"/>
          <w:szCs w:val="24"/>
        </w:rPr>
        <w:t xml:space="preserve"> dalsze</w:t>
      </w:r>
      <w:r w:rsidR="00573732" w:rsidRPr="0018524B">
        <w:rPr>
          <w:rFonts w:ascii="Times New Roman" w:hAnsi="Times New Roman" w:cs="Times New Roman"/>
          <w:sz w:val="24"/>
          <w:szCs w:val="24"/>
        </w:rPr>
        <w:t xml:space="preserve"> przekazywanie informacji właściwym organom. </w:t>
      </w:r>
      <w:r w:rsidR="00606AF4">
        <w:rPr>
          <w:rFonts w:ascii="Times New Roman" w:hAnsi="Times New Roman" w:cs="Times New Roman"/>
          <w:sz w:val="24"/>
          <w:szCs w:val="24"/>
        </w:rPr>
        <w:t xml:space="preserve">Wydaje się więc, że norma prawa europejskiego wymaga, aby fakt udostępnienia informacji lub dokumentów jednostce analityki finansowej państwa członkowskiego, co do zasady implikował również zgodę na przekazanie udostępnionych informacji lub dokumentów. </w:t>
      </w:r>
      <w:r w:rsidR="00573732" w:rsidRPr="0018524B">
        <w:rPr>
          <w:rFonts w:ascii="Times New Roman" w:hAnsi="Times New Roman" w:cs="Times New Roman"/>
          <w:sz w:val="24"/>
          <w:szCs w:val="24"/>
        </w:rPr>
        <w:t>Tym samym</w:t>
      </w:r>
      <w:r w:rsidR="00B366EA" w:rsidRPr="0018524B">
        <w:rPr>
          <w:rFonts w:ascii="Times New Roman" w:hAnsi="Times New Roman" w:cs="Times New Roman"/>
          <w:sz w:val="24"/>
          <w:szCs w:val="24"/>
        </w:rPr>
        <w:t xml:space="preserve"> wypełnianie przez Generalnego Inspektora Informacji Finansowej omawianego obowiązku,</w:t>
      </w:r>
      <w:r w:rsidR="00573732" w:rsidRPr="0018524B">
        <w:rPr>
          <w:rFonts w:ascii="Times New Roman" w:hAnsi="Times New Roman" w:cs="Times New Roman"/>
          <w:sz w:val="24"/>
          <w:szCs w:val="24"/>
        </w:rPr>
        <w:t xml:space="preserve"> w praktyce musi się wiązać </w:t>
      </w:r>
      <w:r w:rsidR="00606AF4">
        <w:rPr>
          <w:rFonts w:ascii="Times New Roman" w:hAnsi="Times New Roman" w:cs="Times New Roman"/>
          <w:sz w:val="24"/>
          <w:szCs w:val="24"/>
        </w:rPr>
        <w:t>z</w:t>
      </w:r>
      <w:r w:rsidR="00606AF4" w:rsidRPr="0018524B">
        <w:rPr>
          <w:rFonts w:ascii="Times New Roman" w:hAnsi="Times New Roman" w:cs="Times New Roman"/>
          <w:sz w:val="24"/>
          <w:szCs w:val="24"/>
        </w:rPr>
        <w:t xml:space="preserve"> </w:t>
      </w:r>
      <w:r w:rsidR="00606AF4">
        <w:rPr>
          <w:rFonts w:ascii="Times New Roman" w:hAnsi="Times New Roman" w:cs="Times New Roman"/>
          <w:sz w:val="24"/>
          <w:szCs w:val="24"/>
        </w:rPr>
        <w:t>wyrażeniem zgody na przekazanie udostępnionych informacji lub dokumentów oraz</w:t>
      </w:r>
      <w:r w:rsidR="00606AF4" w:rsidRPr="0018524B">
        <w:rPr>
          <w:rFonts w:ascii="Times New Roman" w:hAnsi="Times New Roman" w:cs="Times New Roman"/>
          <w:sz w:val="24"/>
          <w:szCs w:val="24"/>
        </w:rPr>
        <w:t xml:space="preserve"> </w:t>
      </w:r>
      <w:r w:rsidR="00573732" w:rsidRPr="0018524B">
        <w:rPr>
          <w:rFonts w:ascii="Times New Roman" w:hAnsi="Times New Roman" w:cs="Times New Roman"/>
          <w:sz w:val="24"/>
          <w:szCs w:val="24"/>
        </w:rPr>
        <w:t xml:space="preserve">ze wskazaniem dopuszczalnego zakresu wykorzystania informacji już na etapie </w:t>
      </w:r>
      <w:r w:rsidR="00606AF4">
        <w:rPr>
          <w:rFonts w:ascii="Times New Roman" w:hAnsi="Times New Roman" w:cs="Times New Roman"/>
          <w:sz w:val="24"/>
          <w:szCs w:val="24"/>
        </w:rPr>
        <w:t>udostępniania informacji lub dokumentów</w:t>
      </w:r>
      <w:r w:rsidR="004453F7" w:rsidRPr="0018524B">
        <w:rPr>
          <w:rFonts w:ascii="Times New Roman" w:hAnsi="Times New Roman" w:cs="Times New Roman"/>
          <w:sz w:val="24"/>
          <w:szCs w:val="24"/>
        </w:rPr>
        <w:t>.</w:t>
      </w:r>
      <w:r w:rsidR="00573732" w:rsidRPr="0018524B">
        <w:rPr>
          <w:rFonts w:ascii="Times New Roman" w:hAnsi="Times New Roman" w:cs="Times New Roman"/>
          <w:sz w:val="24"/>
          <w:szCs w:val="24"/>
        </w:rPr>
        <w:t xml:space="preserve"> </w:t>
      </w:r>
      <w:r w:rsidR="00B366EA" w:rsidRPr="0018524B">
        <w:rPr>
          <w:rFonts w:ascii="Times New Roman" w:hAnsi="Times New Roman" w:cs="Times New Roman"/>
          <w:sz w:val="24"/>
          <w:szCs w:val="24"/>
        </w:rPr>
        <w:t xml:space="preserve">Art. 55 ust. 2 </w:t>
      </w:r>
      <w:r w:rsidR="00832446" w:rsidRPr="0018524B">
        <w:rPr>
          <w:rFonts w:ascii="Times New Roman" w:hAnsi="Times New Roman" w:cs="Times New Roman"/>
          <w:sz w:val="24"/>
          <w:szCs w:val="24"/>
        </w:rPr>
        <w:t>dyrektyw</w:t>
      </w:r>
      <w:r w:rsidR="00B366EA" w:rsidRPr="0018524B">
        <w:rPr>
          <w:rFonts w:ascii="Times New Roman" w:hAnsi="Times New Roman" w:cs="Times New Roman"/>
          <w:sz w:val="24"/>
          <w:szCs w:val="24"/>
        </w:rPr>
        <w:t xml:space="preserve">y 2015/849 </w:t>
      </w:r>
      <w:r w:rsidRPr="0018524B">
        <w:rPr>
          <w:rFonts w:ascii="Times New Roman" w:hAnsi="Times New Roman" w:cs="Times New Roman"/>
          <w:sz w:val="24"/>
          <w:szCs w:val="24"/>
        </w:rPr>
        <w:t xml:space="preserve">dopuszcza możliwość odmowy </w:t>
      </w:r>
      <w:r w:rsidR="00B366EA" w:rsidRPr="0018524B">
        <w:rPr>
          <w:rFonts w:ascii="Times New Roman" w:hAnsi="Times New Roman" w:cs="Times New Roman"/>
          <w:sz w:val="24"/>
          <w:szCs w:val="24"/>
        </w:rPr>
        <w:t xml:space="preserve">przekazania informacji </w:t>
      </w:r>
      <w:r w:rsidRPr="0018524B">
        <w:rPr>
          <w:rFonts w:ascii="Times New Roman" w:hAnsi="Times New Roman" w:cs="Times New Roman"/>
          <w:sz w:val="24"/>
          <w:szCs w:val="24"/>
        </w:rPr>
        <w:t>jedynie w przypadkach, które muszą wiązać się z przesłankami wskazanymi w tym artykule, a także muszą być sprecyzowane w prawie krajowym</w:t>
      </w:r>
      <w:r w:rsidR="00606AF4">
        <w:rPr>
          <w:rFonts w:ascii="Times New Roman" w:hAnsi="Times New Roman" w:cs="Times New Roman"/>
          <w:sz w:val="24"/>
          <w:szCs w:val="24"/>
        </w:rPr>
        <w:t>, co zostało dokonane w art. 114 ustawy o p.p.p.f.t. W celu uwzględniania</w:t>
      </w:r>
      <w:r w:rsidR="00606AF4" w:rsidRPr="00881D34">
        <w:t xml:space="preserve"> </w:t>
      </w:r>
      <w:r w:rsidR="00606AF4" w:rsidRPr="00881D34">
        <w:rPr>
          <w:rFonts w:ascii="Times New Roman" w:hAnsi="Times New Roman" w:cs="Times New Roman"/>
          <w:sz w:val="24"/>
          <w:szCs w:val="24"/>
        </w:rPr>
        <w:t xml:space="preserve">w art. 113 </w:t>
      </w:r>
      <w:r w:rsidR="00606AF4">
        <w:rPr>
          <w:rFonts w:ascii="Times New Roman" w:hAnsi="Times New Roman" w:cs="Times New Roman"/>
          <w:sz w:val="24"/>
          <w:szCs w:val="24"/>
        </w:rPr>
        <w:t xml:space="preserve">ustawy o p.p.p.f.t. przesłanek zobowiązujących Generalnego Inspektora Informacji Finansowej do odmowy udostępnienia </w:t>
      </w:r>
      <w:r w:rsidR="00606AF4">
        <w:rPr>
          <w:rFonts w:ascii="Times New Roman" w:hAnsi="Times New Roman" w:cs="Times New Roman"/>
          <w:sz w:val="24"/>
          <w:szCs w:val="24"/>
        </w:rPr>
        <w:lastRenderedPageBreak/>
        <w:t>informacji</w:t>
      </w:r>
      <w:r w:rsidR="00C6045B">
        <w:rPr>
          <w:rFonts w:ascii="Times New Roman" w:hAnsi="Times New Roman" w:cs="Times New Roman"/>
          <w:sz w:val="24"/>
          <w:szCs w:val="24"/>
        </w:rPr>
        <w:t xml:space="preserve"> </w:t>
      </w:r>
      <w:r w:rsidR="00606AF4">
        <w:rPr>
          <w:rFonts w:ascii="Times New Roman" w:hAnsi="Times New Roman" w:cs="Times New Roman"/>
          <w:sz w:val="24"/>
          <w:szCs w:val="24"/>
        </w:rPr>
        <w:t>wskazano, że udostępnieni</w:t>
      </w:r>
      <w:r w:rsidR="006A1D89">
        <w:rPr>
          <w:rFonts w:ascii="Times New Roman" w:hAnsi="Times New Roman" w:cs="Times New Roman"/>
          <w:sz w:val="24"/>
          <w:szCs w:val="24"/>
        </w:rPr>
        <w:t>e</w:t>
      </w:r>
      <w:r w:rsidR="00606AF4">
        <w:rPr>
          <w:rFonts w:ascii="Times New Roman" w:hAnsi="Times New Roman" w:cs="Times New Roman"/>
          <w:sz w:val="24"/>
          <w:szCs w:val="24"/>
        </w:rPr>
        <w:t xml:space="preserve"> to dokonywane jest z zastrzeżeniem art. 114 ustawy o p.p.p.f.t</w:t>
      </w:r>
      <w:r w:rsidRPr="0018524B">
        <w:rPr>
          <w:rFonts w:ascii="Times New Roman" w:hAnsi="Times New Roman" w:cs="Times New Roman"/>
          <w:sz w:val="24"/>
          <w:szCs w:val="24"/>
        </w:rPr>
        <w:t xml:space="preserve">. </w:t>
      </w:r>
      <w:r w:rsidR="00DD1151" w:rsidRPr="0018524B">
        <w:rPr>
          <w:rFonts w:ascii="Times New Roman" w:hAnsi="Times New Roman" w:cs="Times New Roman"/>
          <w:sz w:val="24"/>
          <w:szCs w:val="24"/>
        </w:rPr>
        <w:t xml:space="preserve">Jednocześnie w </w:t>
      </w:r>
      <w:r w:rsidR="00DD1151" w:rsidRPr="0018524B">
        <w:rPr>
          <w:rFonts w:ascii="Times New Roman" w:hAnsi="Times New Roman" w:cs="Times New Roman"/>
          <w:b/>
          <w:sz w:val="24"/>
          <w:szCs w:val="24"/>
        </w:rPr>
        <w:t>art. 113 ust. 2 ustawy o p.p.p.f.t.</w:t>
      </w:r>
      <w:r w:rsidR="00DD1151" w:rsidRPr="0018524B">
        <w:rPr>
          <w:rFonts w:ascii="Times New Roman" w:hAnsi="Times New Roman" w:cs="Times New Roman"/>
          <w:sz w:val="24"/>
          <w:szCs w:val="24"/>
        </w:rPr>
        <w:t xml:space="preserve"> wprowadzono zmianę, polegającą na wskazaniu wprost, iż wystąpienie do zagranicznej jednostki analityki finansowej o wyrażenie zgody na rozpowszechnienie otrzymanych od niej informacji, ma następować w przypadku, gdy taka zgoda nie została przez jednostkę analityki finansowej wyrażona uprzednio. W przypadku gdy zagraniczna jednostka analityki finansowej, przekazując informacje do Generalnego Inspektora, jednocześnie określiła zakres dopuszczalnej zgody na dalsze przekazanie informacji, zwracanie się do niej z wnioskiem o wyrażenie takiej zgody byłoby bezcelowe. </w:t>
      </w:r>
    </w:p>
    <w:p w14:paraId="0D8288F2" w14:textId="58322893" w:rsidR="004908C1" w:rsidRPr="0018524B" w:rsidRDefault="004908C1" w:rsidP="00C81472">
      <w:pPr>
        <w:spacing w:line="400" w:lineRule="atLeast"/>
        <w:jc w:val="both"/>
        <w:rPr>
          <w:rFonts w:ascii="Times New Roman" w:hAnsi="Times New Roman" w:cs="Times New Roman"/>
          <w:sz w:val="24"/>
          <w:szCs w:val="24"/>
        </w:rPr>
      </w:pPr>
      <w:r w:rsidRPr="0018524B">
        <w:rPr>
          <w:rFonts w:ascii="Times New Roman" w:hAnsi="Times New Roman" w:cs="Times New Roman"/>
          <w:b/>
          <w:sz w:val="24"/>
          <w:szCs w:val="24"/>
        </w:rPr>
        <w:t>Art. 114 ust. 1 ustawy o p.p.p.f.t.</w:t>
      </w:r>
      <w:r w:rsidR="009C207B" w:rsidRPr="0018524B">
        <w:rPr>
          <w:rFonts w:ascii="Times New Roman" w:hAnsi="Times New Roman" w:cs="Times New Roman"/>
          <w:sz w:val="24"/>
          <w:szCs w:val="24"/>
        </w:rPr>
        <w:t xml:space="preserve"> </w:t>
      </w:r>
      <w:r w:rsidRPr="0018524B">
        <w:rPr>
          <w:rFonts w:ascii="Times New Roman" w:hAnsi="Times New Roman" w:cs="Times New Roman"/>
          <w:sz w:val="24"/>
          <w:szCs w:val="24"/>
        </w:rPr>
        <w:t xml:space="preserve">w dotychczasowym brzmieniu wskazywał na przesłanki odmowy udostępnienia informacji zagranicznej jednostce analityki finansowej, natomiast art. 55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y 2015/849 reguluje kwestię nie tylko przekazania informacji jednostkom analityki finansowej, ale również kwestie wyrażenia zgody na wykorzystanie przekazanych informacji do celów wykraczających poza cele pierwotnie zatwierdzone, czy też przekazania przez jednostkę analityki finansowej informacji do innego organu. Wskazane w art. 55 ust 2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y 2015/849 przesłanki odmowy udzielenia informacji są wspólne dla przekazania informacji zagranicznej jednostce analityki finansowej, czy też dla następczej zgody na przekazanie przez taką jednostkę informacji do innego organu. Co za tym idzie koniecznym było znowelizowanie art. 114 ust. 1 ustawy</w:t>
      </w:r>
      <w:r w:rsidR="00D81774" w:rsidRPr="0018524B">
        <w:rPr>
          <w:rFonts w:ascii="Times New Roman" w:hAnsi="Times New Roman" w:cs="Times New Roman"/>
          <w:sz w:val="24"/>
          <w:szCs w:val="24"/>
        </w:rPr>
        <w:t xml:space="preserve"> o p.p.p.f.t.</w:t>
      </w:r>
      <w:r w:rsidRPr="0018524B">
        <w:rPr>
          <w:rFonts w:ascii="Times New Roman" w:hAnsi="Times New Roman" w:cs="Times New Roman"/>
          <w:sz w:val="24"/>
          <w:szCs w:val="24"/>
        </w:rPr>
        <w:t xml:space="preserve">, poprzez uszczegółowienie katalogu przypadków, w których Generalny Inspektor Informacji Finansowej może odmówić przekazania informacji lub dokumentów. Zauważyć ponadto należy, iż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 xml:space="preserve">a 2018/843 zmieniła art. 55 ust. 2 poprzez podkreślenie, iż wszelkie wyjątki od zasady udzielania informacji </w:t>
      </w:r>
      <w:r w:rsidR="00675CC1" w:rsidRPr="0018524B">
        <w:rPr>
          <w:rFonts w:ascii="Times New Roman" w:hAnsi="Times New Roman" w:cs="Times New Roman"/>
          <w:sz w:val="24"/>
          <w:szCs w:val="24"/>
        </w:rPr>
        <w:t xml:space="preserve">muszą być </w:t>
      </w:r>
      <w:r w:rsidRPr="0018524B">
        <w:rPr>
          <w:rFonts w:ascii="Times New Roman" w:hAnsi="Times New Roman" w:cs="Times New Roman"/>
          <w:sz w:val="24"/>
          <w:szCs w:val="24"/>
        </w:rPr>
        <w:t>sprecyzowane w sposób zapobiegający nadużyciom i nieuzasadnionym ograniczeniom w przekazywaniu informacji. Tym samym prawidłowa implementacja przepisów unijnych wymagała sprecyzowania art. 114 ust. 1</w:t>
      </w:r>
      <w:r w:rsidR="00D81774" w:rsidRPr="0018524B">
        <w:rPr>
          <w:rFonts w:ascii="Times New Roman" w:hAnsi="Times New Roman" w:cs="Times New Roman"/>
          <w:sz w:val="24"/>
          <w:szCs w:val="24"/>
        </w:rPr>
        <w:t xml:space="preserve"> ustawy o p.p.p.f.t.</w:t>
      </w:r>
      <w:r w:rsidRPr="0018524B">
        <w:rPr>
          <w:rFonts w:ascii="Times New Roman" w:hAnsi="Times New Roman" w:cs="Times New Roman"/>
          <w:sz w:val="24"/>
          <w:szCs w:val="24"/>
        </w:rPr>
        <w:t>, tak by nie było wątpliwości co do możliwości odmowy przekazania informacji, przykładowo w sytuacji zwrócenia się przez zagraniczną jednostkę analityki finansowej o zezwolenie na przekazanie informacji uzyskanej od Generalnego Inspektora Informacji Finansowej do postępowania administracyjnego niezwiązanego z praniem pieniędzy lub finansowaniem terroryzmu.</w:t>
      </w:r>
    </w:p>
    <w:p w14:paraId="63CC677B" w14:textId="275CC4A9" w:rsidR="002A7639" w:rsidRPr="0018524B" w:rsidRDefault="002A7639" w:rsidP="00C81472">
      <w:pPr>
        <w:spacing w:line="400" w:lineRule="atLeast"/>
        <w:jc w:val="both"/>
        <w:rPr>
          <w:rFonts w:ascii="Times New Roman" w:hAnsi="Times New Roman" w:cs="Times New Roman"/>
          <w:sz w:val="24"/>
          <w:szCs w:val="24"/>
        </w:rPr>
      </w:pPr>
      <w:r w:rsidRPr="0018524B">
        <w:rPr>
          <w:rFonts w:ascii="Times New Roman" w:hAnsi="Times New Roman" w:cs="Times New Roman"/>
          <w:b/>
          <w:sz w:val="24"/>
          <w:szCs w:val="24"/>
        </w:rPr>
        <w:t>Art. 115a ustawy o p.p.p.f.t.</w:t>
      </w:r>
      <w:r w:rsidRPr="0018524B">
        <w:rPr>
          <w:rFonts w:ascii="Times New Roman" w:hAnsi="Times New Roman" w:cs="Times New Roman"/>
          <w:sz w:val="24"/>
          <w:szCs w:val="24"/>
        </w:rPr>
        <w:t xml:space="preserve"> wdraża do krajowego porządku prawnego wymogi wynikające z art. 48</w:t>
      </w:r>
      <w:r w:rsidR="008E742B" w:rsidRPr="0018524B">
        <w:rPr>
          <w:rFonts w:ascii="Times New Roman" w:hAnsi="Times New Roman" w:cs="Times New Roman"/>
          <w:sz w:val="24"/>
          <w:szCs w:val="24"/>
        </w:rPr>
        <w:t xml:space="preserve"> ust. 1</w:t>
      </w:r>
      <w:r w:rsidRPr="0018524B">
        <w:rPr>
          <w:rFonts w:ascii="Times New Roman" w:hAnsi="Times New Roman" w:cs="Times New Roman"/>
          <w:sz w:val="24"/>
          <w:szCs w:val="24"/>
        </w:rPr>
        <w:t>a</w:t>
      </w:r>
      <w:r w:rsidR="00C6045B">
        <w:rPr>
          <w:rFonts w:ascii="Times New Roman" w:hAnsi="Times New Roman" w:cs="Times New Roman"/>
          <w:sz w:val="24"/>
          <w:szCs w:val="24"/>
        </w:rPr>
        <w:t xml:space="preserve"> </w:t>
      </w:r>
      <w:r w:rsidRPr="0018524B">
        <w:rPr>
          <w:rFonts w:ascii="Times New Roman" w:hAnsi="Times New Roman" w:cs="Times New Roman"/>
          <w:sz w:val="24"/>
          <w:szCs w:val="24"/>
        </w:rPr>
        <w:t xml:space="preserve">dyrektywy </w:t>
      </w:r>
      <w:r w:rsidR="00ED2506" w:rsidRPr="0018524B">
        <w:rPr>
          <w:rFonts w:ascii="Times New Roman" w:hAnsi="Times New Roman" w:cs="Times New Roman"/>
          <w:sz w:val="24"/>
          <w:szCs w:val="24"/>
        </w:rPr>
        <w:t xml:space="preserve">2015/849 w brzmieniu nadanym przez dyrektywę </w:t>
      </w:r>
      <w:r w:rsidRPr="0018524B">
        <w:rPr>
          <w:rFonts w:ascii="Times New Roman" w:hAnsi="Times New Roman" w:cs="Times New Roman"/>
          <w:sz w:val="24"/>
          <w:szCs w:val="24"/>
        </w:rPr>
        <w:t>2018/843. Wprowadzony przepis ma na celu ułatwianie i wspieranie współpracy Generalnego Inspektora oraz KNF z właściwymi organami państw członkowskich</w:t>
      </w:r>
      <w:r w:rsidR="00BC25D9" w:rsidRPr="0018524B">
        <w:rPr>
          <w:rFonts w:ascii="Times New Roman" w:hAnsi="Times New Roman" w:cs="Times New Roman"/>
          <w:sz w:val="24"/>
          <w:szCs w:val="24"/>
        </w:rPr>
        <w:t xml:space="preserve">, odpowiedzialnymi za nadzór lub kontrole przestrzegania przepisów o przeciwdziałaniu praniu pieniędzy oraz finansowaniu </w:t>
      </w:r>
      <w:r w:rsidR="00BC25D9" w:rsidRPr="0018524B">
        <w:rPr>
          <w:rFonts w:ascii="Times New Roman" w:hAnsi="Times New Roman" w:cs="Times New Roman"/>
          <w:sz w:val="24"/>
          <w:szCs w:val="24"/>
        </w:rPr>
        <w:lastRenderedPageBreak/>
        <w:t>terroryzmu. Ponadto, w celu realizacji wymogów dyrektywy 2015/849 oba organy zostały wskazane, jako punkty kontaktowe na potrzeby tej współpracy</w:t>
      </w:r>
      <w:r w:rsidRPr="0018524B">
        <w:rPr>
          <w:rFonts w:ascii="Times New Roman" w:hAnsi="Times New Roman" w:cs="Times New Roman"/>
          <w:sz w:val="24"/>
          <w:szCs w:val="24"/>
        </w:rPr>
        <w:t>.</w:t>
      </w:r>
    </w:p>
    <w:p w14:paraId="33AAC309" w14:textId="42827419" w:rsidR="00E76AC3" w:rsidRPr="0018524B" w:rsidRDefault="00091F3D"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Dyrektywa 2018/843 dodała do </w:t>
      </w:r>
      <w:r w:rsidR="00832446" w:rsidRPr="0018524B">
        <w:rPr>
          <w:rFonts w:ascii="Times New Roman" w:hAnsi="Times New Roman" w:cs="Times New Roman"/>
          <w:sz w:val="24"/>
          <w:szCs w:val="24"/>
        </w:rPr>
        <w:t>dyrektyw</w:t>
      </w:r>
      <w:r w:rsidRPr="0018524B">
        <w:rPr>
          <w:rFonts w:ascii="Times New Roman" w:hAnsi="Times New Roman" w:cs="Times New Roman"/>
          <w:sz w:val="24"/>
          <w:szCs w:val="24"/>
        </w:rPr>
        <w:t>y 2015/849 art. 50a, regulujący zasady wymiany informacji pomiędzy właściwym</w:t>
      </w:r>
      <w:r w:rsidR="00F16419" w:rsidRPr="0018524B">
        <w:rPr>
          <w:rFonts w:ascii="Times New Roman" w:hAnsi="Times New Roman" w:cs="Times New Roman"/>
          <w:sz w:val="24"/>
          <w:szCs w:val="24"/>
        </w:rPr>
        <w:t>i organami państw członkowskich</w:t>
      </w:r>
      <w:r w:rsidRPr="0018524B">
        <w:rPr>
          <w:rFonts w:ascii="Times New Roman" w:hAnsi="Times New Roman" w:cs="Times New Roman"/>
          <w:sz w:val="24"/>
          <w:szCs w:val="24"/>
        </w:rPr>
        <w:t xml:space="preserve">. Art. 50a </w:t>
      </w:r>
      <w:r w:rsidR="009C742A" w:rsidRPr="0018524B">
        <w:rPr>
          <w:rFonts w:ascii="Times New Roman" w:hAnsi="Times New Roman" w:cs="Times New Roman"/>
          <w:sz w:val="24"/>
          <w:szCs w:val="24"/>
        </w:rPr>
        <w:t>zostanie</w:t>
      </w:r>
      <w:r w:rsidRPr="0018524B">
        <w:rPr>
          <w:rFonts w:ascii="Times New Roman" w:hAnsi="Times New Roman" w:cs="Times New Roman"/>
          <w:sz w:val="24"/>
          <w:szCs w:val="24"/>
        </w:rPr>
        <w:t xml:space="preserve"> </w:t>
      </w:r>
      <w:r w:rsidR="007E3EE7" w:rsidRPr="0018524B">
        <w:rPr>
          <w:rFonts w:ascii="Times New Roman" w:hAnsi="Times New Roman" w:cs="Times New Roman"/>
          <w:sz w:val="24"/>
          <w:szCs w:val="24"/>
        </w:rPr>
        <w:t>w</w:t>
      </w:r>
      <w:r w:rsidR="00235B60" w:rsidRPr="0018524B">
        <w:rPr>
          <w:rFonts w:ascii="Times New Roman" w:hAnsi="Times New Roman" w:cs="Times New Roman"/>
          <w:sz w:val="24"/>
          <w:szCs w:val="24"/>
        </w:rPr>
        <w:t>drożony</w:t>
      </w:r>
      <w:r w:rsidR="007E3EE7" w:rsidRPr="0018524B">
        <w:rPr>
          <w:rFonts w:ascii="Times New Roman" w:hAnsi="Times New Roman" w:cs="Times New Roman"/>
          <w:sz w:val="24"/>
          <w:szCs w:val="24"/>
        </w:rPr>
        <w:t xml:space="preserve"> poprzez dodanie do przepisów ustawy o p.p.p.f.t. </w:t>
      </w:r>
      <w:r w:rsidRPr="0018524B">
        <w:rPr>
          <w:rFonts w:ascii="Times New Roman" w:hAnsi="Times New Roman" w:cs="Times New Roman"/>
          <w:b/>
          <w:sz w:val="24"/>
          <w:szCs w:val="24"/>
        </w:rPr>
        <w:t>art. 116a</w:t>
      </w:r>
      <w:r w:rsidRPr="0018524B">
        <w:rPr>
          <w:rFonts w:ascii="Times New Roman" w:hAnsi="Times New Roman" w:cs="Times New Roman"/>
          <w:sz w:val="24"/>
          <w:szCs w:val="24"/>
        </w:rPr>
        <w:t xml:space="preserve">, który w ust. 1 </w:t>
      </w:r>
      <w:r w:rsidR="00F16419" w:rsidRPr="0018524B">
        <w:rPr>
          <w:rFonts w:ascii="Times New Roman" w:hAnsi="Times New Roman" w:cs="Times New Roman"/>
          <w:sz w:val="24"/>
          <w:szCs w:val="24"/>
        </w:rPr>
        <w:t>wyszczególnia</w:t>
      </w:r>
      <w:r w:rsidRPr="0018524B">
        <w:rPr>
          <w:rFonts w:ascii="Times New Roman" w:hAnsi="Times New Roman" w:cs="Times New Roman"/>
          <w:sz w:val="24"/>
          <w:szCs w:val="24"/>
        </w:rPr>
        <w:t xml:space="preserve"> organy </w:t>
      </w:r>
      <w:r w:rsidR="00F16419" w:rsidRPr="0018524B">
        <w:rPr>
          <w:rFonts w:ascii="Times New Roman" w:hAnsi="Times New Roman" w:cs="Times New Roman"/>
          <w:sz w:val="24"/>
          <w:szCs w:val="24"/>
        </w:rPr>
        <w:t xml:space="preserve">zobowiązane do wymiany informacji, a w ust. 2 wskazuje okoliczności które nie mogą stanowić podstawy do odmowy wymiany informacji. </w:t>
      </w:r>
      <w:r w:rsidR="00F821A1" w:rsidRPr="0018524B">
        <w:rPr>
          <w:rFonts w:ascii="Times New Roman" w:hAnsi="Times New Roman" w:cs="Times New Roman"/>
          <w:sz w:val="24"/>
          <w:szCs w:val="24"/>
        </w:rPr>
        <w:t xml:space="preserve">W celu uniknięcia wątpliwości dotyczących procedury wymiany informacji, mogących wynikać w szczególności ze specyfiki funkcjonowania organów uprawnionych do prowadzenia postępowań przygotowawczych, czy też wykonywania czynności operacyjno-rozpoznawczych, zasadne było wskazanie wprost w art. 116a ust. 1, iż wymiana informacji przez podmioty o których mowa w art. 105 ust. 1 i 4 następuje z zachowaniem procedur określających sposób działania tych organów. </w:t>
      </w:r>
      <w:r w:rsidR="00F16419" w:rsidRPr="0018524B">
        <w:rPr>
          <w:rFonts w:ascii="Times New Roman" w:hAnsi="Times New Roman" w:cs="Times New Roman"/>
          <w:sz w:val="24"/>
          <w:szCs w:val="24"/>
        </w:rPr>
        <w:t xml:space="preserve">Zauważyć należy, iż art. 50a </w:t>
      </w:r>
      <w:r w:rsidR="00832446" w:rsidRPr="0018524B">
        <w:rPr>
          <w:rFonts w:ascii="Times New Roman" w:hAnsi="Times New Roman" w:cs="Times New Roman"/>
          <w:sz w:val="24"/>
          <w:szCs w:val="24"/>
        </w:rPr>
        <w:t>dyrektyw</w:t>
      </w:r>
      <w:r w:rsidR="00F16419" w:rsidRPr="0018524B">
        <w:rPr>
          <w:rFonts w:ascii="Times New Roman" w:hAnsi="Times New Roman" w:cs="Times New Roman"/>
          <w:sz w:val="24"/>
          <w:szCs w:val="24"/>
        </w:rPr>
        <w:t xml:space="preserve">y 2015/849 w brzmieniu nadanym przez </w:t>
      </w:r>
      <w:r w:rsidR="00832446" w:rsidRPr="0018524B">
        <w:rPr>
          <w:rFonts w:ascii="Times New Roman" w:hAnsi="Times New Roman" w:cs="Times New Roman"/>
          <w:sz w:val="24"/>
          <w:szCs w:val="24"/>
        </w:rPr>
        <w:t>dyrektyw</w:t>
      </w:r>
      <w:r w:rsidR="00F16419" w:rsidRPr="0018524B">
        <w:rPr>
          <w:rFonts w:ascii="Times New Roman" w:hAnsi="Times New Roman" w:cs="Times New Roman"/>
          <w:sz w:val="24"/>
          <w:szCs w:val="24"/>
        </w:rPr>
        <w:t xml:space="preserve">ę 2018/843, w lit. b. </w:t>
      </w:r>
      <w:r w:rsidR="000B2CAD" w:rsidRPr="0018524B">
        <w:rPr>
          <w:rFonts w:ascii="Times New Roman" w:hAnsi="Times New Roman" w:cs="Times New Roman"/>
          <w:sz w:val="24"/>
          <w:szCs w:val="24"/>
        </w:rPr>
        <w:t xml:space="preserve">odnosi się do informacji chronionych zasadą poufności wymiany informacji między prawnikiem a klientem lub tajemnicą zawodową określoną prawem, zgodnie z art. 34 ust. 2 </w:t>
      </w:r>
      <w:r w:rsidR="00832446" w:rsidRPr="0018524B">
        <w:rPr>
          <w:rFonts w:ascii="Times New Roman" w:hAnsi="Times New Roman" w:cs="Times New Roman"/>
          <w:sz w:val="24"/>
          <w:szCs w:val="24"/>
        </w:rPr>
        <w:t>dyrektyw</w:t>
      </w:r>
      <w:r w:rsidR="000B2CAD" w:rsidRPr="0018524B">
        <w:rPr>
          <w:rFonts w:ascii="Times New Roman" w:hAnsi="Times New Roman" w:cs="Times New Roman"/>
          <w:sz w:val="24"/>
          <w:szCs w:val="24"/>
        </w:rPr>
        <w:t xml:space="preserve">y 2015/849. Zauważyć należy, iż przywołany art. 34 ust. 2 </w:t>
      </w:r>
      <w:r w:rsidR="00832446" w:rsidRPr="0018524B">
        <w:rPr>
          <w:rFonts w:ascii="Times New Roman" w:hAnsi="Times New Roman" w:cs="Times New Roman"/>
          <w:sz w:val="24"/>
          <w:szCs w:val="24"/>
        </w:rPr>
        <w:t>dyrektyw</w:t>
      </w:r>
      <w:r w:rsidR="000B2CAD" w:rsidRPr="0018524B">
        <w:rPr>
          <w:rFonts w:ascii="Times New Roman" w:hAnsi="Times New Roman" w:cs="Times New Roman"/>
          <w:sz w:val="24"/>
          <w:szCs w:val="24"/>
        </w:rPr>
        <w:t>y 2015/849 znajduje zastosowanie do „</w:t>
      </w:r>
      <w:r w:rsidR="000B2CAD" w:rsidRPr="0018524B">
        <w:rPr>
          <w:rFonts w:ascii="Times New Roman" w:hAnsi="Times New Roman" w:cs="Times New Roman"/>
          <w:i/>
          <w:sz w:val="24"/>
          <w:szCs w:val="24"/>
        </w:rPr>
        <w:t>notariuszy, innych przedstawicieli wolnych zawodów prawniczych, biegłych rewidentów, zewnętrznych księgowych oraz doradców podatkowych</w:t>
      </w:r>
      <w:r w:rsidR="000B2CAD" w:rsidRPr="0018524B">
        <w:rPr>
          <w:rFonts w:ascii="Times New Roman" w:hAnsi="Times New Roman" w:cs="Times New Roman"/>
          <w:sz w:val="24"/>
          <w:szCs w:val="24"/>
        </w:rPr>
        <w:t xml:space="preserve">”, ale jedynie w zakresie, który można opisać poprzez uzyskiwanie informacji w związku z reprezentowaniem klienta w postępowaniu sądowym lub w związku z takim postępowaniem. Na gruncie polskiego porządku prawnego, ze względu na brak uprawnień do reprezentowania klienta w postępowaniu sądowym, część zawodów objętych art. </w:t>
      </w:r>
      <w:r w:rsidR="00E76AC3" w:rsidRPr="0018524B">
        <w:rPr>
          <w:rFonts w:ascii="Times New Roman" w:hAnsi="Times New Roman" w:cs="Times New Roman"/>
          <w:sz w:val="24"/>
          <w:szCs w:val="24"/>
        </w:rPr>
        <w:t xml:space="preserve">34 ust. 2 </w:t>
      </w:r>
      <w:r w:rsidR="00832446" w:rsidRPr="0018524B">
        <w:rPr>
          <w:rFonts w:ascii="Times New Roman" w:hAnsi="Times New Roman" w:cs="Times New Roman"/>
          <w:sz w:val="24"/>
          <w:szCs w:val="24"/>
        </w:rPr>
        <w:t>dyrektyw</w:t>
      </w:r>
      <w:r w:rsidR="00E76AC3" w:rsidRPr="0018524B">
        <w:rPr>
          <w:rFonts w:ascii="Times New Roman" w:hAnsi="Times New Roman" w:cs="Times New Roman"/>
          <w:sz w:val="24"/>
          <w:szCs w:val="24"/>
        </w:rPr>
        <w:t xml:space="preserve">y 2015/849, nie może zostać objęta tym wyłączeniem. W związku z powyższym, art. 116a ust. 2 pkt 2 ustawy o p.p.p.f.t. odnosi się jedynie do wolnych zawodów wskazanych w art. 2 ust. 1 pkt 14 ustawy o p.p.p.f.t. Art. 50a lit. d </w:t>
      </w:r>
      <w:r w:rsidR="00832446" w:rsidRPr="0018524B">
        <w:rPr>
          <w:rFonts w:ascii="Times New Roman" w:hAnsi="Times New Roman" w:cs="Times New Roman"/>
          <w:sz w:val="24"/>
          <w:szCs w:val="24"/>
        </w:rPr>
        <w:t>dyrektyw</w:t>
      </w:r>
      <w:r w:rsidR="00E76AC3" w:rsidRPr="0018524B">
        <w:rPr>
          <w:rFonts w:ascii="Times New Roman" w:hAnsi="Times New Roman" w:cs="Times New Roman"/>
          <w:sz w:val="24"/>
          <w:szCs w:val="24"/>
        </w:rPr>
        <w:t xml:space="preserve">y 2015/849 w brzmieniu nadanym przez </w:t>
      </w:r>
      <w:r w:rsidR="00832446" w:rsidRPr="0018524B">
        <w:rPr>
          <w:rFonts w:ascii="Times New Roman" w:hAnsi="Times New Roman" w:cs="Times New Roman"/>
          <w:sz w:val="24"/>
          <w:szCs w:val="24"/>
        </w:rPr>
        <w:t>dyrektyw</w:t>
      </w:r>
      <w:r w:rsidR="00E76AC3" w:rsidRPr="0018524B">
        <w:rPr>
          <w:rFonts w:ascii="Times New Roman" w:hAnsi="Times New Roman" w:cs="Times New Roman"/>
          <w:sz w:val="24"/>
          <w:szCs w:val="24"/>
        </w:rPr>
        <w:t>ę 2018/843 został wprowadzony w art. 116a</w:t>
      </w:r>
      <w:r w:rsidR="00C6045B">
        <w:rPr>
          <w:rFonts w:ascii="Times New Roman" w:hAnsi="Times New Roman" w:cs="Times New Roman"/>
          <w:sz w:val="24"/>
          <w:szCs w:val="24"/>
        </w:rPr>
        <w:t xml:space="preserve"> </w:t>
      </w:r>
      <w:r w:rsidR="00E76AC3" w:rsidRPr="0018524B">
        <w:rPr>
          <w:rFonts w:ascii="Times New Roman" w:hAnsi="Times New Roman" w:cs="Times New Roman"/>
          <w:sz w:val="24"/>
          <w:szCs w:val="24"/>
        </w:rPr>
        <w:t xml:space="preserve">ust. 2 pkt 4, zgodnie z którym nie można odmówić udostępnienia informacji lub dokumentów, jeżeli wniosek został złożony przez organ, którego zakres </w:t>
      </w:r>
      <w:r w:rsidR="00F37CAE" w:rsidRPr="0018524B">
        <w:rPr>
          <w:rFonts w:ascii="Times New Roman" w:hAnsi="Times New Roman" w:cs="Times New Roman"/>
          <w:sz w:val="24"/>
          <w:szCs w:val="24"/>
        </w:rPr>
        <w:t xml:space="preserve">zadań </w:t>
      </w:r>
      <w:r w:rsidR="00E76AC3" w:rsidRPr="0018524B">
        <w:rPr>
          <w:rFonts w:ascii="Times New Roman" w:hAnsi="Times New Roman" w:cs="Times New Roman"/>
          <w:sz w:val="24"/>
          <w:szCs w:val="24"/>
        </w:rPr>
        <w:t>lub pozycja</w:t>
      </w:r>
      <w:r w:rsidR="00F37CAE" w:rsidRPr="0018524B">
        <w:rPr>
          <w:rFonts w:ascii="Times New Roman" w:hAnsi="Times New Roman" w:cs="Times New Roman"/>
          <w:sz w:val="24"/>
          <w:szCs w:val="24"/>
        </w:rPr>
        <w:t xml:space="preserve"> nie odpowiada zakresowi zadań lub pozycji organu, do którego ten wniosek został skierowany. Przedmiotowy przepis ma na celu usprawnienie wymiany informacji pomiędzy właściwymi organami państw członkowskich poprzez zapobieganie sytuacjom, w których przykładowo odpowiednik Prokuratury Krajowej państwa członkowskiego odmawia udzielenia odpowiednich informacji polskiemu </w:t>
      </w:r>
      <w:r w:rsidR="005C2F71">
        <w:rPr>
          <w:rFonts w:ascii="Times New Roman" w:hAnsi="Times New Roman" w:cs="Times New Roman"/>
          <w:sz w:val="24"/>
          <w:szCs w:val="24"/>
        </w:rPr>
        <w:t>u</w:t>
      </w:r>
      <w:r w:rsidR="00F37CAE" w:rsidRPr="0018524B">
        <w:rPr>
          <w:rFonts w:ascii="Times New Roman" w:hAnsi="Times New Roman" w:cs="Times New Roman"/>
          <w:sz w:val="24"/>
          <w:szCs w:val="24"/>
        </w:rPr>
        <w:t xml:space="preserve">rzędowi </w:t>
      </w:r>
      <w:r w:rsidR="005C2F71">
        <w:rPr>
          <w:rFonts w:ascii="Times New Roman" w:hAnsi="Times New Roman" w:cs="Times New Roman"/>
          <w:sz w:val="24"/>
          <w:szCs w:val="24"/>
        </w:rPr>
        <w:t>c</w:t>
      </w:r>
      <w:r w:rsidR="00F37CAE" w:rsidRPr="0018524B">
        <w:rPr>
          <w:rFonts w:ascii="Times New Roman" w:hAnsi="Times New Roman" w:cs="Times New Roman"/>
          <w:sz w:val="24"/>
          <w:szCs w:val="24"/>
        </w:rPr>
        <w:t>elno-</w:t>
      </w:r>
      <w:r w:rsidR="005C2F71">
        <w:rPr>
          <w:rFonts w:ascii="Times New Roman" w:hAnsi="Times New Roman" w:cs="Times New Roman"/>
          <w:sz w:val="24"/>
          <w:szCs w:val="24"/>
        </w:rPr>
        <w:t>s</w:t>
      </w:r>
      <w:r w:rsidR="00F37CAE" w:rsidRPr="0018524B">
        <w:rPr>
          <w:rFonts w:ascii="Times New Roman" w:hAnsi="Times New Roman" w:cs="Times New Roman"/>
          <w:sz w:val="24"/>
          <w:szCs w:val="24"/>
        </w:rPr>
        <w:t xml:space="preserve">karbowemu, ze względu na </w:t>
      </w:r>
      <w:r w:rsidR="00A01FDF" w:rsidRPr="0018524B">
        <w:rPr>
          <w:rFonts w:ascii="Times New Roman" w:hAnsi="Times New Roman" w:cs="Times New Roman"/>
          <w:sz w:val="24"/>
          <w:szCs w:val="24"/>
        </w:rPr>
        <w:t>inną</w:t>
      </w:r>
      <w:r w:rsidR="00F37CAE" w:rsidRPr="0018524B">
        <w:rPr>
          <w:rFonts w:ascii="Times New Roman" w:hAnsi="Times New Roman" w:cs="Times New Roman"/>
          <w:sz w:val="24"/>
          <w:szCs w:val="24"/>
        </w:rPr>
        <w:t xml:space="preserve"> pozycję w hierarchii administracji publicznej. </w:t>
      </w:r>
    </w:p>
    <w:p w14:paraId="11E7681F" w14:textId="5F719E12" w:rsidR="00E93401" w:rsidRPr="0018524B" w:rsidRDefault="00983B08"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lastRenderedPageBreak/>
        <w:t xml:space="preserve">Przepisy </w:t>
      </w:r>
      <w:r w:rsidR="00E52520">
        <w:rPr>
          <w:rFonts w:ascii="Times New Roman" w:hAnsi="Times New Roman" w:cs="Times New Roman"/>
          <w:b/>
          <w:sz w:val="24"/>
          <w:szCs w:val="24"/>
        </w:rPr>
        <w:t>r</w:t>
      </w:r>
      <w:r w:rsidRPr="0018524B">
        <w:rPr>
          <w:rFonts w:ascii="Times New Roman" w:hAnsi="Times New Roman" w:cs="Times New Roman"/>
          <w:b/>
          <w:sz w:val="24"/>
          <w:szCs w:val="24"/>
        </w:rPr>
        <w:t>ozdziału 11a ustawy o p.p.p.f.t.</w:t>
      </w:r>
      <w:r w:rsidRPr="0018524B">
        <w:rPr>
          <w:rFonts w:ascii="Times New Roman" w:hAnsi="Times New Roman" w:cs="Times New Roman"/>
          <w:sz w:val="24"/>
          <w:szCs w:val="24"/>
        </w:rPr>
        <w:t xml:space="preserve"> wdrażają do krajowego porządku prawnego wymogi wynikające ze znowelizowanego art. 47 ust. 1 dyrektywy 2015/849. Zgodnie z tym przepisem państwa członkowskie obowiązane są zapewnić, aby podmioty świadczące usługi wymiany walut pomiędzy walutami wirtualnymi a fiducjarnymi podlegały obowiązkowi uzyskania </w:t>
      </w:r>
      <w:r w:rsidR="004636DC" w:rsidRPr="0018524B">
        <w:rPr>
          <w:rFonts w:ascii="Times New Roman" w:hAnsi="Times New Roman" w:cs="Times New Roman"/>
          <w:sz w:val="24"/>
          <w:szCs w:val="24"/>
        </w:rPr>
        <w:t>rejestracji,</w:t>
      </w:r>
      <w:r w:rsidRPr="0018524B">
        <w:rPr>
          <w:rFonts w:ascii="Times New Roman" w:hAnsi="Times New Roman" w:cs="Times New Roman"/>
          <w:sz w:val="24"/>
          <w:szCs w:val="24"/>
        </w:rPr>
        <w:t xml:space="preserve"> a na podmioty świadczące usługi na rzecz trustów lub spółek nałożony został obowiązek uzyskania zezwolenia lub rejestracji. </w:t>
      </w:r>
      <w:r w:rsidR="004B0678" w:rsidRPr="0018524B">
        <w:rPr>
          <w:rFonts w:ascii="Times New Roman" w:hAnsi="Times New Roman" w:cs="Times New Roman"/>
          <w:sz w:val="24"/>
          <w:szCs w:val="24"/>
        </w:rPr>
        <w:t xml:space="preserve">Zgodnie z motywem 51 preambuły dyrektywy 2015/849 celem tego rodzaju regulacji jest zapewnienie ochrony tych podmiotów przed wykorzystywaniem ich przez osoby zarządzające nimi lub ich beneficjentów rzeczywistych do celów przestępczych. </w:t>
      </w:r>
      <w:r w:rsidR="00E93401" w:rsidRPr="0018524B">
        <w:rPr>
          <w:rFonts w:ascii="Times New Roman" w:hAnsi="Times New Roman" w:cs="Times New Roman"/>
          <w:sz w:val="24"/>
          <w:szCs w:val="24"/>
        </w:rPr>
        <w:t>Wydaje się, że przepisy, które znajdują swoje źródło w</w:t>
      </w:r>
      <w:r w:rsidR="00C6045B">
        <w:rPr>
          <w:rFonts w:ascii="Times New Roman" w:hAnsi="Times New Roman" w:cs="Times New Roman"/>
          <w:sz w:val="24"/>
          <w:szCs w:val="24"/>
        </w:rPr>
        <w:t xml:space="preserve"> </w:t>
      </w:r>
      <w:r w:rsidR="00E93401" w:rsidRPr="0018524B">
        <w:rPr>
          <w:rFonts w:ascii="Times New Roman" w:hAnsi="Times New Roman" w:cs="Times New Roman"/>
          <w:sz w:val="24"/>
          <w:szCs w:val="24"/>
        </w:rPr>
        <w:t>przepisach o przeciwdziałaniu praniu pieniędzy oraz finansowaniu terroryzmu Unii Europejskiej oraz regulują reglamentację wykonywania działalności gospodarczej przez określone kategorie instytucji obowiązanych, ze względu na potrzebę przeciwdziałania wykorzystaniu działalności takich podmiotów do celów przestępczych są bezpośrednio związane z materią uregulowaną w ustawie o p.p.p.f.t.</w:t>
      </w:r>
      <w:r w:rsidR="00E93401" w:rsidRPr="0018524B">
        <w:t xml:space="preserve"> </w:t>
      </w:r>
      <w:r w:rsidR="00E93401" w:rsidRPr="0018524B">
        <w:rPr>
          <w:rFonts w:ascii="Times New Roman" w:hAnsi="Times New Roman" w:cs="Times New Roman"/>
          <w:sz w:val="24"/>
          <w:szCs w:val="24"/>
        </w:rPr>
        <w:t>W ustawodawstwie krajowym brak jest przepisów szczegółowo regulujących działalność przedsiębiorców prowadzących tego rodzaju działalność gospodarczą, w związku z powyższym przepisy reglamentujące prowadzenie tego rodzaju działalności gospodarczej ujęte zostaną w odrębnym rozdziale ustawy o p.p.p.f.t.</w:t>
      </w:r>
      <w:r w:rsidR="00C6045B">
        <w:rPr>
          <w:rFonts w:ascii="Times New Roman" w:hAnsi="Times New Roman" w:cs="Times New Roman"/>
          <w:sz w:val="24"/>
          <w:szCs w:val="24"/>
        </w:rPr>
        <w:t xml:space="preserve"> </w:t>
      </w:r>
    </w:p>
    <w:p w14:paraId="3908F295" w14:textId="43990E40" w:rsidR="00983B08" w:rsidRPr="0018524B" w:rsidRDefault="00983B08"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Prawidłowa transpozycja przepisu art. 47 ust. 1 dyrektywy 2015/849, w brzmieniu nadanym mu przez art. 1 pkt 29 dyrektywy 2018/843 wymaga objęcia działalności </w:t>
      </w:r>
      <w:r w:rsidR="00BA0301" w:rsidRPr="0018524B">
        <w:rPr>
          <w:rFonts w:ascii="Times New Roman" w:hAnsi="Times New Roman" w:cs="Times New Roman"/>
          <w:sz w:val="24"/>
          <w:szCs w:val="24"/>
        </w:rPr>
        <w:t>polegającej na świadczeniu usług</w:t>
      </w:r>
      <w:r w:rsidRPr="0018524B">
        <w:rPr>
          <w:rFonts w:ascii="Times New Roman" w:hAnsi="Times New Roman" w:cs="Times New Roman"/>
          <w:sz w:val="24"/>
          <w:szCs w:val="24"/>
        </w:rPr>
        <w:t xml:space="preserve">, o których mowa w art. 2 ust. 1 pkt 12 ustawy o p.p.p.f.t. oraz działalności </w:t>
      </w:r>
      <w:r w:rsidR="00BA0301" w:rsidRPr="0018524B">
        <w:rPr>
          <w:rFonts w:ascii="Times New Roman" w:hAnsi="Times New Roman" w:cs="Times New Roman"/>
          <w:sz w:val="24"/>
          <w:szCs w:val="24"/>
        </w:rPr>
        <w:t>polegającej na świadczeniu usług</w:t>
      </w:r>
      <w:r w:rsidRPr="0018524B">
        <w:rPr>
          <w:rFonts w:ascii="Times New Roman" w:hAnsi="Times New Roman" w:cs="Times New Roman"/>
          <w:sz w:val="24"/>
          <w:szCs w:val="24"/>
        </w:rPr>
        <w:t xml:space="preserve">, o których mowa w art. 2 ust. 1 pkt 16 ustawy o p.p.p.f.t. jedną z form reglamentacji prowadzenia działalności gospodarczej przewidzianej przez </w:t>
      </w:r>
      <w:r w:rsidR="00215237" w:rsidRPr="0018524B">
        <w:rPr>
          <w:rFonts w:ascii="Times New Roman" w:hAnsi="Times New Roman" w:cs="Times New Roman"/>
          <w:sz w:val="24"/>
          <w:szCs w:val="24"/>
        </w:rPr>
        <w:t xml:space="preserve">przepisy </w:t>
      </w:r>
      <w:r w:rsidRPr="0018524B">
        <w:rPr>
          <w:rFonts w:ascii="Times New Roman" w:hAnsi="Times New Roman" w:cs="Times New Roman"/>
          <w:sz w:val="24"/>
          <w:szCs w:val="24"/>
        </w:rPr>
        <w:t>ustawy z</w:t>
      </w:r>
      <w:r w:rsidR="009C207B" w:rsidRPr="0018524B">
        <w:rPr>
          <w:rFonts w:ascii="Times New Roman" w:hAnsi="Times New Roman" w:cs="Times New Roman"/>
          <w:sz w:val="24"/>
          <w:szCs w:val="24"/>
        </w:rPr>
        <w:t xml:space="preserve"> </w:t>
      </w:r>
      <w:r w:rsidRPr="0018524B">
        <w:rPr>
          <w:rFonts w:ascii="Times New Roman" w:hAnsi="Times New Roman" w:cs="Times New Roman"/>
          <w:sz w:val="24"/>
          <w:szCs w:val="24"/>
        </w:rPr>
        <w:t xml:space="preserve">dnia 6 marca 2018 r. – </w:t>
      </w:r>
      <w:r w:rsidRPr="0018524B">
        <w:rPr>
          <w:rFonts w:ascii="Times New Roman" w:hAnsi="Times New Roman" w:cs="Times New Roman"/>
          <w:i/>
          <w:sz w:val="24"/>
          <w:szCs w:val="24"/>
        </w:rPr>
        <w:t>Prawo przedsiębiorców</w:t>
      </w:r>
      <w:r w:rsidRPr="0018524B">
        <w:rPr>
          <w:rFonts w:ascii="Times New Roman" w:hAnsi="Times New Roman" w:cs="Times New Roman"/>
          <w:sz w:val="24"/>
          <w:szCs w:val="24"/>
        </w:rPr>
        <w:t xml:space="preserve"> (Dz. U. z 2019 r. poz</w:t>
      </w:r>
      <w:r w:rsidR="00F61CD3" w:rsidRPr="0018524B">
        <w:rPr>
          <w:rFonts w:ascii="Times New Roman" w:hAnsi="Times New Roman" w:cs="Times New Roman"/>
          <w:sz w:val="24"/>
          <w:szCs w:val="24"/>
        </w:rPr>
        <w:t>.</w:t>
      </w:r>
      <w:r w:rsidRPr="0018524B">
        <w:rPr>
          <w:rFonts w:ascii="Times New Roman" w:hAnsi="Times New Roman" w:cs="Times New Roman"/>
          <w:sz w:val="24"/>
          <w:szCs w:val="24"/>
        </w:rPr>
        <w:t xml:space="preserve"> 1292</w:t>
      </w:r>
      <w:r w:rsidR="00CB0E7A">
        <w:rPr>
          <w:rFonts w:ascii="Times New Roman" w:hAnsi="Times New Roman" w:cs="Times New Roman"/>
          <w:sz w:val="24"/>
          <w:szCs w:val="24"/>
        </w:rPr>
        <w:t>,</w:t>
      </w:r>
      <w:r w:rsidR="009C207B" w:rsidRPr="0018524B">
        <w:rPr>
          <w:rFonts w:ascii="Times New Roman" w:hAnsi="Times New Roman" w:cs="Times New Roman"/>
          <w:sz w:val="24"/>
          <w:szCs w:val="24"/>
        </w:rPr>
        <w:t xml:space="preserve"> </w:t>
      </w:r>
      <w:r w:rsidRPr="0018524B">
        <w:rPr>
          <w:rFonts w:ascii="Times New Roman" w:hAnsi="Times New Roman" w:cs="Times New Roman"/>
          <w:sz w:val="24"/>
          <w:szCs w:val="24"/>
        </w:rPr>
        <w:t>z późn. zm</w:t>
      </w:r>
      <w:r w:rsidR="00F61CD3" w:rsidRPr="0018524B">
        <w:rPr>
          <w:rFonts w:ascii="Times New Roman" w:hAnsi="Times New Roman" w:cs="Times New Roman"/>
          <w:sz w:val="24"/>
          <w:szCs w:val="24"/>
        </w:rPr>
        <w:t>.</w:t>
      </w:r>
      <w:r w:rsidRPr="0018524B">
        <w:rPr>
          <w:rFonts w:ascii="Times New Roman" w:hAnsi="Times New Roman" w:cs="Times New Roman"/>
          <w:sz w:val="24"/>
          <w:szCs w:val="24"/>
        </w:rPr>
        <w:t>). W ocenie projektodawcy uznanie</w:t>
      </w:r>
      <w:r w:rsidR="009C207B" w:rsidRPr="0018524B">
        <w:rPr>
          <w:rFonts w:ascii="Times New Roman" w:hAnsi="Times New Roman" w:cs="Times New Roman"/>
          <w:sz w:val="24"/>
          <w:szCs w:val="24"/>
        </w:rPr>
        <w:t xml:space="preserve"> </w:t>
      </w:r>
      <w:r w:rsidRPr="0018524B">
        <w:rPr>
          <w:rFonts w:ascii="Times New Roman" w:hAnsi="Times New Roman" w:cs="Times New Roman"/>
          <w:sz w:val="24"/>
          <w:szCs w:val="24"/>
        </w:rPr>
        <w:t xml:space="preserve">działalności gospodarczej </w:t>
      </w:r>
      <w:r w:rsidR="00BA0301" w:rsidRPr="0018524B">
        <w:rPr>
          <w:rFonts w:ascii="Times New Roman" w:hAnsi="Times New Roman" w:cs="Times New Roman"/>
          <w:sz w:val="24"/>
          <w:szCs w:val="24"/>
        </w:rPr>
        <w:t>polegającej na świadczeniu usług o których mowa w art.</w:t>
      </w:r>
      <w:r w:rsidRPr="0018524B">
        <w:rPr>
          <w:rFonts w:ascii="Times New Roman" w:hAnsi="Times New Roman" w:cs="Times New Roman"/>
          <w:sz w:val="24"/>
          <w:szCs w:val="24"/>
        </w:rPr>
        <w:t xml:space="preserve"> </w:t>
      </w:r>
      <w:r w:rsidR="00BA0301" w:rsidRPr="0018524B">
        <w:rPr>
          <w:rFonts w:ascii="Times New Roman" w:hAnsi="Times New Roman" w:cs="Times New Roman"/>
          <w:sz w:val="24"/>
          <w:szCs w:val="24"/>
        </w:rPr>
        <w:t xml:space="preserve">2 ust. 1 pkt 12 ustawy o p.p.p.f.t. oraz art. 2 ust. 1 pkt 16 ustawy o p.p.p.f.t. </w:t>
      </w:r>
      <w:r w:rsidRPr="0018524B">
        <w:rPr>
          <w:rFonts w:ascii="Times New Roman" w:hAnsi="Times New Roman" w:cs="Times New Roman"/>
          <w:sz w:val="24"/>
          <w:szCs w:val="24"/>
        </w:rPr>
        <w:t xml:space="preserve">za działalność regulowaną, a co za tym idzie uzależnienie możliwości jej wykonywania od obowiązku uzyskania wpisu do właściwego rejestru czyni zadość wymogom wynikającym z przepisów </w:t>
      </w:r>
      <w:r w:rsidR="00E93401" w:rsidRPr="0018524B">
        <w:rPr>
          <w:rFonts w:ascii="Times New Roman" w:hAnsi="Times New Roman" w:cs="Times New Roman"/>
          <w:sz w:val="24"/>
          <w:szCs w:val="24"/>
        </w:rPr>
        <w:t>dyrektywy 2015/849</w:t>
      </w:r>
      <w:r w:rsidRPr="0018524B">
        <w:rPr>
          <w:rFonts w:ascii="Times New Roman" w:hAnsi="Times New Roman" w:cs="Times New Roman"/>
          <w:sz w:val="24"/>
          <w:szCs w:val="24"/>
        </w:rPr>
        <w:t xml:space="preserve">. </w:t>
      </w:r>
    </w:p>
    <w:p w14:paraId="274F0E74" w14:textId="7421D0DD" w:rsidR="00983B08" w:rsidRPr="0018524B" w:rsidRDefault="00983B08" w:rsidP="00C81472">
      <w:pPr>
        <w:spacing w:line="400" w:lineRule="atLeast"/>
        <w:jc w:val="both"/>
        <w:rPr>
          <w:rFonts w:ascii="Times New Roman" w:hAnsi="Times New Roman" w:cs="Times New Roman"/>
          <w:b/>
          <w:sz w:val="24"/>
          <w:szCs w:val="24"/>
        </w:rPr>
      </w:pPr>
      <w:r w:rsidRPr="0018524B">
        <w:rPr>
          <w:rFonts w:ascii="Times New Roman" w:hAnsi="Times New Roman" w:cs="Times New Roman"/>
          <w:sz w:val="24"/>
          <w:szCs w:val="24"/>
        </w:rPr>
        <w:t xml:space="preserve">Regulacja dotycząca reglamentacji działalności gospodarczej prowadzonej przez podmioty świadczące usługi na rzecz trustów i spółek zawarta jest w przepisach </w:t>
      </w:r>
      <w:r w:rsidRPr="0018524B">
        <w:rPr>
          <w:rFonts w:ascii="Times New Roman" w:hAnsi="Times New Roman" w:cs="Times New Roman"/>
          <w:b/>
          <w:sz w:val="24"/>
          <w:szCs w:val="24"/>
        </w:rPr>
        <w:t xml:space="preserve">art. 129a do art. </w:t>
      </w:r>
      <w:r w:rsidR="00E93401" w:rsidRPr="0018524B">
        <w:rPr>
          <w:rFonts w:ascii="Times New Roman" w:hAnsi="Times New Roman" w:cs="Times New Roman"/>
          <w:b/>
          <w:sz w:val="24"/>
          <w:szCs w:val="24"/>
        </w:rPr>
        <w:t>129</w:t>
      </w:r>
      <w:r w:rsidR="00DD1151" w:rsidRPr="0018524B">
        <w:rPr>
          <w:rFonts w:ascii="Times New Roman" w:hAnsi="Times New Roman" w:cs="Times New Roman"/>
          <w:b/>
          <w:sz w:val="24"/>
          <w:szCs w:val="24"/>
        </w:rPr>
        <w:t>l</w:t>
      </w:r>
      <w:r w:rsidR="00E93401" w:rsidRPr="0018524B">
        <w:rPr>
          <w:rFonts w:ascii="Times New Roman" w:hAnsi="Times New Roman" w:cs="Times New Roman"/>
          <w:b/>
          <w:sz w:val="24"/>
          <w:szCs w:val="24"/>
        </w:rPr>
        <w:t xml:space="preserve"> </w:t>
      </w:r>
      <w:r w:rsidRPr="0018524B">
        <w:rPr>
          <w:rFonts w:ascii="Times New Roman" w:hAnsi="Times New Roman" w:cs="Times New Roman"/>
          <w:b/>
          <w:sz w:val="24"/>
          <w:szCs w:val="24"/>
        </w:rPr>
        <w:t>ustawy o p.p.p.f.t.</w:t>
      </w:r>
      <w:r w:rsidRPr="0018524B">
        <w:rPr>
          <w:rFonts w:ascii="Times New Roman" w:hAnsi="Times New Roman" w:cs="Times New Roman"/>
          <w:sz w:val="24"/>
          <w:szCs w:val="24"/>
        </w:rPr>
        <w:t xml:space="preserve"> Analogiczna regulacja dotycząca reglamentacji działalności gospodarczej prowadzonej przez podmioty </w:t>
      </w:r>
      <w:r w:rsidR="004A1097" w:rsidRPr="0018524B">
        <w:rPr>
          <w:rFonts w:ascii="Times New Roman" w:hAnsi="Times New Roman" w:cs="Times New Roman"/>
          <w:sz w:val="24"/>
          <w:szCs w:val="24"/>
        </w:rPr>
        <w:t xml:space="preserve">świadczące usługi w zakresie walut wirtualnych </w:t>
      </w:r>
      <w:r w:rsidRPr="0018524B">
        <w:rPr>
          <w:rFonts w:ascii="Times New Roman" w:hAnsi="Times New Roman" w:cs="Times New Roman"/>
          <w:sz w:val="24"/>
          <w:szCs w:val="24"/>
        </w:rPr>
        <w:t xml:space="preserve">przewidziana została w </w:t>
      </w:r>
      <w:r w:rsidRPr="0018524B">
        <w:rPr>
          <w:rFonts w:ascii="Times New Roman" w:hAnsi="Times New Roman" w:cs="Times New Roman"/>
          <w:b/>
          <w:sz w:val="24"/>
          <w:szCs w:val="24"/>
        </w:rPr>
        <w:t xml:space="preserve">art. </w:t>
      </w:r>
      <w:r w:rsidR="00E93401" w:rsidRPr="0018524B">
        <w:rPr>
          <w:rFonts w:ascii="Times New Roman" w:hAnsi="Times New Roman" w:cs="Times New Roman"/>
          <w:b/>
          <w:sz w:val="24"/>
          <w:szCs w:val="24"/>
        </w:rPr>
        <w:t>129</w:t>
      </w:r>
      <w:r w:rsidR="00DD1151" w:rsidRPr="0018524B">
        <w:rPr>
          <w:rFonts w:ascii="Times New Roman" w:hAnsi="Times New Roman" w:cs="Times New Roman"/>
          <w:b/>
          <w:sz w:val="24"/>
          <w:szCs w:val="24"/>
        </w:rPr>
        <w:t>m</w:t>
      </w:r>
      <w:r w:rsidR="00E93401" w:rsidRPr="0018524B">
        <w:rPr>
          <w:rFonts w:ascii="Times New Roman" w:hAnsi="Times New Roman" w:cs="Times New Roman"/>
          <w:b/>
          <w:sz w:val="24"/>
          <w:szCs w:val="24"/>
        </w:rPr>
        <w:t xml:space="preserve"> </w:t>
      </w:r>
      <w:r w:rsidRPr="0018524B">
        <w:rPr>
          <w:rFonts w:ascii="Times New Roman" w:hAnsi="Times New Roman" w:cs="Times New Roman"/>
          <w:b/>
          <w:sz w:val="24"/>
          <w:szCs w:val="24"/>
        </w:rPr>
        <w:t xml:space="preserve">do art. </w:t>
      </w:r>
      <w:r w:rsidR="00E93401" w:rsidRPr="0018524B">
        <w:rPr>
          <w:rFonts w:ascii="Times New Roman" w:hAnsi="Times New Roman" w:cs="Times New Roman"/>
          <w:b/>
          <w:sz w:val="24"/>
          <w:szCs w:val="24"/>
        </w:rPr>
        <w:t xml:space="preserve">129x </w:t>
      </w:r>
      <w:r w:rsidRPr="0018524B">
        <w:rPr>
          <w:rFonts w:ascii="Times New Roman" w:hAnsi="Times New Roman" w:cs="Times New Roman"/>
          <w:b/>
          <w:sz w:val="24"/>
          <w:szCs w:val="24"/>
        </w:rPr>
        <w:t>ustawy o p.p.p.f.t.</w:t>
      </w:r>
      <w:r w:rsidR="00E93401" w:rsidRPr="0018524B">
        <w:rPr>
          <w:rFonts w:ascii="Times New Roman" w:hAnsi="Times New Roman" w:cs="Times New Roman"/>
          <w:sz w:val="24"/>
          <w:szCs w:val="24"/>
        </w:rPr>
        <w:t xml:space="preserve"> Ze względu na fakt, że część z usług świadczonych na rzecz trustów lub spółek może pokrywać się z usługami świadczonymi w </w:t>
      </w:r>
      <w:r w:rsidR="00E93401" w:rsidRPr="0018524B">
        <w:rPr>
          <w:rFonts w:ascii="Times New Roman" w:hAnsi="Times New Roman" w:cs="Times New Roman"/>
          <w:sz w:val="24"/>
          <w:szCs w:val="24"/>
        </w:rPr>
        <w:lastRenderedPageBreak/>
        <w:t>ramach świadczenia pomocy prawnej z</w:t>
      </w:r>
      <w:r w:rsidR="00C6045B">
        <w:rPr>
          <w:rFonts w:ascii="Times New Roman" w:hAnsi="Times New Roman" w:cs="Times New Roman"/>
          <w:sz w:val="24"/>
          <w:szCs w:val="24"/>
        </w:rPr>
        <w:t xml:space="preserve"> </w:t>
      </w:r>
      <w:r w:rsidR="00E93401" w:rsidRPr="0018524B">
        <w:rPr>
          <w:rFonts w:ascii="Times New Roman" w:hAnsi="Times New Roman" w:cs="Times New Roman"/>
          <w:sz w:val="24"/>
          <w:szCs w:val="24"/>
        </w:rPr>
        <w:t xml:space="preserve">obowiązku uzyskania wpisu do rejestru działalności na rzecz spółek lub trustów zwolnieni zostali radcowie prawni oraz adwokaci, a także spółki, o których mowa w art. 8 ustawy z dnia 6 lipca 1982 r. </w:t>
      </w:r>
      <w:r w:rsidR="00E93401" w:rsidRPr="0018524B">
        <w:rPr>
          <w:rFonts w:ascii="Times New Roman" w:hAnsi="Times New Roman" w:cs="Times New Roman"/>
          <w:i/>
          <w:sz w:val="24"/>
          <w:szCs w:val="24"/>
        </w:rPr>
        <w:t>o radcach prawnych</w:t>
      </w:r>
      <w:r w:rsidR="00E93401" w:rsidRPr="0018524B">
        <w:rPr>
          <w:rFonts w:ascii="Times New Roman" w:hAnsi="Times New Roman" w:cs="Times New Roman"/>
          <w:sz w:val="24"/>
          <w:szCs w:val="24"/>
        </w:rPr>
        <w:t xml:space="preserve"> i art. 4a ustawy z dnia 26 maja 1982 r. – </w:t>
      </w:r>
      <w:r w:rsidR="00E93401" w:rsidRPr="0018524B">
        <w:rPr>
          <w:rFonts w:ascii="Times New Roman" w:hAnsi="Times New Roman" w:cs="Times New Roman"/>
          <w:i/>
          <w:sz w:val="24"/>
          <w:szCs w:val="24"/>
        </w:rPr>
        <w:t>Prawo o adwokaturze</w:t>
      </w:r>
      <w:r w:rsidR="00E93401" w:rsidRPr="0018524B">
        <w:rPr>
          <w:rFonts w:ascii="Times New Roman" w:hAnsi="Times New Roman" w:cs="Times New Roman"/>
          <w:sz w:val="24"/>
          <w:szCs w:val="24"/>
        </w:rPr>
        <w:t xml:space="preserve"> (Dz. U. </w:t>
      </w:r>
      <w:r w:rsidR="00E52520">
        <w:rPr>
          <w:rFonts w:ascii="Times New Roman" w:hAnsi="Times New Roman" w:cs="Times New Roman"/>
          <w:sz w:val="24"/>
          <w:szCs w:val="24"/>
        </w:rPr>
        <w:t xml:space="preserve">z </w:t>
      </w:r>
      <w:r w:rsidR="00E93401" w:rsidRPr="0018524B">
        <w:rPr>
          <w:rFonts w:ascii="Times New Roman" w:hAnsi="Times New Roman" w:cs="Times New Roman"/>
          <w:sz w:val="24"/>
          <w:szCs w:val="24"/>
        </w:rPr>
        <w:t>20</w:t>
      </w:r>
      <w:r w:rsidR="00E52520">
        <w:rPr>
          <w:rFonts w:ascii="Times New Roman" w:hAnsi="Times New Roman" w:cs="Times New Roman"/>
          <w:sz w:val="24"/>
          <w:szCs w:val="24"/>
        </w:rPr>
        <w:t>20</w:t>
      </w:r>
      <w:r w:rsidR="00E93401" w:rsidRPr="0018524B">
        <w:rPr>
          <w:rFonts w:ascii="Times New Roman" w:hAnsi="Times New Roman" w:cs="Times New Roman"/>
          <w:sz w:val="24"/>
          <w:szCs w:val="24"/>
        </w:rPr>
        <w:t xml:space="preserve"> r. poz. </w:t>
      </w:r>
      <w:r w:rsidR="00E52520">
        <w:rPr>
          <w:rFonts w:ascii="Times New Roman" w:hAnsi="Times New Roman" w:cs="Times New Roman"/>
          <w:sz w:val="24"/>
          <w:szCs w:val="24"/>
        </w:rPr>
        <w:t>1651</w:t>
      </w:r>
      <w:r w:rsidR="00E93401" w:rsidRPr="0018524B">
        <w:rPr>
          <w:rFonts w:ascii="Times New Roman" w:hAnsi="Times New Roman" w:cs="Times New Roman"/>
          <w:sz w:val="24"/>
          <w:szCs w:val="24"/>
        </w:rPr>
        <w:t xml:space="preserve">, </w:t>
      </w:r>
      <w:r w:rsidR="00CB0E7A">
        <w:rPr>
          <w:rFonts w:ascii="Times New Roman" w:hAnsi="Times New Roman" w:cs="Times New Roman"/>
          <w:sz w:val="24"/>
          <w:szCs w:val="24"/>
        </w:rPr>
        <w:t>z późn. zm</w:t>
      </w:r>
      <w:r w:rsidR="00E52520">
        <w:rPr>
          <w:rFonts w:ascii="Times New Roman" w:hAnsi="Times New Roman" w:cs="Times New Roman"/>
          <w:sz w:val="24"/>
          <w:szCs w:val="24"/>
        </w:rPr>
        <w:t>.</w:t>
      </w:r>
      <w:r w:rsidR="00E93401" w:rsidRPr="0018524B">
        <w:rPr>
          <w:rFonts w:ascii="Times New Roman" w:hAnsi="Times New Roman" w:cs="Times New Roman"/>
          <w:sz w:val="24"/>
          <w:szCs w:val="24"/>
        </w:rPr>
        <w:t>) (art. 129a ust. 2 ustawy o p.p.p.f.t.).</w:t>
      </w:r>
    </w:p>
    <w:p w14:paraId="1C65915E" w14:textId="24A24EED" w:rsidR="00E93401" w:rsidRPr="0018524B" w:rsidRDefault="00E93401" w:rsidP="00E93401">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W przepisach </w:t>
      </w:r>
      <w:r w:rsidRPr="0018524B">
        <w:rPr>
          <w:rFonts w:ascii="Times New Roman" w:hAnsi="Times New Roman" w:cs="Times New Roman"/>
          <w:b/>
          <w:sz w:val="24"/>
          <w:szCs w:val="24"/>
        </w:rPr>
        <w:t>art. 129a oraz art. 129</w:t>
      </w:r>
      <w:r w:rsidR="00DD1151" w:rsidRPr="0018524B">
        <w:rPr>
          <w:rFonts w:ascii="Times New Roman" w:hAnsi="Times New Roman" w:cs="Times New Roman"/>
          <w:b/>
          <w:sz w:val="24"/>
          <w:szCs w:val="24"/>
        </w:rPr>
        <w:t>m</w:t>
      </w:r>
      <w:r w:rsidRPr="0018524B">
        <w:rPr>
          <w:rFonts w:ascii="Times New Roman" w:hAnsi="Times New Roman" w:cs="Times New Roman"/>
          <w:b/>
          <w:sz w:val="24"/>
          <w:szCs w:val="24"/>
        </w:rPr>
        <w:t xml:space="preserve"> ustawy o p.p.p.f.t.</w:t>
      </w:r>
      <w:r w:rsidRPr="0018524B">
        <w:rPr>
          <w:rFonts w:ascii="Times New Roman" w:hAnsi="Times New Roman" w:cs="Times New Roman"/>
          <w:sz w:val="24"/>
          <w:szCs w:val="24"/>
        </w:rPr>
        <w:t>, poprzez odwołanie do właściwych kategorii instytucji obowiązanych (odpowiednio do art. 2 ust. 1 pkt 16 oraz art.2</w:t>
      </w:r>
      <w:r w:rsidR="00C6045B">
        <w:rPr>
          <w:rFonts w:ascii="Times New Roman" w:hAnsi="Times New Roman" w:cs="Times New Roman"/>
          <w:sz w:val="24"/>
          <w:szCs w:val="24"/>
        </w:rPr>
        <w:t xml:space="preserve"> </w:t>
      </w:r>
      <w:r w:rsidRPr="0018524B">
        <w:rPr>
          <w:rFonts w:ascii="Times New Roman" w:hAnsi="Times New Roman" w:cs="Times New Roman"/>
          <w:sz w:val="24"/>
          <w:szCs w:val="24"/>
        </w:rPr>
        <w:t xml:space="preserve">ust. 1 pkt 12 ustawy o p.p.p.f.t.) określono zakres usług, których świadczenie objęte będzie zakresem działalności regulowanych. Organem prowadzącym rejestr działalności regulowanej, o której mowa w art. 129a ust. 1 ustawy o p.p.p.f.t. (Rejestr działalności na rzecz spółek lub trustów) oraz rejestr działalności regulowanej, o której mowa w art. </w:t>
      </w:r>
      <w:r w:rsidR="00DD1151" w:rsidRPr="0018524B">
        <w:rPr>
          <w:rFonts w:ascii="Times New Roman" w:hAnsi="Times New Roman" w:cs="Times New Roman"/>
          <w:sz w:val="24"/>
          <w:szCs w:val="24"/>
        </w:rPr>
        <w:t xml:space="preserve">129m </w:t>
      </w:r>
      <w:r w:rsidRPr="0018524B">
        <w:rPr>
          <w:rFonts w:ascii="Times New Roman" w:hAnsi="Times New Roman" w:cs="Times New Roman"/>
          <w:sz w:val="24"/>
          <w:szCs w:val="24"/>
        </w:rPr>
        <w:t xml:space="preserve">ustawy o p.p.p.f.t. (Rejestr działalności na rzecz spółek lub trustów), będzie minister właściwy ds. finansów publicznych. </w:t>
      </w:r>
    </w:p>
    <w:p w14:paraId="7F867DF7" w14:textId="3EAFF2B3" w:rsidR="00E93401" w:rsidRPr="0018524B" w:rsidRDefault="00E93401" w:rsidP="00E93401">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W art. 129e ustawy o p.p.p.f.t. oraz w art. 129</w:t>
      </w:r>
      <w:r w:rsidR="00DD1151" w:rsidRPr="0018524B">
        <w:rPr>
          <w:rFonts w:ascii="Times New Roman" w:hAnsi="Times New Roman" w:cs="Times New Roman"/>
          <w:sz w:val="24"/>
          <w:szCs w:val="24"/>
        </w:rPr>
        <w:t>q</w:t>
      </w:r>
      <w:r w:rsidRPr="0018524B">
        <w:rPr>
          <w:rFonts w:ascii="Times New Roman" w:hAnsi="Times New Roman" w:cs="Times New Roman"/>
          <w:sz w:val="24"/>
          <w:szCs w:val="24"/>
        </w:rPr>
        <w:t xml:space="preserve"> ustawy o p.p.p.f.t. określono zakres zadań ministra właściwego ds. finansów publicznych, jako organu właściwego odpowiednio ws. Rejestru działalności na rzecz spółek lub trustów oraz ws. Rejestru działalności w zakresie walut wirtualnych. Zakres zadań obejmuje oprócz prowadzenia obu rejestrów oraz zapewnienia organizacyjnych i technicznych warunków ich prowadzenia także rozpatrywanie wniosków o wpis do rejestrów, aktualizacj</w:t>
      </w:r>
      <w:r w:rsidR="000601B0" w:rsidRPr="0018524B">
        <w:rPr>
          <w:rFonts w:ascii="Times New Roman" w:hAnsi="Times New Roman" w:cs="Times New Roman"/>
          <w:sz w:val="24"/>
          <w:szCs w:val="24"/>
        </w:rPr>
        <w:t>ę</w:t>
      </w:r>
      <w:r w:rsidRPr="0018524B">
        <w:rPr>
          <w:rFonts w:ascii="Times New Roman" w:hAnsi="Times New Roman" w:cs="Times New Roman"/>
          <w:sz w:val="24"/>
          <w:szCs w:val="24"/>
        </w:rPr>
        <w:t xml:space="preserve"> danych w nich z</w:t>
      </w:r>
      <w:r w:rsidR="000601B0" w:rsidRPr="0018524B">
        <w:rPr>
          <w:rFonts w:ascii="Times New Roman" w:hAnsi="Times New Roman" w:cs="Times New Roman"/>
          <w:sz w:val="24"/>
          <w:szCs w:val="24"/>
        </w:rPr>
        <w:t>a</w:t>
      </w:r>
      <w:r w:rsidRPr="0018524B">
        <w:rPr>
          <w:rFonts w:ascii="Times New Roman" w:hAnsi="Times New Roman" w:cs="Times New Roman"/>
          <w:sz w:val="24"/>
          <w:szCs w:val="24"/>
        </w:rPr>
        <w:t>wartych oraz nakładanie kar administracyjnych za niedopełnienie obowiązku uzyskani</w:t>
      </w:r>
      <w:r w:rsidR="000601B0" w:rsidRPr="0018524B">
        <w:rPr>
          <w:rFonts w:ascii="Times New Roman" w:hAnsi="Times New Roman" w:cs="Times New Roman"/>
          <w:sz w:val="24"/>
          <w:szCs w:val="24"/>
        </w:rPr>
        <w:t>a</w:t>
      </w:r>
      <w:r w:rsidRPr="0018524B">
        <w:rPr>
          <w:rFonts w:ascii="Times New Roman" w:hAnsi="Times New Roman" w:cs="Times New Roman"/>
          <w:sz w:val="24"/>
          <w:szCs w:val="24"/>
        </w:rPr>
        <w:t xml:space="preserve"> wpisu do właściwego rejestru działalności regulowanej. Do zadań organu właściwego ws. obu rejestrów należeć będzie przetwarzanie danych w nich zawartych oraz pełnienie funkcji administratora tych danych.</w:t>
      </w:r>
    </w:p>
    <w:p w14:paraId="659B5D1F" w14:textId="6F29174D" w:rsidR="00E93401" w:rsidRPr="0018524B" w:rsidRDefault="00E93401" w:rsidP="00E93401">
      <w:pPr>
        <w:spacing w:line="400" w:lineRule="atLeast"/>
        <w:jc w:val="both"/>
        <w:rPr>
          <w:rFonts w:ascii="Times New Roman" w:hAnsi="Times New Roman" w:cs="Times New Roman"/>
          <w:i/>
          <w:sz w:val="24"/>
          <w:szCs w:val="24"/>
        </w:rPr>
      </w:pPr>
      <w:r w:rsidRPr="0018524B">
        <w:rPr>
          <w:rFonts w:ascii="Times New Roman" w:hAnsi="Times New Roman" w:cs="Times New Roman"/>
          <w:sz w:val="24"/>
          <w:szCs w:val="24"/>
        </w:rPr>
        <w:t>Jednocześnie w art. 129l ustawy o p.p.p.f.t. oraz art. 129</w:t>
      </w:r>
      <w:r w:rsidR="00DF5176" w:rsidRPr="0018524B">
        <w:rPr>
          <w:rFonts w:ascii="Times New Roman" w:hAnsi="Times New Roman" w:cs="Times New Roman"/>
          <w:sz w:val="24"/>
          <w:szCs w:val="24"/>
        </w:rPr>
        <w:t>x</w:t>
      </w:r>
      <w:r w:rsidRPr="0018524B">
        <w:rPr>
          <w:rFonts w:ascii="Times New Roman" w:hAnsi="Times New Roman" w:cs="Times New Roman"/>
          <w:sz w:val="24"/>
          <w:szCs w:val="24"/>
        </w:rPr>
        <w:t xml:space="preserve"> przewidziano możliwość wyznaczenia organu Krajowej Administracji Skarbowej do wykonywania zadań organu właściwego odpowiednio w sprawach Rejestru działalności na rzecz spółek i trustów oraz Rejestru działalności w zakresie walut wirtualnych. Wyznaczenie organu KAS nastąpić może na podstawie rozporządzenia wydanego przez ministra właściwego ds. finansów publicznych przy uwzględnieniu przygotowania technicznego oraz organizacyjnego urzędu obsługującego wyznaczony organ KAS.</w:t>
      </w:r>
      <w:r w:rsidR="00C6045B">
        <w:rPr>
          <w:rFonts w:ascii="Times New Roman" w:hAnsi="Times New Roman" w:cs="Times New Roman"/>
          <w:i/>
          <w:sz w:val="24"/>
          <w:szCs w:val="24"/>
        </w:rPr>
        <w:t xml:space="preserve"> </w:t>
      </w:r>
    </w:p>
    <w:p w14:paraId="145059C9" w14:textId="69655E43" w:rsidR="00E93401" w:rsidRPr="0018524B" w:rsidRDefault="00E93401" w:rsidP="00E93401">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Zakres danych zawartych </w:t>
      </w:r>
      <w:r w:rsidR="000601B0" w:rsidRPr="0018524B">
        <w:rPr>
          <w:rFonts w:ascii="Times New Roman" w:hAnsi="Times New Roman" w:cs="Times New Roman"/>
          <w:sz w:val="24"/>
          <w:szCs w:val="24"/>
        </w:rPr>
        <w:t>w</w:t>
      </w:r>
      <w:r w:rsidRPr="0018524B">
        <w:rPr>
          <w:rFonts w:ascii="Times New Roman" w:hAnsi="Times New Roman" w:cs="Times New Roman"/>
          <w:sz w:val="24"/>
          <w:szCs w:val="24"/>
        </w:rPr>
        <w:t xml:space="preserve"> Rejestrze działalności na rzecz spółek lub trustów oraz Rejestrze działalności w zakresie walut wirtualnych określony został odpowiednio w </w:t>
      </w:r>
      <w:r w:rsidRPr="0018524B">
        <w:rPr>
          <w:rFonts w:ascii="Times New Roman" w:hAnsi="Times New Roman" w:cs="Times New Roman"/>
          <w:b/>
          <w:sz w:val="24"/>
          <w:szCs w:val="24"/>
        </w:rPr>
        <w:t xml:space="preserve">art. 129h </w:t>
      </w:r>
      <w:r w:rsidRPr="0018524B">
        <w:rPr>
          <w:rFonts w:ascii="Times New Roman" w:hAnsi="Times New Roman" w:cs="Times New Roman"/>
          <w:sz w:val="24"/>
          <w:szCs w:val="24"/>
        </w:rPr>
        <w:t>oraz</w:t>
      </w:r>
      <w:r w:rsidRPr="0018524B">
        <w:rPr>
          <w:rFonts w:ascii="Times New Roman" w:hAnsi="Times New Roman" w:cs="Times New Roman"/>
          <w:b/>
          <w:sz w:val="24"/>
          <w:szCs w:val="24"/>
        </w:rPr>
        <w:t xml:space="preserve"> art. 129</w:t>
      </w:r>
      <w:r w:rsidR="00DF5176" w:rsidRPr="0018524B">
        <w:rPr>
          <w:rFonts w:ascii="Times New Roman" w:hAnsi="Times New Roman" w:cs="Times New Roman"/>
          <w:b/>
          <w:sz w:val="24"/>
          <w:szCs w:val="24"/>
        </w:rPr>
        <w:t>t</w:t>
      </w:r>
      <w:r w:rsidRPr="0018524B">
        <w:rPr>
          <w:rFonts w:ascii="Times New Roman" w:hAnsi="Times New Roman" w:cs="Times New Roman"/>
          <w:b/>
          <w:sz w:val="24"/>
          <w:szCs w:val="24"/>
        </w:rPr>
        <w:t xml:space="preserve"> ustawy o p.p.p.f.t. </w:t>
      </w:r>
      <w:r w:rsidRPr="0018524B">
        <w:rPr>
          <w:rFonts w:ascii="Times New Roman" w:hAnsi="Times New Roman" w:cs="Times New Roman"/>
          <w:sz w:val="24"/>
          <w:szCs w:val="24"/>
        </w:rPr>
        <w:t xml:space="preserve">W obu rejestrach gromadzone będą podstawowe dane identyfikacyjne przedsiębiorców wykonujących działalność regulowaną oraz informacje o zawieszeniu wykonywania działalności gospodarczej lub zakończeniu prowadzenia działalności </w:t>
      </w:r>
      <w:r w:rsidRPr="0018524B">
        <w:rPr>
          <w:rFonts w:ascii="Times New Roman" w:hAnsi="Times New Roman" w:cs="Times New Roman"/>
          <w:sz w:val="24"/>
          <w:szCs w:val="24"/>
        </w:rPr>
        <w:lastRenderedPageBreak/>
        <w:t>gospodarczej lub działalności regulowanej. W rejestrach zawarta będzie także informacja o konkretnych usługach objętych zakresem obu działalności regulowanych świadczonych przez podlegających wpisowi przedsiębiorców.</w:t>
      </w:r>
      <w:r w:rsidR="00496145">
        <w:rPr>
          <w:rFonts w:ascii="Times New Roman" w:hAnsi="Times New Roman" w:cs="Times New Roman"/>
          <w:sz w:val="24"/>
          <w:szCs w:val="24"/>
        </w:rPr>
        <w:t xml:space="preserve"> </w:t>
      </w:r>
      <w:r w:rsidR="004746E7">
        <w:rPr>
          <w:rFonts w:ascii="Times New Roman" w:hAnsi="Times New Roman" w:cs="Times New Roman"/>
          <w:sz w:val="24"/>
          <w:szCs w:val="24"/>
        </w:rPr>
        <w:t xml:space="preserve">Informacje do rejestru będą zgłaszane przez przedsiębiorców zgodnie z art. 129i oraz art. 129u </w:t>
      </w:r>
      <w:r w:rsidR="004746E7" w:rsidRPr="004746E7">
        <w:rPr>
          <w:rFonts w:ascii="Times New Roman" w:hAnsi="Times New Roman" w:cs="Times New Roman"/>
          <w:sz w:val="24"/>
          <w:szCs w:val="24"/>
        </w:rPr>
        <w:t>ustawy o p.p.p.f.t.</w:t>
      </w:r>
      <w:r w:rsidR="004746E7">
        <w:rPr>
          <w:rFonts w:ascii="Times New Roman" w:hAnsi="Times New Roman" w:cs="Times New Roman"/>
          <w:sz w:val="24"/>
          <w:szCs w:val="24"/>
        </w:rPr>
        <w:t xml:space="preserve">, przy czym informacje mogą być również pozyskiwane przez organ właściwy w sprawach rejestru </w:t>
      </w:r>
      <w:r w:rsidR="00EE2C77">
        <w:rPr>
          <w:rFonts w:ascii="Times New Roman" w:hAnsi="Times New Roman" w:cs="Times New Roman"/>
          <w:sz w:val="24"/>
          <w:szCs w:val="24"/>
        </w:rPr>
        <w:t xml:space="preserve">bezpośrednio z odpowiednich </w:t>
      </w:r>
      <w:r w:rsidR="00860EBE">
        <w:rPr>
          <w:rFonts w:ascii="Times New Roman" w:hAnsi="Times New Roman" w:cs="Times New Roman"/>
          <w:sz w:val="24"/>
          <w:szCs w:val="24"/>
        </w:rPr>
        <w:t>zbiorów danych</w:t>
      </w:r>
      <w:r w:rsidR="00EE2C77">
        <w:rPr>
          <w:rFonts w:ascii="Times New Roman" w:hAnsi="Times New Roman" w:cs="Times New Roman"/>
          <w:sz w:val="24"/>
          <w:szCs w:val="24"/>
        </w:rPr>
        <w:t xml:space="preserve">. Przykładowo można wskazać, że w przypadku informacji o zakończeniu działalności na rzecz spółek lub trustów, czy też działalności w zakresie walut wirtualnych, organ właściwy będzie mógł taką informację wprowadzić na podstawie informacji z Centralnej </w:t>
      </w:r>
      <w:r w:rsidR="00EE2C77" w:rsidRPr="00EE2C77">
        <w:rPr>
          <w:rFonts w:ascii="Times New Roman" w:hAnsi="Times New Roman" w:cs="Times New Roman"/>
          <w:sz w:val="24"/>
          <w:szCs w:val="24"/>
        </w:rPr>
        <w:t>Ewidencji i Informacji o Działalności Gospodarczej</w:t>
      </w:r>
      <w:r w:rsidR="00EE2C77">
        <w:rPr>
          <w:rFonts w:ascii="Times New Roman" w:hAnsi="Times New Roman" w:cs="Times New Roman"/>
          <w:sz w:val="24"/>
          <w:szCs w:val="24"/>
        </w:rPr>
        <w:t xml:space="preserve">. W szczególności należy wskazać, iż art. 48 ust. 2 ustawy z dnia 6 marca 2018 r. o </w:t>
      </w:r>
      <w:r w:rsidR="00EE2C77" w:rsidRPr="00EE2C77">
        <w:rPr>
          <w:rFonts w:ascii="Times New Roman" w:hAnsi="Times New Roman" w:cs="Times New Roman"/>
          <w:sz w:val="24"/>
          <w:szCs w:val="24"/>
        </w:rPr>
        <w:t>Centralnej Ewidencji i Informacji o Działalności Gospodarczej i Punkcie Informacji dla Przedsiębiorcy</w:t>
      </w:r>
      <w:r w:rsidR="00EE2C77">
        <w:rPr>
          <w:rFonts w:ascii="Times New Roman" w:hAnsi="Times New Roman" w:cs="Times New Roman"/>
          <w:sz w:val="24"/>
          <w:szCs w:val="24"/>
        </w:rPr>
        <w:t xml:space="preserve">, </w:t>
      </w:r>
      <w:r w:rsidR="00860EBE">
        <w:rPr>
          <w:rFonts w:ascii="Times New Roman" w:hAnsi="Times New Roman" w:cs="Times New Roman"/>
          <w:sz w:val="24"/>
          <w:szCs w:val="24"/>
        </w:rPr>
        <w:t>przewiduje możliwość ustalenia</w:t>
      </w:r>
      <w:r w:rsidR="00860EBE" w:rsidRPr="00860EBE">
        <w:rPr>
          <w:rFonts w:ascii="Times New Roman" w:hAnsi="Times New Roman" w:cs="Times New Roman"/>
          <w:sz w:val="24"/>
          <w:szCs w:val="24"/>
        </w:rPr>
        <w:t xml:space="preserve"> z ministrem właściwym do spraw gospodarki warunków udostępniania </w:t>
      </w:r>
      <w:r w:rsidR="00860EBE">
        <w:rPr>
          <w:rFonts w:ascii="Times New Roman" w:hAnsi="Times New Roman" w:cs="Times New Roman"/>
          <w:sz w:val="24"/>
          <w:szCs w:val="24"/>
        </w:rPr>
        <w:t xml:space="preserve">niezbędnych </w:t>
      </w:r>
      <w:r w:rsidR="00860EBE" w:rsidRPr="00860EBE">
        <w:rPr>
          <w:rFonts w:ascii="Times New Roman" w:hAnsi="Times New Roman" w:cs="Times New Roman"/>
          <w:sz w:val="24"/>
          <w:szCs w:val="24"/>
        </w:rPr>
        <w:t xml:space="preserve">danych </w:t>
      </w:r>
      <w:r w:rsidR="00860EBE">
        <w:rPr>
          <w:rFonts w:ascii="Times New Roman" w:hAnsi="Times New Roman" w:cs="Times New Roman"/>
          <w:sz w:val="24"/>
          <w:szCs w:val="24"/>
        </w:rPr>
        <w:t>z ewidencji</w:t>
      </w:r>
      <w:r w:rsidR="00AB7FB7">
        <w:rPr>
          <w:rFonts w:ascii="Times New Roman" w:hAnsi="Times New Roman" w:cs="Times New Roman"/>
          <w:sz w:val="24"/>
          <w:szCs w:val="24"/>
        </w:rPr>
        <w:t xml:space="preserve"> </w:t>
      </w:r>
      <w:r w:rsidR="00AB7FB7" w:rsidRPr="00AB7FB7">
        <w:rPr>
          <w:rFonts w:ascii="Times New Roman" w:eastAsia="Times New Roman" w:hAnsi="Times New Roman" w:cs="Times New Roman"/>
          <w:sz w:val="24"/>
          <w:szCs w:val="24"/>
          <w:lang w:eastAsia="pl-PL"/>
        </w:rPr>
        <w:t xml:space="preserve">organom państwowym, w celu </w:t>
      </w:r>
      <w:r w:rsidR="00AB7FB7">
        <w:rPr>
          <w:rFonts w:ascii="Times New Roman" w:eastAsia="Times New Roman" w:hAnsi="Times New Roman" w:cs="Times New Roman"/>
          <w:sz w:val="24"/>
          <w:szCs w:val="24"/>
          <w:lang w:eastAsia="pl-PL"/>
        </w:rPr>
        <w:t>realizacji ich ustawowych zadań.</w:t>
      </w:r>
      <w:r w:rsidR="00860EBE">
        <w:rPr>
          <w:rFonts w:ascii="Times New Roman" w:hAnsi="Times New Roman" w:cs="Times New Roman"/>
          <w:sz w:val="24"/>
          <w:szCs w:val="24"/>
        </w:rPr>
        <w:t xml:space="preserve"> </w:t>
      </w:r>
    </w:p>
    <w:p w14:paraId="0F58E7B3" w14:textId="11AF82A3" w:rsidR="0065235E" w:rsidRPr="0065235E" w:rsidRDefault="00983B08" w:rsidP="0065235E">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W </w:t>
      </w:r>
      <w:r w:rsidRPr="0018524B">
        <w:rPr>
          <w:rFonts w:ascii="Times New Roman" w:hAnsi="Times New Roman" w:cs="Times New Roman"/>
          <w:b/>
          <w:sz w:val="24"/>
          <w:szCs w:val="24"/>
        </w:rPr>
        <w:t>art. 129b oraz art. 129c ustawy o p.p.p.f.t.</w:t>
      </w:r>
      <w:r w:rsidRPr="0018524B">
        <w:rPr>
          <w:rFonts w:ascii="Times New Roman" w:hAnsi="Times New Roman" w:cs="Times New Roman"/>
          <w:sz w:val="24"/>
          <w:szCs w:val="24"/>
        </w:rPr>
        <w:t xml:space="preserve"> określone zostały materialne przesłanki koni</w:t>
      </w:r>
      <w:r w:rsidR="00F61CD3" w:rsidRPr="0018524B">
        <w:rPr>
          <w:rFonts w:ascii="Times New Roman" w:hAnsi="Times New Roman" w:cs="Times New Roman"/>
          <w:sz w:val="24"/>
          <w:szCs w:val="24"/>
        </w:rPr>
        <w:t>e</w:t>
      </w:r>
      <w:r w:rsidRPr="0018524B">
        <w:rPr>
          <w:rFonts w:ascii="Times New Roman" w:hAnsi="Times New Roman" w:cs="Times New Roman"/>
          <w:sz w:val="24"/>
          <w:szCs w:val="24"/>
        </w:rPr>
        <w:t>czne do spełnienia,</w:t>
      </w:r>
      <w:r w:rsidR="009C207B" w:rsidRPr="0018524B">
        <w:rPr>
          <w:rFonts w:ascii="Times New Roman" w:hAnsi="Times New Roman" w:cs="Times New Roman"/>
          <w:sz w:val="24"/>
          <w:szCs w:val="24"/>
        </w:rPr>
        <w:t xml:space="preserve"> </w:t>
      </w:r>
      <w:r w:rsidRPr="0018524B">
        <w:rPr>
          <w:rFonts w:ascii="Times New Roman" w:hAnsi="Times New Roman" w:cs="Times New Roman"/>
          <w:sz w:val="24"/>
          <w:szCs w:val="24"/>
        </w:rPr>
        <w:t xml:space="preserve">w celu podjęcia oraz wykonywania działalności </w:t>
      </w:r>
      <w:r w:rsidR="004A1097" w:rsidRPr="0018524B">
        <w:rPr>
          <w:rFonts w:ascii="Times New Roman" w:hAnsi="Times New Roman" w:cs="Times New Roman"/>
          <w:sz w:val="24"/>
          <w:szCs w:val="24"/>
        </w:rPr>
        <w:t xml:space="preserve">na rzecz spółek </w:t>
      </w:r>
      <w:r w:rsidR="00654178" w:rsidRPr="0018524B">
        <w:rPr>
          <w:rFonts w:ascii="Times New Roman" w:hAnsi="Times New Roman" w:cs="Times New Roman"/>
          <w:sz w:val="24"/>
          <w:szCs w:val="24"/>
        </w:rPr>
        <w:t>lub</w:t>
      </w:r>
      <w:r w:rsidR="004A1097" w:rsidRPr="0018524B">
        <w:rPr>
          <w:rFonts w:ascii="Times New Roman" w:hAnsi="Times New Roman" w:cs="Times New Roman"/>
          <w:sz w:val="24"/>
          <w:szCs w:val="24"/>
        </w:rPr>
        <w:t xml:space="preserve"> trustów. </w:t>
      </w:r>
      <w:r w:rsidRPr="0018524B">
        <w:rPr>
          <w:rFonts w:ascii="Times New Roman" w:hAnsi="Times New Roman" w:cs="Times New Roman"/>
          <w:sz w:val="24"/>
          <w:szCs w:val="24"/>
        </w:rPr>
        <w:t xml:space="preserve">W odniesieniu do działalności regulowanej, o której mowa w art. </w:t>
      </w:r>
      <w:r w:rsidR="00E93401" w:rsidRPr="0018524B">
        <w:rPr>
          <w:rFonts w:ascii="Times New Roman" w:hAnsi="Times New Roman" w:cs="Times New Roman"/>
          <w:sz w:val="24"/>
          <w:szCs w:val="24"/>
        </w:rPr>
        <w:t>129</w:t>
      </w:r>
      <w:r w:rsidR="00DF5176" w:rsidRPr="0018524B">
        <w:rPr>
          <w:rFonts w:ascii="Times New Roman" w:hAnsi="Times New Roman" w:cs="Times New Roman"/>
          <w:sz w:val="24"/>
          <w:szCs w:val="24"/>
        </w:rPr>
        <w:t>m</w:t>
      </w:r>
      <w:r w:rsidR="00E93401" w:rsidRPr="0018524B">
        <w:rPr>
          <w:rFonts w:ascii="Times New Roman" w:hAnsi="Times New Roman" w:cs="Times New Roman"/>
          <w:sz w:val="24"/>
          <w:szCs w:val="24"/>
        </w:rPr>
        <w:t xml:space="preserve"> </w:t>
      </w:r>
      <w:r w:rsidRPr="0018524B">
        <w:rPr>
          <w:rFonts w:ascii="Times New Roman" w:hAnsi="Times New Roman" w:cs="Times New Roman"/>
          <w:sz w:val="24"/>
          <w:szCs w:val="24"/>
        </w:rPr>
        <w:t xml:space="preserve">ustawy o p.p.p.f.t. adekwatne wymogi określone zostały w przepisach </w:t>
      </w:r>
      <w:r w:rsidRPr="0018524B">
        <w:rPr>
          <w:rFonts w:ascii="Times New Roman" w:hAnsi="Times New Roman" w:cs="Times New Roman"/>
          <w:b/>
          <w:sz w:val="24"/>
          <w:szCs w:val="24"/>
        </w:rPr>
        <w:t xml:space="preserve">art. </w:t>
      </w:r>
      <w:r w:rsidR="00E93401" w:rsidRPr="0018524B">
        <w:rPr>
          <w:rFonts w:ascii="Times New Roman" w:hAnsi="Times New Roman" w:cs="Times New Roman"/>
          <w:b/>
          <w:sz w:val="24"/>
          <w:szCs w:val="24"/>
        </w:rPr>
        <w:t>129</w:t>
      </w:r>
      <w:r w:rsidR="00DF5176" w:rsidRPr="0018524B">
        <w:rPr>
          <w:rFonts w:ascii="Times New Roman" w:hAnsi="Times New Roman" w:cs="Times New Roman"/>
          <w:b/>
          <w:sz w:val="24"/>
          <w:szCs w:val="24"/>
        </w:rPr>
        <w:t>n</w:t>
      </w:r>
      <w:r w:rsidR="00E93401" w:rsidRPr="0018524B">
        <w:rPr>
          <w:rFonts w:ascii="Times New Roman" w:hAnsi="Times New Roman" w:cs="Times New Roman"/>
          <w:b/>
          <w:sz w:val="24"/>
          <w:szCs w:val="24"/>
        </w:rPr>
        <w:t xml:space="preserve"> </w:t>
      </w:r>
      <w:r w:rsidRPr="0018524B">
        <w:rPr>
          <w:rFonts w:ascii="Times New Roman" w:hAnsi="Times New Roman" w:cs="Times New Roman"/>
          <w:b/>
          <w:sz w:val="24"/>
          <w:szCs w:val="24"/>
        </w:rPr>
        <w:t xml:space="preserve">oraz art. </w:t>
      </w:r>
      <w:r w:rsidR="00E93401" w:rsidRPr="0018524B">
        <w:rPr>
          <w:rFonts w:ascii="Times New Roman" w:hAnsi="Times New Roman" w:cs="Times New Roman"/>
          <w:b/>
          <w:sz w:val="24"/>
          <w:szCs w:val="24"/>
        </w:rPr>
        <w:t>129</w:t>
      </w:r>
      <w:r w:rsidR="00DF5176" w:rsidRPr="0018524B">
        <w:rPr>
          <w:rFonts w:ascii="Times New Roman" w:hAnsi="Times New Roman" w:cs="Times New Roman"/>
          <w:b/>
          <w:sz w:val="24"/>
          <w:szCs w:val="24"/>
        </w:rPr>
        <w:t>o</w:t>
      </w:r>
      <w:r w:rsidR="00E93401" w:rsidRPr="0018524B">
        <w:rPr>
          <w:rFonts w:ascii="Times New Roman" w:hAnsi="Times New Roman" w:cs="Times New Roman"/>
          <w:b/>
          <w:sz w:val="24"/>
          <w:szCs w:val="24"/>
        </w:rPr>
        <w:t xml:space="preserve"> </w:t>
      </w:r>
      <w:r w:rsidRPr="0018524B">
        <w:rPr>
          <w:rFonts w:ascii="Times New Roman" w:hAnsi="Times New Roman" w:cs="Times New Roman"/>
          <w:b/>
          <w:sz w:val="24"/>
          <w:szCs w:val="24"/>
        </w:rPr>
        <w:t xml:space="preserve">ustawy o p.p.p.f.t. </w:t>
      </w:r>
      <w:r w:rsidR="00A97445" w:rsidRPr="0018524B">
        <w:rPr>
          <w:rFonts w:ascii="Times New Roman" w:hAnsi="Times New Roman" w:cs="Times New Roman"/>
          <w:sz w:val="24"/>
          <w:szCs w:val="24"/>
        </w:rPr>
        <w:t>D</w:t>
      </w:r>
      <w:r w:rsidR="00832446" w:rsidRPr="0018524B">
        <w:rPr>
          <w:rFonts w:ascii="Times New Roman" w:hAnsi="Times New Roman" w:cs="Times New Roman"/>
          <w:sz w:val="24"/>
          <w:szCs w:val="24"/>
        </w:rPr>
        <w:t>yrektyw</w:t>
      </w:r>
      <w:r w:rsidRPr="0018524B">
        <w:rPr>
          <w:rFonts w:ascii="Times New Roman" w:hAnsi="Times New Roman" w:cs="Times New Roman"/>
          <w:sz w:val="24"/>
          <w:szCs w:val="24"/>
        </w:rPr>
        <w:t>a 2015/849 w art. 47 ust. 2 nakłada na państwa członkowskie obowiązek zapewnienia, że osoby zajmujące kierownicze stanowiska w podmiotach świadczących usługi na rzecz trustów lub spółek oraz</w:t>
      </w:r>
      <w:r w:rsidR="009C207B" w:rsidRPr="0018524B">
        <w:rPr>
          <w:rFonts w:ascii="Times New Roman" w:hAnsi="Times New Roman" w:cs="Times New Roman"/>
          <w:sz w:val="24"/>
          <w:szCs w:val="24"/>
        </w:rPr>
        <w:t xml:space="preserve"> </w:t>
      </w:r>
      <w:r w:rsidRPr="0018524B">
        <w:rPr>
          <w:rFonts w:ascii="Times New Roman" w:hAnsi="Times New Roman" w:cs="Times New Roman"/>
          <w:sz w:val="24"/>
          <w:szCs w:val="24"/>
        </w:rPr>
        <w:t xml:space="preserve">w podmiotach świadczących usługi </w:t>
      </w:r>
      <w:r w:rsidR="00654178" w:rsidRPr="0018524B">
        <w:rPr>
          <w:rFonts w:ascii="Times New Roman" w:hAnsi="Times New Roman" w:cs="Times New Roman"/>
          <w:sz w:val="24"/>
          <w:szCs w:val="24"/>
        </w:rPr>
        <w:t xml:space="preserve">w zakresie walut wirtualnych </w:t>
      </w:r>
      <w:r w:rsidRPr="0018524B">
        <w:rPr>
          <w:rFonts w:ascii="Times New Roman" w:hAnsi="Times New Roman" w:cs="Times New Roman"/>
          <w:sz w:val="24"/>
          <w:szCs w:val="24"/>
        </w:rPr>
        <w:t>były osobami spełniającymi wymogi dotyczące kompetencji i reputacji</w:t>
      </w:r>
      <w:r w:rsidR="00A97445" w:rsidRPr="0018524B">
        <w:rPr>
          <w:rFonts w:ascii="Times New Roman" w:hAnsi="Times New Roman" w:cs="Times New Roman"/>
          <w:sz w:val="24"/>
          <w:szCs w:val="24"/>
        </w:rPr>
        <w:t>,</w:t>
      </w:r>
      <w:r w:rsidRPr="0018524B">
        <w:rPr>
          <w:rFonts w:ascii="Times New Roman" w:hAnsi="Times New Roman" w:cs="Times New Roman"/>
          <w:sz w:val="24"/>
          <w:szCs w:val="24"/>
        </w:rPr>
        <w:t xml:space="preserve"> nie precyzując jednocześnie zakresu wymogów koniecznych do spełnienia. Jedynej wskazówki interpretacyjnej dostarcza motyw 51 preambuły 4AMLD, zgodnie z którym kryteria oceny, czy dana osoba jest osobą posiadającą odpowiednie kompetencje i odpowiednią reputację, powinny przynajmniej odzwierciedlać potrzebę ochrony tych podmiotów przed wykorzystaniem ich przez osoby zarządzające nimi lub ich beneficjentów rzeczywistych do celów przestępczych. W związku z powyższym projektodawca zdecydował się na uwarunkowanie możliwości podjęcia właściwej działalności regulowanej od spełnienia wymogu niekaralności osób wskazanych w </w:t>
      </w:r>
      <w:r w:rsidRPr="0018524B">
        <w:rPr>
          <w:rFonts w:ascii="Times New Roman" w:hAnsi="Times New Roman" w:cs="Times New Roman"/>
          <w:b/>
          <w:sz w:val="24"/>
          <w:szCs w:val="24"/>
        </w:rPr>
        <w:t xml:space="preserve">art. 129b oraz </w:t>
      </w:r>
      <w:r w:rsidR="00E93401" w:rsidRPr="0018524B">
        <w:rPr>
          <w:rFonts w:ascii="Times New Roman" w:hAnsi="Times New Roman" w:cs="Times New Roman"/>
          <w:b/>
          <w:sz w:val="24"/>
          <w:szCs w:val="24"/>
        </w:rPr>
        <w:t>129</w:t>
      </w:r>
      <w:r w:rsidR="0089786C" w:rsidRPr="0018524B">
        <w:rPr>
          <w:rFonts w:ascii="Times New Roman" w:hAnsi="Times New Roman" w:cs="Times New Roman"/>
          <w:b/>
          <w:sz w:val="24"/>
          <w:szCs w:val="24"/>
        </w:rPr>
        <w:t>n</w:t>
      </w:r>
      <w:r w:rsidR="00E93401" w:rsidRPr="0018524B">
        <w:rPr>
          <w:rFonts w:ascii="Times New Roman" w:hAnsi="Times New Roman" w:cs="Times New Roman"/>
          <w:b/>
          <w:sz w:val="24"/>
          <w:szCs w:val="24"/>
        </w:rPr>
        <w:t xml:space="preserve"> </w:t>
      </w:r>
      <w:r w:rsidRPr="0018524B">
        <w:rPr>
          <w:rFonts w:ascii="Times New Roman" w:hAnsi="Times New Roman" w:cs="Times New Roman"/>
          <w:b/>
          <w:sz w:val="24"/>
          <w:szCs w:val="24"/>
        </w:rPr>
        <w:t>ustawy o p.p.p.f.t</w:t>
      </w:r>
      <w:r w:rsidRPr="0018524B">
        <w:rPr>
          <w:rFonts w:ascii="Times New Roman" w:hAnsi="Times New Roman" w:cs="Times New Roman"/>
          <w:sz w:val="24"/>
          <w:szCs w:val="24"/>
        </w:rPr>
        <w:t xml:space="preserve">. </w:t>
      </w:r>
      <w:r w:rsidR="0065235E" w:rsidRPr="0065235E">
        <w:rPr>
          <w:rFonts w:ascii="Times New Roman" w:hAnsi="Times New Roman" w:cs="Times New Roman"/>
          <w:sz w:val="24"/>
          <w:szCs w:val="24"/>
        </w:rPr>
        <w:t>Art. 129b ust. 2 ustawy o p.p.p.f.t. wdraża wymagania wynikające z art. 47 ust. 2 dyrektywy 2015/849 w brzmieniu nadanym przez dyrektywę 2018/843, odnoszące się do wymogów dotyczących kompetencji i reputacji osób zajmujących stanowiska kierownicze w podmiotach wymienionych w art. 47 ust. 1 dyrektywy 2015/849 (</w:t>
      </w:r>
      <w:r w:rsidR="0065235E">
        <w:rPr>
          <w:rFonts w:ascii="Times New Roman" w:hAnsi="Times New Roman" w:cs="Times New Roman"/>
          <w:sz w:val="24"/>
          <w:szCs w:val="24"/>
        </w:rPr>
        <w:t xml:space="preserve">w tym </w:t>
      </w:r>
      <w:r w:rsidR="0065235E" w:rsidRPr="0065235E">
        <w:rPr>
          <w:rFonts w:ascii="Times New Roman" w:hAnsi="Times New Roman" w:cs="Times New Roman"/>
          <w:sz w:val="24"/>
          <w:szCs w:val="24"/>
        </w:rPr>
        <w:t xml:space="preserve">podmioty świadczące usługi wymiany walut pomiędzy walutami wirtualnymi a fiducjarnymi i dostawcy kont waluty wirtualnej, a także podmioty świadczące </w:t>
      </w:r>
      <w:r w:rsidR="0065235E" w:rsidRPr="0065235E">
        <w:rPr>
          <w:rFonts w:ascii="Times New Roman" w:hAnsi="Times New Roman" w:cs="Times New Roman"/>
          <w:sz w:val="24"/>
          <w:szCs w:val="24"/>
        </w:rPr>
        <w:lastRenderedPageBreak/>
        <w:t>usługi na rzecz trustów lub spółek). W polskim porządku prawnym nie ma dającej się bezpośrednio zastosować definicji osoby zajmującej stanowisko kierownicze, poza tym funkcje kierownicze są przydzielane przez pracodawców na zasadzie daleko idącej dowolności, dlatego nie byłoby prawidłowe odniesienie wymogu niekaralności na wszystkie osoby</w:t>
      </w:r>
      <w:r w:rsidR="006A1D89">
        <w:rPr>
          <w:rFonts w:ascii="Times New Roman" w:hAnsi="Times New Roman" w:cs="Times New Roman"/>
          <w:sz w:val="24"/>
          <w:szCs w:val="24"/>
        </w:rPr>
        <w:t>,</w:t>
      </w:r>
      <w:r w:rsidR="0065235E" w:rsidRPr="0065235E">
        <w:rPr>
          <w:rFonts w:ascii="Times New Roman" w:hAnsi="Times New Roman" w:cs="Times New Roman"/>
          <w:sz w:val="24"/>
          <w:szCs w:val="24"/>
        </w:rPr>
        <w:t xml:space="preserve"> które zajmują (niezdefiniowane) stanowisko kierownicze. Jednocześnie zauważyć należy, iż wymogi z art. 129b ust. 1 pkt 1 ustawy o p.p.p.f.t. dotyczą osób fizycznych prowadzących jednoosobową działalność gospodarczą, a </w:t>
      </w:r>
      <w:r w:rsidR="0065235E">
        <w:rPr>
          <w:rFonts w:ascii="Times New Roman" w:hAnsi="Times New Roman" w:cs="Times New Roman"/>
          <w:sz w:val="24"/>
          <w:szCs w:val="24"/>
        </w:rPr>
        <w:t>wymogi z pkt 2 dotyczą</w:t>
      </w:r>
      <w:r w:rsidR="0065235E" w:rsidRPr="0065235E">
        <w:rPr>
          <w:rFonts w:ascii="Times New Roman" w:hAnsi="Times New Roman" w:cs="Times New Roman"/>
          <w:sz w:val="24"/>
          <w:szCs w:val="24"/>
        </w:rPr>
        <w:t xml:space="preserve"> osób prawnych. W odniesieniu do osób fizycznych prowadzących jednoosobową działalność gospodarczą, nie ma przeciwwskazań do powierzenia prowadzenia określonego zakresu działalności gospodarczej </w:t>
      </w:r>
      <w:r w:rsidR="0065235E">
        <w:rPr>
          <w:rFonts w:ascii="Times New Roman" w:hAnsi="Times New Roman" w:cs="Times New Roman"/>
          <w:sz w:val="24"/>
          <w:szCs w:val="24"/>
        </w:rPr>
        <w:t>innej osobie</w:t>
      </w:r>
      <w:r w:rsidR="0065235E" w:rsidRPr="0065235E">
        <w:rPr>
          <w:rFonts w:ascii="Times New Roman" w:hAnsi="Times New Roman" w:cs="Times New Roman"/>
          <w:sz w:val="24"/>
          <w:szCs w:val="24"/>
        </w:rPr>
        <w:t>, nie ma żadnego wymogu prawnego,</w:t>
      </w:r>
      <w:r w:rsidR="0065235E">
        <w:rPr>
          <w:rFonts w:ascii="Times New Roman" w:hAnsi="Times New Roman" w:cs="Times New Roman"/>
          <w:sz w:val="24"/>
          <w:szCs w:val="24"/>
        </w:rPr>
        <w:t xml:space="preserve"> by osobę taką definiować jako „</w:t>
      </w:r>
      <w:r w:rsidR="0065235E" w:rsidRPr="0065235E">
        <w:rPr>
          <w:rFonts w:ascii="Times New Roman" w:hAnsi="Times New Roman" w:cs="Times New Roman"/>
          <w:sz w:val="24"/>
          <w:szCs w:val="24"/>
        </w:rPr>
        <w:t>osobę zajm</w:t>
      </w:r>
      <w:r w:rsidR="0065235E">
        <w:rPr>
          <w:rFonts w:ascii="Times New Roman" w:hAnsi="Times New Roman" w:cs="Times New Roman"/>
          <w:sz w:val="24"/>
          <w:szCs w:val="24"/>
        </w:rPr>
        <w:t xml:space="preserve">ującą stanowisko kierownicze". </w:t>
      </w:r>
      <w:r w:rsidR="0065235E" w:rsidRPr="0065235E">
        <w:rPr>
          <w:rFonts w:ascii="Times New Roman" w:hAnsi="Times New Roman" w:cs="Times New Roman"/>
          <w:sz w:val="24"/>
          <w:szCs w:val="24"/>
        </w:rPr>
        <w:t>Niemniej z uwagi na fakt, iż taka osoba faktycznie kieruje prowadzeniem działalności</w:t>
      </w:r>
      <w:r w:rsidR="006A1D89">
        <w:rPr>
          <w:rFonts w:ascii="Times New Roman" w:hAnsi="Times New Roman" w:cs="Times New Roman"/>
          <w:sz w:val="24"/>
          <w:szCs w:val="24"/>
        </w:rPr>
        <w:t>,</w:t>
      </w:r>
      <w:r w:rsidR="0065235E" w:rsidRPr="0065235E">
        <w:rPr>
          <w:rFonts w:ascii="Times New Roman" w:hAnsi="Times New Roman" w:cs="Times New Roman"/>
          <w:sz w:val="24"/>
          <w:szCs w:val="24"/>
        </w:rPr>
        <w:t xml:space="preserve"> o której mowa w art. 129a ust. 1 ustawy o p.p.p.f.t., powinna spełniać wymóg niekaralności na takich samych zasadach jak przykładowo wspólnik, któremu powierzono prowadzenie spraw spółki. W związku z powyższym, w art. 129b ust. 2 ustawy o p.p.p.f.t.</w:t>
      </w:r>
      <w:r w:rsidR="0065235E">
        <w:rPr>
          <w:rFonts w:ascii="Times New Roman" w:hAnsi="Times New Roman" w:cs="Times New Roman"/>
          <w:sz w:val="24"/>
          <w:szCs w:val="24"/>
        </w:rPr>
        <w:t xml:space="preserve"> </w:t>
      </w:r>
      <w:r w:rsidR="0065235E" w:rsidRPr="0065235E">
        <w:rPr>
          <w:rFonts w:ascii="Times New Roman" w:hAnsi="Times New Roman" w:cs="Times New Roman"/>
          <w:sz w:val="24"/>
          <w:szCs w:val="24"/>
        </w:rPr>
        <w:t xml:space="preserve">wskazano, iż wymóg niekaralności o którym mowa w art. 129b ust. 1 ustawy o p.p.p.f.t., stosuje się </w:t>
      </w:r>
      <w:r w:rsidR="00C7327E" w:rsidRPr="00C7327E">
        <w:rPr>
          <w:rFonts w:ascii="Times New Roman" w:hAnsi="Times New Roman" w:cs="Times New Roman"/>
          <w:sz w:val="24"/>
          <w:szCs w:val="24"/>
        </w:rPr>
        <w:t xml:space="preserve">również </w:t>
      </w:r>
      <w:r w:rsidR="0065235E" w:rsidRPr="0065235E">
        <w:rPr>
          <w:rFonts w:ascii="Times New Roman" w:hAnsi="Times New Roman" w:cs="Times New Roman"/>
          <w:sz w:val="24"/>
          <w:szCs w:val="24"/>
        </w:rPr>
        <w:t>do osób „</w:t>
      </w:r>
      <w:r w:rsidR="00C7327E" w:rsidRPr="00C7327E">
        <w:rPr>
          <w:rFonts w:ascii="Times New Roman" w:hAnsi="Times New Roman" w:cs="Times New Roman"/>
          <w:sz w:val="24"/>
          <w:szCs w:val="24"/>
        </w:rPr>
        <w:t>kierujących wykonywaniem czynności związanych z prowadzeniem działalności</w:t>
      </w:r>
      <w:r w:rsidR="0065235E" w:rsidRPr="0065235E">
        <w:rPr>
          <w:rFonts w:ascii="Times New Roman" w:hAnsi="Times New Roman" w:cs="Times New Roman"/>
          <w:sz w:val="24"/>
          <w:szCs w:val="24"/>
        </w:rPr>
        <w:t xml:space="preserve">”, co należy rozumieć jako wynikające z uzyskanych upoważnień lub pełnomocnictw uprawnienie do kierowania działalnością przedsiębiorcy w zakresie obejmującym działalność na rzecz spółek lub trustów </w:t>
      </w:r>
      <w:r w:rsidR="0065235E">
        <w:rPr>
          <w:rFonts w:ascii="Times New Roman" w:hAnsi="Times New Roman" w:cs="Times New Roman"/>
          <w:sz w:val="24"/>
          <w:szCs w:val="24"/>
        </w:rPr>
        <w:t>(analogiczne uzasadnienie dotyczy osób uprawnionych do prowadzenia działalności</w:t>
      </w:r>
      <w:r w:rsidR="0065235E" w:rsidRPr="0065235E">
        <w:rPr>
          <w:rFonts w:ascii="Times New Roman" w:hAnsi="Times New Roman" w:cs="Times New Roman"/>
          <w:sz w:val="24"/>
          <w:szCs w:val="24"/>
        </w:rPr>
        <w:t xml:space="preserve"> w zakresie walut wirtualnych</w:t>
      </w:r>
      <w:r w:rsidR="0065235E">
        <w:rPr>
          <w:rFonts w:ascii="Times New Roman" w:hAnsi="Times New Roman" w:cs="Times New Roman"/>
          <w:sz w:val="24"/>
          <w:szCs w:val="24"/>
        </w:rPr>
        <w:t xml:space="preserve">, wskazanych w art. 129n ust. 2 </w:t>
      </w:r>
      <w:r w:rsidR="0065235E" w:rsidRPr="0065235E">
        <w:rPr>
          <w:rFonts w:ascii="Times New Roman" w:hAnsi="Times New Roman" w:cs="Times New Roman"/>
          <w:sz w:val="24"/>
          <w:szCs w:val="24"/>
        </w:rPr>
        <w:t>ustawy o p.p.p.f.t.</w:t>
      </w:r>
      <w:r w:rsidR="0065235E">
        <w:rPr>
          <w:rFonts w:ascii="Times New Roman" w:hAnsi="Times New Roman" w:cs="Times New Roman"/>
          <w:sz w:val="24"/>
          <w:szCs w:val="24"/>
        </w:rPr>
        <w:t>)</w:t>
      </w:r>
      <w:r w:rsidR="0065235E" w:rsidRPr="0065235E">
        <w:rPr>
          <w:rFonts w:ascii="Times New Roman" w:hAnsi="Times New Roman" w:cs="Times New Roman"/>
          <w:sz w:val="24"/>
          <w:szCs w:val="24"/>
        </w:rPr>
        <w:t xml:space="preserve">. </w:t>
      </w:r>
      <w:r w:rsidR="00496145">
        <w:rPr>
          <w:rFonts w:ascii="Times New Roman" w:hAnsi="Times New Roman" w:cs="Times New Roman"/>
          <w:sz w:val="24"/>
          <w:szCs w:val="24"/>
        </w:rPr>
        <w:t>Osoby „</w:t>
      </w:r>
      <w:r w:rsidR="00C7327E">
        <w:rPr>
          <w:rFonts w:ascii="Times New Roman" w:hAnsi="Times New Roman" w:cs="Times New Roman"/>
          <w:sz w:val="24"/>
          <w:szCs w:val="24"/>
        </w:rPr>
        <w:t>kierujące</w:t>
      </w:r>
      <w:r w:rsidR="00C7327E" w:rsidRPr="00C7327E">
        <w:rPr>
          <w:rFonts w:ascii="Times New Roman" w:hAnsi="Times New Roman" w:cs="Times New Roman"/>
          <w:sz w:val="24"/>
          <w:szCs w:val="24"/>
        </w:rPr>
        <w:t xml:space="preserve"> wykonywaniem czynności związanych z prowadzeniem działalności</w:t>
      </w:r>
      <w:r w:rsidR="00496145" w:rsidRPr="0065235E">
        <w:rPr>
          <w:rFonts w:ascii="Times New Roman" w:hAnsi="Times New Roman" w:cs="Times New Roman"/>
          <w:sz w:val="24"/>
          <w:szCs w:val="24"/>
        </w:rPr>
        <w:t>”</w:t>
      </w:r>
      <w:r w:rsidR="0065235E" w:rsidRPr="0065235E">
        <w:rPr>
          <w:rFonts w:ascii="Times New Roman" w:hAnsi="Times New Roman" w:cs="Times New Roman"/>
          <w:sz w:val="24"/>
          <w:szCs w:val="24"/>
        </w:rPr>
        <w:t xml:space="preserve"> </w:t>
      </w:r>
      <w:r w:rsidR="00496145">
        <w:rPr>
          <w:rFonts w:ascii="Times New Roman" w:hAnsi="Times New Roman" w:cs="Times New Roman"/>
          <w:sz w:val="24"/>
          <w:szCs w:val="24"/>
        </w:rPr>
        <w:t xml:space="preserve">będą </w:t>
      </w:r>
      <w:r w:rsidR="0065235E" w:rsidRPr="0065235E">
        <w:rPr>
          <w:rFonts w:ascii="Times New Roman" w:hAnsi="Times New Roman" w:cs="Times New Roman"/>
          <w:sz w:val="24"/>
          <w:szCs w:val="24"/>
        </w:rPr>
        <w:t>wyst</w:t>
      </w:r>
      <w:r w:rsidR="00496145">
        <w:rPr>
          <w:rFonts w:ascii="Times New Roman" w:hAnsi="Times New Roman" w:cs="Times New Roman"/>
          <w:sz w:val="24"/>
          <w:szCs w:val="24"/>
        </w:rPr>
        <w:t>ępować</w:t>
      </w:r>
      <w:r w:rsidR="0065235E" w:rsidRPr="0065235E">
        <w:rPr>
          <w:rFonts w:ascii="Times New Roman" w:hAnsi="Times New Roman" w:cs="Times New Roman"/>
          <w:sz w:val="24"/>
          <w:szCs w:val="24"/>
        </w:rPr>
        <w:t xml:space="preserve"> zarówno przy jednoosobowej działalności gospodarczej, jak i przy osobach prawnych, takich jak spółki prawa handlowego. </w:t>
      </w:r>
      <w:r w:rsidR="0065235E">
        <w:rPr>
          <w:rFonts w:ascii="Times New Roman" w:hAnsi="Times New Roman" w:cs="Times New Roman"/>
          <w:sz w:val="24"/>
          <w:szCs w:val="24"/>
        </w:rPr>
        <w:t>P</w:t>
      </w:r>
      <w:r w:rsidR="0065235E" w:rsidRPr="0065235E">
        <w:rPr>
          <w:rFonts w:ascii="Times New Roman" w:hAnsi="Times New Roman" w:cs="Times New Roman"/>
          <w:sz w:val="24"/>
          <w:szCs w:val="24"/>
        </w:rPr>
        <w:t xml:space="preserve">rzedsiębiorcy mogą łączyć </w:t>
      </w:r>
      <w:r w:rsidR="0065235E">
        <w:rPr>
          <w:rFonts w:ascii="Times New Roman" w:hAnsi="Times New Roman" w:cs="Times New Roman"/>
          <w:sz w:val="24"/>
          <w:szCs w:val="24"/>
        </w:rPr>
        <w:t>prowadzenie działalności gospodarczej</w:t>
      </w:r>
      <w:r w:rsidR="0065235E" w:rsidRPr="0065235E">
        <w:rPr>
          <w:rFonts w:ascii="Times New Roman" w:hAnsi="Times New Roman" w:cs="Times New Roman"/>
          <w:sz w:val="24"/>
          <w:szCs w:val="24"/>
        </w:rPr>
        <w:t xml:space="preserve"> </w:t>
      </w:r>
      <w:r w:rsidR="0065235E">
        <w:rPr>
          <w:rFonts w:ascii="Times New Roman" w:hAnsi="Times New Roman" w:cs="Times New Roman"/>
          <w:sz w:val="24"/>
          <w:szCs w:val="24"/>
        </w:rPr>
        <w:t xml:space="preserve">(przykładowo </w:t>
      </w:r>
      <w:r w:rsidR="0065235E" w:rsidRPr="0065235E">
        <w:rPr>
          <w:rFonts w:ascii="Times New Roman" w:hAnsi="Times New Roman" w:cs="Times New Roman"/>
          <w:sz w:val="24"/>
          <w:szCs w:val="24"/>
        </w:rPr>
        <w:t>w zakresie usług płatniczych</w:t>
      </w:r>
      <w:r w:rsidR="0065235E">
        <w:rPr>
          <w:rFonts w:ascii="Times New Roman" w:hAnsi="Times New Roman" w:cs="Times New Roman"/>
          <w:sz w:val="24"/>
          <w:szCs w:val="24"/>
        </w:rPr>
        <w:t>)</w:t>
      </w:r>
      <w:r w:rsidR="0065235E" w:rsidRPr="0065235E">
        <w:rPr>
          <w:rFonts w:ascii="Times New Roman" w:hAnsi="Times New Roman" w:cs="Times New Roman"/>
          <w:sz w:val="24"/>
          <w:szCs w:val="24"/>
        </w:rPr>
        <w:t xml:space="preserve"> z inną działalnością, przykładowo w zakresie walut wirtualnych, czy działalnością na rzecz spółek lub trustów. Jeśli taki </w:t>
      </w:r>
      <w:r w:rsidR="00496145">
        <w:rPr>
          <w:rFonts w:ascii="Times New Roman" w:hAnsi="Times New Roman" w:cs="Times New Roman"/>
          <w:sz w:val="24"/>
          <w:szCs w:val="24"/>
        </w:rPr>
        <w:t>przedsiębiorca, funkcjonujący jako spółka prawa handlowego,</w:t>
      </w:r>
      <w:r w:rsidR="0065235E" w:rsidRPr="0065235E">
        <w:rPr>
          <w:rFonts w:ascii="Times New Roman" w:hAnsi="Times New Roman" w:cs="Times New Roman"/>
          <w:sz w:val="24"/>
          <w:szCs w:val="24"/>
        </w:rPr>
        <w:t xml:space="preserve"> w swojej strukturze organizacyjnej wydzieli dział odpowiedzialny za prowadzenie działalności w zakresie walut wirtualnych, czy działalności na rzecz spółek lub trustów, to osoba która na mocy posiadanych upoważnień lub pełnomocnictw jest uprawniona </w:t>
      </w:r>
      <w:r w:rsidR="00C7327E">
        <w:rPr>
          <w:rFonts w:ascii="Times New Roman" w:hAnsi="Times New Roman" w:cs="Times New Roman"/>
          <w:sz w:val="24"/>
          <w:szCs w:val="24"/>
        </w:rPr>
        <w:t xml:space="preserve">do kierowania wykonywaniem czynności związanych z prowadzeniem </w:t>
      </w:r>
      <w:r w:rsidR="00C7327E" w:rsidRPr="0065235E">
        <w:rPr>
          <w:rFonts w:ascii="Times New Roman" w:hAnsi="Times New Roman" w:cs="Times New Roman"/>
          <w:sz w:val="24"/>
          <w:szCs w:val="24"/>
        </w:rPr>
        <w:t>spr</w:t>
      </w:r>
      <w:r w:rsidR="00C7327E">
        <w:rPr>
          <w:rFonts w:ascii="Times New Roman" w:hAnsi="Times New Roman" w:cs="Times New Roman"/>
          <w:sz w:val="24"/>
          <w:szCs w:val="24"/>
        </w:rPr>
        <w:t>aw spółki w zakresie dotyczącym</w:t>
      </w:r>
      <w:r w:rsidR="00C7327E" w:rsidRPr="0065235E">
        <w:rPr>
          <w:rFonts w:ascii="Times New Roman" w:hAnsi="Times New Roman" w:cs="Times New Roman"/>
          <w:sz w:val="24"/>
          <w:szCs w:val="24"/>
        </w:rPr>
        <w:t xml:space="preserve"> walut wirtualnych, czy działalności na rzecz spółek lub trustów</w:t>
      </w:r>
      <w:r w:rsidR="00C7327E">
        <w:rPr>
          <w:rFonts w:ascii="Times New Roman" w:hAnsi="Times New Roman" w:cs="Times New Roman"/>
          <w:sz w:val="24"/>
          <w:szCs w:val="24"/>
        </w:rPr>
        <w:t xml:space="preserve"> w takim dziale,</w:t>
      </w:r>
      <w:r w:rsidR="0065235E" w:rsidRPr="0065235E">
        <w:rPr>
          <w:rFonts w:ascii="Times New Roman" w:hAnsi="Times New Roman" w:cs="Times New Roman"/>
          <w:sz w:val="24"/>
          <w:szCs w:val="24"/>
        </w:rPr>
        <w:t xml:space="preserve"> powinna być objęta wymogiem niekaralności. Wprowadzenie przepisów w tym zakresie wynika z art. 47 ust. 2 dyrektywy 2015/849, obejmującego swym zakresem „osoby zajmujące stanowiska kierownicze”. </w:t>
      </w:r>
    </w:p>
    <w:p w14:paraId="0B06BC2D" w14:textId="53A9C13A" w:rsidR="00757A0A" w:rsidRPr="0018524B" w:rsidRDefault="00757A0A" w:rsidP="00357BF8">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lastRenderedPageBreak/>
        <w:t>Projektowane przepisy (</w:t>
      </w:r>
      <w:r w:rsidRPr="0018524B">
        <w:rPr>
          <w:rFonts w:ascii="Times New Roman" w:hAnsi="Times New Roman" w:cs="Times New Roman"/>
          <w:b/>
          <w:sz w:val="24"/>
          <w:szCs w:val="24"/>
        </w:rPr>
        <w:t xml:space="preserve">art. </w:t>
      </w:r>
      <w:r w:rsidR="00CE7EE6" w:rsidRPr="0018524B">
        <w:rPr>
          <w:rFonts w:ascii="Times New Roman" w:hAnsi="Times New Roman" w:cs="Times New Roman"/>
          <w:b/>
          <w:sz w:val="24"/>
          <w:szCs w:val="24"/>
        </w:rPr>
        <w:t xml:space="preserve">129c oraz </w:t>
      </w:r>
      <w:r w:rsidR="00E93401" w:rsidRPr="0018524B">
        <w:rPr>
          <w:rFonts w:ascii="Times New Roman" w:hAnsi="Times New Roman" w:cs="Times New Roman"/>
          <w:b/>
          <w:sz w:val="24"/>
          <w:szCs w:val="24"/>
        </w:rPr>
        <w:t>129</w:t>
      </w:r>
      <w:r w:rsidR="0089786C" w:rsidRPr="0018524B">
        <w:rPr>
          <w:rFonts w:ascii="Times New Roman" w:hAnsi="Times New Roman" w:cs="Times New Roman"/>
          <w:b/>
          <w:sz w:val="24"/>
          <w:szCs w:val="24"/>
        </w:rPr>
        <w:t>o</w:t>
      </w:r>
      <w:r w:rsidR="00E93401" w:rsidRPr="0018524B">
        <w:t xml:space="preserve"> </w:t>
      </w:r>
      <w:r w:rsidR="00856F4D" w:rsidRPr="0018524B">
        <w:rPr>
          <w:rFonts w:ascii="Times New Roman" w:hAnsi="Times New Roman" w:cs="Times New Roman"/>
          <w:b/>
          <w:sz w:val="24"/>
          <w:szCs w:val="24"/>
        </w:rPr>
        <w:t>ustawy o p.p.p.f.t.</w:t>
      </w:r>
      <w:r w:rsidRPr="0018524B">
        <w:rPr>
          <w:rFonts w:ascii="Times New Roman" w:hAnsi="Times New Roman" w:cs="Times New Roman"/>
          <w:sz w:val="24"/>
          <w:szCs w:val="24"/>
        </w:rPr>
        <w:t xml:space="preserve">) precyzują </w:t>
      </w:r>
      <w:r w:rsidR="00A97445" w:rsidRPr="0018524B">
        <w:rPr>
          <w:rFonts w:ascii="Times New Roman" w:hAnsi="Times New Roman" w:cs="Times New Roman"/>
          <w:sz w:val="24"/>
          <w:szCs w:val="24"/>
        </w:rPr>
        <w:t xml:space="preserve">ponadto </w:t>
      </w:r>
      <w:r w:rsidRPr="0018524B">
        <w:rPr>
          <w:rFonts w:ascii="Times New Roman" w:hAnsi="Times New Roman" w:cs="Times New Roman"/>
          <w:sz w:val="24"/>
          <w:szCs w:val="24"/>
        </w:rPr>
        <w:t>przesłanki</w:t>
      </w:r>
      <w:r w:rsidR="002371A1" w:rsidRPr="0018524B">
        <w:rPr>
          <w:rFonts w:ascii="Times New Roman" w:hAnsi="Times New Roman" w:cs="Times New Roman"/>
          <w:sz w:val="24"/>
          <w:szCs w:val="24"/>
        </w:rPr>
        <w:t>,</w:t>
      </w:r>
      <w:r w:rsidRPr="0018524B">
        <w:rPr>
          <w:rFonts w:ascii="Times New Roman" w:hAnsi="Times New Roman" w:cs="Times New Roman"/>
          <w:sz w:val="24"/>
          <w:szCs w:val="24"/>
        </w:rPr>
        <w:t xml:space="preserve"> po realizacji których obowiązek posiadania wiedzy lub doświadczenia zostanie uznany za spełniony (przesłanka pierwsza </w:t>
      </w:r>
      <w:r w:rsidR="00C6045B">
        <w:rPr>
          <w:rFonts w:ascii="Times New Roman" w:hAnsi="Times New Roman" w:cs="Times New Roman"/>
          <w:sz w:val="24"/>
          <w:szCs w:val="24"/>
        </w:rPr>
        <w:t>–</w:t>
      </w:r>
      <w:r w:rsidRPr="0018524B">
        <w:rPr>
          <w:rFonts w:ascii="Times New Roman" w:hAnsi="Times New Roman" w:cs="Times New Roman"/>
          <w:sz w:val="24"/>
          <w:szCs w:val="24"/>
        </w:rPr>
        <w:t xml:space="preserve"> ukończenie szkolenia lub kursu obejmującego prawne lub pra</w:t>
      </w:r>
      <w:r w:rsidR="002371A1" w:rsidRPr="0018524B">
        <w:rPr>
          <w:rFonts w:ascii="Times New Roman" w:hAnsi="Times New Roman" w:cs="Times New Roman"/>
          <w:sz w:val="24"/>
          <w:szCs w:val="24"/>
        </w:rPr>
        <w:t xml:space="preserve">ktyczne zagadnienia związane z taką działalnością </w:t>
      </w:r>
      <w:r w:rsidRPr="0018524B">
        <w:rPr>
          <w:rFonts w:ascii="Times New Roman" w:hAnsi="Times New Roman" w:cs="Times New Roman"/>
          <w:sz w:val="24"/>
          <w:szCs w:val="24"/>
        </w:rPr>
        <w:t xml:space="preserve">lub przesłanka druga </w:t>
      </w:r>
      <w:r w:rsidR="00C6045B">
        <w:rPr>
          <w:rFonts w:ascii="Times New Roman" w:hAnsi="Times New Roman" w:cs="Times New Roman"/>
          <w:sz w:val="24"/>
          <w:szCs w:val="24"/>
        </w:rPr>
        <w:t>–</w:t>
      </w:r>
      <w:r w:rsidRPr="0018524B">
        <w:rPr>
          <w:rFonts w:ascii="Times New Roman" w:hAnsi="Times New Roman" w:cs="Times New Roman"/>
          <w:sz w:val="24"/>
          <w:szCs w:val="24"/>
        </w:rPr>
        <w:t xml:space="preserve"> </w:t>
      </w:r>
      <w:r w:rsidR="002371A1" w:rsidRPr="0018524B">
        <w:rPr>
          <w:rFonts w:ascii="Times New Roman" w:hAnsi="Times New Roman" w:cs="Times New Roman"/>
          <w:sz w:val="24"/>
          <w:szCs w:val="24"/>
        </w:rPr>
        <w:t>wykonywanie przez okres co najmniej roku, czynności związanych z taką działalnością</w:t>
      </w:r>
      <w:r w:rsidRPr="0018524B">
        <w:rPr>
          <w:rFonts w:ascii="Times New Roman" w:hAnsi="Times New Roman" w:cs="Times New Roman"/>
          <w:sz w:val="24"/>
          <w:szCs w:val="24"/>
        </w:rPr>
        <w:t xml:space="preserve">). Należy stwierdzić, że obowiązek posiadania wiedzy lub doświadczenia zostanie uznany za spełniony w przypadku realizacji przynajmniej jednej z przesłanek. Przesłanka </w:t>
      </w:r>
      <w:r w:rsidR="002371A1" w:rsidRPr="0018524B">
        <w:rPr>
          <w:rFonts w:ascii="Times New Roman" w:hAnsi="Times New Roman" w:cs="Times New Roman"/>
          <w:sz w:val="24"/>
          <w:szCs w:val="24"/>
        </w:rPr>
        <w:t xml:space="preserve">wykonywania, przez okres co najmniej roku, czynności związanych z działalnością </w:t>
      </w:r>
      <w:r w:rsidR="00CE7EE6" w:rsidRPr="0018524B">
        <w:rPr>
          <w:rFonts w:ascii="Times New Roman" w:hAnsi="Times New Roman" w:cs="Times New Roman"/>
          <w:sz w:val="24"/>
          <w:szCs w:val="24"/>
        </w:rPr>
        <w:t xml:space="preserve">na rzecz trustów lub spółek albo </w:t>
      </w:r>
      <w:r w:rsidR="002371A1" w:rsidRPr="0018524B">
        <w:rPr>
          <w:rFonts w:ascii="Times New Roman" w:hAnsi="Times New Roman" w:cs="Times New Roman"/>
          <w:sz w:val="24"/>
          <w:szCs w:val="24"/>
        </w:rPr>
        <w:t>wykonywania, przez okres co najmniej roku, czynności związanych z działalnością w zakresie walut wirtualnych</w:t>
      </w:r>
      <w:r w:rsidRPr="0018524B">
        <w:rPr>
          <w:rFonts w:ascii="Times New Roman" w:hAnsi="Times New Roman" w:cs="Times New Roman"/>
          <w:sz w:val="24"/>
          <w:szCs w:val="24"/>
        </w:rPr>
        <w:t>, zostanie zrealizowana wskutek wykonywania zadań i czynności merytorycznie związanych z przedmiotem działalności gospodarczej (w tym zarządzanie działalnością, wykonywanie czynności na rzecz klientów, sporządzanie dokumentacji związanej z prowadzoną działalnością). W związku z tym należy uznać, że przesłanka nie zostanie zrealizowana w sytuacji wykonywania wyłącznie czynności usługowych, technicznych lub pomocniczych niemających merytorycznego związku z prowadzoną działalnością gospodarczą.</w:t>
      </w:r>
    </w:p>
    <w:p w14:paraId="23FEA9B2" w14:textId="7436F6B0" w:rsidR="00983B08" w:rsidRPr="0018524B" w:rsidRDefault="00983B08"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Przepisy dotyczące przesłanek formalnych, koniecznych do spełnienia w celu podjęcia oraz wykonywania obu rodzajów działalności regulowanej, przewidzianych w rozdziale 11a ustawy o p.p.p.f.t., tj. danych zgłaszanych we wnioskach </w:t>
      </w:r>
      <w:r w:rsidR="002371A1" w:rsidRPr="0018524B">
        <w:rPr>
          <w:rFonts w:ascii="Times New Roman" w:hAnsi="Times New Roman" w:cs="Times New Roman"/>
          <w:sz w:val="24"/>
          <w:szCs w:val="24"/>
        </w:rPr>
        <w:t xml:space="preserve">o wpis </w:t>
      </w:r>
      <w:r w:rsidRPr="0018524B">
        <w:rPr>
          <w:rFonts w:ascii="Times New Roman" w:hAnsi="Times New Roman" w:cs="Times New Roman"/>
          <w:sz w:val="24"/>
          <w:szCs w:val="24"/>
        </w:rPr>
        <w:t xml:space="preserve">do właściwych rejestrów </w:t>
      </w:r>
      <w:r w:rsidR="00E93401" w:rsidRPr="0018524B">
        <w:rPr>
          <w:rFonts w:ascii="Times New Roman" w:hAnsi="Times New Roman" w:cs="Times New Roman"/>
          <w:sz w:val="24"/>
          <w:szCs w:val="24"/>
        </w:rPr>
        <w:t xml:space="preserve">określone </w:t>
      </w:r>
      <w:r w:rsidRPr="0018524B">
        <w:rPr>
          <w:rFonts w:ascii="Times New Roman" w:hAnsi="Times New Roman" w:cs="Times New Roman"/>
          <w:sz w:val="24"/>
          <w:szCs w:val="24"/>
        </w:rPr>
        <w:t xml:space="preserve">zostały w </w:t>
      </w:r>
      <w:r w:rsidRPr="0018524B">
        <w:rPr>
          <w:rFonts w:ascii="Times New Roman" w:hAnsi="Times New Roman" w:cs="Times New Roman"/>
          <w:b/>
          <w:sz w:val="24"/>
          <w:szCs w:val="24"/>
        </w:rPr>
        <w:t>art. 129</w:t>
      </w:r>
      <w:r w:rsidR="00E93401" w:rsidRPr="0018524B">
        <w:rPr>
          <w:rFonts w:ascii="Times New Roman" w:hAnsi="Times New Roman" w:cs="Times New Roman"/>
          <w:b/>
          <w:sz w:val="24"/>
          <w:szCs w:val="24"/>
        </w:rPr>
        <w:t>f</w:t>
      </w:r>
      <w:r w:rsidRPr="0018524B">
        <w:rPr>
          <w:rFonts w:ascii="Times New Roman" w:hAnsi="Times New Roman" w:cs="Times New Roman"/>
          <w:b/>
          <w:sz w:val="24"/>
          <w:szCs w:val="24"/>
        </w:rPr>
        <w:t xml:space="preserve"> oraz art. </w:t>
      </w:r>
      <w:r w:rsidR="004453F7" w:rsidRPr="0018524B">
        <w:rPr>
          <w:rFonts w:ascii="Times New Roman" w:hAnsi="Times New Roman" w:cs="Times New Roman"/>
          <w:b/>
          <w:sz w:val="24"/>
          <w:szCs w:val="24"/>
        </w:rPr>
        <w:t>129</w:t>
      </w:r>
      <w:r w:rsidR="0089786C" w:rsidRPr="0018524B">
        <w:rPr>
          <w:rFonts w:ascii="Times New Roman" w:hAnsi="Times New Roman" w:cs="Times New Roman"/>
          <w:b/>
          <w:sz w:val="24"/>
          <w:szCs w:val="24"/>
        </w:rPr>
        <w:t>r</w:t>
      </w:r>
      <w:r w:rsidR="004453F7" w:rsidRPr="0018524B">
        <w:rPr>
          <w:rFonts w:ascii="Times New Roman" w:hAnsi="Times New Roman" w:cs="Times New Roman"/>
          <w:b/>
          <w:sz w:val="24"/>
          <w:szCs w:val="24"/>
        </w:rPr>
        <w:t xml:space="preserve"> </w:t>
      </w:r>
      <w:r w:rsidRPr="0018524B">
        <w:rPr>
          <w:rFonts w:ascii="Times New Roman" w:hAnsi="Times New Roman" w:cs="Times New Roman"/>
          <w:b/>
          <w:sz w:val="24"/>
          <w:szCs w:val="24"/>
        </w:rPr>
        <w:t>ustawy o p.p.p.f.t.</w:t>
      </w:r>
      <w:r w:rsidRPr="0018524B">
        <w:rPr>
          <w:rFonts w:ascii="Times New Roman" w:hAnsi="Times New Roman" w:cs="Times New Roman"/>
          <w:sz w:val="24"/>
          <w:szCs w:val="24"/>
        </w:rPr>
        <w:t xml:space="preserve"> </w:t>
      </w:r>
    </w:p>
    <w:p w14:paraId="0963039F" w14:textId="5C4AC885" w:rsidR="00E93401" w:rsidRPr="0018524B" w:rsidRDefault="00E93401" w:rsidP="00E93401">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Do wniosków o wpis do obu rejestrów konieczne będzie dołączenie, składanego pod rygorem odpowiedzialności karnej</w:t>
      </w:r>
      <w:r w:rsidR="000601B0" w:rsidRPr="0018524B">
        <w:rPr>
          <w:rFonts w:ascii="Times New Roman" w:hAnsi="Times New Roman" w:cs="Times New Roman"/>
          <w:sz w:val="24"/>
          <w:szCs w:val="24"/>
        </w:rPr>
        <w:t>,</w:t>
      </w:r>
      <w:r w:rsidRPr="0018524B">
        <w:rPr>
          <w:rFonts w:ascii="Times New Roman" w:hAnsi="Times New Roman" w:cs="Times New Roman"/>
          <w:sz w:val="24"/>
          <w:szCs w:val="24"/>
        </w:rPr>
        <w:t xml:space="preserve"> oświadczenia o kompletności oraz zgodności z prawdą danych zawartych we wniosku.</w:t>
      </w:r>
      <w:r w:rsidR="007F63A1" w:rsidRPr="007F63A1">
        <w:rPr>
          <w:rFonts w:ascii="Times New Roman" w:hAnsi="Times New Roman" w:cs="Times New Roman"/>
          <w:sz w:val="24"/>
          <w:szCs w:val="24"/>
        </w:rPr>
        <w:t xml:space="preserve"> </w:t>
      </w:r>
      <w:r w:rsidR="007F63A1">
        <w:rPr>
          <w:rFonts w:ascii="Times New Roman" w:hAnsi="Times New Roman" w:cs="Times New Roman"/>
          <w:sz w:val="24"/>
          <w:szCs w:val="24"/>
        </w:rPr>
        <w:t>Przewiduje się, że wniosek o wpis do ww. rejestrów wnoszony będzie w formie elektronicznej.</w:t>
      </w:r>
      <w:r w:rsidR="00C6045B">
        <w:rPr>
          <w:rFonts w:ascii="Times New Roman" w:hAnsi="Times New Roman" w:cs="Times New Roman"/>
          <w:sz w:val="24"/>
          <w:szCs w:val="24"/>
        </w:rPr>
        <w:t xml:space="preserve"> </w:t>
      </w:r>
    </w:p>
    <w:p w14:paraId="368EA07C" w14:textId="3B5A7A0D" w:rsidR="00E93401" w:rsidRPr="0018524B" w:rsidRDefault="00E93401" w:rsidP="00E93401">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Wpisu do Rejestru działalności na rzecz spółek lub trustów oraz do Rejestru działalności w zakresie walut wirtualnych</w:t>
      </w:r>
      <w:r w:rsidRPr="0018524B">
        <w:t xml:space="preserve"> o</w:t>
      </w:r>
      <w:r w:rsidRPr="0018524B">
        <w:rPr>
          <w:rFonts w:ascii="Times New Roman" w:hAnsi="Times New Roman" w:cs="Times New Roman"/>
          <w:sz w:val="24"/>
          <w:szCs w:val="24"/>
        </w:rPr>
        <w:t>rgan właściwy w sprawach obu rejestrów dokonywać będzie w terminie 14 dni od dnia wpływu wniosków o wpis wraz z ww. oświadczeniami. W celu zapewnienia bezpiecznego i sprawnego składania wniosków o wpis do obu rejestrów minister właściwy ds. finansów publicznych został upoważniony do wydani</w:t>
      </w:r>
      <w:r w:rsidR="000601B0" w:rsidRPr="0018524B">
        <w:rPr>
          <w:rFonts w:ascii="Times New Roman" w:hAnsi="Times New Roman" w:cs="Times New Roman"/>
          <w:sz w:val="24"/>
          <w:szCs w:val="24"/>
        </w:rPr>
        <w:t>a</w:t>
      </w:r>
      <w:r w:rsidRPr="0018524B">
        <w:rPr>
          <w:rFonts w:ascii="Times New Roman" w:hAnsi="Times New Roman" w:cs="Times New Roman"/>
          <w:sz w:val="24"/>
          <w:szCs w:val="24"/>
        </w:rPr>
        <w:t xml:space="preserve"> rozporządzeń określających sposób i tryb składania wniosków o wpis do rejestrów oraz do udostępnienia stosownych</w:t>
      </w:r>
      <w:r w:rsidR="00C6045B">
        <w:rPr>
          <w:rFonts w:ascii="Times New Roman" w:hAnsi="Times New Roman" w:cs="Times New Roman"/>
          <w:sz w:val="24"/>
          <w:szCs w:val="24"/>
        </w:rPr>
        <w:t xml:space="preserve"> </w:t>
      </w:r>
      <w:r w:rsidRPr="0018524B">
        <w:rPr>
          <w:rFonts w:ascii="Times New Roman" w:hAnsi="Times New Roman" w:cs="Times New Roman"/>
          <w:sz w:val="24"/>
          <w:szCs w:val="24"/>
        </w:rPr>
        <w:t xml:space="preserve">wzorów formularzy wniosków o wpis. Organ właściwy ws. obu rejestrów został wyposażony w kompetencję do sprostowania z urzędu oczywistych błędów </w:t>
      </w:r>
      <w:r w:rsidR="000601B0" w:rsidRPr="0018524B">
        <w:rPr>
          <w:rFonts w:ascii="Times New Roman" w:hAnsi="Times New Roman" w:cs="Times New Roman"/>
          <w:sz w:val="24"/>
          <w:szCs w:val="24"/>
        </w:rPr>
        <w:t>l</w:t>
      </w:r>
      <w:r w:rsidRPr="0018524B">
        <w:rPr>
          <w:rFonts w:ascii="Times New Roman" w:hAnsi="Times New Roman" w:cs="Times New Roman"/>
          <w:sz w:val="24"/>
          <w:szCs w:val="24"/>
        </w:rPr>
        <w:t>ub omyłek we wpisach do rejestrów (art. 129i ust. 1 ustawy o p.p.p.f.t. oraz w art. 129</w:t>
      </w:r>
      <w:r w:rsidR="0089786C" w:rsidRPr="0018524B">
        <w:rPr>
          <w:rFonts w:ascii="Times New Roman" w:hAnsi="Times New Roman" w:cs="Times New Roman"/>
          <w:sz w:val="24"/>
          <w:szCs w:val="24"/>
        </w:rPr>
        <w:t>u</w:t>
      </w:r>
      <w:r w:rsidRPr="0018524B">
        <w:rPr>
          <w:rFonts w:ascii="Times New Roman" w:hAnsi="Times New Roman" w:cs="Times New Roman"/>
          <w:sz w:val="24"/>
          <w:szCs w:val="24"/>
        </w:rPr>
        <w:t xml:space="preserve"> ust. 1 ustawy o </w:t>
      </w:r>
      <w:r w:rsidRPr="0018524B">
        <w:rPr>
          <w:rFonts w:ascii="Times New Roman" w:hAnsi="Times New Roman" w:cs="Times New Roman"/>
          <w:sz w:val="24"/>
          <w:szCs w:val="24"/>
        </w:rPr>
        <w:lastRenderedPageBreak/>
        <w:t>p.p.p.f.t.). Na przedsiębiorców podlegających obowiązkowi uzyskania wpisu do Rejestru działalności na rzecz spółek lub trustów oraz do Rejestru działalności w zakresie walut wirtualnych nałożony został ponadto obowiązek poinformowania organu właściwego ws. obu rejestrów o zmianie danych podlegających wpisowi do rejestru w terminie 14 dni do zajścia zmiany (art. 129i ust. 2 ustawy o p.p.p.f.t. oraz w art. 129</w:t>
      </w:r>
      <w:r w:rsidR="0089786C" w:rsidRPr="0018524B">
        <w:rPr>
          <w:rFonts w:ascii="Times New Roman" w:hAnsi="Times New Roman" w:cs="Times New Roman"/>
          <w:sz w:val="24"/>
          <w:szCs w:val="24"/>
        </w:rPr>
        <w:t>u</w:t>
      </w:r>
      <w:r w:rsidRPr="0018524B">
        <w:rPr>
          <w:rFonts w:ascii="Times New Roman" w:hAnsi="Times New Roman" w:cs="Times New Roman"/>
          <w:sz w:val="24"/>
          <w:szCs w:val="24"/>
        </w:rPr>
        <w:t xml:space="preserve"> ust. 2 ustawy o p.p.p.f.t.).</w:t>
      </w:r>
    </w:p>
    <w:p w14:paraId="18AF97F4" w14:textId="45F89F54" w:rsidR="00E93401" w:rsidRPr="0018524B" w:rsidRDefault="00E93401" w:rsidP="00E93401">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W art. 129g ustawy o p.p.p.f.t. oraz w art. 129</w:t>
      </w:r>
      <w:r w:rsidR="0089786C" w:rsidRPr="0018524B">
        <w:rPr>
          <w:rFonts w:ascii="Times New Roman" w:hAnsi="Times New Roman" w:cs="Times New Roman"/>
          <w:sz w:val="24"/>
          <w:szCs w:val="24"/>
        </w:rPr>
        <w:t>s</w:t>
      </w:r>
      <w:r w:rsidRPr="0018524B">
        <w:rPr>
          <w:rFonts w:ascii="Times New Roman" w:hAnsi="Times New Roman" w:cs="Times New Roman"/>
          <w:sz w:val="24"/>
          <w:szCs w:val="24"/>
        </w:rPr>
        <w:t xml:space="preserve"> ustawy o p.p.p.f.t. określono przesłanki do wydania przez ministra właściwego ds. finansów publicznych decyzji odmawiającej wpisu odpowiednio do Rejestru działalności na rzecz spółek lub trustów oraz do Rejestru działalności w zakresie walut wirtualnych. Odmowa dokonani</w:t>
      </w:r>
      <w:r w:rsidR="000601B0" w:rsidRPr="0018524B">
        <w:rPr>
          <w:rFonts w:ascii="Times New Roman" w:hAnsi="Times New Roman" w:cs="Times New Roman"/>
          <w:sz w:val="24"/>
          <w:szCs w:val="24"/>
        </w:rPr>
        <w:t>a</w:t>
      </w:r>
      <w:r w:rsidRPr="0018524B">
        <w:rPr>
          <w:rFonts w:ascii="Times New Roman" w:hAnsi="Times New Roman" w:cs="Times New Roman"/>
          <w:sz w:val="24"/>
          <w:szCs w:val="24"/>
        </w:rPr>
        <w:t xml:space="preserve"> wpisu nastąpi w przypadku niekompletności wniosku</w:t>
      </w:r>
      <w:r w:rsidR="0089786C" w:rsidRPr="0018524B">
        <w:rPr>
          <w:rFonts w:ascii="Times New Roman" w:hAnsi="Times New Roman" w:cs="Times New Roman"/>
          <w:sz w:val="24"/>
          <w:szCs w:val="24"/>
        </w:rPr>
        <w:t xml:space="preserve"> lub</w:t>
      </w:r>
      <w:r w:rsidRPr="0018524B">
        <w:rPr>
          <w:rFonts w:ascii="Times New Roman" w:hAnsi="Times New Roman" w:cs="Times New Roman"/>
          <w:sz w:val="24"/>
          <w:szCs w:val="24"/>
        </w:rPr>
        <w:t xml:space="preserve"> niezgodności danych w nim zawartych ze stanem faktycznym. </w:t>
      </w:r>
    </w:p>
    <w:p w14:paraId="23653C7E" w14:textId="0F9E1833" w:rsidR="00E93401" w:rsidRPr="0018524B" w:rsidRDefault="00E93401" w:rsidP="00E93401">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Na przedsiębiorców wpisanych do rejestru przedsiębiorców Krajowego Rejestru Sądowego</w:t>
      </w:r>
      <w:r w:rsidRPr="0018524B" w:rsidDel="00834AB9">
        <w:rPr>
          <w:rFonts w:ascii="Times New Roman" w:hAnsi="Times New Roman" w:cs="Times New Roman"/>
          <w:sz w:val="24"/>
          <w:szCs w:val="24"/>
        </w:rPr>
        <w:t xml:space="preserve"> </w:t>
      </w:r>
      <w:r w:rsidRPr="0018524B">
        <w:rPr>
          <w:rFonts w:ascii="Times New Roman" w:hAnsi="Times New Roman" w:cs="Times New Roman"/>
          <w:sz w:val="24"/>
          <w:szCs w:val="24"/>
        </w:rPr>
        <w:t>wykonujących oba rodzaje reglamentowanej działalności gospodarczej</w:t>
      </w:r>
      <w:r w:rsidR="00C6045B">
        <w:rPr>
          <w:rFonts w:ascii="Times New Roman" w:hAnsi="Times New Roman" w:cs="Times New Roman"/>
          <w:sz w:val="24"/>
          <w:szCs w:val="24"/>
        </w:rPr>
        <w:t xml:space="preserve"> </w:t>
      </w:r>
      <w:r w:rsidRPr="0018524B">
        <w:rPr>
          <w:rFonts w:ascii="Times New Roman" w:hAnsi="Times New Roman" w:cs="Times New Roman"/>
          <w:sz w:val="24"/>
          <w:szCs w:val="24"/>
        </w:rPr>
        <w:t>nałożono obowiązek zawiadomienia organu prowadzącego odpowiedni rejestr o zawieszeniu wykonywania działalności gospodarczej (</w:t>
      </w:r>
      <w:r w:rsidRPr="0018524B">
        <w:rPr>
          <w:rFonts w:ascii="Times New Roman" w:hAnsi="Times New Roman" w:cs="Times New Roman"/>
          <w:b/>
          <w:sz w:val="24"/>
          <w:szCs w:val="24"/>
        </w:rPr>
        <w:t>art. 129j oraz art. 129</w:t>
      </w:r>
      <w:r w:rsidR="0089786C" w:rsidRPr="0018524B">
        <w:rPr>
          <w:rFonts w:ascii="Times New Roman" w:hAnsi="Times New Roman" w:cs="Times New Roman"/>
          <w:b/>
          <w:sz w:val="24"/>
          <w:szCs w:val="24"/>
        </w:rPr>
        <w:t>v</w:t>
      </w:r>
      <w:r w:rsidRPr="0018524B">
        <w:rPr>
          <w:rFonts w:ascii="Times New Roman" w:hAnsi="Times New Roman" w:cs="Times New Roman"/>
          <w:b/>
          <w:sz w:val="24"/>
          <w:szCs w:val="24"/>
        </w:rPr>
        <w:t xml:space="preserve"> ustawy o p.p.p.f.t.</w:t>
      </w:r>
      <w:r w:rsidRPr="0018524B">
        <w:rPr>
          <w:rFonts w:ascii="Times New Roman" w:hAnsi="Times New Roman" w:cs="Times New Roman"/>
          <w:sz w:val="24"/>
          <w:szCs w:val="24"/>
        </w:rPr>
        <w:t>). W odniesieniu do przedsiębiorców podlegających wpisowi do CEIDG stosowane informacje zostaną przekazane organom właściwym w sprawach ww. regulowanych działalności gospodarczych zgodnie z przepisami</w:t>
      </w:r>
      <w:r w:rsidRPr="0018524B">
        <w:rPr>
          <w:rFonts w:ascii="Times New Roman" w:eastAsia="Calibri" w:hAnsi="Times New Roman" w:cs="Times New Roman"/>
          <w:sz w:val="24"/>
          <w:szCs w:val="24"/>
        </w:rPr>
        <w:t xml:space="preserve"> </w:t>
      </w:r>
      <w:r w:rsidRPr="0018524B">
        <w:rPr>
          <w:rFonts w:ascii="Times New Roman" w:hAnsi="Times New Roman" w:cs="Times New Roman"/>
          <w:sz w:val="24"/>
          <w:szCs w:val="24"/>
        </w:rPr>
        <w:t xml:space="preserve">ustawy z dnia 6 marca 2018 r. </w:t>
      </w:r>
      <w:r w:rsidRPr="0018524B">
        <w:rPr>
          <w:rFonts w:ascii="Times New Roman" w:hAnsi="Times New Roman" w:cs="Times New Roman"/>
          <w:i/>
          <w:sz w:val="24"/>
          <w:szCs w:val="24"/>
        </w:rPr>
        <w:t>o Centralnej Ewidencji i Informacji o Działalności Gospodarczej i Punkcie Informacji dla Przedsiębiorcy</w:t>
      </w:r>
      <w:r w:rsidRPr="0018524B">
        <w:rPr>
          <w:rFonts w:ascii="Times New Roman" w:hAnsi="Times New Roman" w:cs="Times New Roman"/>
          <w:sz w:val="24"/>
          <w:szCs w:val="24"/>
        </w:rPr>
        <w:t xml:space="preserve">. </w:t>
      </w:r>
    </w:p>
    <w:p w14:paraId="7DCE60DF" w14:textId="1118B276" w:rsidR="00E93401" w:rsidRPr="0018524B" w:rsidRDefault="00E93401" w:rsidP="00E93401">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W art. 129k o p.p.p.f.t. oraz w art. 129</w:t>
      </w:r>
      <w:r w:rsidR="0089786C" w:rsidRPr="0018524B">
        <w:rPr>
          <w:rFonts w:ascii="Times New Roman" w:hAnsi="Times New Roman" w:cs="Times New Roman"/>
          <w:sz w:val="24"/>
          <w:szCs w:val="24"/>
        </w:rPr>
        <w:t>w</w:t>
      </w:r>
      <w:r w:rsidRPr="0018524B">
        <w:rPr>
          <w:rFonts w:ascii="Times New Roman" w:hAnsi="Times New Roman" w:cs="Times New Roman"/>
          <w:sz w:val="24"/>
          <w:szCs w:val="24"/>
        </w:rPr>
        <w:t xml:space="preserve"> ustawy o p.p.p.f.t. określono przesłanki zobowiązujące organ właściwy odpowiednio ws. Rejestru działalności na rzecz spółek lub trustów oraz ws. Rejestru działalności w zakresie walut wirtualnych do wykreślenia przedsiębiorcy z właściwego rejestru działalności regulowanej. Oprócz wniosku zainteresowanego przedsiębiorcy decyzja o wykreśleniu zostanie wydana również w przypadku stwierdzenia</w:t>
      </w:r>
      <w:r w:rsidR="00F457EC">
        <w:rPr>
          <w:rFonts w:ascii="Times New Roman" w:hAnsi="Times New Roman" w:cs="Times New Roman"/>
          <w:sz w:val="24"/>
          <w:szCs w:val="24"/>
        </w:rPr>
        <w:t xml:space="preserve">, w szczególności w toku kontroli prowadzonej na podstawie ustawy z </w:t>
      </w:r>
      <w:r w:rsidR="00F457EC" w:rsidRPr="002B493B">
        <w:rPr>
          <w:rFonts w:ascii="Times New Roman" w:hAnsi="Times New Roman" w:cs="Times New Roman"/>
          <w:sz w:val="24"/>
          <w:szCs w:val="24"/>
        </w:rPr>
        <w:t>dnia 6 marca 2018 r.</w:t>
      </w:r>
      <w:r w:rsidR="00F457EC" w:rsidRPr="002B493B">
        <w:t xml:space="preserve"> </w:t>
      </w:r>
      <w:r w:rsidR="00E52520">
        <w:t xml:space="preserve">– </w:t>
      </w:r>
      <w:r w:rsidR="00F457EC" w:rsidRPr="002B493B">
        <w:rPr>
          <w:rFonts w:ascii="Times New Roman" w:hAnsi="Times New Roman" w:cs="Times New Roman"/>
          <w:sz w:val="24"/>
          <w:szCs w:val="24"/>
        </w:rPr>
        <w:t>Prawo przedsiębiorców</w:t>
      </w:r>
      <w:r w:rsidRPr="0018524B">
        <w:rPr>
          <w:rFonts w:ascii="Times New Roman" w:hAnsi="Times New Roman" w:cs="Times New Roman"/>
          <w:sz w:val="24"/>
          <w:szCs w:val="24"/>
        </w:rPr>
        <w:t>, że przedsiębiorca nie spełniania warunków wymaganych prawem do wykonywania działalności regulowane</w:t>
      </w:r>
      <w:r w:rsidR="0009409A" w:rsidRPr="0018524B">
        <w:rPr>
          <w:rFonts w:ascii="Times New Roman" w:hAnsi="Times New Roman" w:cs="Times New Roman"/>
          <w:sz w:val="24"/>
          <w:szCs w:val="24"/>
        </w:rPr>
        <w:t>j</w:t>
      </w:r>
      <w:r w:rsidRPr="0018524B">
        <w:rPr>
          <w:rFonts w:ascii="Times New Roman" w:hAnsi="Times New Roman" w:cs="Times New Roman"/>
          <w:sz w:val="24"/>
          <w:szCs w:val="24"/>
        </w:rPr>
        <w:t xml:space="preserve"> lub załączył do wniosku o wpis do odpowiedniego rejestru niezgodne ze stanem faktycznym. </w:t>
      </w:r>
    </w:p>
    <w:p w14:paraId="37C4A495" w14:textId="5C87436F" w:rsidR="0009409A" w:rsidRPr="0018524B" w:rsidRDefault="0009409A" w:rsidP="00E93401">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Zgodnie z </w:t>
      </w:r>
      <w:r w:rsidRPr="0012488C">
        <w:rPr>
          <w:rFonts w:ascii="Times New Roman" w:hAnsi="Times New Roman" w:cs="Times New Roman"/>
          <w:b/>
          <w:sz w:val="24"/>
          <w:szCs w:val="24"/>
        </w:rPr>
        <w:t>art. 129y</w:t>
      </w:r>
      <w:r w:rsidRPr="0018524B">
        <w:rPr>
          <w:rFonts w:ascii="Times New Roman" w:hAnsi="Times New Roman" w:cs="Times New Roman"/>
          <w:sz w:val="24"/>
          <w:szCs w:val="24"/>
        </w:rPr>
        <w:t xml:space="preserve"> ustawy o p.p.p.f.t., dane zgromadzone w rejestrze działalności na rzecz spółek i trustów oraz rejestrze działalności w zakresie walut wirtualnych, są przechowywane przez okres</w:t>
      </w:r>
      <w:r w:rsidR="00C6045B">
        <w:rPr>
          <w:rFonts w:ascii="Times New Roman" w:hAnsi="Times New Roman" w:cs="Times New Roman"/>
          <w:sz w:val="24"/>
          <w:szCs w:val="24"/>
        </w:rPr>
        <w:t xml:space="preserve"> </w:t>
      </w:r>
      <w:r w:rsidRPr="0018524B">
        <w:rPr>
          <w:rFonts w:ascii="Times New Roman" w:hAnsi="Times New Roman" w:cs="Times New Roman"/>
          <w:sz w:val="24"/>
          <w:szCs w:val="24"/>
        </w:rPr>
        <w:t>5 lat licząc od dnia, w którym dokonano wykreślenia podmiotu z rejestru. Po upływie tego okresu, dane będą z rejestru usuwane. Uznać należy, iż okres przechowywania danych wynoszący 5 lat od dnia wykreślenia podmiotu z rejestru, będzie wystarczający dla osiągnięcia celów przechowywania</w:t>
      </w:r>
      <w:r w:rsidR="0018524B">
        <w:rPr>
          <w:rFonts w:ascii="Times New Roman" w:hAnsi="Times New Roman" w:cs="Times New Roman"/>
          <w:sz w:val="24"/>
          <w:szCs w:val="24"/>
        </w:rPr>
        <w:t xml:space="preserve">, a więc zapewnienia ochrony </w:t>
      </w:r>
      <w:r w:rsidR="0018524B" w:rsidRPr="0018524B">
        <w:rPr>
          <w:rFonts w:ascii="Times New Roman" w:hAnsi="Times New Roman" w:cs="Times New Roman"/>
          <w:sz w:val="24"/>
          <w:szCs w:val="24"/>
        </w:rPr>
        <w:t>podmiotów</w:t>
      </w:r>
      <w:r w:rsidR="0018524B">
        <w:rPr>
          <w:rFonts w:ascii="Times New Roman" w:hAnsi="Times New Roman" w:cs="Times New Roman"/>
          <w:sz w:val="24"/>
          <w:szCs w:val="24"/>
        </w:rPr>
        <w:t xml:space="preserve"> prowadzących </w:t>
      </w:r>
      <w:r w:rsidR="0018524B">
        <w:rPr>
          <w:rFonts w:ascii="Times New Roman" w:hAnsi="Times New Roman" w:cs="Times New Roman"/>
          <w:sz w:val="24"/>
          <w:szCs w:val="24"/>
        </w:rPr>
        <w:lastRenderedPageBreak/>
        <w:t>działalność na rzecz spółek i trustów oraz podmiotów prowadzących działalność w zakresie walut wirtualnych</w:t>
      </w:r>
      <w:r w:rsidR="0018524B" w:rsidRPr="0018524B">
        <w:rPr>
          <w:rFonts w:ascii="Times New Roman" w:hAnsi="Times New Roman" w:cs="Times New Roman"/>
          <w:sz w:val="24"/>
          <w:szCs w:val="24"/>
        </w:rPr>
        <w:t xml:space="preserve"> przed wykorzystywaniem ich przez osoby zarządzające nimi lub ich beneficjentów rzeczywistych do celów przestępczych</w:t>
      </w:r>
      <w:r w:rsidR="0018524B">
        <w:rPr>
          <w:rFonts w:ascii="Times New Roman" w:hAnsi="Times New Roman" w:cs="Times New Roman"/>
          <w:sz w:val="24"/>
          <w:szCs w:val="24"/>
        </w:rPr>
        <w:t>. W związku z konieczności</w:t>
      </w:r>
      <w:r w:rsidR="00B21941">
        <w:rPr>
          <w:rFonts w:ascii="Times New Roman" w:hAnsi="Times New Roman" w:cs="Times New Roman"/>
          <w:sz w:val="24"/>
          <w:szCs w:val="24"/>
        </w:rPr>
        <w:t>ą</w:t>
      </w:r>
      <w:r w:rsidR="0018524B">
        <w:rPr>
          <w:rFonts w:ascii="Times New Roman" w:hAnsi="Times New Roman" w:cs="Times New Roman"/>
          <w:sz w:val="24"/>
          <w:szCs w:val="24"/>
        </w:rPr>
        <w:t xml:space="preserve"> realizacji ww. celu regulacji</w:t>
      </w:r>
      <w:r w:rsidR="00B21941">
        <w:rPr>
          <w:rFonts w:ascii="Times New Roman" w:hAnsi="Times New Roman" w:cs="Times New Roman"/>
          <w:sz w:val="24"/>
          <w:szCs w:val="24"/>
        </w:rPr>
        <w:t>,</w:t>
      </w:r>
      <w:r w:rsidR="0018524B">
        <w:rPr>
          <w:rFonts w:ascii="Times New Roman" w:hAnsi="Times New Roman" w:cs="Times New Roman"/>
          <w:sz w:val="24"/>
          <w:szCs w:val="24"/>
        </w:rPr>
        <w:t xml:space="preserve"> w obu rejestrach działalności regulowanej przetwarzane będę wyłącznie dane niezbędne do</w:t>
      </w:r>
      <w:r w:rsidR="00B21941">
        <w:rPr>
          <w:rFonts w:ascii="Times New Roman" w:hAnsi="Times New Roman" w:cs="Times New Roman"/>
          <w:sz w:val="24"/>
          <w:szCs w:val="24"/>
        </w:rPr>
        <w:t xml:space="preserve"> jego osiągniecia, a p</w:t>
      </w:r>
      <w:r w:rsidR="0018524B">
        <w:rPr>
          <w:rFonts w:ascii="Times New Roman" w:hAnsi="Times New Roman" w:cs="Times New Roman"/>
          <w:sz w:val="24"/>
          <w:szCs w:val="24"/>
        </w:rPr>
        <w:t xml:space="preserve">rzyjęty okres retencji danych wydaje się być adekwatny w odniesieniu do konieczności realizacji celów przyjmowanych przepisów. </w:t>
      </w:r>
    </w:p>
    <w:p w14:paraId="71674691" w14:textId="0BA69E23" w:rsidR="00E93401" w:rsidRPr="0018524B" w:rsidRDefault="00E93401" w:rsidP="00E93401">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W zakresie nieuregulowanym w </w:t>
      </w:r>
      <w:r w:rsidR="00E52520">
        <w:rPr>
          <w:rFonts w:ascii="Times New Roman" w:hAnsi="Times New Roman" w:cs="Times New Roman"/>
          <w:sz w:val="24"/>
          <w:szCs w:val="24"/>
        </w:rPr>
        <w:t>r</w:t>
      </w:r>
      <w:r w:rsidRPr="0018524B">
        <w:rPr>
          <w:rFonts w:ascii="Times New Roman" w:hAnsi="Times New Roman" w:cs="Times New Roman"/>
          <w:sz w:val="24"/>
          <w:szCs w:val="24"/>
        </w:rPr>
        <w:t xml:space="preserve">ozdziale 11a, zgodnie z art. 129z ustawy o p.p.p.f.t. odpowiednie zastosowanie znajdą przepisy ustawy z dnia 6 marca 2018 r. – </w:t>
      </w:r>
      <w:r w:rsidRPr="0018524B">
        <w:rPr>
          <w:rFonts w:ascii="Times New Roman" w:hAnsi="Times New Roman" w:cs="Times New Roman"/>
          <w:i/>
          <w:sz w:val="24"/>
          <w:szCs w:val="24"/>
        </w:rPr>
        <w:t>Prawo przedsiębiorców</w:t>
      </w:r>
      <w:r w:rsidRPr="0018524B">
        <w:rPr>
          <w:rFonts w:ascii="Times New Roman" w:hAnsi="Times New Roman" w:cs="Times New Roman"/>
          <w:sz w:val="24"/>
          <w:szCs w:val="24"/>
        </w:rPr>
        <w:t>.</w:t>
      </w:r>
    </w:p>
    <w:p w14:paraId="4A928BEC" w14:textId="4D6EF6D1" w:rsidR="003047E5" w:rsidRPr="0018524B" w:rsidRDefault="007E3EE7"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Rozszerzenie regulacji </w:t>
      </w:r>
      <w:r w:rsidRPr="0018524B">
        <w:rPr>
          <w:rFonts w:ascii="Times New Roman" w:hAnsi="Times New Roman" w:cs="Times New Roman"/>
          <w:b/>
          <w:sz w:val="24"/>
          <w:szCs w:val="24"/>
        </w:rPr>
        <w:t>a</w:t>
      </w:r>
      <w:r w:rsidR="003047E5" w:rsidRPr="0018524B">
        <w:rPr>
          <w:rFonts w:ascii="Times New Roman" w:hAnsi="Times New Roman" w:cs="Times New Roman"/>
          <w:b/>
          <w:sz w:val="24"/>
          <w:szCs w:val="24"/>
        </w:rPr>
        <w:t>rt. 130 ustawy o p.p.p.f.t.</w:t>
      </w:r>
      <w:r w:rsidR="003047E5" w:rsidRPr="0018524B">
        <w:rPr>
          <w:rFonts w:ascii="Times New Roman" w:hAnsi="Times New Roman" w:cs="Times New Roman"/>
          <w:sz w:val="24"/>
          <w:szCs w:val="24"/>
        </w:rPr>
        <w:t xml:space="preserve"> </w:t>
      </w:r>
      <w:r w:rsidRPr="0018524B">
        <w:rPr>
          <w:rFonts w:ascii="Times New Roman" w:hAnsi="Times New Roman" w:cs="Times New Roman"/>
          <w:sz w:val="24"/>
          <w:szCs w:val="24"/>
        </w:rPr>
        <w:t xml:space="preserve">o ustęp trzeci, </w:t>
      </w:r>
      <w:r w:rsidR="003047E5" w:rsidRPr="0018524B">
        <w:rPr>
          <w:rFonts w:ascii="Times New Roman" w:hAnsi="Times New Roman" w:cs="Times New Roman"/>
          <w:sz w:val="24"/>
          <w:szCs w:val="24"/>
        </w:rPr>
        <w:t xml:space="preserve">wynika z konieczności transpozycji do krajowego porządku prawnego wymogów wynikających z art. 48 ust. 2 dyrektywy </w:t>
      </w:r>
      <w:r w:rsidRPr="0018524B">
        <w:rPr>
          <w:rFonts w:ascii="Times New Roman" w:hAnsi="Times New Roman" w:cs="Times New Roman"/>
          <w:sz w:val="24"/>
          <w:szCs w:val="24"/>
        </w:rPr>
        <w:t xml:space="preserve">2015/849 w brzmieniu nadanym przez dyrektywę </w:t>
      </w:r>
      <w:r w:rsidR="003047E5" w:rsidRPr="0018524B">
        <w:rPr>
          <w:rFonts w:ascii="Times New Roman" w:hAnsi="Times New Roman" w:cs="Times New Roman"/>
          <w:sz w:val="24"/>
          <w:szCs w:val="24"/>
        </w:rPr>
        <w:t>2018/843. Zgodnie z dyrektywą personel m.in. organów przeprowadzających kontrolę musi cechować się wysoką etyką zawodową i odpowiednimi kwalifikacjami oraz zachowywać wysokie standardy zawodowe.</w:t>
      </w:r>
      <w:r w:rsidR="00165BE4" w:rsidRPr="0018524B">
        <w:rPr>
          <w:rFonts w:ascii="Times New Roman" w:hAnsi="Times New Roman" w:cs="Times New Roman"/>
          <w:sz w:val="24"/>
          <w:szCs w:val="24"/>
        </w:rPr>
        <w:t xml:space="preserve"> Wprowadzenie art. 130 ust. 3 ma </w:t>
      </w:r>
      <w:r w:rsidRPr="0018524B">
        <w:rPr>
          <w:rFonts w:ascii="Times New Roman" w:hAnsi="Times New Roman" w:cs="Times New Roman"/>
          <w:sz w:val="24"/>
          <w:szCs w:val="24"/>
        </w:rPr>
        <w:t xml:space="preserve">zapewnić, że osoby odpowiedzialne </w:t>
      </w:r>
      <w:r w:rsidR="00165BE4" w:rsidRPr="0018524B">
        <w:rPr>
          <w:rFonts w:ascii="Times New Roman" w:hAnsi="Times New Roman" w:cs="Times New Roman"/>
          <w:sz w:val="24"/>
          <w:szCs w:val="24"/>
        </w:rPr>
        <w:t xml:space="preserve">za kontrolę instytucji obowiązanych z ramienia Generalnego Inspektora Informacji Finansowej </w:t>
      </w:r>
      <w:r w:rsidRPr="0018524B">
        <w:rPr>
          <w:rFonts w:ascii="Times New Roman" w:hAnsi="Times New Roman" w:cs="Times New Roman"/>
          <w:sz w:val="24"/>
          <w:szCs w:val="24"/>
        </w:rPr>
        <w:t>oraz innych organów uprawnionych do kontroli przestrzegania obowiązków z zakresu przeciwdziałania praniu pieniędzy oraz finansowania terroryzmu wykazywać się będą odpowiednią wiedzą oraz kwalifikacjami pozwalającymi na właściwą realizacja obowiązków kontrolnych.</w:t>
      </w:r>
    </w:p>
    <w:p w14:paraId="730EC362" w14:textId="3C99B281" w:rsidR="003047E5" w:rsidRPr="0018524B" w:rsidRDefault="003047E5"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Zmiany przewidziane w </w:t>
      </w:r>
      <w:r w:rsidRPr="0018524B">
        <w:rPr>
          <w:rFonts w:ascii="Times New Roman" w:hAnsi="Times New Roman" w:cs="Times New Roman"/>
          <w:b/>
          <w:sz w:val="24"/>
          <w:szCs w:val="24"/>
        </w:rPr>
        <w:t>art. 145</w:t>
      </w:r>
      <w:r w:rsidRPr="0018524B">
        <w:rPr>
          <w:rFonts w:ascii="Times New Roman" w:hAnsi="Times New Roman" w:cs="Times New Roman"/>
          <w:sz w:val="24"/>
          <w:szCs w:val="24"/>
        </w:rPr>
        <w:t xml:space="preserve"> </w:t>
      </w:r>
      <w:r w:rsidRPr="0018524B">
        <w:rPr>
          <w:rFonts w:ascii="Times New Roman" w:hAnsi="Times New Roman" w:cs="Times New Roman"/>
          <w:b/>
          <w:sz w:val="24"/>
          <w:szCs w:val="24"/>
        </w:rPr>
        <w:t xml:space="preserve">ust. 1 </w:t>
      </w:r>
      <w:r w:rsidR="007E3EE7" w:rsidRPr="0018524B">
        <w:rPr>
          <w:rFonts w:ascii="Times New Roman" w:hAnsi="Times New Roman" w:cs="Times New Roman"/>
          <w:b/>
          <w:sz w:val="24"/>
          <w:szCs w:val="24"/>
        </w:rPr>
        <w:t xml:space="preserve">i </w:t>
      </w:r>
      <w:r w:rsidRPr="0018524B">
        <w:rPr>
          <w:rFonts w:ascii="Times New Roman" w:hAnsi="Times New Roman" w:cs="Times New Roman"/>
          <w:b/>
          <w:sz w:val="24"/>
          <w:szCs w:val="24"/>
        </w:rPr>
        <w:t>2 ustawy o p.p.p.f.t.</w:t>
      </w:r>
      <w:r w:rsidRPr="0018524B">
        <w:rPr>
          <w:rFonts w:ascii="Times New Roman" w:hAnsi="Times New Roman" w:cs="Times New Roman"/>
          <w:sz w:val="24"/>
          <w:szCs w:val="24"/>
        </w:rPr>
        <w:t xml:space="preserve"> oraz dodanie ust. 3 wynikają z treści art. 48 ust. 4 i 5 dyrektywy 201</w:t>
      </w:r>
      <w:r w:rsidR="007E3EE7" w:rsidRPr="0018524B">
        <w:rPr>
          <w:rFonts w:ascii="Times New Roman" w:hAnsi="Times New Roman" w:cs="Times New Roman"/>
          <w:sz w:val="24"/>
          <w:szCs w:val="24"/>
        </w:rPr>
        <w:t>5</w:t>
      </w:r>
      <w:r w:rsidRPr="0018524B">
        <w:rPr>
          <w:rFonts w:ascii="Times New Roman" w:hAnsi="Times New Roman" w:cs="Times New Roman"/>
          <w:sz w:val="24"/>
          <w:szCs w:val="24"/>
        </w:rPr>
        <w:t>/</w:t>
      </w:r>
      <w:r w:rsidR="007E3EE7" w:rsidRPr="0018524B">
        <w:rPr>
          <w:rFonts w:ascii="Times New Roman" w:hAnsi="Times New Roman" w:cs="Times New Roman"/>
          <w:sz w:val="24"/>
          <w:szCs w:val="24"/>
        </w:rPr>
        <w:t>849</w:t>
      </w:r>
      <w:r w:rsidRPr="0018524B">
        <w:rPr>
          <w:rFonts w:ascii="Times New Roman" w:hAnsi="Times New Roman" w:cs="Times New Roman"/>
          <w:sz w:val="24"/>
          <w:szCs w:val="24"/>
        </w:rPr>
        <w:t>. Przywołane w przepisie organy będą miały przyznane szerokie możliwości oraz uprawnienia w zakresie zapewnienia przestrzegania przepisów ustawy przez jednostki organizacyjne podmiotów z państw członkowskich oraz wchodzące w skład grupy jednostki organizacyjne instytucji obowiązanych będące instytucjami kredytowymi i finansowymi w rozumieniu art. 3 pkt 1 i 2 dyrektywy 2015/849.</w:t>
      </w:r>
    </w:p>
    <w:p w14:paraId="23A8DD2E" w14:textId="60956D8B" w:rsidR="007E3EE7" w:rsidRPr="0018524B" w:rsidRDefault="007E3EE7" w:rsidP="007E3EE7">
      <w:pPr>
        <w:spacing w:line="400" w:lineRule="atLeast"/>
        <w:jc w:val="both"/>
        <w:rPr>
          <w:rFonts w:ascii="Times New Roman" w:hAnsi="Times New Roman" w:cs="Times New Roman"/>
          <w:b/>
          <w:sz w:val="24"/>
          <w:szCs w:val="24"/>
        </w:rPr>
      </w:pPr>
      <w:r w:rsidRPr="0018524B">
        <w:rPr>
          <w:rFonts w:ascii="Times New Roman" w:hAnsi="Times New Roman" w:cs="Times New Roman"/>
          <w:sz w:val="24"/>
          <w:szCs w:val="24"/>
        </w:rPr>
        <w:t xml:space="preserve">Rozszerzenie, zawartego w </w:t>
      </w:r>
      <w:r w:rsidRPr="0018524B">
        <w:rPr>
          <w:rFonts w:ascii="Times New Roman" w:hAnsi="Times New Roman" w:cs="Times New Roman"/>
          <w:b/>
          <w:sz w:val="24"/>
          <w:szCs w:val="24"/>
        </w:rPr>
        <w:t>art. 147 ustawy o p.p.p.f.t.</w:t>
      </w:r>
      <w:r w:rsidRPr="0018524B">
        <w:rPr>
          <w:rFonts w:ascii="Times New Roman" w:hAnsi="Times New Roman" w:cs="Times New Roman"/>
          <w:sz w:val="24"/>
          <w:szCs w:val="24"/>
        </w:rPr>
        <w:t xml:space="preserve"> </w:t>
      </w:r>
      <w:r w:rsidR="00E05C3E" w:rsidRPr="0018524B">
        <w:rPr>
          <w:rFonts w:ascii="Times New Roman" w:hAnsi="Times New Roman" w:cs="Times New Roman"/>
          <w:sz w:val="24"/>
          <w:szCs w:val="24"/>
        </w:rPr>
        <w:t xml:space="preserve">katalogu </w:t>
      </w:r>
      <w:r w:rsidRPr="0018524B">
        <w:rPr>
          <w:rFonts w:ascii="Times New Roman" w:hAnsi="Times New Roman" w:cs="Times New Roman"/>
          <w:sz w:val="24"/>
          <w:szCs w:val="24"/>
        </w:rPr>
        <w:t xml:space="preserve">deliktów administracyjnych jest konsekwencją </w:t>
      </w:r>
      <w:r w:rsidR="00856F4D" w:rsidRPr="0018524B">
        <w:rPr>
          <w:rFonts w:ascii="Times New Roman" w:hAnsi="Times New Roman" w:cs="Times New Roman"/>
          <w:sz w:val="24"/>
          <w:szCs w:val="24"/>
        </w:rPr>
        <w:t>nałożenia na instytucje obowiązane nowych obowiązków m.in. w zakresie nawiązywania stosunków gospodarczych lub prowadzenia działalności związanej z państwem trzecim wysokiego ryzyka, zidentyfikowanym przez Komisję Europejską w akcie delegowanym przyjętym na podstawie art. 9 dyrektywy 2015/849 (art. 147 pkt 16</w:t>
      </w:r>
      <w:r w:rsidR="00C6045B">
        <w:rPr>
          <w:rFonts w:ascii="Times New Roman" w:hAnsi="Times New Roman" w:cs="Times New Roman"/>
          <w:sz w:val="24"/>
          <w:szCs w:val="24"/>
        </w:rPr>
        <w:t>–</w:t>
      </w:r>
      <w:r w:rsidR="00856F4D" w:rsidRPr="0018524B">
        <w:rPr>
          <w:rFonts w:ascii="Times New Roman" w:hAnsi="Times New Roman" w:cs="Times New Roman"/>
          <w:sz w:val="24"/>
          <w:szCs w:val="24"/>
        </w:rPr>
        <w:t xml:space="preserve">17 ustawy o p.p.p.f.t.). Służyć ma także zwiększeniu efektywności kontroli przestrzegania przepisów o przeciwdziałaniu praniu pieniędzy oraz finansowaniu terroryzmu (art. 147 pkt </w:t>
      </w:r>
      <w:r w:rsidR="00E42E35" w:rsidRPr="0018524B">
        <w:rPr>
          <w:rFonts w:ascii="Times New Roman" w:hAnsi="Times New Roman" w:cs="Times New Roman"/>
          <w:sz w:val="24"/>
          <w:szCs w:val="24"/>
        </w:rPr>
        <w:t>1</w:t>
      </w:r>
      <w:r w:rsidR="00E42E35">
        <w:rPr>
          <w:rFonts w:ascii="Times New Roman" w:hAnsi="Times New Roman" w:cs="Times New Roman"/>
          <w:sz w:val="24"/>
          <w:szCs w:val="24"/>
        </w:rPr>
        <w:t>5</w:t>
      </w:r>
      <w:r w:rsidR="00E42E35" w:rsidRPr="0018524B">
        <w:rPr>
          <w:rFonts w:ascii="Times New Roman" w:hAnsi="Times New Roman" w:cs="Times New Roman"/>
          <w:sz w:val="24"/>
          <w:szCs w:val="24"/>
        </w:rPr>
        <w:t xml:space="preserve"> </w:t>
      </w:r>
      <w:r w:rsidR="00856F4D" w:rsidRPr="0018524B">
        <w:rPr>
          <w:rFonts w:ascii="Times New Roman" w:hAnsi="Times New Roman" w:cs="Times New Roman"/>
          <w:sz w:val="24"/>
          <w:szCs w:val="24"/>
        </w:rPr>
        <w:t xml:space="preserve">ustawy o </w:t>
      </w:r>
      <w:r w:rsidR="00856F4D" w:rsidRPr="0018524B">
        <w:rPr>
          <w:rFonts w:ascii="Times New Roman" w:hAnsi="Times New Roman" w:cs="Times New Roman"/>
          <w:sz w:val="24"/>
          <w:szCs w:val="24"/>
        </w:rPr>
        <w:lastRenderedPageBreak/>
        <w:t xml:space="preserve">p.p.p.f.t.) oraz skuteczności prowadzenia analiz dotyczących prania pieniędzy lub finansowania terroryzmu (art. 147 pkt 14 ustawy o p.p.p.f.t.). </w:t>
      </w:r>
    </w:p>
    <w:p w14:paraId="2039EE3A" w14:textId="6C7C7873" w:rsidR="007E3EE7" w:rsidRPr="0018524B" w:rsidRDefault="007E3EE7" w:rsidP="007E3EE7">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Nowelizacja </w:t>
      </w:r>
      <w:r w:rsidRPr="0018524B">
        <w:rPr>
          <w:rFonts w:ascii="Times New Roman" w:hAnsi="Times New Roman" w:cs="Times New Roman"/>
          <w:b/>
          <w:sz w:val="24"/>
          <w:szCs w:val="24"/>
        </w:rPr>
        <w:t xml:space="preserve">art. 152 </w:t>
      </w:r>
      <w:r w:rsidR="00D77A73" w:rsidRPr="0018524B">
        <w:rPr>
          <w:rFonts w:ascii="Times New Roman" w:hAnsi="Times New Roman" w:cs="Times New Roman"/>
          <w:b/>
          <w:sz w:val="24"/>
          <w:szCs w:val="24"/>
        </w:rPr>
        <w:t>ust. 3 pkt 2</w:t>
      </w:r>
      <w:r w:rsidRPr="0018524B">
        <w:rPr>
          <w:rFonts w:ascii="Times New Roman" w:hAnsi="Times New Roman" w:cs="Times New Roman"/>
          <w:b/>
          <w:sz w:val="24"/>
          <w:szCs w:val="24"/>
        </w:rPr>
        <w:t>ustawy o p.p.p.f.t.</w:t>
      </w:r>
      <w:r w:rsidRPr="0018524B">
        <w:rPr>
          <w:rFonts w:ascii="Times New Roman" w:hAnsi="Times New Roman" w:cs="Times New Roman"/>
          <w:sz w:val="24"/>
          <w:szCs w:val="24"/>
        </w:rPr>
        <w:t xml:space="preserve"> ma na celu precyzyjniejszą transpozycję regulacji art. 60 ust. 1 akapit drugi lit. b) dyrektywy 2015/849 i wskazanie wprost, że ograniczenie zakresu publikowanej informacji o nałożonej karze administracyjnej może zostać dokonane zarówno terminowo, jak i</w:t>
      </w:r>
      <w:r w:rsidR="00C6045B">
        <w:rPr>
          <w:rFonts w:ascii="Times New Roman" w:hAnsi="Times New Roman" w:cs="Times New Roman"/>
          <w:sz w:val="24"/>
          <w:szCs w:val="24"/>
        </w:rPr>
        <w:t xml:space="preserve"> </w:t>
      </w:r>
      <w:r w:rsidRPr="0018524B">
        <w:rPr>
          <w:rFonts w:ascii="Times New Roman" w:hAnsi="Times New Roman" w:cs="Times New Roman"/>
          <w:sz w:val="24"/>
          <w:szCs w:val="24"/>
        </w:rPr>
        <w:t xml:space="preserve">bezterminowe i obejmować pozostające w związku z tą publikacją dane osobowe. </w:t>
      </w:r>
      <w:r w:rsidR="00D77A73" w:rsidRPr="0018524B">
        <w:rPr>
          <w:rFonts w:ascii="Times New Roman" w:hAnsi="Times New Roman" w:cs="Times New Roman"/>
          <w:sz w:val="24"/>
          <w:szCs w:val="24"/>
        </w:rPr>
        <w:t xml:space="preserve">Nowelizacja </w:t>
      </w:r>
      <w:r w:rsidR="00D77A73" w:rsidRPr="0018524B">
        <w:rPr>
          <w:rFonts w:ascii="Times New Roman" w:hAnsi="Times New Roman" w:cs="Times New Roman"/>
          <w:b/>
          <w:sz w:val="24"/>
          <w:szCs w:val="24"/>
        </w:rPr>
        <w:t>art. 152 ust. 5 ustawy o p.p.p.f.t.</w:t>
      </w:r>
      <w:r w:rsidR="00D77A73" w:rsidRPr="0018524B">
        <w:rPr>
          <w:rFonts w:ascii="Times New Roman" w:hAnsi="Times New Roman" w:cs="Times New Roman"/>
          <w:sz w:val="24"/>
          <w:szCs w:val="24"/>
        </w:rPr>
        <w:t xml:space="preserve"> ma na celu precyzyjniejszą transpozycję regulacji art. 60 ust. 3 dyrektywy 2015/849, poprzez ujęcie wprost przesłanki umożliwiającej usunięcie informacji o nałożeniu kary administracyjnej ze stron Biuletynu Informacji Publicznej, gdy taka publikacja przestała być niezbędna. Dotychczasowe brzmienie przepisu wskazywało, że informacje zawierające dane osobowe są usuwane z Biuletynu Informacji Publicznej po roku od publikacji, obecne brzmienie umożliwia wcześniejsze usunięcie takich danych. Zauważyć należy, iż przyjęte brzmienie art. 152 ust. 5 ustawy o p.p.p.f.t. jest korzystniejsze dla osób fizycznych, których dane są publikowane w związku z nałożeniem kary administracyjnej. Tym samym znowelizowany przepis, jako względniejszy dla obywateli, powinien mieć zastosowanie również do publikacji figurujących w Biuletynie Informacji Publicznej na dzień wejścia w życie znowelizowanego art. 152 ust. 5 ustawy o p.p.p.f.t. Tym samym od dnia wejścia w życie tego przepisu, </w:t>
      </w:r>
      <w:r w:rsidR="00677AC4" w:rsidRPr="0018524B">
        <w:rPr>
          <w:rFonts w:ascii="Times New Roman" w:hAnsi="Times New Roman" w:cs="Times New Roman"/>
          <w:sz w:val="24"/>
          <w:szCs w:val="24"/>
        </w:rPr>
        <w:t xml:space="preserve">organy nakładające kary administracyjne zyskają możliwość usuwania publikacji zawierających dane osobowe z Biuletynu Informacji Publicznej, również przed okresem roku od publikacji. Tym samym nie jest zasadne </w:t>
      </w:r>
      <w:r w:rsidR="00475E11" w:rsidRPr="0018524B">
        <w:rPr>
          <w:rFonts w:ascii="Times New Roman" w:hAnsi="Times New Roman" w:cs="Times New Roman"/>
          <w:sz w:val="24"/>
          <w:szCs w:val="24"/>
        </w:rPr>
        <w:t>wprowadzanie</w:t>
      </w:r>
      <w:r w:rsidR="00C6045B">
        <w:rPr>
          <w:rFonts w:ascii="Times New Roman" w:hAnsi="Times New Roman" w:cs="Times New Roman"/>
          <w:sz w:val="24"/>
          <w:szCs w:val="24"/>
        </w:rPr>
        <w:t xml:space="preserve"> </w:t>
      </w:r>
      <w:r w:rsidR="00677AC4" w:rsidRPr="0018524B">
        <w:rPr>
          <w:rFonts w:ascii="Times New Roman" w:hAnsi="Times New Roman" w:cs="Times New Roman"/>
          <w:sz w:val="24"/>
          <w:szCs w:val="24"/>
        </w:rPr>
        <w:t>przepisu przejściowego regulującego odmienne stosowanie art. 152 ust. 5 w odniesieniu do publikacji figurujących w Biuletynie Informacji Publicznej na dzień wejścia w życie ustawy nowelizującej.</w:t>
      </w:r>
    </w:p>
    <w:p w14:paraId="273F1704" w14:textId="7196B616" w:rsidR="00B76BE9" w:rsidRPr="0018524B" w:rsidRDefault="00C34D49"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W </w:t>
      </w:r>
      <w:r w:rsidRPr="0018524B">
        <w:rPr>
          <w:rFonts w:ascii="Times New Roman" w:hAnsi="Times New Roman" w:cs="Times New Roman"/>
          <w:b/>
          <w:sz w:val="24"/>
          <w:szCs w:val="24"/>
        </w:rPr>
        <w:t xml:space="preserve">art. 153 </w:t>
      </w:r>
      <w:r w:rsidR="00677AC4" w:rsidRPr="0018524B">
        <w:rPr>
          <w:rFonts w:ascii="Times New Roman" w:hAnsi="Times New Roman" w:cs="Times New Roman"/>
          <w:b/>
          <w:sz w:val="24"/>
          <w:szCs w:val="24"/>
        </w:rPr>
        <w:t xml:space="preserve">ust. 1 </w:t>
      </w:r>
      <w:r w:rsidRPr="0018524B">
        <w:rPr>
          <w:rFonts w:ascii="Times New Roman" w:hAnsi="Times New Roman" w:cs="Times New Roman"/>
          <w:b/>
          <w:sz w:val="24"/>
          <w:szCs w:val="24"/>
        </w:rPr>
        <w:t>ustawy o p.p.p.f.t.</w:t>
      </w:r>
      <w:r w:rsidRPr="0018524B">
        <w:rPr>
          <w:rFonts w:ascii="Times New Roman" w:hAnsi="Times New Roman" w:cs="Times New Roman"/>
          <w:sz w:val="24"/>
          <w:szCs w:val="24"/>
        </w:rPr>
        <w:t xml:space="preserve"> przewidziana została sankcja dla podmiotów wymienionych w </w:t>
      </w:r>
      <w:r w:rsidR="003047E5" w:rsidRPr="0018524B">
        <w:rPr>
          <w:rFonts w:ascii="Times New Roman" w:hAnsi="Times New Roman" w:cs="Times New Roman"/>
          <w:sz w:val="24"/>
          <w:szCs w:val="24"/>
        </w:rPr>
        <w:t>art. 58 pkt 1–5 i 7</w:t>
      </w:r>
      <w:r w:rsidR="00C6045B">
        <w:rPr>
          <w:rFonts w:ascii="Times New Roman" w:hAnsi="Times New Roman" w:cs="Times New Roman"/>
          <w:sz w:val="24"/>
          <w:szCs w:val="24"/>
        </w:rPr>
        <w:t>–</w:t>
      </w:r>
      <w:r w:rsidR="003047E5" w:rsidRPr="0018524B">
        <w:rPr>
          <w:rFonts w:ascii="Times New Roman" w:hAnsi="Times New Roman" w:cs="Times New Roman"/>
          <w:sz w:val="24"/>
          <w:szCs w:val="24"/>
        </w:rPr>
        <w:t>13</w:t>
      </w:r>
      <w:r w:rsidR="00C6045B">
        <w:rPr>
          <w:rFonts w:ascii="Times New Roman" w:hAnsi="Times New Roman" w:cs="Times New Roman"/>
          <w:sz w:val="24"/>
          <w:szCs w:val="24"/>
        </w:rPr>
        <w:t xml:space="preserve"> </w:t>
      </w:r>
      <w:r w:rsidR="003047E5" w:rsidRPr="0018524B">
        <w:rPr>
          <w:rFonts w:ascii="Times New Roman" w:hAnsi="Times New Roman" w:cs="Times New Roman"/>
          <w:sz w:val="24"/>
          <w:szCs w:val="24"/>
        </w:rPr>
        <w:t xml:space="preserve">ustawy o p.p.p.f.t. oraz osób, o których mowa w art. 58 pkt 6 ustawy o p.p.p.f.t, </w:t>
      </w:r>
      <w:r w:rsidRPr="0018524B">
        <w:rPr>
          <w:rFonts w:ascii="Times New Roman" w:hAnsi="Times New Roman" w:cs="Times New Roman"/>
          <w:sz w:val="24"/>
          <w:szCs w:val="24"/>
        </w:rPr>
        <w:t xml:space="preserve">które nie dopełniły obowiązku zgłoszenia informacji do </w:t>
      </w:r>
      <w:r w:rsidR="007E3EE7" w:rsidRPr="0018524B">
        <w:rPr>
          <w:rFonts w:ascii="Times New Roman" w:hAnsi="Times New Roman" w:cs="Times New Roman"/>
          <w:sz w:val="24"/>
          <w:szCs w:val="24"/>
        </w:rPr>
        <w:t>Centralnego Rejestru Beneficjentów Rzeczywistych.</w:t>
      </w:r>
      <w:r w:rsidRPr="0018524B">
        <w:rPr>
          <w:rFonts w:ascii="Times New Roman" w:hAnsi="Times New Roman" w:cs="Times New Roman"/>
          <w:sz w:val="24"/>
          <w:szCs w:val="24"/>
        </w:rPr>
        <w:t xml:space="preserve"> </w:t>
      </w:r>
      <w:r w:rsidR="00260970" w:rsidRPr="0018524B">
        <w:rPr>
          <w:rFonts w:ascii="Times New Roman" w:hAnsi="Times New Roman" w:cs="Times New Roman"/>
          <w:sz w:val="24"/>
          <w:szCs w:val="24"/>
        </w:rPr>
        <w:t xml:space="preserve">Sankcja nakładana ma być za niedopełnienie obowiązku zgłoszenia danych, jak również podanie danych niezgodnych ze stanem faktycznym. Tym samym w interesie przytoczonych powyżej podmiotów i osób pozostaje uzyskiwanie aktualnych danych o swoich beneficjentach rzeczywistych, a zaniechanie tego obowiązku, ze względu na niedokonanie wymaganego wpisu w centralnym rejestrze beneficjentów rzeczywistych, wiązać się będzie z nałożeniem sankcji karnej w wysokości do 1 000 000 zł. Przepis ten uzupełnia implementację art. 30 ust. 1 i </w:t>
      </w:r>
      <w:r w:rsidR="00AC744C" w:rsidRPr="0018524B">
        <w:rPr>
          <w:rFonts w:ascii="Times New Roman" w:hAnsi="Times New Roman" w:cs="Times New Roman"/>
          <w:sz w:val="24"/>
          <w:szCs w:val="24"/>
        </w:rPr>
        <w:t xml:space="preserve">art. </w:t>
      </w:r>
      <w:r w:rsidR="00260970" w:rsidRPr="0018524B">
        <w:rPr>
          <w:rFonts w:ascii="Times New Roman" w:hAnsi="Times New Roman" w:cs="Times New Roman"/>
          <w:sz w:val="24"/>
          <w:szCs w:val="24"/>
        </w:rPr>
        <w:t xml:space="preserve">31 ust. 5 o wymaganą sankcję karną. W art. 153 </w:t>
      </w:r>
      <w:r w:rsidR="00850812" w:rsidRPr="0018524B">
        <w:rPr>
          <w:rFonts w:ascii="Times New Roman" w:hAnsi="Times New Roman" w:cs="Times New Roman"/>
          <w:sz w:val="24"/>
          <w:szCs w:val="24"/>
        </w:rPr>
        <w:t xml:space="preserve">ust. 1 </w:t>
      </w:r>
      <w:r w:rsidR="00260970" w:rsidRPr="0018524B">
        <w:rPr>
          <w:rFonts w:ascii="Times New Roman" w:hAnsi="Times New Roman" w:cs="Times New Roman"/>
          <w:sz w:val="24"/>
          <w:szCs w:val="24"/>
        </w:rPr>
        <w:t xml:space="preserve">ustawy o p.p.p.f.t. przewidziana jest sankcja dla podmiotów </w:t>
      </w:r>
      <w:r w:rsidR="00260970" w:rsidRPr="0018524B">
        <w:rPr>
          <w:rFonts w:ascii="Times New Roman" w:hAnsi="Times New Roman" w:cs="Times New Roman"/>
          <w:sz w:val="24"/>
          <w:szCs w:val="24"/>
        </w:rPr>
        <w:lastRenderedPageBreak/>
        <w:t>wymienionych w art. 58 pkt 1–5 i 7</w:t>
      </w:r>
      <w:r w:rsidR="00C6045B">
        <w:rPr>
          <w:rFonts w:ascii="Times New Roman" w:hAnsi="Times New Roman" w:cs="Times New Roman"/>
          <w:sz w:val="24"/>
          <w:szCs w:val="24"/>
        </w:rPr>
        <w:t>–</w:t>
      </w:r>
      <w:r w:rsidR="00260970" w:rsidRPr="0018524B">
        <w:rPr>
          <w:rFonts w:ascii="Times New Roman" w:hAnsi="Times New Roman" w:cs="Times New Roman"/>
          <w:sz w:val="24"/>
          <w:szCs w:val="24"/>
        </w:rPr>
        <w:t>13</w:t>
      </w:r>
      <w:r w:rsidR="00C6045B">
        <w:rPr>
          <w:rFonts w:ascii="Times New Roman" w:hAnsi="Times New Roman" w:cs="Times New Roman"/>
          <w:sz w:val="24"/>
          <w:szCs w:val="24"/>
        </w:rPr>
        <w:t xml:space="preserve"> </w:t>
      </w:r>
      <w:r w:rsidR="00260970" w:rsidRPr="0018524B">
        <w:rPr>
          <w:rFonts w:ascii="Times New Roman" w:hAnsi="Times New Roman" w:cs="Times New Roman"/>
          <w:sz w:val="24"/>
          <w:szCs w:val="24"/>
        </w:rPr>
        <w:t xml:space="preserve">ustawy o p.p.p.f.t. oraz osób, o których mowa w art. 58 pkt 6 ustawy o p.p.p.f.t, za niedopełnienie obowiązku zgłoszenia informacji do centralnego rejestru beneficjentów rzeczywistych. W dotychczasowym brzmieniu, sankcja była przewidziana jedynie dla spółek </w:t>
      </w:r>
      <w:r w:rsidR="00260970" w:rsidRPr="0018524B">
        <w:rPr>
          <w:rFonts w:ascii="Times New Roman" w:hAnsi="Times New Roman" w:cs="Times New Roman"/>
          <w:color w:val="000000" w:themeColor="text1"/>
          <w:sz w:val="24"/>
          <w:szCs w:val="24"/>
        </w:rPr>
        <w:t xml:space="preserve">wymienionych w art. 58 ustawy o p.p.p.f.t., przy czym ze względu na konieczność poszerzenia katalogu podmiotów obowiązanych do zgłaszania informacji w rejestrze o podmioty niebędące spółkami, konieczne stało się zastąpienie słowa „spółki” na „podmioty”. Jednocześnie w art. 153 </w:t>
      </w:r>
      <w:r w:rsidR="00677AC4" w:rsidRPr="0018524B">
        <w:rPr>
          <w:rFonts w:ascii="Times New Roman" w:hAnsi="Times New Roman" w:cs="Times New Roman"/>
          <w:color w:val="000000" w:themeColor="text1"/>
          <w:sz w:val="24"/>
          <w:szCs w:val="24"/>
        </w:rPr>
        <w:t xml:space="preserve">ust. 1 </w:t>
      </w:r>
      <w:r w:rsidR="00260970" w:rsidRPr="0018524B">
        <w:rPr>
          <w:rFonts w:ascii="Times New Roman" w:hAnsi="Times New Roman" w:cs="Times New Roman"/>
          <w:color w:val="000000" w:themeColor="text1"/>
          <w:sz w:val="24"/>
          <w:szCs w:val="24"/>
        </w:rPr>
        <w:t xml:space="preserve">ustawy o p.p.p.f.t. w nowym brzmieniu podkreślono wprost, że sankcji podlega zarówno niedopełnienie obowiązku zgłoszenia informacji </w:t>
      </w:r>
      <w:r w:rsidR="00677AC4" w:rsidRPr="0018524B">
        <w:rPr>
          <w:rFonts w:ascii="Times New Roman" w:hAnsi="Times New Roman" w:cs="Times New Roman"/>
          <w:color w:val="000000" w:themeColor="text1"/>
          <w:sz w:val="24"/>
          <w:szCs w:val="24"/>
        </w:rPr>
        <w:t xml:space="preserve">jak i </w:t>
      </w:r>
      <w:r w:rsidR="00260970" w:rsidRPr="0018524B">
        <w:rPr>
          <w:rFonts w:ascii="Times New Roman" w:hAnsi="Times New Roman" w:cs="Times New Roman"/>
          <w:color w:val="000000" w:themeColor="text1"/>
          <w:sz w:val="24"/>
          <w:szCs w:val="24"/>
        </w:rPr>
        <w:t xml:space="preserve">podanie informacji niezgodnych ze stanem faktycznym. Biorąc pod uwagę wymogi art. 30 ust. 4 i </w:t>
      </w:r>
      <w:r w:rsidR="00AC744C" w:rsidRPr="0018524B">
        <w:rPr>
          <w:rFonts w:ascii="Times New Roman" w:hAnsi="Times New Roman" w:cs="Times New Roman"/>
          <w:color w:val="000000" w:themeColor="text1"/>
          <w:sz w:val="24"/>
          <w:szCs w:val="24"/>
        </w:rPr>
        <w:t xml:space="preserve">art. </w:t>
      </w:r>
      <w:r w:rsidR="00260970" w:rsidRPr="0018524B">
        <w:rPr>
          <w:rFonts w:ascii="Times New Roman" w:hAnsi="Times New Roman" w:cs="Times New Roman"/>
          <w:color w:val="000000" w:themeColor="text1"/>
          <w:sz w:val="24"/>
          <w:szCs w:val="24"/>
        </w:rPr>
        <w:t xml:space="preserve">31 ust. 5 </w:t>
      </w:r>
      <w:r w:rsidR="00832446" w:rsidRPr="0018524B">
        <w:rPr>
          <w:rFonts w:ascii="Times New Roman" w:hAnsi="Times New Roman" w:cs="Times New Roman"/>
          <w:color w:val="000000" w:themeColor="text1"/>
          <w:sz w:val="24"/>
          <w:szCs w:val="24"/>
        </w:rPr>
        <w:t>dyrektyw</w:t>
      </w:r>
      <w:r w:rsidR="00260970" w:rsidRPr="0018524B">
        <w:rPr>
          <w:rFonts w:ascii="Times New Roman" w:hAnsi="Times New Roman" w:cs="Times New Roman"/>
          <w:color w:val="000000" w:themeColor="text1"/>
          <w:sz w:val="24"/>
          <w:szCs w:val="24"/>
        </w:rPr>
        <w:t xml:space="preserve">y w zakresie zapewnienia, by dane w rejestrze były odpowiednie, dokładne i aktualne, a także zasady tworzenia przepisów </w:t>
      </w:r>
      <w:r w:rsidR="00850812" w:rsidRPr="0018524B">
        <w:rPr>
          <w:rFonts w:ascii="Times New Roman" w:hAnsi="Times New Roman" w:cs="Times New Roman"/>
          <w:color w:val="000000" w:themeColor="text1"/>
          <w:sz w:val="24"/>
          <w:szCs w:val="24"/>
        </w:rPr>
        <w:t>o</w:t>
      </w:r>
      <w:r w:rsidR="00260970" w:rsidRPr="0018524B">
        <w:rPr>
          <w:rFonts w:ascii="Times New Roman" w:hAnsi="Times New Roman" w:cs="Times New Roman"/>
          <w:color w:val="000000" w:themeColor="text1"/>
          <w:sz w:val="24"/>
          <w:szCs w:val="24"/>
        </w:rPr>
        <w:t xml:space="preserve"> charakterze sankcyjnym, nakazujące </w:t>
      </w:r>
      <w:r w:rsidR="00260970" w:rsidRPr="0018524B">
        <w:rPr>
          <w:rFonts w:ascii="Times New Roman" w:hAnsi="Times New Roman" w:cs="Times New Roman"/>
          <w:sz w:val="24"/>
          <w:szCs w:val="24"/>
        </w:rPr>
        <w:t>stosowanie maksymalnie precyzyjnych określeń, konieczne stało się wprowadzenie zmiany do art. 153</w:t>
      </w:r>
      <w:r w:rsidR="00677AC4" w:rsidRPr="0018524B">
        <w:rPr>
          <w:rFonts w:ascii="Times New Roman" w:hAnsi="Times New Roman" w:cs="Times New Roman"/>
          <w:sz w:val="24"/>
          <w:szCs w:val="24"/>
        </w:rPr>
        <w:t xml:space="preserve"> ust. 1</w:t>
      </w:r>
      <w:r w:rsidR="00260970" w:rsidRPr="0018524B">
        <w:rPr>
          <w:rFonts w:ascii="Times New Roman" w:hAnsi="Times New Roman" w:cs="Times New Roman"/>
          <w:sz w:val="24"/>
          <w:szCs w:val="24"/>
        </w:rPr>
        <w:t xml:space="preserve"> ustawy o p.p.p.f.t. poprzez dodanie możliwości nałożenia kary za podanie do centralnego rejestru beneficjentów rzeczywistych danych niezgodnych ze stanem faktycznym. </w:t>
      </w:r>
      <w:r w:rsidR="00677AC4" w:rsidRPr="0018524B">
        <w:rPr>
          <w:rFonts w:ascii="Times New Roman" w:hAnsi="Times New Roman" w:cs="Times New Roman"/>
          <w:sz w:val="24"/>
          <w:szCs w:val="24"/>
        </w:rPr>
        <w:t>Jako uzupełnienie regulacji zapewniającej prawidłowość wpisów w centralnym rejestrze beneficjentów rzeczywistych do art. 153 ustawy o p.p.p.f.t. dodano ust. 3, przewidujący sankcję dla beneficjentów rzeczywistych, którzy nie dopełniają obowiązku poinformowania kontrolowanego przez siebie podmiotu o wystąpieniu okoliczności skutkujących uznaniem ich za beneficjentów rzeczywistych, który to obowiązek został wyartykułowany w art. 60a ustawy</w:t>
      </w:r>
      <w:r w:rsidRPr="0018524B">
        <w:rPr>
          <w:rFonts w:ascii="Times New Roman" w:hAnsi="Times New Roman" w:cs="Times New Roman"/>
          <w:sz w:val="24"/>
          <w:szCs w:val="24"/>
        </w:rPr>
        <w:t xml:space="preserve"> </w:t>
      </w:r>
      <w:r w:rsidR="00677AC4" w:rsidRPr="0018524B">
        <w:rPr>
          <w:rFonts w:ascii="Times New Roman" w:hAnsi="Times New Roman" w:cs="Times New Roman"/>
          <w:sz w:val="24"/>
          <w:szCs w:val="24"/>
        </w:rPr>
        <w:t xml:space="preserve">o p.p.p.f.t. Zauważyć należy, iż </w:t>
      </w:r>
      <w:r w:rsidR="00AD1040" w:rsidRPr="0018524B">
        <w:rPr>
          <w:rFonts w:ascii="Times New Roman" w:hAnsi="Times New Roman" w:cs="Times New Roman"/>
          <w:sz w:val="24"/>
          <w:szCs w:val="24"/>
        </w:rPr>
        <w:t>art. 30 ust. 1 akapit trzeci dyrektywy 2015/849 nakłada na państwa członkowskie obowiązek wymagania od beneficjentów rzeczywistych, by dostarczali podmiotom</w:t>
      </w:r>
      <w:r w:rsidR="000601B0" w:rsidRPr="0018524B">
        <w:rPr>
          <w:rFonts w:ascii="Times New Roman" w:hAnsi="Times New Roman" w:cs="Times New Roman"/>
          <w:sz w:val="24"/>
          <w:szCs w:val="24"/>
        </w:rPr>
        <w:t>,</w:t>
      </w:r>
      <w:r w:rsidR="00AD1040" w:rsidRPr="0018524B">
        <w:rPr>
          <w:rFonts w:ascii="Times New Roman" w:hAnsi="Times New Roman" w:cs="Times New Roman"/>
          <w:sz w:val="24"/>
          <w:szCs w:val="24"/>
        </w:rPr>
        <w:t xml:space="preserve"> których są beneficjentami wszelkie niezbędne informacje dotyczące ich statusu. Zgodnie z art. 30 ust. 1 akapit pierwszy dyrektywy 2015/849 w brzmieniu nadanym przez dyrektywę 2018/843, naruszenie tego artykułu musi podlegać odpowiednim sankcjom. Tym samym niezbędne dla zapewnienia prawidłowej implementacji dyrektywy 2018/843 jest wprowadzenie przepisu nakładającego sankcje na beneficjentów rzeczywistych, którzy nie dopełniają obowiązków informacyjnych, czego skutkiem jest utrzymywanie nieprawidłowych wpisów w centralnym rejestrze beneficjentów rzeczywistych. Art. 153 ust. 3 ustawy o p.p.p.f.t. stanowi przepis</w:t>
      </w:r>
      <w:r w:rsidR="000601B0" w:rsidRPr="0018524B">
        <w:rPr>
          <w:rFonts w:ascii="Times New Roman" w:hAnsi="Times New Roman" w:cs="Times New Roman"/>
          <w:sz w:val="24"/>
          <w:szCs w:val="24"/>
        </w:rPr>
        <w:t>,</w:t>
      </w:r>
      <w:r w:rsidR="00AD1040" w:rsidRPr="0018524B">
        <w:rPr>
          <w:rFonts w:ascii="Times New Roman" w:hAnsi="Times New Roman" w:cs="Times New Roman"/>
          <w:sz w:val="24"/>
          <w:szCs w:val="24"/>
        </w:rPr>
        <w:t xml:space="preserve"> który poprzez przyjętą karę pieniężną gwarantuje respektowanie obowiązków informacyjnych przez beneficjentów rzeczywistych podmiotów obowiązanych do dokonania zgłoszeń do centralnego rejestru beneficjentów rzeczywistych. Jednocześnie przyjęta konstrukcja art. 153 ust. 3 gwarantuje, iż sankcje nie będą nakładane w przypadku formalnego niedopełnienia obowiązków informacyjnych, które jednak nie miało negatywnego przełożenia na prawidłowość zgłoszeń do centralnego rejestru beneficjentów rzeczywistych.</w:t>
      </w:r>
    </w:p>
    <w:p w14:paraId="7854707D" w14:textId="55913BF2" w:rsidR="00F862B8" w:rsidRPr="0018524B" w:rsidRDefault="00F862B8" w:rsidP="00F862B8">
      <w:pPr>
        <w:spacing w:line="400" w:lineRule="atLeast"/>
        <w:jc w:val="both"/>
        <w:rPr>
          <w:rFonts w:ascii="Times New Roman" w:hAnsi="Times New Roman" w:cs="Times New Roman"/>
          <w:sz w:val="24"/>
          <w:szCs w:val="24"/>
        </w:rPr>
      </w:pPr>
      <w:r w:rsidRPr="0018524B">
        <w:rPr>
          <w:rFonts w:ascii="Times New Roman" w:hAnsi="Times New Roman" w:cs="Times New Roman"/>
          <w:b/>
          <w:sz w:val="24"/>
          <w:szCs w:val="24"/>
        </w:rPr>
        <w:lastRenderedPageBreak/>
        <w:t xml:space="preserve">Art. 153a </w:t>
      </w:r>
      <w:r w:rsidR="00B74828" w:rsidRPr="0018524B">
        <w:rPr>
          <w:rFonts w:ascii="Times New Roman" w:hAnsi="Times New Roman" w:cs="Times New Roman"/>
          <w:b/>
          <w:sz w:val="24"/>
          <w:szCs w:val="24"/>
        </w:rPr>
        <w:t xml:space="preserve">i art. 153b </w:t>
      </w:r>
      <w:r w:rsidRPr="0018524B">
        <w:rPr>
          <w:rFonts w:ascii="Times New Roman" w:hAnsi="Times New Roman" w:cs="Times New Roman"/>
          <w:b/>
          <w:sz w:val="24"/>
          <w:szCs w:val="24"/>
        </w:rPr>
        <w:t>ustawy o p.p.p.f.t</w:t>
      </w:r>
      <w:r w:rsidRPr="0018524B">
        <w:rPr>
          <w:rFonts w:ascii="Times New Roman" w:hAnsi="Times New Roman" w:cs="Times New Roman"/>
          <w:sz w:val="24"/>
          <w:szCs w:val="24"/>
        </w:rPr>
        <w:t>. uzupełnia</w:t>
      </w:r>
      <w:r w:rsidR="00B74828" w:rsidRPr="0018524B">
        <w:rPr>
          <w:rFonts w:ascii="Times New Roman" w:hAnsi="Times New Roman" w:cs="Times New Roman"/>
          <w:sz w:val="24"/>
          <w:szCs w:val="24"/>
        </w:rPr>
        <w:t>ją</w:t>
      </w:r>
      <w:r w:rsidRPr="0018524B">
        <w:rPr>
          <w:rFonts w:ascii="Times New Roman" w:hAnsi="Times New Roman" w:cs="Times New Roman"/>
          <w:sz w:val="24"/>
          <w:szCs w:val="24"/>
        </w:rPr>
        <w:t xml:space="preserve"> wdrożenie art. 47 ust. 1 dyrektywy 2018/843, dopuszczając możliwość nałożenia kary pieniężnej na podmioty prowadzące działalność na rzecz spółek lub trustów oraz na podmioty prowadzące działalność w zakresie walut wirtualnych w przypadku </w:t>
      </w:r>
      <w:r w:rsidR="002F5F7A" w:rsidRPr="0018524B">
        <w:rPr>
          <w:rFonts w:ascii="Times New Roman" w:hAnsi="Times New Roman" w:cs="Times New Roman"/>
          <w:sz w:val="24"/>
          <w:szCs w:val="24"/>
        </w:rPr>
        <w:t>wykonywania takiej działalności bez</w:t>
      </w:r>
      <w:r w:rsidRPr="0018524B">
        <w:rPr>
          <w:rFonts w:ascii="Times New Roman" w:hAnsi="Times New Roman" w:cs="Times New Roman"/>
          <w:sz w:val="24"/>
          <w:szCs w:val="24"/>
        </w:rPr>
        <w:t xml:space="preserve"> uzyskania wpisu do właściwego rejestru działalności regulowanej. Przepis</w:t>
      </w:r>
      <w:r w:rsidR="002F5F7A" w:rsidRPr="0018524B">
        <w:rPr>
          <w:rFonts w:ascii="Times New Roman" w:hAnsi="Times New Roman" w:cs="Times New Roman"/>
          <w:sz w:val="24"/>
          <w:szCs w:val="24"/>
        </w:rPr>
        <w:t>y</w:t>
      </w:r>
      <w:r w:rsidRPr="0018524B">
        <w:rPr>
          <w:rFonts w:ascii="Times New Roman" w:hAnsi="Times New Roman" w:cs="Times New Roman"/>
          <w:sz w:val="24"/>
          <w:szCs w:val="24"/>
        </w:rPr>
        <w:t xml:space="preserve"> te ma</w:t>
      </w:r>
      <w:r w:rsidR="002F5F7A" w:rsidRPr="0018524B">
        <w:rPr>
          <w:rFonts w:ascii="Times New Roman" w:hAnsi="Times New Roman" w:cs="Times New Roman"/>
          <w:sz w:val="24"/>
          <w:szCs w:val="24"/>
        </w:rPr>
        <w:t>ją</w:t>
      </w:r>
      <w:r w:rsidRPr="0018524B">
        <w:rPr>
          <w:rFonts w:ascii="Times New Roman" w:hAnsi="Times New Roman" w:cs="Times New Roman"/>
          <w:sz w:val="24"/>
          <w:szCs w:val="24"/>
        </w:rPr>
        <w:t xml:space="preserve"> charakter gwarancyjny, a </w:t>
      </w:r>
      <w:r w:rsidR="002F5F7A" w:rsidRPr="0018524B">
        <w:rPr>
          <w:rFonts w:ascii="Times New Roman" w:hAnsi="Times New Roman" w:cs="Times New Roman"/>
          <w:sz w:val="24"/>
          <w:szCs w:val="24"/>
        </w:rPr>
        <w:t xml:space="preserve">ich </w:t>
      </w:r>
      <w:r w:rsidRPr="0018524B">
        <w:rPr>
          <w:rFonts w:ascii="Times New Roman" w:hAnsi="Times New Roman" w:cs="Times New Roman"/>
          <w:sz w:val="24"/>
          <w:szCs w:val="24"/>
        </w:rPr>
        <w:t>funkcja sprowadza się do zapewnienia wykonywania ww. działalności gospodarczej</w:t>
      </w:r>
      <w:r w:rsidR="00733C2F" w:rsidRPr="0018524B">
        <w:rPr>
          <w:rFonts w:ascii="Times New Roman" w:hAnsi="Times New Roman" w:cs="Times New Roman"/>
          <w:sz w:val="24"/>
          <w:szCs w:val="24"/>
        </w:rPr>
        <w:t xml:space="preserve"> jedynie przez podmioty wpisane do właściwego rejestru</w:t>
      </w:r>
      <w:r w:rsidRPr="0018524B">
        <w:rPr>
          <w:rFonts w:ascii="Times New Roman" w:hAnsi="Times New Roman" w:cs="Times New Roman"/>
          <w:sz w:val="24"/>
          <w:szCs w:val="24"/>
        </w:rPr>
        <w:t>.</w:t>
      </w:r>
    </w:p>
    <w:p w14:paraId="3A62C7B3" w14:textId="232FC63B" w:rsidR="009F6274" w:rsidRPr="0018524B" w:rsidRDefault="00B76BE9"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Art. 1 pkt 6 dyrektywy 2018/843 rozszerzył regulację art. 10 ust. 1 4AMLD na anonimowe skrytki sejfowe. Zgodnie z art. </w:t>
      </w:r>
      <w:r w:rsidR="00360048">
        <w:rPr>
          <w:rFonts w:ascii="Times New Roman" w:hAnsi="Times New Roman" w:cs="Times New Roman"/>
          <w:sz w:val="24"/>
          <w:szCs w:val="24"/>
        </w:rPr>
        <w:t>20</w:t>
      </w:r>
      <w:r w:rsidR="00850812" w:rsidRPr="0018524B">
        <w:rPr>
          <w:rFonts w:ascii="Times New Roman" w:hAnsi="Times New Roman" w:cs="Times New Roman"/>
          <w:sz w:val="24"/>
          <w:szCs w:val="24"/>
        </w:rPr>
        <w:t xml:space="preserve"> ustawy </w:t>
      </w:r>
      <w:r w:rsidRPr="0018524B">
        <w:rPr>
          <w:rFonts w:ascii="Times New Roman" w:hAnsi="Times New Roman" w:cs="Times New Roman"/>
          <w:sz w:val="24"/>
          <w:szCs w:val="24"/>
        </w:rPr>
        <w:t xml:space="preserve">umowy o prowadzenie anonimowych skrytek sejfowych wygasną z mocy prawa po upływie </w:t>
      </w:r>
      <w:r w:rsidR="00360048">
        <w:rPr>
          <w:rFonts w:ascii="Times New Roman" w:hAnsi="Times New Roman" w:cs="Times New Roman"/>
          <w:sz w:val="24"/>
          <w:szCs w:val="24"/>
        </w:rPr>
        <w:t>9</w:t>
      </w:r>
      <w:r w:rsidRPr="0018524B">
        <w:rPr>
          <w:rFonts w:ascii="Times New Roman" w:hAnsi="Times New Roman" w:cs="Times New Roman"/>
          <w:sz w:val="24"/>
          <w:szCs w:val="24"/>
        </w:rPr>
        <w:t xml:space="preserve"> miesięcy</w:t>
      </w:r>
      <w:r w:rsidR="0049494E" w:rsidRPr="0018524B">
        <w:rPr>
          <w:rFonts w:ascii="Times New Roman" w:hAnsi="Times New Roman" w:cs="Times New Roman"/>
          <w:sz w:val="24"/>
          <w:szCs w:val="24"/>
        </w:rPr>
        <w:t xml:space="preserve"> od dnia wejścia w życie ustawy. P</w:t>
      </w:r>
      <w:r w:rsidRPr="0018524B">
        <w:rPr>
          <w:rFonts w:ascii="Times New Roman" w:hAnsi="Times New Roman" w:cs="Times New Roman"/>
          <w:sz w:val="24"/>
          <w:szCs w:val="24"/>
        </w:rPr>
        <w:t>onadto skorzystanie</w:t>
      </w:r>
      <w:r w:rsidR="0049494E" w:rsidRPr="0018524B">
        <w:rPr>
          <w:rFonts w:ascii="Times New Roman" w:hAnsi="Times New Roman" w:cs="Times New Roman"/>
          <w:sz w:val="24"/>
          <w:szCs w:val="24"/>
        </w:rPr>
        <w:t xml:space="preserve"> z anonimowej skrytki sejfowej, zarówno w okresie obwiązywania umowy o jej prowadzenie, jak i już po jej wygaśnięciu</w:t>
      </w:r>
      <w:r w:rsidRPr="0018524B">
        <w:rPr>
          <w:rFonts w:ascii="Times New Roman" w:hAnsi="Times New Roman" w:cs="Times New Roman"/>
          <w:sz w:val="24"/>
          <w:szCs w:val="24"/>
        </w:rPr>
        <w:t xml:space="preserve"> </w:t>
      </w:r>
      <w:r w:rsidR="0049494E" w:rsidRPr="0018524B">
        <w:rPr>
          <w:rFonts w:ascii="Times New Roman" w:hAnsi="Times New Roman" w:cs="Times New Roman"/>
          <w:sz w:val="24"/>
          <w:szCs w:val="24"/>
        </w:rPr>
        <w:t xml:space="preserve">uzależnione zostało od </w:t>
      </w:r>
      <w:r w:rsidRPr="0018524B">
        <w:rPr>
          <w:rFonts w:ascii="Times New Roman" w:hAnsi="Times New Roman" w:cs="Times New Roman"/>
          <w:sz w:val="24"/>
          <w:szCs w:val="24"/>
        </w:rPr>
        <w:t xml:space="preserve">zastosowania </w:t>
      </w:r>
      <w:r w:rsidR="0049494E" w:rsidRPr="0018524B">
        <w:rPr>
          <w:rFonts w:ascii="Times New Roman" w:hAnsi="Times New Roman" w:cs="Times New Roman"/>
          <w:sz w:val="24"/>
          <w:szCs w:val="24"/>
        </w:rPr>
        <w:t>wobec posiadacza takiej skrytk</w:t>
      </w:r>
      <w:r w:rsidR="00850812" w:rsidRPr="0018524B">
        <w:rPr>
          <w:rFonts w:ascii="Times New Roman" w:hAnsi="Times New Roman" w:cs="Times New Roman"/>
          <w:sz w:val="24"/>
          <w:szCs w:val="24"/>
        </w:rPr>
        <w:t>i</w:t>
      </w:r>
      <w:r w:rsidR="0049494E" w:rsidRPr="0018524B">
        <w:rPr>
          <w:rFonts w:ascii="Times New Roman" w:hAnsi="Times New Roman" w:cs="Times New Roman"/>
          <w:sz w:val="24"/>
          <w:szCs w:val="24"/>
        </w:rPr>
        <w:t xml:space="preserve"> sejfow</w:t>
      </w:r>
      <w:r w:rsidR="00850812" w:rsidRPr="0018524B">
        <w:rPr>
          <w:rFonts w:ascii="Times New Roman" w:hAnsi="Times New Roman" w:cs="Times New Roman"/>
          <w:sz w:val="24"/>
          <w:szCs w:val="24"/>
        </w:rPr>
        <w:t>ej</w:t>
      </w:r>
      <w:r w:rsidR="0049494E" w:rsidRPr="0018524B">
        <w:rPr>
          <w:rFonts w:ascii="Times New Roman" w:hAnsi="Times New Roman" w:cs="Times New Roman"/>
          <w:sz w:val="24"/>
          <w:szCs w:val="24"/>
        </w:rPr>
        <w:t xml:space="preserve"> </w:t>
      </w:r>
      <w:r w:rsidRPr="0018524B">
        <w:rPr>
          <w:rFonts w:ascii="Times New Roman" w:hAnsi="Times New Roman" w:cs="Times New Roman"/>
          <w:sz w:val="24"/>
          <w:szCs w:val="24"/>
        </w:rPr>
        <w:t>śro</w:t>
      </w:r>
      <w:r w:rsidR="0049494E" w:rsidRPr="0018524B">
        <w:rPr>
          <w:rFonts w:ascii="Times New Roman" w:hAnsi="Times New Roman" w:cs="Times New Roman"/>
          <w:sz w:val="24"/>
          <w:szCs w:val="24"/>
        </w:rPr>
        <w:t>dków bezpieczeństwa finansowego.</w:t>
      </w:r>
    </w:p>
    <w:p w14:paraId="2EFBB127" w14:textId="236AF5D4" w:rsidR="00AA4BE0" w:rsidRPr="0018524B" w:rsidRDefault="00ED2506" w:rsidP="00291E13">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W </w:t>
      </w:r>
      <w:r w:rsidRPr="0018524B">
        <w:rPr>
          <w:rFonts w:ascii="Times New Roman" w:hAnsi="Times New Roman" w:cs="Times New Roman"/>
          <w:b/>
          <w:sz w:val="24"/>
          <w:szCs w:val="24"/>
        </w:rPr>
        <w:t>art. 2</w:t>
      </w:r>
      <w:r w:rsidRPr="0018524B">
        <w:rPr>
          <w:rFonts w:ascii="Times New Roman" w:hAnsi="Times New Roman" w:cs="Times New Roman"/>
          <w:sz w:val="24"/>
          <w:szCs w:val="24"/>
        </w:rPr>
        <w:t xml:space="preserve"> projektu ustawy wprowadza się zmiany w ustawie z dnia 21 sierpnia 1997 r</w:t>
      </w:r>
      <w:r w:rsidR="002A2785" w:rsidRPr="0018524B">
        <w:rPr>
          <w:rFonts w:ascii="Times New Roman" w:hAnsi="Times New Roman" w:cs="Times New Roman"/>
          <w:sz w:val="24"/>
          <w:szCs w:val="24"/>
        </w:rPr>
        <w:t>.</w:t>
      </w:r>
      <w:r w:rsidRPr="0018524B">
        <w:rPr>
          <w:rFonts w:ascii="Times New Roman" w:hAnsi="Times New Roman" w:cs="Times New Roman"/>
          <w:sz w:val="24"/>
          <w:szCs w:val="24"/>
        </w:rPr>
        <w:t xml:space="preserve"> </w:t>
      </w:r>
      <w:r w:rsidRPr="0018524B">
        <w:rPr>
          <w:rFonts w:ascii="Times New Roman" w:hAnsi="Times New Roman" w:cs="Times New Roman"/>
          <w:i/>
          <w:sz w:val="24"/>
          <w:szCs w:val="24"/>
        </w:rPr>
        <w:t>o gospodarce nieruchomościami</w:t>
      </w:r>
      <w:r w:rsidRPr="0018524B">
        <w:rPr>
          <w:rFonts w:ascii="Times New Roman" w:hAnsi="Times New Roman" w:cs="Times New Roman"/>
          <w:sz w:val="24"/>
          <w:szCs w:val="24"/>
        </w:rPr>
        <w:t>. Projektowane przepisy implementują do krajowego porządku prawnego wymogi wynikające z art. 47 ust. 3 dyrektywy 2015/849 w odniesieniu do pośredników w obrocie nieruchomościami (art. 2 ust. 1 pkt 18 ustawy o p.p.p.f.t).</w:t>
      </w:r>
      <w:r w:rsidR="00094B68" w:rsidRPr="0018524B">
        <w:rPr>
          <w:rFonts w:ascii="Times New Roman" w:hAnsi="Times New Roman" w:cs="Times New Roman"/>
          <w:sz w:val="24"/>
          <w:szCs w:val="24"/>
        </w:rPr>
        <w:t xml:space="preserve"> </w:t>
      </w:r>
      <w:r w:rsidR="0080749A">
        <w:rPr>
          <w:rFonts w:ascii="Times New Roman" w:hAnsi="Times New Roman" w:cs="Times New Roman"/>
          <w:sz w:val="24"/>
          <w:szCs w:val="24"/>
        </w:rPr>
        <w:t>Przepisy dyrektywy 2015/849, w odróżnieniu np. od działalności kantorowej, nie wymagają, aby prowadzenie działalności pośrednictwa w obrocie nieruchomościami objęte było jakąś formą reglamentacji. Na państwa członkowskie nałożony został wyłącznie obowiązek podejmowania niezbędnych środków w celu zapobiegania sytuacjom, w którym</w:t>
      </w:r>
      <w:r w:rsidR="0080749A" w:rsidRPr="00401EF2">
        <w:t xml:space="preserve"> </w:t>
      </w:r>
      <w:r w:rsidR="0080749A" w:rsidRPr="00401EF2">
        <w:rPr>
          <w:rFonts w:ascii="Times New Roman" w:hAnsi="Times New Roman" w:cs="Times New Roman"/>
          <w:sz w:val="24"/>
          <w:szCs w:val="24"/>
        </w:rPr>
        <w:t xml:space="preserve">osoby karane za przestępstwa istotne w </w:t>
      </w:r>
      <w:r w:rsidR="0080749A">
        <w:rPr>
          <w:rFonts w:ascii="Times New Roman" w:hAnsi="Times New Roman" w:cs="Times New Roman"/>
          <w:sz w:val="24"/>
          <w:szCs w:val="24"/>
        </w:rPr>
        <w:t>kontekście celów dyrektywy 2015/849</w:t>
      </w:r>
      <w:r w:rsidR="00860EBE">
        <w:rPr>
          <w:rFonts w:ascii="Times New Roman" w:hAnsi="Times New Roman" w:cs="Times New Roman"/>
          <w:sz w:val="24"/>
          <w:szCs w:val="24"/>
        </w:rPr>
        <w:t xml:space="preserve"> </w:t>
      </w:r>
      <w:r w:rsidR="0080749A">
        <w:rPr>
          <w:rFonts w:ascii="Times New Roman" w:hAnsi="Times New Roman" w:cs="Times New Roman"/>
          <w:sz w:val="24"/>
          <w:szCs w:val="24"/>
        </w:rPr>
        <w:t>mogły być</w:t>
      </w:r>
      <w:r w:rsidR="0080749A" w:rsidRPr="00401EF2">
        <w:rPr>
          <w:rFonts w:ascii="Times New Roman" w:hAnsi="Times New Roman" w:cs="Times New Roman"/>
          <w:sz w:val="24"/>
          <w:szCs w:val="24"/>
        </w:rPr>
        <w:t xml:space="preserve"> </w:t>
      </w:r>
      <w:r w:rsidR="0080749A">
        <w:rPr>
          <w:rFonts w:ascii="Times New Roman" w:hAnsi="Times New Roman" w:cs="Times New Roman"/>
          <w:sz w:val="24"/>
          <w:szCs w:val="24"/>
        </w:rPr>
        <w:t>wspólnikami</w:t>
      </w:r>
      <w:r w:rsidR="0080749A" w:rsidRPr="00401EF2">
        <w:rPr>
          <w:rFonts w:ascii="Times New Roman" w:hAnsi="Times New Roman" w:cs="Times New Roman"/>
          <w:sz w:val="24"/>
          <w:szCs w:val="24"/>
        </w:rPr>
        <w:t xml:space="preserve"> zajmują</w:t>
      </w:r>
      <w:r w:rsidR="0080749A">
        <w:rPr>
          <w:rFonts w:ascii="Times New Roman" w:hAnsi="Times New Roman" w:cs="Times New Roman"/>
          <w:sz w:val="24"/>
          <w:szCs w:val="24"/>
        </w:rPr>
        <w:t>cymi</w:t>
      </w:r>
      <w:r w:rsidR="0080749A" w:rsidRPr="00401EF2">
        <w:rPr>
          <w:rFonts w:ascii="Times New Roman" w:hAnsi="Times New Roman" w:cs="Times New Roman"/>
          <w:sz w:val="24"/>
          <w:szCs w:val="24"/>
        </w:rPr>
        <w:t xml:space="preserve"> st</w:t>
      </w:r>
      <w:r w:rsidR="0080749A">
        <w:rPr>
          <w:rFonts w:ascii="Times New Roman" w:hAnsi="Times New Roman" w:cs="Times New Roman"/>
          <w:sz w:val="24"/>
          <w:szCs w:val="24"/>
        </w:rPr>
        <w:t>anowiska kierownicze lub</w:t>
      </w:r>
      <w:r w:rsidR="00C6045B">
        <w:rPr>
          <w:rFonts w:ascii="Times New Roman" w:hAnsi="Times New Roman" w:cs="Times New Roman"/>
          <w:sz w:val="24"/>
          <w:szCs w:val="24"/>
        </w:rPr>
        <w:t xml:space="preserve"> </w:t>
      </w:r>
      <w:r w:rsidR="0080749A" w:rsidRPr="00401EF2">
        <w:rPr>
          <w:rFonts w:ascii="Times New Roman" w:hAnsi="Times New Roman" w:cs="Times New Roman"/>
          <w:sz w:val="24"/>
          <w:szCs w:val="24"/>
        </w:rPr>
        <w:t>beneficjentami rzeczywistymi</w:t>
      </w:r>
      <w:r w:rsidR="0080749A">
        <w:rPr>
          <w:rFonts w:ascii="Times New Roman" w:hAnsi="Times New Roman" w:cs="Times New Roman"/>
          <w:sz w:val="24"/>
          <w:szCs w:val="24"/>
        </w:rPr>
        <w:t xml:space="preserve"> m.in. podmiotów prowadzących działalność w zakresie pośrednictwa nieruchomości</w:t>
      </w:r>
      <w:r w:rsidR="0080749A" w:rsidRPr="00401EF2">
        <w:rPr>
          <w:rFonts w:ascii="Times New Roman" w:hAnsi="Times New Roman" w:cs="Times New Roman"/>
          <w:sz w:val="24"/>
          <w:szCs w:val="24"/>
        </w:rPr>
        <w:t xml:space="preserve">. </w:t>
      </w:r>
      <w:r w:rsidR="00094B68" w:rsidRPr="0018524B">
        <w:rPr>
          <w:rFonts w:ascii="Times New Roman" w:hAnsi="Times New Roman" w:cs="Times New Roman"/>
          <w:sz w:val="24"/>
          <w:szCs w:val="24"/>
        </w:rPr>
        <w:t>W tym celu do przepisów</w:t>
      </w:r>
      <w:r w:rsidR="00094B68" w:rsidRPr="0018524B">
        <w:t xml:space="preserve"> </w:t>
      </w:r>
      <w:r w:rsidR="00094B68" w:rsidRPr="0018524B">
        <w:rPr>
          <w:rFonts w:ascii="Times New Roman" w:hAnsi="Times New Roman" w:cs="Times New Roman"/>
          <w:sz w:val="24"/>
          <w:szCs w:val="24"/>
        </w:rPr>
        <w:t xml:space="preserve">ustawy z dnia 21 sierpnia 1997 r. </w:t>
      </w:r>
      <w:r w:rsidR="00094B68" w:rsidRPr="0018524B">
        <w:rPr>
          <w:rFonts w:ascii="Times New Roman" w:hAnsi="Times New Roman" w:cs="Times New Roman"/>
          <w:i/>
          <w:sz w:val="24"/>
          <w:szCs w:val="24"/>
        </w:rPr>
        <w:t>o gospodarce nieruchomościami</w:t>
      </w:r>
      <w:r w:rsidR="002A2785" w:rsidRPr="0018524B">
        <w:rPr>
          <w:rFonts w:ascii="Times New Roman" w:hAnsi="Times New Roman" w:cs="Times New Roman"/>
          <w:i/>
          <w:sz w:val="24"/>
          <w:szCs w:val="24"/>
        </w:rPr>
        <w:t xml:space="preserve"> </w:t>
      </w:r>
      <w:r w:rsidR="00094B68" w:rsidRPr="0018524B">
        <w:rPr>
          <w:rFonts w:ascii="Times New Roman" w:hAnsi="Times New Roman" w:cs="Times New Roman"/>
          <w:sz w:val="24"/>
          <w:szCs w:val="24"/>
        </w:rPr>
        <w:t>dodany został przepis</w:t>
      </w:r>
      <w:r w:rsidRPr="0018524B">
        <w:rPr>
          <w:rFonts w:ascii="Times New Roman" w:hAnsi="Times New Roman" w:cs="Times New Roman"/>
          <w:sz w:val="24"/>
          <w:szCs w:val="24"/>
        </w:rPr>
        <w:t xml:space="preserve"> art. </w:t>
      </w:r>
      <w:r w:rsidR="00291E13" w:rsidRPr="0018524B">
        <w:rPr>
          <w:rFonts w:ascii="Times New Roman" w:hAnsi="Times New Roman" w:cs="Times New Roman"/>
          <w:sz w:val="24"/>
          <w:szCs w:val="24"/>
        </w:rPr>
        <w:t>18</w:t>
      </w:r>
      <w:r w:rsidR="00291E13">
        <w:rPr>
          <w:rFonts w:ascii="Times New Roman" w:hAnsi="Times New Roman" w:cs="Times New Roman"/>
          <w:sz w:val="24"/>
          <w:szCs w:val="24"/>
        </w:rPr>
        <w:t>0a</w:t>
      </w:r>
      <w:r w:rsidR="00E05C3E" w:rsidRPr="0018524B">
        <w:rPr>
          <w:rFonts w:ascii="Times New Roman" w:hAnsi="Times New Roman" w:cs="Times New Roman"/>
          <w:sz w:val="24"/>
          <w:szCs w:val="24"/>
        </w:rPr>
        <w:t>,</w:t>
      </w:r>
      <w:r w:rsidRPr="0018524B">
        <w:rPr>
          <w:rFonts w:ascii="Times New Roman" w:hAnsi="Times New Roman" w:cs="Times New Roman"/>
          <w:sz w:val="24"/>
          <w:szCs w:val="24"/>
        </w:rPr>
        <w:t xml:space="preserve"> </w:t>
      </w:r>
      <w:r w:rsidR="00094B68" w:rsidRPr="0018524B">
        <w:rPr>
          <w:rFonts w:ascii="Times New Roman" w:hAnsi="Times New Roman" w:cs="Times New Roman"/>
          <w:sz w:val="24"/>
          <w:szCs w:val="24"/>
        </w:rPr>
        <w:t>ustanawiający wymóg niekaralności za wskazane w tym przepisie czyny zabronione w stosunku do osób</w:t>
      </w:r>
      <w:r w:rsidR="00094B68" w:rsidRPr="0018524B">
        <w:t xml:space="preserve"> </w:t>
      </w:r>
      <w:r w:rsidR="009F0F0D" w:rsidRPr="009F0F0D">
        <w:rPr>
          <w:rFonts w:ascii="Times New Roman" w:hAnsi="Times New Roman" w:cs="Times New Roman"/>
          <w:sz w:val="24"/>
          <w:szCs w:val="24"/>
        </w:rPr>
        <w:t>kierujących wykonywaniem czynności związanych z prowadzeniem działalności</w:t>
      </w:r>
      <w:r w:rsidR="009F0F0D" w:rsidRPr="009F0F0D" w:rsidDel="009F0F0D">
        <w:rPr>
          <w:rFonts w:ascii="Times New Roman" w:hAnsi="Times New Roman" w:cs="Times New Roman"/>
          <w:sz w:val="24"/>
          <w:szCs w:val="24"/>
        </w:rPr>
        <w:t xml:space="preserve"> </w:t>
      </w:r>
      <w:r w:rsidR="00094B68" w:rsidRPr="0018524B">
        <w:rPr>
          <w:rFonts w:ascii="Times New Roman" w:hAnsi="Times New Roman" w:cs="Times New Roman"/>
          <w:sz w:val="24"/>
          <w:szCs w:val="24"/>
        </w:rPr>
        <w:t>w zakresie pośrednictwa w obrocie nieruchomościami oraz do beneficjentów rzeczywistych podmiotów prowadzącego taką działalność.</w:t>
      </w:r>
      <w:r w:rsidRPr="0018524B">
        <w:rPr>
          <w:rFonts w:ascii="Times New Roman" w:hAnsi="Times New Roman" w:cs="Times New Roman"/>
          <w:sz w:val="24"/>
          <w:szCs w:val="24"/>
        </w:rPr>
        <w:t xml:space="preserve"> </w:t>
      </w:r>
      <w:r w:rsidR="00521104" w:rsidRPr="0018524B">
        <w:rPr>
          <w:rFonts w:ascii="Times New Roman" w:hAnsi="Times New Roman" w:cs="Times New Roman"/>
          <w:sz w:val="24"/>
          <w:szCs w:val="24"/>
        </w:rPr>
        <w:t xml:space="preserve">Jednocześnie w art. 198b ust. 1 ustawy z dnia 21 sierpnia 1997 r. </w:t>
      </w:r>
      <w:r w:rsidR="00521104" w:rsidRPr="0018524B">
        <w:rPr>
          <w:rFonts w:ascii="Times New Roman" w:hAnsi="Times New Roman" w:cs="Times New Roman"/>
          <w:i/>
          <w:sz w:val="24"/>
          <w:szCs w:val="24"/>
        </w:rPr>
        <w:t>o gospodarce nieruchomościami</w:t>
      </w:r>
      <w:r w:rsidR="00521104" w:rsidRPr="0018524B">
        <w:rPr>
          <w:rFonts w:ascii="Times New Roman" w:hAnsi="Times New Roman" w:cs="Times New Roman"/>
          <w:sz w:val="24"/>
          <w:szCs w:val="24"/>
        </w:rPr>
        <w:t xml:space="preserve">, po pkt </w:t>
      </w:r>
      <w:r w:rsidR="00291E13">
        <w:rPr>
          <w:rFonts w:ascii="Times New Roman" w:hAnsi="Times New Roman" w:cs="Times New Roman"/>
          <w:sz w:val="24"/>
          <w:szCs w:val="24"/>
        </w:rPr>
        <w:t>2</w:t>
      </w:r>
      <w:r w:rsidR="00291E13" w:rsidRPr="0018524B">
        <w:rPr>
          <w:rFonts w:ascii="Times New Roman" w:hAnsi="Times New Roman" w:cs="Times New Roman"/>
          <w:sz w:val="24"/>
          <w:szCs w:val="24"/>
        </w:rPr>
        <w:t xml:space="preserve"> </w:t>
      </w:r>
      <w:r w:rsidR="00521104" w:rsidRPr="0018524B">
        <w:rPr>
          <w:rFonts w:ascii="Times New Roman" w:hAnsi="Times New Roman" w:cs="Times New Roman"/>
          <w:sz w:val="24"/>
          <w:szCs w:val="24"/>
        </w:rPr>
        <w:t xml:space="preserve">dodaje się pkt </w:t>
      </w:r>
      <w:r w:rsidR="00291E13">
        <w:rPr>
          <w:rFonts w:ascii="Times New Roman" w:hAnsi="Times New Roman" w:cs="Times New Roman"/>
          <w:sz w:val="24"/>
          <w:szCs w:val="24"/>
        </w:rPr>
        <w:t>2a</w:t>
      </w:r>
      <w:r w:rsidR="00521104" w:rsidRPr="0018524B">
        <w:rPr>
          <w:rFonts w:ascii="Times New Roman" w:hAnsi="Times New Roman" w:cs="Times New Roman"/>
          <w:sz w:val="24"/>
          <w:szCs w:val="24"/>
        </w:rPr>
        <w:t>, zgodnie z którym osoba wykonująca działalność w zakresie pośrednictwa w obrocie nieruchomościami z naruszeniem warunku niekaralności</w:t>
      </w:r>
      <w:r w:rsidR="007F63A1">
        <w:rPr>
          <w:rFonts w:ascii="Times New Roman" w:hAnsi="Times New Roman" w:cs="Times New Roman"/>
          <w:sz w:val="24"/>
          <w:szCs w:val="24"/>
        </w:rPr>
        <w:t>,</w:t>
      </w:r>
      <w:r w:rsidR="00521104" w:rsidRPr="0018524B">
        <w:rPr>
          <w:rFonts w:ascii="Times New Roman" w:hAnsi="Times New Roman" w:cs="Times New Roman"/>
          <w:sz w:val="24"/>
          <w:szCs w:val="24"/>
        </w:rPr>
        <w:t xml:space="preserve"> o którym mowa w art. </w:t>
      </w:r>
      <w:r w:rsidR="00291E13" w:rsidRPr="0018524B">
        <w:rPr>
          <w:rFonts w:ascii="Times New Roman" w:hAnsi="Times New Roman" w:cs="Times New Roman"/>
          <w:sz w:val="24"/>
          <w:szCs w:val="24"/>
        </w:rPr>
        <w:t>18</w:t>
      </w:r>
      <w:r w:rsidR="00291E13">
        <w:rPr>
          <w:rFonts w:ascii="Times New Roman" w:hAnsi="Times New Roman" w:cs="Times New Roman"/>
          <w:sz w:val="24"/>
          <w:szCs w:val="24"/>
        </w:rPr>
        <w:t>0a</w:t>
      </w:r>
      <w:r w:rsidR="00521104" w:rsidRPr="0018524B">
        <w:rPr>
          <w:rFonts w:ascii="Times New Roman" w:hAnsi="Times New Roman" w:cs="Times New Roman"/>
          <w:sz w:val="24"/>
          <w:szCs w:val="24"/>
        </w:rPr>
        <w:t xml:space="preserve">, może zostać ukarana grzywną. Wprowadzenie </w:t>
      </w:r>
      <w:r w:rsidR="00EC2159" w:rsidRPr="0018524B">
        <w:rPr>
          <w:rFonts w:ascii="Times New Roman" w:hAnsi="Times New Roman" w:cs="Times New Roman"/>
          <w:sz w:val="24"/>
          <w:szCs w:val="24"/>
        </w:rPr>
        <w:t>wymo</w:t>
      </w:r>
      <w:r w:rsidR="00521104" w:rsidRPr="0018524B">
        <w:rPr>
          <w:rFonts w:ascii="Times New Roman" w:hAnsi="Times New Roman" w:cs="Times New Roman"/>
          <w:sz w:val="24"/>
          <w:szCs w:val="24"/>
        </w:rPr>
        <w:t>g</w:t>
      </w:r>
      <w:r w:rsidR="00EC2159" w:rsidRPr="0018524B">
        <w:rPr>
          <w:rFonts w:ascii="Times New Roman" w:hAnsi="Times New Roman" w:cs="Times New Roman"/>
          <w:sz w:val="24"/>
          <w:szCs w:val="24"/>
        </w:rPr>
        <w:t>u</w:t>
      </w:r>
      <w:r w:rsidR="00521104" w:rsidRPr="0018524B">
        <w:rPr>
          <w:rFonts w:ascii="Times New Roman" w:hAnsi="Times New Roman" w:cs="Times New Roman"/>
          <w:sz w:val="24"/>
          <w:szCs w:val="24"/>
        </w:rPr>
        <w:t xml:space="preserve"> niekaralności dla osób wykonujących działalność z zakresu pośrednictwa w obrocie nieruchomościami, bez odpowiedniego przepisu </w:t>
      </w:r>
      <w:r w:rsidR="00521104" w:rsidRPr="0018524B">
        <w:rPr>
          <w:rFonts w:ascii="Times New Roman" w:hAnsi="Times New Roman" w:cs="Times New Roman"/>
          <w:sz w:val="24"/>
          <w:szCs w:val="24"/>
        </w:rPr>
        <w:lastRenderedPageBreak/>
        <w:t xml:space="preserve">sankcjonującego naruszenie takiego wymogu, skutkowałoby fasadowością takiego przepisu i w konsekwencji </w:t>
      </w:r>
      <w:r w:rsidR="00EC2159" w:rsidRPr="0018524B">
        <w:rPr>
          <w:rFonts w:ascii="Times New Roman" w:hAnsi="Times New Roman" w:cs="Times New Roman"/>
          <w:sz w:val="24"/>
          <w:szCs w:val="24"/>
        </w:rPr>
        <w:t>prowadziło</w:t>
      </w:r>
      <w:r w:rsidR="00521104" w:rsidRPr="0018524B">
        <w:rPr>
          <w:rFonts w:ascii="Times New Roman" w:hAnsi="Times New Roman" w:cs="Times New Roman"/>
          <w:sz w:val="24"/>
          <w:szCs w:val="24"/>
        </w:rPr>
        <w:t xml:space="preserve"> do niepełnej implementacji </w:t>
      </w:r>
      <w:r w:rsidR="00EC2159" w:rsidRPr="0018524B">
        <w:rPr>
          <w:rFonts w:ascii="Times New Roman" w:hAnsi="Times New Roman" w:cs="Times New Roman"/>
          <w:sz w:val="24"/>
          <w:szCs w:val="24"/>
        </w:rPr>
        <w:t xml:space="preserve">art. 47 ust. 3 </w:t>
      </w:r>
      <w:r w:rsidR="00521104" w:rsidRPr="0018524B">
        <w:rPr>
          <w:rFonts w:ascii="Times New Roman" w:hAnsi="Times New Roman" w:cs="Times New Roman"/>
          <w:sz w:val="24"/>
          <w:szCs w:val="24"/>
        </w:rPr>
        <w:t>dyrektywy 2015/849.</w:t>
      </w:r>
      <w:r w:rsidR="0080749A" w:rsidRPr="0080749A">
        <w:rPr>
          <w:rFonts w:ascii="Times New Roman" w:hAnsi="Times New Roman" w:cs="Times New Roman"/>
          <w:sz w:val="24"/>
          <w:szCs w:val="24"/>
        </w:rPr>
        <w:t xml:space="preserve"> </w:t>
      </w:r>
      <w:r w:rsidR="00291E13">
        <w:rPr>
          <w:rFonts w:ascii="Times New Roman" w:hAnsi="Times New Roman" w:cs="Times New Roman"/>
          <w:sz w:val="24"/>
          <w:szCs w:val="24"/>
        </w:rPr>
        <w:t>Wprowadzane przepisy zakładają</w:t>
      </w:r>
      <w:r w:rsidR="00291E13" w:rsidRPr="00291E13">
        <w:rPr>
          <w:rFonts w:ascii="Times New Roman" w:hAnsi="Times New Roman" w:cs="Times New Roman"/>
          <w:sz w:val="24"/>
          <w:szCs w:val="24"/>
        </w:rPr>
        <w:t xml:space="preserve"> odpowiedzialność wykroczeniową z tytułu popełnienia czynu polegającego na prowadzeniu działalności z naruszeniem art. 18</w:t>
      </w:r>
      <w:r w:rsidR="00291E13">
        <w:rPr>
          <w:rFonts w:ascii="Times New Roman" w:hAnsi="Times New Roman" w:cs="Times New Roman"/>
          <w:sz w:val="24"/>
          <w:szCs w:val="24"/>
        </w:rPr>
        <w:t>0a ustawy o gospodarce nieruchomościami</w:t>
      </w:r>
      <w:r w:rsidR="00291E13" w:rsidRPr="00291E13">
        <w:rPr>
          <w:rFonts w:ascii="Times New Roman" w:hAnsi="Times New Roman" w:cs="Times New Roman"/>
          <w:sz w:val="24"/>
          <w:szCs w:val="24"/>
        </w:rPr>
        <w:t>.</w:t>
      </w:r>
      <w:r w:rsidR="00291E13">
        <w:rPr>
          <w:rFonts w:ascii="Times New Roman" w:hAnsi="Times New Roman" w:cs="Times New Roman"/>
          <w:sz w:val="24"/>
          <w:szCs w:val="24"/>
        </w:rPr>
        <w:t xml:space="preserve"> </w:t>
      </w:r>
      <w:r w:rsidR="0080749A">
        <w:rPr>
          <w:rFonts w:ascii="Times New Roman" w:hAnsi="Times New Roman" w:cs="Times New Roman"/>
          <w:sz w:val="24"/>
          <w:szCs w:val="24"/>
        </w:rPr>
        <w:t>W związku z otwarciem dostępu do zawodu pośrednika na mocy tzw. ustawy deregulacyjnej wydaje się, że przyjęte rozwiązanie należy uznać za proporcjonalne zarówno pod kątem swobody prowadzenia działalności gospodarcze</w:t>
      </w:r>
      <w:r w:rsidR="0022768D">
        <w:rPr>
          <w:rFonts w:ascii="Times New Roman" w:hAnsi="Times New Roman" w:cs="Times New Roman"/>
          <w:sz w:val="24"/>
          <w:szCs w:val="24"/>
        </w:rPr>
        <w:t>j</w:t>
      </w:r>
      <w:r w:rsidR="0080749A">
        <w:rPr>
          <w:rFonts w:ascii="Times New Roman" w:hAnsi="Times New Roman" w:cs="Times New Roman"/>
          <w:sz w:val="24"/>
          <w:szCs w:val="24"/>
        </w:rPr>
        <w:t xml:space="preserve"> w zakresie pośrednictwa nieruchomości, jak i prawidłowej transpozycji</w:t>
      </w:r>
      <w:r w:rsidR="00C6045B">
        <w:rPr>
          <w:rFonts w:ascii="Times New Roman" w:hAnsi="Times New Roman" w:cs="Times New Roman"/>
          <w:sz w:val="24"/>
          <w:szCs w:val="24"/>
        </w:rPr>
        <w:t xml:space="preserve"> </w:t>
      </w:r>
      <w:r w:rsidR="0080749A">
        <w:rPr>
          <w:rFonts w:ascii="Times New Roman" w:hAnsi="Times New Roman" w:cs="Times New Roman"/>
          <w:sz w:val="24"/>
          <w:szCs w:val="24"/>
        </w:rPr>
        <w:t>przepisów dyrektywy 2015/849.</w:t>
      </w:r>
      <w:r w:rsidR="00291E13" w:rsidRPr="00291E13">
        <w:t xml:space="preserve"> </w:t>
      </w:r>
      <w:r w:rsidR="007C6E5F">
        <w:rPr>
          <w:rFonts w:ascii="Times New Roman" w:hAnsi="Times New Roman" w:cs="Times New Roman"/>
          <w:sz w:val="24"/>
          <w:szCs w:val="24"/>
        </w:rPr>
        <w:t>Z uwagi</w:t>
      </w:r>
      <w:r w:rsidR="00291E13" w:rsidRPr="00291E13">
        <w:rPr>
          <w:rFonts w:ascii="Times New Roman" w:hAnsi="Times New Roman" w:cs="Times New Roman"/>
          <w:sz w:val="24"/>
          <w:szCs w:val="24"/>
        </w:rPr>
        <w:t xml:space="preserve"> </w:t>
      </w:r>
      <w:r w:rsidR="007C6E5F">
        <w:rPr>
          <w:rFonts w:ascii="Times New Roman" w:hAnsi="Times New Roman" w:cs="Times New Roman"/>
          <w:sz w:val="24"/>
          <w:szCs w:val="24"/>
        </w:rPr>
        <w:t>na zrezygnowanie przez</w:t>
      </w:r>
      <w:r w:rsidR="00291E13" w:rsidRPr="00291E13">
        <w:rPr>
          <w:rFonts w:ascii="Times New Roman" w:hAnsi="Times New Roman" w:cs="Times New Roman"/>
          <w:sz w:val="24"/>
          <w:szCs w:val="24"/>
        </w:rPr>
        <w:t xml:space="preserve"> </w:t>
      </w:r>
      <w:r w:rsidR="007C6E5F">
        <w:rPr>
          <w:rFonts w:ascii="Times New Roman" w:hAnsi="Times New Roman" w:cs="Times New Roman"/>
          <w:sz w:val="24"/>
          <w:szCs w:val="24"/>
        </w:rPr>
        <w:t>ustawodawcę</w:t>
      </w:r>
      <w:r w:rsidR="007C6E5F" w:rsidRPr="00291E13">
        <w:rPr>
          <w:rFonts w:ascii="Times New Roman" w:hAnsi="Times New Roman" w:cs="Times New Roman"/>
          <w:sz w:val="24"/>
          <w:szCs w:val="24"/>
        </w:rPr>
        <w:t xml:space="preserve"> </w:t>
      </w:r>
      <w:r w:rsidR="00291E13" w:rsidRPr="00291E13">
        <w:rPr>
          <w:rFonts w:ascii="Times New Roman" w:hAnsi="Times New Roman" w:cs="Times New Roman"/>
          <w:sz w:val="24"/>
          <w:szCs w:val="24"/>
        </w:rPr>
        <w:t>z reglamentacji działalności w zakresie pośrednictwa w obrocie nieruchomościami</w:t>
      </w:r>
      <w:r w:rsidR="007C6E5F">
        <w:rPr>
          <w:rFonts w:ascii="Times New Roman" w:hAnsi="Times New Roman" w:cs="Times New Roman"/>
          <w:sz w:val="24"/>
          <w:szCs w:val="24"/>
        </w:rPr>
        <w:t>,</w:t>
      </w:r>
      <w:r w:rsidR="00291E13" w:rsidRPr="00291E13">
        <w:rPr>
          <w:rFonts w:ascii="Times New Roman" w:hAnsi="Times New Roman" w:cs="Times New Roman"/>
          <w:sz w:val="24"/>
          <w:szCs w:val="24"/>
        </w:rPr>
        <w:t xml:space="preserve"> </w:t>
      </w:r>
      <w:r w:rsidR="007C6E5F">
        <w:rPr>
          <w:rFonts w:ascii="Times New Roman" w:hAnsi="Times New Roman" w:cs="Times New Roman"/>
          <w:sz w:val="24"/>
          <w:szCs w:val="24"/>
        </w:rPr>
        <w:t>e</w:t>
      </w:r>
      <w:r w:rsidR="00291E13" w:rsidRPr="00291E13">
        <w:rPr>
          <w:rFonts w:ascii="Times New Roman" w:hAnsi="Times New Roman" w:cs="Times New Roman"/>
          <w:sz w:val="24"/>
          <w:szCs w:val="24"/>
        </w:rPr>
        <w:t>gzekwowanie sankcji administracyjnych w tym wypadku byłoby zdecydowanie mniej efektywne niż w przypadku działalności na rzecz spółek i trustów, czy też działalności w zakresie walut wirtualnych, w przypadku których organ administracji będzie posiadał bieżącą wiedzę o podmiotach podlegających wpisowi do rejestru. Przyjęcie rozwiązania zakładającego postępowanie w sprawach dotyczących prowadzenia działalności z naruszeniem art. 18</w:t>
      </w:r>
      <w:r w:rsidR="00291E13">
        <w:rPr>
          <w:rFonts w:ascii="Times New Roman" w:hAnsi="Times New Roman" w:cs="Times New Roman"/>
          <w:sz w:val="24"/>
          <w:szCs w:val="24"/>
        </w:rPr>
        <w:t>0a</w:t>
      </w:r>
      <w:r w:rsidR="00291E13" w:rsidRPr="00291E13">
        <w:rPr>
          <w:rFonts w:ascii="Times New Roman" w:hAnsi="Times New Roman" w:cs="Times New Roman"/>
          <w:sz w:val="24"/>
          <w:szCs w:val="24"/>
        </w:rPr>
        <w:t xml:space="preserve"> ustawy o gospodarce nieruchomościami wedle procedury opisanej w</w:t>
      </w:r>
      <w:r w:rsidR="00291E13">
        <w:rPr>
          <w:rFonts w:ascii="Times New Roman" w:hAnsi="Times New Roman" w:cs="Times New Roman"/>
          <w:sz w:val="24"/>
          <w:szCs w:val="24"/>
        </w:rPr>
        <w:t xml:space="preserve"> ustawie z dnia </w:t>
      </w:r>
      <w:r w:rsidR="007C6E5F" w:rsidRPr="007C6E5F">
        <w:rPr>
          <w:rFonts w:ascii="Times New Roman" w:hAnsi="Times New Roman" w:cs="Times New Roman"/>
          <w:sz w:val="24"/>
          <w:szCs w:val="24"/>
        </w:rPr>
        <w:t>24 sierpnia 2001 r.</w:t>
      </w:r>
      <w:r w:rsidR="007C6E5F">
        <w:rPr>
          <w:rFonts w:ascii="Times New Roman" w:hAnsi="Times New Roman" w:cs="Times New Roman"/>
          <w:sz w:val="24"/>
          <w:szCs w:val="24"/>
        </w:rPr>
        <w:t xml:space="preserve"> </w:t>
      </w:r>
      <w:r w:rsidR="00360048">
        <w:rPr>
          <w:rFonts w:ascii="Times New Roman" w:hAnsi="Times New Roman" w:cs="Times New Roman"/>
          <w:sz w:val="24"/>
          <w:szCs w:val="24"/>
        </w:rPr>
        <w:t xml:space="preserve">– </w:t>
      </w:r>
      <w:r w:rsidR="007C6E5F">
        <w:rPr>
          <w:rFonts w:ascii="Times New Roman" w:hAnsi="Times New Roman" w:cs="Times New Roman"/>
          <w:sz w:val="24"/>
          <w:szCs w:val="24"/>
        </w:rPr>
        <w:t>Kodeks</w:t>
      </w:r>
      <w:r w:rsidR="00291E13" w:rsidRPr="00291E13">
        <w:rPr>
          <w:rFonts w:ascii="Times New Roman" w:hAnsi="Times New Roman" w:cs="Times New Roman"/>
          <w:sz w:val="24"/>
          <w:szCs w:val="24"/>
        </w:rPr>
        <w:t xml:space="preserve"> postęp</w:t>
      </w:r>
      <w:r w:rsidR="00291E13">
        <w:rPr>
          <w:rFonts w:ascii="Times New Roman" w:hAnsi="Times New Roman" w:cs="Times New Roman"/>
          <w:sz w:val="24"/>
          <w:szCs w:val="24"/>
        </w:rPr>
        <w:t xml:space="preserve">owania w sprawach o wykroczenia, zmierza do zapewnienia </w:t>
      </w:r>
      <w:r w:rsidR="00291E13" w:rsidRPr="00291E13">
        <w:rPr>
          <w:rFonts w:ascii="Times New Roman" w:hAnsi="Times New Roman" w:cs="Times New Roman"/>
          <w:sz w:val="24"/>
          <w:szCs w:val="24"/>
        </w:rPr>
        <w:t>sprawne</w:t>
      </w:r>
      <w:r w:rsidR="00291E13">
        <w:rPr>
          <w:rFonts w:ascii="Times New Roman" w:hAnsi="Times New Roman" w:cs="Times New Roman"/>
          <w:sz w:val="24"/>
          <w:szCs w:val="24"/>
        </w:rPr>
        <w:t>go</w:t>
      </w:r>
      <w:r w:rsidR="00291E13" w:rsidRPr="00291E13">
        <w:rPr>
          <w:rFonts w:ascii="Times New Roman" w:hAnsi="Times New Roman" w:cs="Times New Roman"/>
          <w:sz w:val="24"/>
          <w:szCs w:val="24"/>
        </w:rPr>
        <w:t xml:space="preserve"> procedowani</w:t>
      </w:r>
      <w:r w:rsidR="00C217C5">
        <w:rPr>
          <w:rFonts w:ascii="Times New Roman" w:hAnsi="Times New Roman" w:cs="Times New Roman"/>
          <w:sz w:val="24"/>
          <w:szCs w:val="24"/>
        </w:rPr>
        <w:t>a</w:t>
      </w:r>
      <w:r w:rsidR="00291E13" w:rsidRPr="00291E13">
        <w:rPr>
          <w:rFonts w:ascii="Times New Roman" w:hAnsi="Times New Roman" w:cs="Times New Roman"/>
          <w:sz w:val="24"/>
          <w:szCs w:val="24"/>
        </w:rPr>
        <w:t xml:space="preserve"> w takich </w:t>
      </w:r>
      <w:r w:rsidR="00291E13">
        <w:rPr>
          <w:rFonts w:ascii="Times New Roman" w:hAnsi="Times New Roman" w:cs="Times New Roman"/>
          <w:sz w:val="24"/>
          <w:szCs w:val="24"/>
        </w:rPr>
        <w:t>sprawach</w:t>
      </w:r>
      <w:r w:rsidR="00C217C5">
        <w:rPr>
          <w:rFonts w:ascii="Times New Roman" w:hAnsi="Times New Roman" w:cs="Times New Roman"/>
          <w:sz w:val="24"/>
          <w:szCs w:val="24"/>
        </w:rPr>
        <w:t>, bez konieczności ponownego reglamentowania</w:t>
      </w:r>
      <w:r w:rsidR="00C217C5" w:rsidRPr="00291E13">
        <w:rPr>
          <w:rFonts w:ascii="Times New Roman" w:hAnsi="Times New Roman" w:cs="Times New Roman"/>
          <w:sz w:val="24"/>
          <w:szCs w:val="24"/>
        </w:rPr>
        <w:t xml:space="preserve"> działalności w zakresie pośrednictwa w obrocie nieruchomościami</w:t>
      </w:r>
      <w:r w:rsidR="00291E13">
        <w:rPr>
          <w:rFonts w:ascii="Times New Roman" w:hAnsi="Times New Roman" w:cs="Times New Roman"/>
          <w:sz w:val="24"/>
          <w:szCs w:val="24"/>
        </w:rPr>
        <w:t>.</w:t>
      </w:r>
      <w:r w:rsidR="007C6E5F">
        <w:rPr>
          <w:rFonts w:ascii="Times New Roman" w:hAnsi="Times New Roman" w:cs="Times New Roman"/>
          <w:sz w:val="24"/>
          <w:szCs w:val="24"/>
        </w:rPr>
        <w:t xml:space="preserve"> </w:t>
      </w:r>
      <w:r w:rsidR="00EA0762">
        <w:rPr>
          <w:rFonts w:ascii="Times New Roman" w:hAnsi="Times New Roman" w:cs="Times New Roman"/>
          <w:sz w:val="24"/>
          <w:szCs w:val="24"/>
        </w:rPr>
        <w:t xml:space="preserve">Zauważyć należy, iż naruszenie wymogu niekaralności w odniesieniu do przedsiębiorców prowadzących działalność o której mowa </w:t>
      </w:r>
      <w:r w:rsidR="00C0110D">
        <w:rPr>
          <w:rFonts w:ascii="Times New Roman" w:hAnsi="Times New Roman" w:cs="Times New Roman"/>
          <w:sz w:val="24"/>
          <w:szCs w:val="24"/>
        </w:rPr>
        <w:t xml:space="preserve">w rozdziale 11a ustawy o p.p.p.f.t. będzie wiązało się z możliwością nałożenia administracyjnej kary pieniężnej, podczas gdy naruszenie wymogu niekaralności w odniesieniu do pośredników w obrocie nieruchomościami będzie wiązało się z możliwością nałożenia grzywny, w wyniku stwierdzenia popełnienia wykroczenia o którym mowa w dodawanym art. 198b ustawy o gospodarce nieruchomościami. Odrębne potraktowanie </w:t>
      </w:r>
      <w:r w:rsidR="00AA4BE0">
        <w:rPr>
          <w:rFonts w:ascii="Times New Roman" w:hAnsi="Times New Roman" w:cs="Times New Roman"/>
          <w:sz w:val="24"/>
          <w:szCs w:val="24"/>
        </w:rPr>
        <w:t>przedsiębiorców znajdujących się w podobnej sytuacji (naruszających ustawowy wymóg niekaralności) może budzić wątpliwości pod kątem zachowania konstytucyjnej zasady równości wobec prawa. Niemniej należy podkreślić, iż brak równego traktowania w tym przypadku jest jedynie pozorny. Wszyscy przedsiębiorcy prowadzący działalność w zakresie określonym w dodawanym art. 129a ustawy o p.p.p.f.t. w równym stopniu objęci zostaną wymogiem niekaralności, w równym stopniu będą również podlegać sankcji administracyjnej w przypadku naruszenia tego zakazu. Analogicznie sytuacja wygląda w przypadku przedsiębiorców prowadzących działalność w zakresie określonym w dodawanym art. 129m ustawy o p.p.p.f.t. Jednocześnie przedsiębiorcy zajmujący się pośrednictwem w obrocie nieruchomościami</w:t>
      </w:r>
      <w:r w:rsidR="00C93F68">
        <w:rPr>
          <w:rFonts w:ascii="Times New Roman" w:hAnsi="Times New Roman" w:cs="Times New Roman"/>
          <w:sz w:val="24"/>
          <w:szCs w:val="24"/>
        </w:rPr>
        <w:t>,</w:t>
      </w:r>
      <w:r w:rsidR="00AA4BE0">
        <w:rPr>
          <w:rFonts w:ascii="Times New Roman" w:hAnsi="Times New Roman" w:cs="Times New Roman"/>
          <w:sz w:val="24"/>
          <w:szCs w:val="24"/>
        </w:rPr>
        <w:t xml:space="preserve"> w równym stopniu będą podlegać wymogowi niekaralności, jak i w równym stopniu będą odpowiadać za wykroczenie polegające na </w:t>
      </w:r>
      <w:r w:rsidR="00AA4BE0">
        <w:rPr>
          <w:rFonts w:ascii="Times New Roman" w:hAnsi="Times New Roman" w:cs="Times New Roman"/>
          <w:sz w:val="24"/>
          <w:szCs w:val="24"/>
        </w:rPr>
        <w:lastRenderedPageBreak/>
        <w:t xml:space="preserve">wykonywaniu czynności pośrednictwa z naruszeniem wymogu niekaralności. Należy również podkreślić, iż w zakresie działalności gospodarczej objętej różnego rodzaju reglamentacją, przykładowo działalności w zakresie o którym mowa w art. 129a oraz </w:t>
      </w:r>
      <w:r w:rsidR="00360048">
        <w:rPr>
          <w:rFonts w:ascii="Times New Roman" w:hAnsi="Times New Roman" w:cs="Times New Roman"/>
          <w:sz w:val="24"/>
          <w:szCs w:val="24"/>
        </w:rPr>
        <w:t xml:space="preserve">art. </w:t>
      </w:r>
      <w:r w:rsidR="00AA4BE0">
        <w:rPr>
          <w:rFonts w:ascii="Times New Roman" w:hAnsi="Times New Roman" w:cs="Times New Roman"/>
          <w:sz w:val="24"/>
          <w:szCs w:val="24"/>
        </w:rPr>
        <w:t xml:space="preserve">129m ustawy o p.p.p.f.t., czy też działalności w zakresie wolnych zawodów (działalność adwokatów, radców prawnych), egzekwowanie wymogów w zakresie prowadzenia działalności jest możliwe już na etapie uzyskiwania wpisu do rejestru określonej działalności (czy też wpisu na listę osób wykonujących wolny zawód), dlatego w takim wypadku wystarczające do przestrzegania wymogu niekaralności jest przyjęcie sankcji administracyjnej (jak w przypadku działalności o której mowa w art. 129a oraz </w:t>
      </w:r>
      <w:r w:rsidR="00360048">
        <w:rPr>
          <w:rFonts w:ascii="Times New Roman" w:hAnsi="Times New Roman" w:cs="Times New Roman"/>
          <w:sz w:val="24"/>
          <w:szCs w:val="24"/>
        </w:rPr>
        <w:t xml:space="preserve">art. </w:t>
      </w:r>
      <w:r w:rsidR="00AA4BE0">
        <w:rPr>
          <w:rFonts w:ascii="Times New Roman" w:hAnsi="Times New Roman" w:cs="Times New Roman"/>
          <w:sz w:val="24"/>
          <w:szCs w:val="24"/>
        </w:rPr>
        <w:t xml:space="preserve">129m ustawy o p.p.p.f.t.), czy też przestrzeganie procedur </w:t>
      </w:r>
      <w:r w:rsidR="007D59AD">
        <w:rPr>
          <w:rFonts w:ascii="Times New Roman" w:hAnsi="Times New Roman" w:cs="Times New Roman"/>
          <w:sz w:val="24"/>
          <w:szCs w:val="24"/>
        </w:rPr>
        <w:t xml:space="preserve">odpowiedzialności dyscyplinarnej </w:t>
      </w:r>
      <w:r w:rsidR="00AA4BE0">
        <w:rPr>
          <w:rFonts w:ascii="Times New Roman" w:hAnsi="Times New Roman" w:cs="Times New Roman"/>
          <w:sz w:val="24"/>
          <w:szCs w:val="24"/>
        </w:rPr>
        <w:t xml:space="preserve">w ramach samorządów zawodowych (jak w przypadku wolnych zawodów). </w:t>
      </w:r>
      <w:r w:rsidR="007D59AD">
        <w:rPr>
          <w:rFonts w:ascii="Times New Roman" w:hAnsi="Times New Roman" w:cs="Times New Roman"/>
          <w:sz w:val="24"/>
          <w:szCs w:val="24"/>
        </w:rPr>
        <w:t>W odniesieniu do pośredników w obrocie nieruchomościami, z uwagi na deregulację zawodu, brak jest procedur umożliwiających weryfikację wymogu niekaralności w momencie rozpoczęcia wykonywania działalności gospodarczej w przedmiotowym zakresie</w:t>
      </w:r>
      <w:r w:rsidR="00C93F68">
        <w:rPr>
          <w:rFonts w:ascii="Times New Roman" w:hAnsi="Times New Roman" w:cs="Times New Roman"/>
          <w:sz w:val="24"/>
          <w:szCs w:val="24"/>
        </w:rPr>
        <w:t>, jak również brak jest organu (samorządu zawodowego, czy też organu administracji publicznej), w którego zakresie zadań pozostawałoby weryfikowanie wypełniania przez pośredników w obrocie nieruchomościami ustawowych wymogów w zakresie niekaralności</w:t>
      </w:r>
      <w:r w:rsidR="007D59AD">
        <w:rPr>
          <w:rFonts w:ascii="Times New Roman" w:hAnsi="Times New Roman" w:cs="Times New Roman"/>
          <w:sz w:val="24"/>
          <w:szCs w:val="24"/>
        </w:rPr>
        <w:t xml:space="preserve">. W związku z powyższym, przyjęto iż osiągnięcie celu polegającego na przestrzeganiu wymogu niekaralności w odniesieniu do pośredników w obrocie nieruchomościami, będzie najefektywniejsze poprzez wprowadzenie odpowiedzialności w postaci grzywny dla osób naruszających ten wymóg. </w:t>
      </w:r>
      <w:r w:rsidR="007D78E6">
        <w:rPr>
          <w:rFonts w:ascii="Times New Roman" w:hAnsi="Times New Roman" w:cs="Times New Roman"/>
          <w:sz w:val="24"/>
          <w:szCs w:val="24"/>
        </w:rPr>
        <w:t>Zauważyć ponadto należy, iż sankcja administracyjna może być nakładana na osoby prawne, podczas gdy grzywna nakładana w wyniku popełnienia wykroczenia może być nakładana na osoby fizyczne. Tym samym zakres podmiotów podlegających odpowiedzialności administracyjnej z tytułu naruszenia wymogu niekaralności w zakresie działalności wskazanej w rozdziale 11a ustawy o p.p.p.f.t. będzie różny od zakresu osób podlegających odpowiedzialności na podstawie art. 198b ust. 1 pkt 2a ustawy o gospodarce nieruchomościami. Niemniej z uwagi na przedstawione powyżej argumenty dotyczące w szczególności różnic w możliwych działaniach podejmowanych wobec przedsiębiorców prowadzących działalność reglamentowaną, w odniesieniu do działań podejmowanych wobec podmiotów prowadzących działalność nieobjętą żadną formą reglamentacji, uznano projektowane rozwiązanie za adekwatne.</w:t>
      </w:r>
    </w:p>
    <w:p w14:paraId="57D93102" w14:textId="5473A496" w:rsidR="00ED2506" w:rsidRPr="0018524B" w:rsidRDefault="00ED2506" w:rsidP="00ED2506">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Zmiany, o których mowa w</w:t>
      </w:r>
      <w:r w:rsidRPr="0018524B">
        <w:rPr>
          <w:rFonts w:ascii="Times New Roman" w:hAnsi="Times New Roman" w:cs="Times New Roman"/>
          <w:b/>
          <w:sz w:val="24"/>
          <w:szCs w:val="24"/>
        </w:rPr>
        <w:t xml:space="preserve"> art. 3 </w:t>
      </w:r>
      <w:r w:rsidR="009C4708" w:rsidRPr="0018524B">
        <w:rPr>
          <w:rFonts w:ascii="Times New Roman" w:hAnsi="Times New Roman" w:cs="Times New Roman"/>
          <w:sz w:val="24"/>
          <w:szCs w:val="24"/>
        </w:rPr>
        <w:t>znajdują swoje źródło również w art. 47</w:t>
      </w:r>
      <w:r w:rsidR="009C4708" w:rsidRPr="0018524B">
        <w:t xml:space="preserve"> </w:t>
      </w:r>
      <w:r w:rsidR="009C4708" w:rsidRPr="0018524B">
        <w:rPr>
          <w:rFonts w:ascii="Times New Roman" w:hAnsi="Times New Roman" w:cs="Times New Roman"/>
          <w:sz w:val="24"/>
          <w:szCs w:val="24"/>
        </w:rPr>
        <w:t>dyrektywy 2015/849</w:t>
      </w:r>
      <w:r w:rsidR="00C6045B">
        <w:rPr>
          <w:rFonts w:ascii="Times New Roman" w:hAnsi="Times New Roman" w:cs="Times New Roman"/>
          <w:sz w:val="24"/>
          <w:szCs w:val="24"/>
        </w:rPr>
        <w:t xml:space="preserve"> </w:t>
      </w:r>
      <w:r w:rsidR="009C4708" w:rsidRPr="0018524B">
        <w:rPr>
          <w:rFonts w:ascii="Times New Roman" w:hAnsi="Times New Roman" w:cs="Times New Roman"/>
          <w:sz w:val="24"/>
          <w:szCs w:val="24"/>
        </w:rPr>
        <w:t xml:space="preserve">i </w:t>
      </w:r>
      <w:r w:rsidRPr="0018524B">
        <w:rPr>
          <w:rFonts w:ascii="Times New Roman" w:hAnsi="Times New Roman" w:cs="Times New Roman"/>
          <w:sz w:val="24"/>
          <w:szCs w:val="24"/>
        </w:rPr>
        <w:t xml:space="preserve">dotyczą ustawy z dnia 27 lipca 2002 r. </w:t>
      </w:r>
      <w:r w:rsidR="00C6045B">
        <w:rPr>
          <w:rFonts w:ascii="Times New Roman" w:hAnsi="Times New Roman" w:cs="Times New Roman"/>
          <w:sz w:val="24"/>
          <w:szCs w:val="24"/>
        </w:rPr>
        <w:t>–</w:t>
      </w:r>
      <w:r w:rsidRPr="0018524B">
        <w:rPr>
          <w:rFonts w:ascii="Times New Roman" w:hAnsi="Times New Roman" w:cs="Times New Roman"/>
          <w:sz w:val="24"/>
          <w:szCs w:val="24"/>
        </w:rPr>
        <w:t xml:space="preserve"> </w:t>
      </w:r>
      <w:r w:rsidRPr="0018524B">
        <w:rPr>
          <w:rFonts w:ascii="Times New Roman" w:hAnsi="Times New Roman" w:cs="Times New Roman"/>
          <w:i/>
          <w:sz w:val="24"/>
          <w:szCs w:val="24"/>
        </w:rPr>
        <w:t>Prawo dewizowe</w:t>
      </w:r>
      <w:r w:rsidR="009C4708" w:rsidRPr="0018524B">
        <w:rPr>
          <w:rFonts w:ascii="Times New Roman" w:hAnsi="Times New Roman" w:cs="Times New Roman"/>
          <w:sz w:val="24"/>
          <w:szCs w:val="24"/>
        </w:rPr>
        <w:t>. P</w:t>
      </w:r>
      <w:r w:rsidRPr="0018524B">
        <w:rPr>
          <w:rFonts w:ascii="Times New Roman" w:hAnsi="Times New Roman" w:cs="Times New Roman"/>
          <w:sz w:val="24"/>
          <w:szCs w:val="24"/>
        </w:rPr>
        <w:t xml:space="preserve">olegają na doprecyzowaniu art. 12 poprzez objęcie wymogiem niekaralności również beneficjentów rzeczywistych podmiotów prowadzących działalność kantorową. </w:t>
      </w:r>
    </w:p>
    <w:p w14:paraId="4239EE3F" w14:textId="68EC94FD" w:rsidR="00ED2506" w:rsidRPr="0018524B" w:rsidRDefault="00ED2506" w:rsidP="00ED2506">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lastRenderedPageBreak/>
        <w:t>W aktualnie obowiązującym stanie prawnym zgodnie z art. 12 ustawy</w:t>
      </w:r>
      <w:r w:rsidR="009C4708" w:rsidRPr="0018524B">
        <w:t xml:space="preserve"> </w:t>
      </w:r>
      <w:r w:rsidR="009C4708" w:rsidRPr="0018524B">
        <w:rPr>
          <w:rFonts w:ascii="Times New Roman" w:hAnsi="Times New Roman" w:cs="Times New Roman"/>
          <w:sz w:val="24"/>
          <w:szCs w:val="24"/>
        </w:rPr>
        <w:t xml:space="preserve">z dnia 27 lipca 2002 r. </w:t>
      </w:r>
      <w:r w:rsidR="00C6045B">
        <w:rPr>
          <w:rFonts w:ascii="Times New Roman" w:hAnsi="Times New Roman" w:cs="Times New Roman"/>
          <w:sz w:val="24"/>
          <w:szCs w:val="24"/>
        </w:rPr>
        <w:t xml:space="preserve">– </w:t>
      </w:r>
      <w:r w:rsidRPr="0018524B">
        <w:rPr>
          <w:rFonts w:ascii="Times New Roman" w:hAnsi="Times New Roman" w:cs="Times New Roman"/>
          <w:i/>
          <w:sz w:val="24"/>
          <w:szCs w:val="24"/>
        </w:rPr>
        <w:t>Prawo dewizowe</w:t>
      </w:r>
      <w:r w:rsidRPr="0018524B">
        <w:rPr>
          <w:rFonts w:ascii="Times New Roman" w:hAnsi="Times New Roman" w:cs="Times New Roman"/>
          <w:sz w:val="24"/>
          <w:szCs w:val="24"/>
        </w:rPr>
        <w:t xml:space="preserve"> działalność kantorową może wykonywać osoba fizyczna, która nie została prawomocnie skazana za przestępstwo skarbowe albo za przestępstwo popełnione w celu osiągnięcia korzyści majątkowej lub osobistej, a także osoba prawna oraz spółka niemająca osobowości prawnej, której żaden odpowiednio członek władz lub wspólnik nie został skazany za takie przestępstwo. Zgodnie z art. 13 ust. 1 ustawy </w:t>
      </w:r>
      <w:r w:rsidR="00360048">
        <w:rPr>
          <w:rFonts w:ascii="Times New Roman" w:hAnsi="Times New Roman" w:cs="Times New Roman"/>
          <w:sz w:val="24"/>
          <w:szCs w:val="24"/>
        </w:rPr>
        <w:t xml:space="preserve">– </w:t>
      </w:r>
      <w:r w:rsidRPr="0018524B">
        <w:rPr>
          <w:rFonts w:ascii="Times New Roman" w:hAnsi="Times New Roman" w:cs="Times New Roman"/>
          <w:sz w:val="24"/>
          <w:szCs w:val="24"/>
        </w:rPr>
        <w:t xml:space="preserve">Prawo dewizowe, czynności bezpośrednio związane z wykonywaniem działalności kantorowej mogą być wykonywane tylko przez osoby, które nie zostały skazane prawomocnie za przestępstwa skarbowe albo za przestępstwa popełnione w celu osiągnięcia korzyści majątkowej lub osobistej i które posiadają fachowe przygotowanie do wykonywania tych czynności. Za fachowe przygotowanie ustawa uznaje ukończenie kursu obejmującego prawne i praktyczne zagadnienia związane z prowadzeniem działalności kantorowej, udokumentowane świadectwem, lub pracę w banku, w okresie co najmniej rocznym, na stanowisku bezpośrednio związanym z obsługą transakcji walutowych, udokumentowaną świadectwem pracy, oraz znajomość przepisów ww. ustawy regulujących działalność kantorową, potwierdzoną złożonym oświadczeniem. </w:t>
      </w:r>
    </w:p>
    <w:p w14:paraId="4375BC88" w14:textId="2EA529C9" w:rsidR="00ED2506" w:rsidRPr="0018524B" w:rsidRDefault="00733C2F" w:rsidP="00ED2506">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Projektowana z</w:t>
      </w:r>
      <w:r w:rsidR="00ED2506" w:rsidRPr="0018524B">
        <w:rPr>
          <w:rFonts w:ascii="Times New Roman" w:hAnsi="Times New Roman" w:cs="Times New Roman"/>
          <w:sz w:val="24"/>
          <w:szCs w:val="24"/>
        </w:rPr>
        <w:t>mian</w:t>
      </w:r>
      <w:r w:rsidRPr="0018524B">
        <w:rPr>
          <w:rFonts w:ascii="Times New Roman" w:hAnsi="Times New Roman" w:cs="Times New Roman"/>
          <w:sz w:val="24"/>
          <w:szCs w:val="24"/>
        </w:rPr>
        <w:t>a</w:t>
      </w:r>
      <w:r w:rsidR="00ED2506" w:rsidRPr="0018524B">
        <w:rPr>
          <w:rFonts w:ascii="Times New Roman" w:hAnsi="Times New Roman" w:cs="Times New Roman"/>
          <w:sz w:val="24"/>
          <w:szCs w:val="24"/>
        </w:rPr>
        <w:t xml:space="preserve"> art. 12 </w:t>
      </w:r>
      <w:r w:rsidR="009C4708" w:rsidRPr="0018524B">
        <w:rPr>
          <w:rFonts w:ascii="Times New Roman" w:hAnsi="Times New Roman" w:cs="Times New Roman"/>
          <w:sz w:val="24"/>
          <w:szCs w:val="24"/>
        </w:rPr>
        <w:t xml:space="preserve">ustawy z dnia 27 lipca 2002 r. </w:t>
      </w:r>
      <w:r w:rsidR="00C6045B">
        <w:rPr>
          <w:rFonts w:ascii="Times New Roman" w:hAnsi="Times New Roman" w:cs="Times New Roman"/>
          <w:sz w:val="24"/>
          <w:szCs w:val="24"/>
        </w:rPr>
        <w:t>–</w:t>
      </w:r>
      <w:r w:rsidR="009C4708" w:rsidRPr="0018524B">
        <w:rPr>
          <w:rFonts w:ascii="Times New Roman" w:hAnsi="Times New Roman" w:cs="Times New Roman"/>
          <w:sz w:val="24"/>
          <w:szCs w:val="24"/>
        </w:rPr>
        <w:t xml:space="preserve"> </w:t>
      </w:r>
      <w:r w:rsidR="009C4708" w:rsidRPr="0018524B">
        <w:rPr>
          <w:rFonts w:ascii="Times New Roman" w:hAnsi="Times New Roman" w:cs="Times New Roman"/>
          <w:i/>
          <w:sz w:val="24"/>
          <w:szCs w:val="24"/>
        </w:rPr>
        <w:t>Prawo dewizowe</w:t>
      </w:r>
      <w:r w:rsidR="009C4708" w:rsidRPr="0018524B">
        <w:rPr>
          <w:rFonts w:ascii="Times New Roman" w:hAnsi="Times New Roman" w:cs="Times New Roman"/>
          <w:sz w:val="24"/>
          <w:szCs w:val="24"/>
        </w:rPr>
        <w:t xml:space="preserve"> </w:t>
      </w:r>
      <w:r w:rsidR="00ED2506" w:rsidRPr="0018524B">
        <w:rPr>
          <w:rFonts w:ascii="Times New Roman" w:hAnsi="Times New Roman" w:cs="Times New Roman"/>
          <w:sz w:val="24"/>
          <w:szCs w:val="24"/>
        </w:rPr>
        <w:t>ma na celu pełną implementację do krajowego porządku prawnego wymogów wynikających z art. 47 ust. 1 i 2 dyrektywy 2015/849 w odniesieniu do podmiotów o których mowa w art. 2 ust. 1 pkt 11 ustawy p.p.p.f.t.</w:t>
      </w:r>
      <w:r w:rsidR="00D7305D" w:rsidRPr="00D7305D">
        <w:rPr>
          <w:rFonts w:ascii="Times New Roman" w:hAnsi="Times New Roman" w:cs="Times New Roman"/>
          <w:sz w:val="24"/>
          <w:szCs w:val="24"/>
        </w:rPr>
        <w:t xml:space="preserve"> </w:t>
      </w:r>
      <w:r w:rsidR="00D7305D">
        <w:rPr>
          <w:rFonts w:ascii="Times New Roman" w:hAnsi="Times New Roman" w:cs="Times New Roman"/>
          <w:sz w:val="24"/>
          <w:szCs w:val="24"/>
        </w:rPr>
        <w:t xml:space="preserve">Zgodnie z art. 11 ustawy – </w:t>
      </w:r>
      <w:r w:rsidR="00D7305D" w:rsidRPr="00CD0088">
        <w:rPr>
          <w:rFonts w:ascii="Times New Roman" w:hAnsi="Times New Roman" w:cs="Times New Roman"/>
          <w:i/>
          <w:sz w:val="24"/>
          <w:szCs w:val="24"/>
        </w:rPr>
        <w:t>Prawo dewizowe</w:t>
      </w:r>
      <w:r w:rsidR="00D7305D">
        <w:rPr>
          <w:rFonts w:ascii="Times New Roman" w:hAnsi="Times New Roman" w:cs="Times New Roman"/>
          <w:sz w:val="24"/>
          <w:szCs w:val="24"/>
        </w:rPr>
        <w:t xml:space="preserve"> działalność kantorowa </w:t>
      </w:r>
      <w:r w:rsidR="00D7305D" w:rsidRPr="007E3B32">
        <w:rPr>
          <w:rFonts w:ascii="Times New Roman" w:hAnsi="Times New Roman" w:cs="Times New Roman"/>
          <w:sz w:val="24"/>
          <w:szCs w:val="24"/>
        </w:rPr>
        <w:t xml:space="preserve">jest działalnością regulowaną w rozumieniu przepisów ustawy z dnia 6 marca 2018 r. </w:t>
      </w:r>
      <w:r w:rsidR="00C6045B">
        <w:rPr>
          <w:rFonts w:ascii="Times New Roman" w:hAnsi="Times New Roman" w:cs="Times New Roman"/>
          <w:sz w:val="24"/>
          <w:szCs w:val="24"/>
        </w:rPr>
        <w:t>–</w:t>
      </w:r>
      <w:r w:rsidR="00D7305D" w:rsidRPr="007E3B32">
        <w:rPr>
          <w:rFonts w:ascii="Times New Roman" w:hAnsi="Times New Roman" w:cs="Times New Roman"/>
          <w:sz w:val="24"/>
          <w:szCs w:val="24"/>
        </w:rPr>
        <w:t xml:space="preserve"> </w:t>
      </w:r>
      <w:r w:rsidR="00D7305D" w:rsidRPr="00CD0088">
        <w:rPr>
          <w:rFonts w:ascii="Times New Roman" w:hAnsi="Times New Roman" w:cs="Times New Roman"/>
          <w:i/>
          <w:sz w:val="24"/>
          <w:szCs w:val="24"/>
        </w:rPr>
        <w:t>Prawo przedsiębiorców</w:t>
      </w:r>
      <w:r w:rsidR="00D7305D">
        <w:rPr>
          <w:rFonts w:ascii="Times New Roman" w:hAnsi="Times New Roman" w:cs="Times New Roman"/>
          <w:sz w:val="24"/>
          <w:szCs w:val="24"/>
        </w:rPr>
        <w:t>. Przepis art. 11 nie ogranicza formy</w:t>
      </w:r>
      <w:r w:rsidR="006A1D89">
        <w:rPr>
          <w:rFonts w:ascii="Times New Roman" w:hAnsi="Times New Roman" w:cs="Times New Roman"/>
          <w:sz w:val="24"/>
          <w:szCs w:val="24"/>
        </w:rPr>
        <w:t>,</w:t>
      </w:r>
      <w:r w:rsidR="00D7305D">
        <w:rPr>
          <w:rFonts w:ascii="Times New Roman" w:hAnsi="Times New Roman" w:cs="Times New Roman"/>
          <w:sz w:val="24"/>
          <w:szCs w:val="24"/>
        </w:rPr>
        <w:t xml:space="preserve"> w jakiej może być prowadzona działalność kantorowa wyłącznie do spółek. W związku z powyższym nowa redakcja art. 12 ma na celu zapewnienie stosowania przewidzianych w tym przepisie wymogu niekaralności do wszystkich przedsiębiorców prowadzących działalność kantorową, niezależnie od ich formy organizacyjnej.</w:t>
      </w:r>
    </w:p>
    <w:p w14:paraId="16CE787D" w14:textId="36B283DC" w:rsidR="00ED2506" w:rsidRPr="0018524B" w:rsidRDefault="00ED2506" w:rsidP="00ED2506">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W </w:t>
      </w:r>
      <w:r w:rsidRPr="0018524B">
        <w:rPr>
          <w:rFonts w:ascii="Times New Roman" w:hAnsi="Times New Roman" w:cs="Times New Roman"/>
          <w:b/>
          <w:sz w:val="24"/>
          <w:szCs w:val="24"/>
        </w:rPr>
        <w:t>art. 4</w:t>
      </w:r>
      <w:r w:rsidRPr="0018524B">
        <w:rPr>
          <w:rFonts w:ascii="Times New Roman" w:hAnsi="Times New Roman" w:cs="Times New Roman"/>
          <w:sz w:val="24"/>
          <w:szCs w:val="24"/>
        </w:rPr>
        <w:t xml:space="preserve"> projektu ustawy projektodawca wprowadza zmiany w ustawie z dnia 21 lipca 2006 r </w:t>
      </w:r>
      <w:r w:rsidRPr="0018524B">
        <w:rPr>
          <w:rFonts w:ascii="Times New Roman" w:hAnsi="Times New Roman" w:cs="Times New Roman"/>
          <w:i/>
          <w:sz w:val="24"/>
          <w:szCs w:val="24"/>
        </w:rPr>
        <w:t>o nadzorze nad rynkiem finansowym</w:t>
      </w:r>
      <w:r w:rsidR="00C6045B">
        <w:rPr>
          <w:rFonts w:ascii="Times New Roman" w:hAnsi="Times New Roman" w:cs="Times New Roman"/>
          <w:sz w:val="24"/>
          <w:szCs w:val="24"/>
        </w:rPr>
        <w:t xml:space="preserve"> </w:t>
      </w:r>
      <w:r w:rsidRPr="0018524B">
        <w:rPr>
          <w:rFonts w:ascii="Times New Roman" w:hAnsi="Times New Roman" w:cs="Times New Roman"/>
          <w:sz w:val="24"/>
          <w:szCs w:val="24"/>
        </w:rPr>
        <w:t>poprzez dodanie art. 17e</w:t>
      </w:r>
      <w:r w:rsidR="00360048">
        <w:rPr>
          <w:rFonts w:ascii="Times New Roman" w:hAnsi="Times New Roman" w:cs="Times New Roman"/>
          <w:sz w:val="24"/>
          <w:szCs w:val="24"/>
        </w:rPr>
        <w:t xml:space="preserve"> i art. </w:t>
      </w:r>
      <w:r w:rsidRPr="0018524B">
        <w:rPr>
          <w:rFonts w:ascii="Times New Roman" w:hAnsi="Times New Roman" w:cs="Times New Roman"/>
          <w:sz w:val="24"/>
          <w:szCs w:val="24"/>
        </w:rPr>
        <w:t xml:space="preserve">17f </w:t>
      </w:r>
      <w:r w:rsidR="00AE6051" w:rsidRPr="0018524B">
        <w:rPr>
          <w:rFonts w:ascii="Times New Roman" w:hAnsi="Times New Roman" w:cs="Times New Roman"/>
          <w:sz w:val="24"/>
          <w:szCs w:val="24"/>
        </w:rPr>
        <w:t xml:space="preserve">. Projektowane zmiany mają na celu implementację </w:t>
      </w:r>
      <w:r w:rsidR="00AE6051" w:rsidRPr="0018524B">
        <w:rPr>
          <w:rFonts w:ascii="Times New Roman" w:hAnsi="Times New Roman" w:cs="Times New Roman"/>
          <w:b/>
          <w:sz w:val="24"/>
          <w:szCs w:val="24"/>
        </w:rPr>
        <w:t>art. 57a</w:t>
      </w:r>
      <w:r w:rsidR="00C6045B">
        <w:rPr>
          <w:rFonts w:ascii="Times New Roman" w:hAnsi="Times New Roman" w:cs="Times New Roman"/>
          <w:b/>
          <w:sz w:val="24"/>
          <w:szCs w:val="24"/>
        </w:rPr>
        <w:t>–</w:t>
      </w:r>
      <w:r w:rsidR="00AE6051" w:rsidRPr="0018524B">
        <w:rPr>
          <w:rFonts w:ascii="Times New Roman" w:hAnsi="Times New Roman" w:cs="Times New Roman"/>
          <w:b/>
          <w:sz w:val="24"/>
          <w:szCs w:val="24"/>
        </w:rPr>
        <w:t xml:space="preserve">57b </w:t>
      </w:r>
      <w:r w:rsidR="00AE6051" w:rsidRPr="0018524B">
        <w:rPr>
          <w:rFonts w:ascii="Times New Roman" w:hAnsi="Times New Roman" w:cs="Times New Roman"/>
          <w:sz w:val="24"/>
          <w:szCs w:val="24"/>
        </w:rPr>
        <w:t>dyrektywy 2015/849 w brzmieniu nadanym przez dyrektywę 2018/843, które to przepisy regulują kwestię wymiany informacji oraz współpracy pomiędzy Komisją Nadzoru Finansowego a organami nadzoru nad rynkiem finansowym oraz jednostkami analityki finansowej z państw członkowskich (art. 17e), a także z państw niebędących państwami członkowskimi (art. 17f).</w:t>
      </w:r>
    </w:p>
    <w:p w14:paraId="09F1070A" w14:textId="37A6B02D" w:rsidR="00ED2506" w:rsidRPr="0018524B" w:rsidRDefault="00ED2506" w:rsidP="00ED2506">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lastRenderedPageBreak/>
        <w:t xml:space="preserve">W </w:t>
      </w:r>
      <w:r w:rsidRPr="0018524B">
        <w:rPr>
          <w:rFonts w:ascii="Times New Roman" w:hAnsi="Times New Roman" w:cs="Times New Roman"/>
          <w:b/>
          <w:sz w:val="24"/>
          <w:szCs w:val="24"/>
        </w:rPr>
        <w:t>art. 5</w:t>
      </w:r>
      <w:r w:rsidRPr="0018524B">
        <w:rPr>
          <w:rFonts w:ascii="Times New Roman" w:hAnsi="Times New Roman" w:cs="Times New Roman"/>
          <w:sz w:val="24"/>
          <w:szCs w:val="24"/>
        </w:rPr>
        <w:t xml:space="preserve"> projektu ustawy planuje się wprowadzić zmiany w art. 12 ust. 1 ustawy z dnia</w:t>
      </w:r>
      <w:r w:rsidR="009C4708" w:rsidRPr="0018524B">
        <w:rPr>
          <w:rFonts w:ascii="Times New Roman" w:hAnsi="Times New Roman" w:cs="Times New Roman"/>
          <w:sz w:val="24"/>
          <w:szCs w:val="24"/>
        </w:rPr>
        <w:t xml:space="preserve"> </w:t>
      </w:r>
      <w:r w:rsidRPr="0018524B">
        <w:rPr>
          <w:rFonts w:ascii="Times New Roman" w:hAnsi="Times New Roman" w:cs="Times New Roman"/>
          <w:sz w:val="24"/>
          <w:szCs w:val="24"/>
        </w:rPr>
        <w:t>19 listopada 2009 r</w:t>
      </w:r>
      <w:r w:rsidRPr="0018524B">
        <w:rPr>
          <w:rFonts w:ascii="Times New Roman" w:hAnsi="Times New Roman" w:cs="Times New Roman"/>
          <w:i/>
          <w:sz w:val="24"/>
          <w:szCs w:val="24"/>
        </w:rPr>
        <w:t>. o grach hazardowych</w:t>
      </w:r>
      <w:r w:rsidRPr="0018524B">
        <w:rPr>
          <w:rFonts w:ascii="Times New Roman" w:hAnsi="Times New Roman" w:cs="Times New Roman"/>
          <w:sz w:val="24"/>
          <w:szCs w:val="24"/>
        </w:rPr>
        <w:t>. Działalność w zakresie gier hazardowych (przykładowo gier w karty, gier w kości i gier na automatach) może być prowadzona w świetle art. 11 ust. 1 ww. ustawy, między innymi pod warunkiem, że wobec spółki lub jej akcjonariuszy (wspólników) lub członków zarządu, rady nadzorczej lub komisji rewizyjnej lub prokurentów spółki, nie istnieją uzasadnione zastrzeżenia z punktu widzenia bezpieczeństwa państwa, porządku publicznego, bezpieczeństwa interesów ekonomicznych państwa, a także przestrzegania przepisów regulujących przeciwdziałanie praniu pieniędzy oraz finansowaniu terroryzmu. Należy podkreślić, że kategoria osób, w stosunku do których adresowane są powyższe wymogi obejmuje wspólników, akcjonariuszy, członków zarządu, rady nadzorczej, komisji rewizyjnej itd. W celu dokonania pełnej transpozycji art. 47 ust. 1 dyrektywy 2015/849 do krajowego porządku prawnego projektodawca zamierza objąć wymogiem posiadania nienagannej opinii, w szczególności niekaralności również beneficjentów rzeczywistych spółek prowadzących działalność w zakresie o którym mowa w art. 6 ust. 1</w:t>
      </w:r>
      <w:r w:rsidR="00C6045B">
        <w:rPr>
          <w:rFonts w:ascii="Times New Roman" w:hAnsi="Times New Roman" w:cs="Times New Roman"/>
          <w:sz w:val="24"/>
          <w:szCs w:val="24"/>
        </w:rPr>
        <w:t>–</w:t>
      </w:r>
      <w:r w:rsidRPr="0018524B">
        <w:rPr>
          <w:rFonts w:ascii="Times New Roman" w:hAnsi="Times New Roman" w:cs="Times New Roman"/>
          <w:sz w:val="24"/>
          <w:szCs w:val="24"/>
        </w:rPr>
        <w:t xml:space="preserve">3 </w:t>
      </w:r>
      <w:r w:rsidR="009C4708" w:rsidRPr="0018524B">
        <w:rPr>
          <w:rFonts w:ascii="Times New Roman" w:hAnsi="Times New Roman" w:cs="Times New Roman"/>
          <w:sz w:val="24"/>
          <w:szCs w:val="24"/>
        </w:rPr>
        <w:t xml:space="preserve">ustawy z dnia 19 listopada 2009 r. </w:t>
      </w:r>
      <w:r w:rsidR="009C4708" w:rsidRPr="0018524B">
        <w:rPr>
          <w:rFonts w:ascii="Times New Roman" w:hAnsi="Times New Roman" w:cs="Times New Roman"/>
          <w:i/>
          <w:sz w:val="24"/>
          <w:szCs w:val="24"/>
        </w:rPr>
        <w:t>o grach hazardowych</w:t>
      </w:r>
      <w:r w:rsidR="009C4708" w:rsidRPr="0018524B">
        <w:rPr>
          <w:rFonts w:ascii="Times New Roman" w:hAnsi="Times New Roman" w:cs="Times New Roman"/>
          <w:sz w:val="24"/>
          <w:szCs w:val="24"/>
        </w:rPr>
        <w:t>.</w:t>
      </w:r>
      <w:r w:rsidRPr="0018524B">
        <w:rPr>
          <w:rFonts w:ascii="Times New Roman" w:hAnsi="Times New Roman" w:cs="Times New Roman"/>
          <w:sz w:val="24"/>
          <w:szCs w:val="24"/>
        </w:rPr>
        <w:t xml:space="preserve"> </w:t>
      </w:r>
    </w:p>
    <w:p w14:paraId="7EA7C3E0" w14:textId="5711C65E" w:rsidR="00ED2506" w:rsidRPr="0018524B" w:rsidRDefault="00ED2506" w:rsidP="00ED2506">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W </w:t>
      </w:r>
      <w:r w:rsidRPr="0018524B">
        <w:rPr>
          <w:rFonts w:ascii="Times New Roman" w:hAnsi="Times New Roman" w:cs="Times New Roman"/>
          <w:b/>
          <w:sz w:val="24"/>
          <w:szCs w:val="24"/>
        </w:rPr>
        <w:t>art. 6</w:t>
      </w:r>
      <w:r w:rsidRPr="0018524B">
        <w:rPr>
          <w:rFonts w:ascii="Times New Roman" w:hAnsi="Times New Roman" w:cs="Times New Roman"/>
          <w:sz w:val="24"/>
          <w:szCs w:val="24"/>
        </w:rPr>
        <w:t xml:space="preserve"> projektu ustawy planuje się wprowadzić zmianę w art. 5 ust. 1 ustawy z dnia</w:t>
      </w:r>
      <w:r w:rsidR="00F10481" w:rsidRPr="0018524B">
        <w:rPr>
          <w:rFonts w:ascii="Times New Roman" w:hAnsi="Times New Roman" w:cs="Times New Roman"/>
          <w:sz w:val="24"/>
          <w:szCs w:val="24"/>
        </w:rPr>
        <w:t xml:space="preserve"> </w:t>
      </w:r>
      <w:r w:rsidRPr="0018524B">
        <w:rPr>
          <w:rFonts w:ascii="Times New Roman" w:hAnsi="Times New Roman" w:cs="Times New Roman"/>
          <w:sz w:val="24"/>
          <w:szCs w:val="24"/>
        </w:rPr>
        <w:t xml:space="preserve">10 czerwca 2016 r. </w:t>
      </w:r>
      <w:r w:rsidRPr="0018524B">
        <w:rPr>
          <w:rFonts w:ascii="Times New Roman" w:hAnsi="Times New Roman" w:cs="Times New Roman"/>
          <w:i/>
          <w:sz w:val="24"/>
          <w:szCs w:val="24"/>
        </w:rPr>
        <w:t>o działaniach antyterrorystycznych</w:t>
      </w:r>
      <w:r w:rsidRPr="0018524B">
        <w:rPr>
          <w:rFonts w:ascii="Times New Roman" w:hAnsi="Times New Roman" w:cs="Times New Roman"/>
          <w:sz w:val="24"/>
          <w:szCs w:val="24"/>
        </w:rPr>
        <w:t xml:space="preserve"> mającą na celu uzupełnienie katalogu organów i podmiotów, z którymi Szef Agencji Bezpieczeństwa Wewnętrznego w celu realizacji ustawowych zadań, wymienia informacje dotyczące zdarzeń o charakterze terrorystycznym o Generalnego Inspektora Informacji Finansowej. Proponowane rozwiązanie ma przywrócić regulacje odnoszącą się do Generalnego Inspektora, która obowiązywała w stanie prawnym przed dniem 1 marca 2017 r. tj. przed dniem wejścia w życie przepisów ustawy z dnia 1</w:t>
      </w:r>
      <w:r w:rsidR="00201625">
        <w:rPr>
          <w:rFonts w:ascii="Times New Roman" w:hAnsi="Times New Roman" w:cs="Times New Roman"/>
          <w:sz w:val="24"/>
          <w:szCs w:val="24"/>
        </w:rPr>
        <w:t>6</w:t>
      </w:r>
      <w:r w:rsidRPr="0018524B">
        <w:rPr>
          <w:rFonts w:ascii="Times New Roman" w:hAnsi="Times New Roman" w:cs="Times New Roman"/>
          <w:sz w:val="24"/>
          <w:szCs w:val="24"/>
        </w:rPr>
        <w:t xml:space="preserve"> </w:t>
      </w:r>
      <w:r w:rsidR="00201625">
        <w:rPr>
          <w:rFonts w:ascii="Times New Roman" w:hAnsi="Times New Roman" w:cs="Times New Roman"/>
          <w:sz w:val="24"/>
          <w:szCs w:val="24"/>
        </w:rPr>
        <w:t>listopada</w:t>
      </w:r>
      <w:r w:rsidR="00201625" w:rsidRPr="0018524B">
        <w:rPr>
          <w:rFonts w:ascii="Times New Roman" w:hAnsi="Times New Roman" w:cs="Times New Roman"/>
          <w:sz w:val="24"/>
          <w:szCs w:val="24"/>
        </w:rPr>
        <w:t xml:space="preserve"> </w:t>
      </w:r>
      <w:r w:rsidRPr="0018524B">
        <w:rPr>
          <w:rFonts w:ascii="Times New Roman" w:hAnsi="Times New Roman" w:cs="Times New Roman"/>
          <w:sz w:val="24"/>
          <w:szCs w:val="24"/>
        </w:rPr>
        <w:t xml:space="preserve">2016 r. </w:t>
      </w:r>
      <w:r w:rsidR="00360048">
        <w:rPr>
          <w:rFonts w:ascii="Times New Roman" w:hAnsi="Times New Roman" w:cs="Times New Roman"/>
          <w:sz w:val="24"/>
          <w:szCs w:val="24"/>
        </w:rPr>
        <w:t xml:space="preserve">– </w:t>
      </w:r>
      <w:r w:rsidR="00360048">
        <w:rPr>
          <w:rFonts w:ascii="Times New Roman" w:hAnsi="Times New Roman" w:cs="Times New Roman"/>
          <w:i/>
          <w:sz w:val="24"/>
          <w:szCs w:val="24"/>
        </w:rPr>
        <w:t>P</w:t>
      </w:r>
      <w:r w:rsidRPr="0018524B">
        <w:rPr>
          <w:rFonts w:ascii="Times New Roman" w:hAnsi="Times New Roman" w:cs="Times New Roman"/>
          <w:i/>
          <w:sz w:val="24"/>
          <w:szCs w:val="24"/>
        </w:rPr>
        <w:t>rzepisy wprowadzające ustawę o Krajowej Administracji Skarbowej</w:t>
      </w:r>
      <w:r w:rsidRPr="0018524B">
        <w:rPr>
          <w:rFonts w:ascii="Times New Roman" w:hAnsi="Times New Roman" w:cs="Times New Roman"/>
          <w:sz w:val="24"/>
          <w:szCs w:val="24"/>
        </w:rPr>
        <w:t xml:space="preserve"> (Dz.U. poz. </w:t>
      </w:r>
      <w:r w:rsidR="00201625">
        <w:rPr>
          <w:rFonts w:ascii="Times New Roman" w:hAnsi="Times New Roman" w:cs="Times New Roman"/>
          <w:sz w:val="24"/>
          <w:szCs w:val="24"/>
        </w:rPr>
        <w:t>1948, z późn. zm.</w:t>
      </w:r>
      <w:r w:rsidRPr="0018524B">
        <w:rPr>
          <w:rFonts w:ascii="Times New Roman" w:hAnsi="Times New Roman" w:cs="Times New Roman"/>
          <w:sz w:val="24"/>
          <w:szCs w:val="24"/>
        </w:rPr>
        <w:t xml:space="preserve">). </w:t>
      </w:r>
    </w:p>
    <w:p w14:paraId="05125FE4" w14:textId="5FF3EC5F" w:rsidR="00ED2506" w:rsidRPr="0018524B" w:rsidRDefault="00ED2506" w:rsidP="00ED2506">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W </w:t>
      </w:r>
      <w:r w:rsidRPr="0018524B">
        <w:rPr>
          <w:rFonts w:ascii="Times New Roman" w:hAnsi="Times New Roman" w:cs="Times New Roman"/>
          <w:b/>
          <w:sz w:val="24"/>
          <w:szCs w:val="24"/>
        </w:rPr>
        <w:t>art. 7</w:t>
      </w:r>
      <w:r w:rsidRPr="0018524B">
        <w:rPr>
          <w:rFonts w:ascii="Times New Roman" w:hAnsi="Times New Roman" w:cs="Times New Roman"/>
          <w:sz w:val="24"/>
          <w:szCs w:val="24"/>
        </w:rPr>
        <w:t xml:space="preserve"> projektu ustawy planuje się wprowadzić zmianę w art. 46 ustawy </w:t>
      </w:r>
      <w:r w:rsidR="00F10481" w:rsidRPr="0018524B">
        <w:rPr>
          <w:rFonts w:ascii="Times New Roman" w:hAnsi="Times New Roman" w:cs="Times New Roman"/>
          <w:sz w:val="24"/>
          <w:szCs w:val="24"/>
        </w:rPr>
        <w:t xml:space="preserve">z dnia 16 listopada 2016 r. </w:t>
      </w:r>
      <w:r w:rsidRPr="0018524B">
        <w:rPr>
          <w:rFonts w:ascii="Times New Roman" w:hAnsi="Times New Roman" w:cs="Times New Roman"/>
          <w:i/>
          <w:sz w:val="24"/>
          <w:szCs w:val="24"/>
        </w:rPr>
        <w:t>o Krajowej Administracji Skarbowej</w:t>
      </w:r>
      <w:r w:rsidRPr="0018524B">
        <w:rPr>
          <w:rFonts w:ascii="Times New Roman" w:hAnsi="Times New Roman" w:cs="Times New Roman"/>
          <w:sz w:val="24"/>
          <w:szCs w:val="24"/>
        </w:rPr>
        <w:t xml:space="preserve"> stanowiącą podstawę prawną do pozyskiwania przez Szefa Krajowej Administracji Skarbowej danych zgromadzonych w zbiorach danych organów i podmiotów o których mowa w art. 46 ust. 2 tej ustawy, w tym informacji od Generalnego Inspektora o tzw. „transakcjach ponadprogowych” bez konieczności składania każdorazowo pisemnych wniosków o udostępnienie takich danych. Ponadto projektowany przepis określa warunki techniczne dla jednostek organizacyjnych Krajowej Administracji Skarbowej niezbędne do pozyskania w drodze teletransmisji takich danych.</w:t>
      </w:r>
      <w:r w:rsidR="00733C2F" w:rsidRPr="0018524B">
        <w:rPr>
          <w:rFonts w:ascii="Times New Roman" w:hAnsi="Times New Roman" w:cs="Times New Roman"/>
          <w:sz w:val="24"/>
          <w:szCs w:val="24"/>
        </w:rPr>
        <w:t xml:space="preserve"> Projektowana regulacja powiela obowiązujące w aktualnym stanie prawnym rozwiązanie przewidziane dla Centralnego Biura Antykorupcyjnego i Szefa Agencji Bezpieczeństwa Wewnętrznego.</w:t>
      </w:r>
    </w:p>
    <w:p w14:paraId="2CF55684" w14:textId="1F6FAD2C" w:rsidR="00ED2506" w:rsidRPr="0018524B" w:rsidRDefault="00ED2506" w:rsidP="00ED2506">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lastRenderedPageBreak/>
        <w:t xml:space="preserve">Na mocy </w:t>
      </w:r>
      <w:r w:rsidRPr="0018524B">
        <w:rPr>
          <w:rFonts w:ascii="Times New Roman" w:hAnsi="Times New Roman" w:cs="Times New Roman"/>
          <w:b/>
          <w:sz w:val="24"/>
          <w:szCs w:val="24"/>
        </w:rPr>
        <w:t xml:space="preserve">art. 8 </w:t>
      </w:r>
      <w:r w:rsidRPr="0018524B">
        <w:rPr>
          <w:rFonts w:ascii="Times New Roman" w:hAnsi="Times New Roman" w:cs="Times New Roman"/>
          <w:sz w:val="24"/>
          <w:szCs w:val="24"/>
        </w:rPr>
        <w:t>projektu ustawy zostaną utworzone rejestry działalności regulowanej, o których mowa odpowiednio w art. 129a i art. 129</w:t>
      </w:r>
      <w:r w:rsidR="002661D8" w:rsidRPr="0018524B">
        <w:rPr>
          <w:rFonts w:ascii="Times New Roman" w:hAnsi="Times New Roman" w:cs="Times New Roman"/>
          <w:sz w:val="24"/>
          <w:szCs w:val="24"/>
        </w:rPr>
        <w:t>n</w:t>
      </w:r>
      <w:r w:rsidRPr="0018524B">
        <w:rPr>
          <w:rFonts w:ascii="Times New Roman" w:hAnsi="Times New Roman" w:cs="Times New Roman"/>
          <w:sz w:val="24"/>
          <w:szCs w:val="24"/>
        </w:rPr>
        <w:t xml:space="preserve"> ustawy zmienianej w art. 1 projektu tj. rejestr działalności na rzecz spółek lub trustów oraz rejestr działalności w zakresie walut wirtualnych. Dla obu tych rejestrów organem właściwym do ich prowadzenia będzie minister właściwy do spraw finansów publicznych. </w:t>
      </w:r>
    </w:p>
    <w:p w14:paraId="50657A1A" w14:textId="4E8EC5D2" w:rsidR="009A2C76" w:rsidRPr="0018524B" w:rsidRDefault="00733C2F" w:rsidP="009A2C76">
      <w:pPr>
        <w:spacing w:before="120" w:after="0" w:line="360" w:lineRule="auto"/>
        <w:jc w:val="both"/>
        <w:rPr>
          <w:rFonts w:ascii="Times New Roman" w:hAnsi="Times New Roman" w:cs="Times New Roman"/>
          <w:sz w:val="24"/>
          <w:szCs w:val="24"/>
        </w:rPr>
      </w:pPr>
      <w:r w:rsidRPr="0018524B">
        <w:rPr>
          <w:rFonts w:ascii="Times New Roman" w:hAnsi="Times New Roman" w:cs="Times New Roman"/>
          <w:sz w:val="24"/>
          <w:szCs w:val="24"/>
          <w:lang w:eastAsia="ar-SA"/>
        </w:rPr>
        <w:t xml:space="preserve">W </w:t>
      </w:r>
      <w:r w:rsidRPr="0018524B">
        <w:rPr>
          <w:rFonts w:ascii="Times New Roman" w:hAnsi="Times New Roman" w:cs="Times New Roman"/>
          <w:b/>
          <w:sz w:val="24"/>
          <w:szCs w:val="24"/>
          <w:lang w:eastAsia="ar-SA"/>
        </w:rPr>
        <w:t xml:space="preserve">art. </w:t>
      </w:r>
      <w:r w:rsidR="002661D8" w:rsidRPr="0018524B">
        <w:rPr>
          <w:rFonts w:ascii="Times New Roman" w:hAnsi="Times New Roman" w:cs="Times New Roman"/>
          <w:b/>
          <w:sz w:val="24"/>
          <w:szCs w:val="24"/>
          <w:lang w:eastAsia="ar-SA"/>
        </w:rPr>
        <w:t>9</w:t>
      </w:r>
      <w:r w:rsidR="00C6045B">
        <w:rPr>
          <w:rFonts w:ascii="Times New Roman" w:hAnsi="Times New Roman" w:cs="Times New Roman"/>
          <w:b/>
          <w:sz w:val="24"/>
          <w:szCs w:val="24"/>
          <w:lang w:eastAsia="ar-SA"/>
        </w:rPr>
        <w:t>–</w:t>
      </w:r>
      <w:r w:rsidR="00F10481" w:rsidRPr="0018524B">
        <w:rPr>
          <w:rFonts w:ascii="Times New Roman" w:hAnsi="Times New Roman" w:cs="Times New Roman"/>
          <w:b/>
          <w:sz w:val="24"/>
          <w:szCs w:val="24"/>
          <w:lang w:eastAsia="ar-SA"/>
        </w:rPr>
        <w:t>1</w:t>
      </w:r>
      <w:r w:rsidR="007F63A1">
        <w:rPr>
          <w:rFonts w:ascii="Times New Roman" w:hAnsi="Times New Roman" w:cs="Times New Roman"/>
          <w:b/>
          <w:sz w:val="24"/>
          <w:szCs w:val="24"/>
          <w:lang w:eastAsia="ar-SA"/>
        </w:rPr>
        <w:t>9</w:t>
      </w:r>
      <w:r w:rsidRPr="0018524B">
        <w:rPr>
          <w:rFonts w:ascii="Times New Roman" w:hAnsi="Times New Roman" w:cs="Times New Roman"/>
          <w:sz w:val="24"/>
          <w:szCs w:val="24"/>
          <w:lang w:eastAsia="ar-SA"/>
        </w:rPr>
        <w:t xml:space="preserve"> </w:t>
      </w:r>
      <w:r w:rsidRPr="0018524B">
        <w:rPr>
          <w:rFonts w:ascii="Times New Roman" w:hAnsi="Times New Roman" w:cs="Times New Roman"/>
          <w:sz w:val="24"/>
          <w:szCs w:val="24"/>
        </w:rPr>
        <w:t xml:space="preserve">projektu ustawy określono przepisy przejściowe określające zasady funkcjonowania podmiotów prowadzących działalność w zakresie przepisów dotychczas obowiązującej ustawy, po wejściu w życie znowelizowanych przepisów. </w:t>
      </w:r>
    </w:p>
    <w:p w14:paraId="281D7818" w14:textId="6BCBD2CA" w:rsidR="009A2C76" w:rsidRDefault="009A2C76" w:rsidP="009A2C76">
      <w:pPr>
        <w:spacing w:before="120" w:after="0" w:line="360" w:lineRule="auto"/>
        <w:jc w:val="both"/>
        <w:rPr>
          <w:rFonts w:ascii="Times New Roman" w:hAnsi="Times New Roman" w:cs="Times New Roman"/>
          <w:sz w:val="24"/>
          <w:szCs w:val="24"/>
        </w:rPr>
      </w:pPr>
      <w:r w:rsidRPr="0018524B">
        <w:rPr>
          <w:rFonts w:ascii="Times New Roman" w:hAnsi="Times New Roman" w:cs="Times New Roman"/>
          <w:sz w:val="24"/>
          <w:szCs w:val="24"/>
        </w:rPr>
        <w:t xml:space="preserve">W </w:t>
      </w:r>
      <w:r w:rsidRPr="0018524B">
        <w:rPr>
          <w:rFonts w:ascii="Times New Roman" w:hAnsi="Times New Roman" w:cs="Times New Roman"/>
          <w:b/>
          <w:sz w:val="24"/>
          <w:szCs w:val="24"/>
        </w:rPr>
        <w:t>art. 9</w:t>
      </w:r>
      <w:r w:rsidRPr="0018524B">
        <w:rPr>
          <w:rFonts w:ascii="Times New Roman" w:hAnsi="Times New Roman" w:cs="Times New Roman"/>
          <w:sz w:val="24"/>
          <w:szCs w:val="24"/>
        </w:rPr>
        <w:t xml:space="preserve"> projektu ustawy przewidziano, że nowe informacje obowiązkowo uwzględniane w sprawozdaniu Generalnego Inspektora zgodnie z art. 14 ust. 2 ustawy o p.p.p.f.t., będą zawarte w sprawozdaniu za rok 202</w:t>
      </w:r>
      <w:r w:rsidR="007F63A1">
        <w:rPr>
          <w:rFonts w:ascii="Times New Roman" w:hAnsi="Times New Roman" w:cs="Times New Roman"/>
          <w:sz w:val="24"/>
          <w:szCs w:val="24"/>
        </w:rPr>
        <w:t>1</w:t>
      </w:r>
      <w:r w:rsidRPr="0018524B">
        <w:rPr>
          <w:rFonts w:ascii="Times New Roman" w:hAnsi="Times New Roman" w:cs="Times New Roman"/>
          <w:sz w:val="24"/>
          <w:szCs w:val="24"/>
        </w:rPr>
        <w:t xml:space="preserve">. </w:t>
      </w:r>
    </w:p>
    <w:p w14:paraId="6638B722" w14:textId="73F61E28" w:rsidR="007F63A1" w:rsidRPr="007F63A1" w:rsidRDefault="007F63A1" w:rsidP="007F63A1">
      <w:pPr>
        <w:pStyle w:val="ARTartustawynprozporzdzenia"/>
        <w:ind w:firstLine="0"/>
        <w:rPr>
          <w:rFonts w:ascii="Times New Roman" w:eastAsiaTheme="minorHAnsi" w:hAnsi="Times New Roman" w:cs="Times New Roman"/>
          <w:szCs w:val="24"/>
          <w:lang w:eastAsia="en-US"/>
        </w:rPr>
      </w:pPr>
      <w:r w:rsidRPr="003B086E">
        <w:rPr>
          <w:rFonts w:ascii="Times New Roman" w:eastAsiaTheme="minorHAnsi" w:hAnsi="Times New Roman" w:cs="Times New Roman"/>
          <w:szCs w:val="24"/>
          <w:lang w:eastAsia="en-US"/>
        </w:rPr>
        <w:t>W</w:t>
      </w:r>
      <w:r w:rsidRPr="00C241CB">
        <w:rPr>
          <w:rFonts w:ascii="Times New Roman" w:eastAsiaTheme="minorHAnsi" w:hAnsi="Times New Roman" w:cs="Times New Roman"/>
          <w:szCs w:val="24"/>
          <w:lang w:eastAsia="en-US"/>
        </w:rPr>
        <w:t xml:space="preserve"> </w:t>
      </w:r>
      <w:r w:rsidRPr="007F63A1">
        <w:rPr>
          <w:rFonts w:ascii="Times New Roman" w:hAnsi="Times New Roman" w:cs="Times New Roman"/>
          <w:b/>
          <w:szCs w:val="24"/>
        </w:rPr>
        <w:t>art. 10</w:t>
      </w:r>
      <w:r w:rsidRPr="007F63A1">
        <w:rPr>
          <w:rFonts w:ascii="Times New Roman" w:eastAsiaTheme="minorHAnsi" w:hAnsi="Times New Roman" w:cs="Times New Roman"/>
          <w:szCs w:val="24"/>
          <w:lang w:eastAsia="en-US"/>
        </w:rPr>
        <w:t xml:space="preserve"> projektu ustawy </w:t>
      </w:r>
      <w:r>
        <w:rPr>
          <w:rFonts w:ascii="Times New Roman" w:eastAsiaTheme="minorHAnsi" w:hAnsi="Times New Roman" w:cs="Times New Roman"/>
          <w:szCs w:val="24"/>
          <w:lang w:eastAsia="en-US"/>
        </w:rPr>
        <w:t>wskazano, że rok 2021 będzie pierwszym rokiem kalendarzowym, za który podmioty, o których mowa w art. 130 ust. 2 ustawy</w:t>
      </w:r>
      <w:r w:rsidRPr="00C241CB">
        <w:rPr>
          <w:rFonts w:ascii="Times New Roman" w:eastAsiaTheme="minorHAnsi" w:hAnsi="Times New Roman" w:cs="Times New Roman"/>
          <w:szCs w:val="24"/>
          <w:lang w:eastAsia="en-US"/>
        </w:rPr>
        <w:t xml:space="preserve"> </w:t>
      </w:r>
      <w:r>
        <w:rPr>
          <w:rFonts w:ascii="Times New Roman" w:eastAsiaTheme="minorHAnsi" w:hAnsi="Times New Roman" w:cs="Times New Roman"/>
          <w:szCs w:val="24"/>
          <w:lang w:eastAsia="en-US"/>
        </w:rPr>
        <w:t>będą przekazywać do Generalnego Inspektora posiadane informacje</w:t>
      </w:r>
      <w:r w:rsidRPr="00C241CB">
        <w:rPr>
          <w:rFonts w:ascii="Times New Roman" w:eastAsiaTheme="minorHAnsi" w:hAnsi="Times New Roman" w:cs="Times New Roman"/>
          <w:szCs w:val="24"/>
          <w:lang w:eastAsia="en-US"/>
        </w:rPr>
        <w:t xml:space="preserve"> </w:t>
      </w:r>
      <w:r w:rsidRPr="007F63A1">
        <w:rPr>
          <w:rFonts w:ascii="Times New Roman" w:eastAsiaTheme="minorHAnsi" w:hAnsi="Times New Roman" w:cs="Times New Roman"/>
          <w:szCs w:val="24"/>
          <w:lang w:eastAsia="en-US"/>
        </w:rPr>
        <w:t>o zakresie zadań związanych z przeciwdziałaniem praniu pieniędzy oraz finansowaniu terroryzmu, w szczególności uwzględniające dane na temat zasobów ludzkich i finansowych zaangażowanych w realizację przez nich tych zadań</w:t>
      </w:r>
      <w:r>
        <w:rPr>
          <w:rFonts w:ascii="Times New Roman" w:eastAsiaTheme="minorHAnsi" w:hAnsi="Times New Roman" w:cs="Times New Roman"/>
          <w:szCs w:val="24"/>
          <w:lang w:eastAsia="en-US"/>
        </w:rPr>
        <w:t xml:space="preserve"> (tj. informacje o których mowa w dodawanym w </w:t>
      </w:r>
      <w:r w:rsidRPr="00C241CB">
        <w:rPr>
          <w:rFonts w:ascii="Times New Roman" w:eastAsiaTheme="minorHAnsi" w:hAnsi="Times New Roman" w:cs="Times New Roman"/>
          <w:szCs w:val="24"/>
          <w:lang w:eastAsia="en-US"/>
        </w:rPr>
        <w:t xml:space="preserve">art. 14 ust. 2 </w:t>
      </w:r>
      <w:r>
        <w:rPr>
          <w:rFonts w:ascii="Times New Roman" w:eastAsiaTheme="minorHAnsi" w:hAnsi="Times New Roman" w:cs="Times New Roman"/>
          <w:szCs w:val="24"/>
          <w:lang w:eastAsia="en-US"/>
        </w:rPr>
        <w:t xml:space="preserve">pkt 16 projektu </w:t>
      </w:r>
      <w:r w:rsidRPr="00C241CB">
        <w:rPr>
          <w:rFonts w:ascii="Times New Roman" w:eastAsiaTheme="minorHAnsi" w:hAnsi="Times New Roman" w:cs="Times New Roman"/>
          <w:szCs w:val="24"/>
          <w:lang w:eastAsia="en-US"/>
        </w:rPr>
        <w:t>ustawy</w:t>
      </w:r>
      <w:r>
        <w:rPr>
          <w:rFonts w:ascii="Times New Roman" w:eastAsiaTheme="minorHAnsi" w:hAnsi="Times New Roman" w:cs="Times New Roman"/>
          <w:szCs w:val="24"/>
          <w:lang w:eastAsia="en-US"/>
        </w:rPr>
        <w:t>)</w:t>
      </w:r>
      <w:r w:rsidRPr="00C241CB">
        <w:rPr>
          <w:rFonts w:ascii="Times New Roman" w:eastAsiaTheme="minorHAnsi" w:hAnsi="Times New Roman" w:cs="Times New Roman"/>
          <w:szCs w:val="24"/>
          <w:lang w:eastAsia="en-US"/>
        </w:rPr>
        <w:t>.</w:t>
      </w:r>
    </w:p>
    <w:p w14:paraId="0D94FB93" w14:textId="6F48F20F" w:rsidR="009A2C76" w:rsidRPr="0018524B" w:rsidRDefault="009A2C76" w:rsidP="009A2C76">
      <w:pPr>
        <w:spacing w:before="120" w:after="0" w:line="360" w:lineRule="auto"/>
        <w:jc w:val="both"/>
        <w:rPr>
          <w:rFonts w:ascii="Times New Roman" w:hAnsi="Times New Roman" w:cs="Times New Roman"/>
          <w:sz w:val="24"/>
          <w:szCs w:val="24"/>
        </w:rPr>
      </w:pPr>
      <w:r w:rsidRPr="0018524B">
        <w:rPr>
          <w:rFonts w:ascii="Times New Roman" w:hAnsi="Times New Roman" w:cs="Times New Roman"/>
          <w:sz w:val="24"/>
          <w:szCs w:val="24"/>
        </w:rPr>
        <w:t xml:space="preserve">W </w:t>
      </w:r>
      <w:r w:rsidRPr="007F63A1">
        <w:rPr>
          <w:rFonts w:ascii="Times New Roman" w:hAnsi="Times New Roman" w:cs="Times New Roman"/>
          <w:b/>
          <w:sz w:val="24"/>
          <w:szCs w:val="24"/>
        </w:rPr>
        <w:t>art. 1</w:t>
      </w:r>
      <w:r w:rsidR="007F63A1">
        <w:rPr>
          <w:rFonts w:ascii="Times New Roman" w:hAnsi="Times New Roman" w:cs="Times New Roman"/>
          <w:b/>
          <w:sz w:val="24"/>
          <w:szCs w:val="24"/>
        </w:rPr>
        <w:t>1</w:t>
      </w:r>
      <w:r w:rsidRPr="0018524B">
        <w:rPr>
          <w:rFonts w:ascii="Times New Roman" w:hAnsi="Times New Roman" w:cs="Times New Roman"/>
          <w:sz w:val="24"/>
          <w:szCs w:val="24"/>
        </w:rPr>
        <w:t xml:space="preserve"> projektu ustawy wskazano, że sprawozdanie o którym mowa w art. 14 ust. 1 ustawy o p.p.p.f.t., Generalny Inspektor przekazuje Komisji Europejskiej po raz pierwszy za rok 202</w:t>
      </w:r>
      <w:r w:rsidR="00C55278">
        <w:rPr>
          <w:rFonts w:ascii="Times New Roman" w:hAnsi="Times New Roman" w:cs="Times New Roman"/>
          <w:sz w:val="24"/>
          <w:szCs w:val="24"/>
        </w:rPr>
        <w:t>0</w:t>
      </w:r>
      <w:r w:rsidRPr="0018524B">
        <w:rPr>
          <w:rFonts w:ascii="Times New Roman" w:hAnsi="Times New Roman" w:cs="Times New Roman"/>
          <w:sz w:val="24"/>
          <w:szCs w:val="24"/>
        </w:rPr>
        <w:t xml:space="preserve">. </w:t>
      </w:r>
    </w:p>
    <w:p w14:paraId="2783FB7D" w14:textId="32C2B60B" w:rsidR="009A2C76" w:rsidRPr="0018524B" w:rsidRDefault="009A2C76" w:rsidP="009A2C76">
      <w:pPr>
        <w:spacing w:before="120" w:after="0" w:line="360" w:lineRule="auto"/>
        <w:jc w:val="both"/>
        <w:rPr>
          <w:rFonts w:ascii="Times New Roman" w:hAnsi="Times New Roman" w:cs="Times New Roman"/>
          <w:sz w:val="24"/>
          <w:szCs w:val="24"/>
        </w:rPr>
      </w:pPr>
      <w:r w:rsidRPr="0018524B">
        <w:rPr>
          <w:rFonts w:ascii="Times New Roman" w:hAnsi="Times New Roman" w:cs="Times New Roman"/>
          <w:sz w:val="24"/>
          <w:szCs w:val="24"/>
        </w:rPr>
        <w:t xml:space="preserve">Zgodnie z </w:t>
      </w:r>
      <w:r w:rsidRPr="0018524B">
        <w:rPr>
          <w:rFonts w:ascii="Times New Roman" w:hAnsi="Times New Roman" w:cs="Times New Roman"/>
          <w:b/>
          <w:sz w:val="24"/>
          <w:szCs w:val="24"/>
        </w:rPr>
        <w:t>art. 1</w:t>
      </w:r>
      <w:r w:rsidR="007F63A1">
        <w:rPr>
          <w:rFonts w:ascii="Times New Roman" w:hAnsi="Times New Roman" w:cs="Times New Roman"/>
          <w:b/>
          <w:sz w:val="24"/>
          <w:szCs w:val="24"/>
        </w:rPr>
        <w:t>2</w:t>
      </w:r>
      <w:r w:rsidRPr="0018524B">
        <w:rPr>
          <w:rFonts w:ascii="Times New Roman" w:hAnsi="Times New Roman" w:cs="Times New Roman"/>
          <w:sz w:val="24"/>
          <w:szCs w:val="24"/>
        </w:rPr>
        <w:t xml:space="preserve"> projektu ustawy, przekazanie Komisji Europejskiej oraz europejskim organom nadzoru krajowej oceny ryzyka nastąpi w terminie do 30 dni od dnia wejścia w życie ustawy. </w:t>
      </w:r>
    </w:p>
    <w:p w14:paraId="0D53B006" w14:textId="2BBFEBC1" w:rsidR="009A2C76" w:rsidRPr="0018524B" w:rsidRDefault="009A2C76" w:rsidP="009A2C76">
      <w:pPr>
        <w:spacing w:before="120" w:after="0" w:line="360" w:lineRule="auto"/>
        <w:jc w:val="both"/>
        <w:rPr>
          <w:rFonts w:ascii="Times New Roman" w:hAnsi="Times New Roman" w:cs="Times New Roman"/>
          <w:sz w:val="24"/>
          <w:szCs w:val="24"/>
        </w:rPr>
      </w:pPr>
      <w:r w:rsidRPr="0018524B">
        <w:rPr>
          <w:rFonts w:ascii="Times New Roman" w:hAnsi="Times New Roman" w:cs="Times New Roman"/>
          <w:sz w:val="24"/>
          <w:szCs w:val="24"/>
        </w:rPr>
        <w:t xml:space="preserve">W </w:t>
      </w:r>
      <w:r w:rsidRPr="0018524B">
        <w:rPr>
          <w:rFonts w:ascii="Times New Roman" w:hAnsi="Times New Roman" w:cs="Times New Roman"/>
          <w:b/>
          <w:sz w:val="24"/>
          <w:szCs w:val="24"/>
        </w:rPr>
        <w:t>art. 1</w:t>
      </w:r>
      <w:r w:rsidR="007F63A1">
        <w:rPr>
          <w:rFonts w:ascii="Times New Roman" w:hAnsi="Times New Roman" w:cs="Times New Roman"/>
          <w:b/>
          <w:sz w:val="24"/>
          <w:szCs w:val="24"/>
        </w:rPr>
        <w:t>3</w:t>
      </w:r>
      <w:r w:rsidRPr="0018524B">
        <w:rPr>
          <w:rFonts w:ascii="Times New Roman" w:hAnsi="Times New Roman" w:cs="Times New Roman"/>
          <w:sz w:val="24"/>
          <w:szCs w:val="24"/>
        </w:rPr>
        <w:t xml:space="preserve"> projektu ustawy przewidziano, że pierwszym rokiem</w:t>
      </w:r>
      <w:r w:rsidR="007F63A1">
        <w:rPr>
          <w:rFonts w:ascii="Times New Roman" w:hAnsi="Times New Roman" w:cs="Times New Roman"/>
          <w:sz w:val="24"/>
          <w:szCs w:val="24"/>
        </w:rPr>
        <w:t xml:space="preserve"> kalendarzowym</w:t>
      </w:r>
      <w:r w:rsidRPr="0018524B">
        <w:rPr>
          <w:rFonts w:ascii="Times New Roman" w:hAnsi="Times New Roman" w:cs="Times New Roman"/>
          <w:sz w:val="24"/>
          <w:szCs w:val="24"/>
        </w:rPr>
        <w:t xml:space="preserve"> stosowania przez instytucje obowiązane środków bezpieczeństwa finansowego w przypadku, o którym </w:t>
      </w:r>
      <w:r w:rsidR="00201625">
        <w:rPr>
          <w:rFonts w:ascii="Times New Roman" w:hAnsi="Times New Roman" w:cs="Times New Roman"/>
          <w:sz w:val="24"/>
          <w:szCs w:val="24"/>
        </w:rPr>
        <w:t xml:space="preserve">mowa </w:t>
      </w:r>
      <w:r w:rsidRPr="0018524B">
        <w:rPr>
          <w:rFonts w:ascii="Times New Roman" w:hAnsi="Times New Roman" w:cs="Times New Roman"/>
          <w:sz w:val="24"/>
          <w:szCs w:val="24"/>
        </w:rPr>
        <w:t xml:space="preserve">w art. 35 ust. 2 pkt 3 ustawy o p.p.p.f.t. (w znowelizowanym brzmieniu), jest rok 2021. </w:t>
      </w:r>
    </w:p>
    <w:p w14:paraId="5E947FD7" w14:textId="301965BA" w:rsidR="009A2C76" w:rsidRPr="0018524B" w:rsidRDefault="009A2C76" w:rsidP="009A2C76">
      <w:pPr>
        <w:spacing w:before="120" w:after="0" w:line="360" w:lineRule="auto"/>
        <w:jc w:val="both"/>
        <w:rPr>
          <w:rFonts w:ascii="Times New Roman" w:hAnsi="Times New Roman" w:cs="Times New Roman"/>
          <w:sz w:val="24"/>
          <w:szCs w:val="24"/>
        </w:rPr>
      </w:pPr>
      <w:r w:rsidRPr="0018524B">
        <w:rPr>
          <w:rFonts w:ascii="Times New Roman" w:hAnsi="Times New Roman" w:cs="Times New Roman"/>
          <w:sz w:val="24"/>
          <w:szCs w:val="24"/>
        </w:rPr>
        <w:t xml:space="preserve">W </w:t>
      </w:r>
      <w:r w:rsidRPr="0018524B">
        <w:rPr>
          <w:rFonts w:ascii="Times New Roman" w:hAnsi="Times New Roman" w:cs="Times New Roman"/>
          <w:b/>
          <w:sz w:val="24"/>
          <w:szCs w:val="24"/>
        </w:rPr>
        <w:t>art. 1</w:t>
      </w:r>
      <w:r w:rsidR="007F63A1">
        <w:rPr>
          <w:rFonts w:ascii="Times New Roman" w:hAnsi="Times New Roman" w:cs="Times New Roman"/>
          <w:b/>
          <w:sz w:val="24"/>
          <w:szCs w:val="24"/>
        </w:rPr>
        <w:t>4</w:t>
      </w:r>
      <w:r w:rsidRPr="0018524B">
        <w:rPr>
          <w:rFonts w:ascii="Times New Roman" w:hAnsi="Times New Roman" w:cs="Times New Roman"/>
          <w:sz w:val="24"/>
          <w:szCs w:val="24"/>
        </w:rPr>
        <w:t xml:space="preserve"> projektu ustawy przewidziano, że podmioty</w:t>
      </w:r>
      <w:r w:rsidR="006A1D89">
        <w:rPr>
          <w:rFonts w:ascii="Times New Roman" w:hAnsi="Times New Roman" w:cs="Times New Roman"/>
          <w:sz w:val="24"/>
          <w:szCs w:val="24"/>
        </w:rPr>
        <w:t>,</w:t>
      </w:r>
      <w:r w:rsidRPr="0018524B">
        <w:rPr>
          <w:rFonts w:ascii="Times New Roman" w:hAnsi="Times New Roman" w:cs="Times New Roman"/>
          <w:sz w:val="24"/>
          <w:szCs w:val="24"/>
        </w:rPr>
        <w:t xml:space="preserve"> na które został nałożony obowiązek przekazania danych do Centralnego Rejestru Beneficjentów Rzeczywistych na podstawie art. 58 pkt 6</w:t>
      </w:r>
      <w:r w:rsidR="00C6045B">
        <w:rPr>
          <w:rFonts w:ascii="Times New Roman" w:hAnsi="Times New Roman" w:cs="Times New Roman"/>
          <w:sz w:val="24"/>
          <w:szCs w:val="24"/>
        </w:rPr>
        <w:t>–</w:t>
      </w:r>
      <w:r w:rsidRPr="0018524B">
        <w:rPr>
          <w:rFonts w:ascii="Times New Roman" w:hAnsi="Times New Roman" w:cs="Times New Roman"/>
          <w:sz w:val="24"/>
          <w:szCs w:val="24"/>
        </w:rPr>
        <w:t>13 ustawy o p.p.p.f.t., będą musiały dokonać pierwszego zgłoszenia do Centralnego Rejestru Beneficjentów Rzeczywistych w terminie 3 miesięcy od dnia wejścia w życie art. 58 pkt 6</w:t>
      </w:r>
      <w:r w:rsidR="00C6045B">
        <w:rPr>
          <w:rFonts w:ascii="Times New Roman" w:hAnsi="Times New Roman" w:cs="Times New Roman"/>
          <w:sz w:val="24"/>
          <w:szCs w:val="24"/>
        </w:rPr>
        <w:t>–</w:t>
      </w:r>
      <w:r w:rsidRPr="0018524B">
        <w:rPr>
          <w:rFonts w:ascii="Times New Roman" w:hAnsi="Times New Roman" w:cs="Times New Roman"/>
          <w:sz w:val="24"/>
          <w:szCs w:val="24"/>
        </w:rPr>
        <w:t xml:space="preserve">13 ustawy o p.p.p.f.t. Wskazać należy, iż termin 3 miesięcy będzie wystarczający dla wypełnienia obowiązku zgłoszenia do Centralnego Rejestru Beneficjentów Rzeczywistych przez wszystkie podmioty objęte tym obowiązkiem na mocy projektu ustawy. Wprowadzenie </w:t>
      </w:r>
      <w:r w:rsidRPr="0018524B">
        <w:rPr>
          <w:rFonts w:ascii="Times New Roman" w:hAnsi="Times New Roman" w:cs="Times New Roman"/>
          <w:sz w:val="24"/>
          <w:szCs w:val="24"/>
        </w:rPr>
        <w:lastRenderedPageBreak/>
        <w:t>zgłoszenia następuje za pośrednictwem sieci Internet, rejestracja beneficjentów rzeczywistych, nawet dla podmiotów o skomplikowanej strukturze własnościowej, co do zasady nie powinna przekraczać godziny.</w:t>
      </w:r>
    </w:p>
    <w:p w14:paraId="01F934A6" w14:textId="7CC40C86" w:rsidR="009A2C76" w:rsidRPr="0018524B" w:rsidRDefault="009A2C76" w:rsidP="009A2C76">
      <w:pPr>
        <w:spacing w:before="120" w:after="0" w:line="360" w:lineRule="auto"/>
        <w:jc w:val="both"/>
        <w:rPr>
          <w:rFonts w:ascii="Times New Roman" w:hAnsi="Times New Roman" w:cs="Times New Roman"/>
          <w:sz w:val="24"/>
          <w:szCs w:val="24"/>
        </w:rPr>
      </w:pPr>
      <w:r w:rsidRPr="0018524B">
        <w:rPr>
          <w:rFonts w:ascii="Times New Roman" w:hAnsi="Times New Roman" w:cs="Times New Roman"/>
          <w:sz w:val="24"/>
          <w:szCs w:val="24"/>
        </w:rPr>
        <w:t xml:space="preserve">W </w:t>
      </w:r>
      <w:r w:rsidRPr="0018524B">
        <w:rPr>
          <w:rFonts w:ascii="Times New Roman" w:hAnsi="Times New Roman" w:cs="Times New Roman"/>
          <w:b/>
          <w:sz w:val="24"/>
          <w:szCs w:val="24"/>
        </w:rPr>
        <w:t>art. 1</w:t>
      </w:r>
      <w:r w:rsidR="007F63A1">
        <w:rPr>
          <w:rFonts w:ascii="Times New Roman" w:hAnsi="Times New Roman" w:cs="Times New Roman"/>
          <w:b/>
          <w:sz w:val="24"/>
          <w:szCs w:val="24"/>
        </w:rPr>
        <w:t>5</w:t>
      </w:r>
      <w:r w:rsidRPr="0018524B">
        <w:rPr>
          <w:rFonts w:ascii="Times New Roman" w:hAnsi="Times New Roman" w:cs="Times New Roman"/>
          <w:sz w:val="24"/>
          <w:szCs w:val="24"/>
        </w:rPr>
        <w:t xml:space="preserve"> projektu ustawy przewidzian</w:t>
      </w:r>
      <w:r w:rsidR="00201625">
        <w:rPr>
          <w:rFonts w:ascii="Times New Roman" w:hAnsi="Times New Roman" w:cs="Times New Roman"/>
          <w:sz w:val="24"/>
          <w:szCs w:val="24"/>
        </w:rPr>
        <w:t>o</w:t>
      </w:r>
      <w:r w:rsidRPr="0018524B">
        <w:rPr>
          <w:rFonts w:ascii="Times New Roman" w:hAnsi="Times New Roman" w:cs="Times New Roman"/>
          <w:sz w:val="24"/>
          <w:szCs w:val="24"/>
        </w:rPr>
        <w:t xml:space="preserve"> okres przejściowy dla podmiotów, które dokonały już rejestracji w Centralnym Rejestrze Beneficjentów Rzeczywistych, ale wprowadziły do rejestru dane dotyczące tylko jednego obywatelstwa beneficjenta rzeczywistego, członka organu lub wspólnika uprawionego do reprezentowania spółki. Zgodnie z przepisem przejściowym, podmioty takie będą miały 6 miesięcy od dnia wejścia w życie znowelizowanego art. 59 ustawy o p.p.p.f.t. na uzupełnienie danych w Centralnym Rejestrze Beneficjentów Rzeczywistych o każde posiadane obywatelstwo wymienionych osób.</w:t>
      </w:r>
    </w:p>
    <w:p w14:paraId="2770ADB8" w14:textId="1AB5E3E4" w:rsidR="00E64F0F" w:rsidRPr="0018524B" w:rsidRDefault="009A2C76" w:rsidP="00733C2F">
      <w:pPr>
        <w:spacing w:before="120" w:after="0" w:line="360" w:lineRule="auto"/>
        <w:jc w:val="both"/>
        <w:rPr>
          <w:rFonts w:ascii="Times New Roman" w:hAnsi="Times New Roman" w:cs="Times New Roman"/>
          <w:sz w:val="24"/>
          <w:szCs w:val="24"/>
        </w:rPr>
      </w:pPr>
      <w:r w:rsidRPr="0018524B">
        <w:rPr>
          <w:rFonts w:ascii="Times New Roman" w:hAnsi="Times New Roman" w:cs="Times New Roman"/>
          <w:sz w:val="24"/>
          <w:szCs w:val="24"/>
        </w:rPr>
        <w:t>O</w:t>
      </w:r>
      <w:r w:rsidR="00733C2F" w:rsidRPr="0018524B">
        <w:rPr>
          <w:rFonts w:ascii="Times New Roman" w:hAnsi="Times New Roman" w:cs="Times New Roman"/>
          <w:sz w:val="24"/>
          <w:szCs w:val="24"/>
        </w:rPr>
        <w:t xml:space="preserve">kres przejściowy, przewidziany w </w:t>
      </w:r>
      <w:r w:rsidR="00733C2F" w:rsidRPr="0018524B">
        <w:rPr>
          <w:rFonts w:ascii="Times New Roman" w:hAnsi="Times New Roman" w:cs="Times New Roman"/>
          <w:b/>
          <w:sz w:val="24"/>
          <w:szCs w:val="24"/>
        </w:rPr>
        <w:t xml:space="preserve">art. </w:t>
      </w:r>
      <w:r w:rsidR="00B94168" w:rsidRPr="0018524B">
        <w:rPr>
          <w:rFonts w:ascii="Times New Roman" w:hAnsi="Times New Roman" w:cs="Times New Roman"/>
          <w:b/>
          <w:sz w:val="24"/>
          <w:szCs w:val="24"/>
        </w:rPr>
        <w:t>1</w:t>
      </w:r>
      <w:r w:rsidR="007F63A1">
        <w:rPr>
          <w:rFonts w:ascii="Times New Roman" w:hAnsi="Times New Roman" w:cs="Times New Roman"/>
          <w:b/>
          <w:sz w:val="24"/>
          <w:szCs w:val="24"/>
        </w:rPr>
        <w:t>6</w:t>
      </w:r>
      <w:r w:rsidR="002661D8" w:rsidRPr="0018524B">
        <w:rPr>
          <w:rFonts w:ascii="Times New Roman" w:hAnsi="Times New Roman" w:cs="Times New Roman"/>
          <w:sz w:val="24"/>
          <w:szCs w:val="24"/>
        </w:rPr>
        <w:t xml:space="preserve"> </w:t>
      </w:r>
      <w:r w:rsidRPr="0018524B">
        <w:rPr>
          <w:rFonts w:ascii="Times New Roman" w:hAnsi="Times New Roman" w:cs="Times New Roman"/>
          <w:sz w:val="24"/>
          <w:szCs w:val="24"/>
        </w:rPr>
        <w:t xml:space="preserve">projektu ustawy </w:t>
      </w:r>
      <w:r w:rsidR="00733C2F" w:rsidRPr="0018524B">
        <w:rPr>
          <w:rFonts w:ascii="Times New Roman" w:hAnsi="Times New Roman" w:cs="Times New Roman"/>
          <w:sz w:val="24"/>
          <w:szCs w:val="24"/>
        </w:rPr>
        <w:t>mówi o tym, że podmioty które w dniu wejścia w życie</w:t>
      </w:r>
      <w:r w:rsidR="00FC4CC7">
        <w:rPr>
          <w:rFonts w:ascii="Times New Roman" w:hAnsi="Times New Roman" w:cs="Times New Roman"/>
          <w:sz w:val="24"/>
          <w:szCs w:val="24"/>
        </w:rPr>
        <w:t xml:space="preserve"> rozdziału 11a</w:t>
      </w:r>
      <w:r w:rsidR="00733C2F" w:rsidRPr="0018524B">
        <w:rPr>
          <w:rFonts w:ascii="Times New Roman" w:hAnsi="Times New Roman" w:cs="Times New Roman"/>
          <w:sz w:val="24"/>
          <w:szCs w:val="24"/>
        </w:rPr>
        <w:t xml:space="preserve"> ustawy </w:t>
      </w:r>
      <w:r w:rsidR="00201625" w:rsidRPr="0018524B">
        <w:rPr>
          <w:rFonts w:ascii="Times New Roman" w:hAnsi="Times New Roman" w:cs="Times New Roman"/>
          <w:sz w:val="24"/>
          <w:szCs w:val="24"/>
        </w:rPr>
        <w:t xml:space="preserve">o p.p.p.f.t. </w:t>
      </w:r>
      <w:r w:rsidR="00733C2F" w:rsidRPr="0018524B">
        <w:rPr>
          <w:rFonts w:ascii="Times New Roman" w:hAnsi="Times New Roman" w:cs="Times New Roman"/>
          <w:sz w:val="24"/>
          <w:szCs w:val="24"/>
        </w:rPr>
        <w:t xml:space="preserve">wykonują działalność, która nie wymagała uzyskania wpisu do rejestru działalności regulowanej są obowiązani w terminie nie dłuższym niż 6 miesięcy od dnia wejścia w życie </w:t>
      </w:r>
      <w:r w:rsidR="00FC4CC7">
        <w:rPr>
          <w:rFonts w:ascii="Times New Roman" w:hAnsi="Times New Roman" w:cs="Times New Roman"/>
          <w:sz w:val="24"/>
          <w:szCs w:val="24"/>
        </w:rPr>
        <w:t>rozdziału 11a</w:t>
      </w:r>
      <w:r w:rsidR="00FC4CC7" w:rsidRPr="0018524B">
        <w:rPr>
          <w:rFonts w:ascii="Times New Roman" w:hAnsi="Times New Roman" w:cs="Times New Roman"/>
          <w:sz w:val="24"/>
          <w:szCs w:val="24"/>
        </w:rPr>
        <w:t xml:space="preserve"> </w:t>
      </w:r>
      <w:r w:rsidR="00733C2F" w:rsidRPr="0018524B">
        <w:rPr>
          <w:rFonts w:ascii="Times New Roman" w:hAnsi="Times New Roman" w:cs="Times New Roman"/>
          <w:sz w:val="24"/>
          <w:szCs w:val="24"/>
        </w:rPr>
        <w:t>ustawy dostosować swoją działalność do przepisów określonych w</w:t>
      </w:r>
      <w:r w:rsidR="00FC4CC7">
        <w:rPr>
          <w:rFonts w:ascii="Times New Roman" w:hAnsi="Times New Roman" w:cs="Times New Roman"/>
          <w:sz w:val="24"/>
          <w:szCs w:val="24"/>
        </w:rPr>
        <w:t xml:space="preserve"> tym</w:t>
      </w:r>
      <w:r w:rsidR="00733C2F" w:rsidRPr="0018524B">
        <w:rPr>
          <w:rFonts w:ascii="Times New Roman" w:hAnsi="Times New Roman" w:cs="Times New Roman"/>
          <w:sz w:val="24"/>
          <w:szCs w:val="24"/>
        </w:rPr>
        <w:t xml:space="preserve"> rozdziale. Taki sam okres na dostosowanie prowadzonej działalności do nowych wymogów, o których mowa w projekcie ustawy nałożono na podmioty prowadzące działalność w zakresie określonym w art. 179a ustawy</w:t>
      </w:r>
      <w:r w:rsidR="00F10481" w:rsidRPr="0018524B">
        <w:t xml:space="preserve"> </w:t>
      </w:r>
      <w:r w:rsidR="00F10481" w:rsidRPr="0018524B">
        <w:rPr>
          <w:rFonts w:ascii="Times New Roman" w:hAnsi="Times New Roman" w:cs="Times New Roman"/>
          <w:sz w:val="24"/>
          <w:szCs w:val="24"/>
        </w:rPr>
        <w:t>z dnia 21 sierpnia 1997 r.</w:t>
      </w:r>
      <w:r w:rsidR="00C6045B">
        <w:rPr>
          <w:rFonts w:ascii="Times New Roman" w:hAnsi="Times New Roman" w:cs="Times New Roman"/>
          <w:sz w:val="24"/>
          <w:szCs w:val="24"/>
        </w:rPr>
        <w:t xml:space="preserve"> </w:t>
      </w:r>
      <w:r w:rsidR="00733C2F" w:rsidRPr="0018524B">
        <w:rPr>
          <w:rFonts w:ascii="Times New Roman" w:hAnsi="Times New Roman" w:cs="Times New Roman"/>
          <w:i/>
          <w:sz w:val="24"/>
          <w:szCs w:val="24"/>
        </w:rPr>
        <w:t>o gospodarce nieruchomościami</w:t>
      </w:r>
      <w:r w:rsidR="00733C2F" w:rsidRPr="0018524B">
        <w:rPr>
          <w:rFonts w:ascii="Times New Roman" w:hAnsi="Times New Roman" w:cs="Times New Roman"/>
          <w:sz w:val="24"/>
          <w:szCs w:val="24"/>
        </w:rPr>
        <w:t xml:space="preserve"> tj. pośredników </w:t>
      </w:r>
      <w:r w:rsidR="007179FB" w:rsidRPr="0018524B">
        <w:rPr>
          <w:rFonts w:ascii="Times New Roman" w:hAnsi="Times New Roman" w:cs="Times New Roman"/>
          <w:sz w:val="24"/>
          <w:szCs w:val="24"/>
        </w:rPr>
        <w:t xml:space="preserve">w obrocie </w:t>
      </w:r>
      <w:r w:rsidR="00733C2F" w:rsidRPr="0018524B">
        <w:rPr>
          <w:rFonts w:ascii="Times New Roman" w:hAnsi="Times New Roman" w:cs="Times New Roman"/>
          <w:sz w:val="24"/>
          <w:szCs w:val="24"/>
        </w:rPr>
        <w:t>nieruchomości</w:t>
      </w:r>
      <w:r w:rsidR="007179FB" w:rsidRPr="0018524B">
        <w:rPr>
          <w:rFonts w:ascii="Times New Roman" w:hAnsi="Times New Roman" w:cs="Times New Roman"/>
          <w:sz w:val="24"/>
          <w:szCs w:val="24"/>
        </w:rPr>
        <w:t>ami</w:t>
      </w:r>
      <w:r w:rsidRPr="0018524B">
        <w:rPr>
          <w:rFonts w:ascii="Times New Roman" w:hAnsi="Times New Roman" w:cs="Times New Roman"/>
          <w:sz w:val="24"/>
          <w:szCs w:val="24"/>
        </w:rPr>
        <w:t xml:space="preserve"> (</w:t>
      </w:r>
      <w:r w:rsidRPr="0018524B">
        <w:rPr>
          <w:rFonts w:ascii="Times New Roman" w:hAnsi="Times New Roman" w:cs="Times New Roman"/>
          <w:b/>
          <w:sz w:val="24"/>
          <w:szCs w:val="24"/>
        </w:rPr>
        <w:t>art. 1</w:t>
      </w:r>
      <w:r w:rsidR="007F63A1">
        <w:rPr>
          <w:rFonts w:ascii="Times New Roman" w:hAnsi="Times New Roman" w:cs="Times New Roman"/>
          <w:b/>
          <w:sz w:val="24"/>
          <w:szCs w:val="24"/>
        </w:rPr>
        <w:t>7</w:t>
      </w:r>
      <w:r w:rsidRPr="0018524B">
        <w:rPr>
          <w:rFonts w:ascii="Times New Roman" w:hAnsi="Times New Roman" w:cs="Times New Roman"/>
          <w:sz w:val="24"/>
          <w:szCs w:val="24"/>
        </w:rPr>
        <w:t xml:space="preserve"> projektu ustawy)</w:t>
      </w:r>
      <w:r w:rsidR="00733C2F" w:rsidRPr="0018524B">
        <w:rPr>
          <w:rFonts w:ascii="Times New Roman" w:hAnsi="Times New Roman" w:cs="Times New Roman"/>
          <w:sz w:val="24"/>
          <w:szCs w:val="24"/>
        </w:rPr>
        <w:t>, na podmioty prowadzące działalność w zakresie określonym w art. 11 ustawy</w:t>
      </w:r>
      <w:r w:rsidR="00F10481" w:rsidRPr="0018524B">
        <w:t xml:space="preserve"> </w:t>
      </w:r>
      <w:r w:rsidR="00F10481" w:rsidRPr="0018524B">
        <w:rPr>
          <w:rFonts w:ascii="Times New Roman" w:hAnsi="Times New Roman" w:cs="Times New Roman"/>
          <w:sz w:val="24"/>
          <w:szCs w:val="24"/>
        </w:rPr>
        <w:t>z dnia 27 lipca 2002 r.</w:t>
      </w:r>
      <w:r w:rsidR="00C6045B">
        <w:rPr>
          <w:rFonts w:ascii="Times New Roman" w:hAnsi="Times New Roman" w:cs="Times New Roman"/>
          <w:sz w:val="24"/>
          <w:szCs w:val="24"/>
        </w:rPr>
        <w:t xml:space="preserve"> –</w:t>
      </w:r>
      <w:r w:rsidR="00733C2F" w:rsidRPr="0018524B">
        <w:rPr>
          <w:rFonts w:ascii="Times New Roman" w:hAnsi="Times New Roman" w:cs="Times New Roman"/>
          <w:sz w:val="24"/>
          <w:szCs w:val="24"/>
        </w:rPr>
        <w:t xml:space="preserve"> </w:t>
      </w:r>
      <w:r w:rsidR="00733C2F" w:rsidRPr="0018524B">
        <w:rPr>
          <w:rFonts w:ascii="Times New Roman" w:hAnsi="Times New Roman" w:cs="Times New Roman"/>
          <w:i/>
          <w:sz w:val="24"/>
          <w:szCs w:val="24"/>
        </w:rPr>
        <w:t>Prawo dewizowe</w:t>
      </w:r>
      <w:r w:rsidR="00733C2F" w:rsidRPr="0018524B">
        <w:rPr>
          <w:rFonts w:ascii="Times New Roman" w:hAnsi="Times New Roman" w:cs="Times New Roman"/>
          <w:sz w:val="24"/>
          <w:szCs w:val="24"/>
        </w:rPr>
        <w:t xml:space="preserve"> tj. </w:t>
      </w:r>
      <w:r w:rsidR="00733C2F" w:rsidRPr="0018524B">
        <w:rPr>
          <w:rFonts w:ascii="Times New Roman" w:hAnsi="Times New Roman" w:cs="Times New Roman"/>
          <w:sz w:val="24"/>
          <w:szCs w:val="24"/>
          <w:lang w:eastAsia="ar-SA"/>
        </w:rPr>
        <w:t>podmioty prowadzące działalność kantorową</w:t>
      </w:r>
      <w:r w:rsidRPr="0018524B">
        <w:rPr>
          <w:rFonts w:ascii="Times New Roman" w:hAnsi="Times New Roman" w:cs="Times New Roman"/>
          <w:sz w:val="24"/>
          <w:szCs w:val="24"/>
          <w:lang w:eastAsia="ar-SA"/>
        </w:rPr>
        <w:t xml:space="preserve"> </w:t>
      </w:r>
      <w:r w:rsidRPr="0018524B">
        <w:rPr>
          <w:rFonts w:ascii="Times New Roman" w:hAnsi="Times New Roman" w:cs="Times New Roman"/>
          <w:sz w:val="24"/>
          <w:szCs w:val="24"/>
        </w:rPr>
        <w:t>(</w:t>
      </w:r>
      <w:r w:rsidRPr="0018524B">
        <w:rPr>
          <w:rFonts w:ascii="Times New Roman" w:hAnsi="Times New Roman" w:cs="Times New Roman"/>
          <w:b/>
          <w:sz w:val="24"/>
          <w:szCs w:val="24"/>
        </w:rPr>
        <w:t>art. 1</w:t>
      </w:r>
      <w:r w:rsidR="007F63A1">
        <w:rPr>
          <w:rFonts w:ascii="Times New Roman" w:hAnsi="Times New Roman" w:cs="Times New Roman"/>
          <w:b/>
          <w:sz w:val="24"/>
          <w:szCs w:val="24"/>
        </w:rPr>
        <w:t>8</w:t>
      </w:r>
      <w:r w:rsidRPr="0018524B">
        <w:rPr>
          <w:rFonts w:ascii="Times New Roman" w:hAnsi="Times New Roman" w:cs="Times New Roman"/>
          <w:sz w:val="24"/>
          <w:szCs w:val="24"/>
        </w:rPr>
        <w:t xml:space="preserve"> projektu ustawy)</w:t>
      </w:r>
      <w:r w:rsidR="00733C2F" w:rsidRPr="0018524B">
        <w:rPr>
          <w:rFonts w:ascii="Times New Roman" w:hAnsi="Times New Roman" w:cs="Times New Roman"/>
          <w:sz w:val="24"/>
          <w:szCs w:val="24"/>
          <w:lang w:eastAsia="ar-SA"/>
        </w:rPr>
        <w:t>,</w:t>
      </w:r>
      <w:r w:rsidR="00733C2F" w:rsidRPr="0018524B">
        <w:rPr>
          <w:rFonts w:ascii="Times New Roman" w:hAnsi="Times New Roman" w:cs="Times New Roman"/>
          <w:sz w:val="24"/>
          <w:szCs w:val="24"/>
        </w:rPr>
        <w:t xml:space="preserve"> a także na podmioty prowadzące działalność, o której mowa w art. 6 ust. 1</w:t>
      </w:r>
      <w:r w:rsidR="00C6045B">
        <w:rPr>
          <w:rFonts w:ascii="Times New Roman" w:hAnsi="Times New Roman" w:cs="Times New Roman"/>
          <w:sz w:val="24"/>
          <w:szCs w:val="24"/>
        </w:rPr>
        <w:t>–</w:t>
      </w:r>
      <w:r w:rsidR="00733C2F" w:rsidRPr="0018524B">
        <w:rPr>
          <w:rFonts w:ascii="Times New Roman" w:hAnsi="Times New Roman" w:cs="Times New Roman"/>
          <w:sz w:val="24"/>
          <w:szCs w:val="24"/>
        </w:rPr>
        <w:t>3 ustawy</w:t>
      </w:r>
      <w:r w:rsidR="00F10481" w:rsidRPr="0018524B">
        <w:t xml:space="preserve"> </w:t>
      </w:r>
      <w:r w:rsidR="00F10481" w:rsidRPr="0018524B">
        <w:rPr>
          <w:rFonts w:ascii="Times New Roman" w:hAnsi="Times New Roman" w:cs="Times New Roman"/>
          <w:sz w:val="24"/>
          <w:szCs w:val="24"/>
        </w:rPr>
        <w:t>z dnia 19 listopada 2009 r</w:t>
      </w:r>
      <w:r w:rsidR="00F10481" w:rsidRPr="0018524B">
        <w:rPr>
          <w:rFonts w:ascii="Times New Roman" w:hAnsi="Times New Roman" w:cs="Times New Roman"/>
          <w:i/>
          <w:sz w:val="24"/>
          <w:szCs w:val="24"/>
        </w:rPr>
        <w:t>.</w:t>
      </w:r>
      <w:r w:rsidR="00C6045B">
        <w:rPr>
          <w:rFonts w:ascii="Times New Roman" w:hAnsi="Times New Roman" w:cs="Times New Roman"/>
          <w:i/>
          <w:sz w:val="24"/>
          <w:szCs w:val="24"/>
        </w:rPr>
        <w:t xml:space="preserve"> </w:t>
      </w:r>
      <w:r w:rsidR="00733C2F" w:rsidRPr="0018524B">
        <w:rPr>
          <w:rFonts w:ascii="Times New Roman" w:hAnsi="Times New Roman" w:cs="Times New Roman"/>
          <w:i/>
          <w:sz w:val="24"/>
          <w:szCs w:val="24"/>
        </w:rPr>
        <w:t>o grach hazardowych</w:t>
      </w:r>
      <w:r w:rsidR="00E64F0F" w:rsidRPr="0018524B">
        <w:rPr>
          <w:rFonts w:ascii="Times New Roman" w:hAnsi="Times New Roman" w:cs="Times New Roman"/>
          <w:sz w:val="24"/>
          <w:szCs w:val="24"/>
        </w:rPr>
        <w:t xml:space="preserve"> </w:t>
      </w:r>
      <w:r w:rsidRPr="0018524B">
        <w:rPr>
          <w:rFonts w:ascii="Times New Roman" w:hAnsi="Times New Roman" w:cs="Times New Roman"/>
          <w:sz w:val="24"/>
          <w:szCs w:val="24"/>
        </w:rPr>
        <w:t>(</w:t>
      </w:r>
      <w:r w:rsidRPr="0018524B">
        <w:rPr>
          <w:rFonts w:ascii="Times New Roman" w:hAnsi="Times New Roman" w:cs="Times New Roman"/>
          <w:b/>
          <w:sz w:val="24"/>
          <w:szCs w:val="24"/>
        </w:rPr>
        <w:t>art. 1</w:t>
      </w:r>
      <w:r w:rsidR="007F63A1">
        <w:rPr>
          <w:rFonts w:ascii="Times New Roman" w:hAnsi="Times New Roman" w:cs="Times New Roman"/>
          <w:b/>
          <w:sz w:val="24"/>
          <w:szCs w:val="24"/>
        </w:rPr>
        <w:t>9</w:t>
      </w:r>
      <w:r w:rsidRPr="0018524B">
        <w:rPr>
          <w:rFonts w:ascii="Times New Roman" w:hAnsi="Times New Roman" w:cs="Times New Roman"/>
          <w:sz w:val="24"/>
          <w:szCs w:val="24"/>
        </w:rPr>
        <w:t xml:space="preserve"> projektu ustawy).</w:t>
      </w:r>
    </w:p>
    <w:p w14:paraId="30687BC5" w14:textId="0D1F7271" w:rsidR="00F10481" w:rsidRPr="0018524B" w:rsidRDefault="00F10481" w:rsidP="00ED2506">
      <w:pPr>
        <w:spacing w:line="400" w:lineRule="atLeast"/>
        <w:jc w:val="both"/>
        <w:rPr>
          <w:rFonts w:ascii="Times New Roman" w:hAnsi="Times New Roman" w:cs="Times New Roman"/>
          <w:sz w:val="24"/>
          <w:szCs w:val="24"/>
        </w:rPr>
      </w:pPr>
      <w:r w:rsidRPr="0018524B">
        <w:rPr>
          <w:rFonts w:ascii="Times New Roman" w:hAnsi="Times New Roman" w:cs="Times New Roman"/>
          <w:b/>
          <w:sz w:val="24"/>
          <w:szCs w:val="24"/>
        </w:rPr>
        <w:t xml:space="preserve">Art. </w:t>
      </w:r>
      <w:r w:rsidR="007F63A1">
        <w:rPr>
          <w:rFonts w:ascii="Times New Roman" w:hAnsi="Times New Roman" w:cs="Times New Roman"/>
          <w:b/>
          <w:sz w:val="24"/>
          <w:szCs w:val="24"/>
        </w:rPr>
        <w:t>20</w:t>
      </w:r>
      <w:r w:rsidR="00B94168" w:rsidRPr="0018524B">
        <w:rPr>
          <w:rFonts w:ascii="Times New Roman" w:hAnsi="Times New Roman" w:cs="Times New Roman"/>
          <w:sz w:val="24"/>
          <w:szCs w:val="24"/>
        </w:rPr>
        <w:t xml:space="preserve"> </w:t>
      </w:r>
      <w:r w:rsidRPr="0018524B">
        <w:rPr>
          <w:rFonts w:ascii="Times New Roman" w:hAnsi="Times New Roman" w:cs="Times New Roman"/>
          <w:sz w:val="24"/>
          <w:szCs w:val="24"/>
        </w:rPr>
        <w:t>projektu ustawy zawiera przepisy transponujące wymogi art. 10 ust. 1 dyrektywy 2015/849 w brzmieniu nadanym przez</w:t>
      </w:r>
      <w:r w:rsidR="00C6045B">
        <w:rPr>
          <w:rFonts w:ascii="Times New Roman" w:hAnsi="Times New Roman" w:cs="Times New Roman"/>
          <w:sz w:val="24"/>
          <w:szCs w:val="24"/>
        </w:rPr>
        <w:t xml:space="preserve"> </w:t>
      </w:r>
      <w:r w:rsidRPr="0018524B">
        <w:rPr>
          <w:rFonts w:ascii="Times New Roman" w:hAnsi="Times New Roman" w:cs="Times New Roman"/>
          <w:sz w:val="24"/>
          <w:szCs w:val="24"/>
        </w:rPr>
        <w:t xml:space="preserve">art. 1(6) dyrektywy 2018/843 w odniesieniu do anonimowych skrytek sejfowych. Projektodawca powielił rozwiązanie zastosowane przy nowelizacji poprzednio obowiązujących przepisów o przeciwdziałaniu praniu pieniędzy oraz finansowaniu terroryzmu w odniesieniu do anonimowych rachunków bankowych (art. 19 ust. 1 ustawy z dnia 25 czerwca 2009 r. </w:t>
      </w:r>
      <w:r w:rsidRPr="0018524B">
        <w:rPr>
          <w:rFonts w:ascii="Times New Roman" w:hAnsi="Times New Roman" w:cs="Times New Roman"/>
          <w:i/>
          <w:sz w:val="24"/>
          <w:szCs w:val="24"/>
        </w:rPr>
        <w:t>o zmianie ustawy o przeciwdziałaniu wprowadzaniu do obrotu finansowego wartości majątkowych pochodzących z nielegalnych lub nieujawnionych źródeł oraz o przeciwdziałaniu finansowaniu terroryzmu oraz o zmianie niektórych innych ustaw</w:t>
      </w:r>
      <w:r w:rsidRPr="0018524B">
        <w:rPr>
          <w:rFonts w:ascii="Times New Roman" w:hAnsi="Times New Roman" w:cs="Times New Roman"/>
          <w:sz w:val="24"/>
          <w:szCs w:val="24"/>
        </w:rPr>
        <w:t xml:space="preserve">), tj. przewidział, że umowy o prowadzenie anonimowych skrytek sejfowych wygasną z mocy prawa po upływie określonego czasu od dnia wejścia w życie ustawy. Ze względu na </w:t>
      </w:r>
      <w:r w:rsidRPr="0018524B">
        <w:rPr>
          <w:rFonts w:ascii="Times New Roman" w:hAnsi="Times New Roman" w:cs="Times New Roman"/>
          <w:sz w:val="24"/>
          <w:szCs w:val="24"/>
        </w:rPr>
        <w:lastRenderedPageBreak/>
        <w:t>fakt, że szczegółowe postanowienia umów o udostępnienie skrytki sejfowej na podstawie, której banki wykonują czynność bankową, o której mowa w</w:t>
      </w:r>
      <w:r w:rsidR="00C6045B">
        <w:rPr>
          <w:rFonts w:ascii="Times New Roman" w:hAnsi="Times New Roman" w:cs="Times New Roman"/>
          <w:sz w:val="24"/>
          <w:szCs w:val="24"/>
        </w:rPr>
        <w:t xml:space="preserve"> </w:t>
      </w:r>
      <w:r w:rsidRPr="0018524B">
        <w:rPr>
          <w:rFonts w:ascii="Times New Roman" w:hAnsi="Times New Roman" w:cs="Times New Roman"/>
          <w:sz w:val="24"/>
          <w:szCs w:val="24"/>
        </w:rPr>
        <w:t>art. 5 ust. 2 pkt 6 ustawy z dnia 29 sierpnia 1997 r.</w:t>
      </w:r>
      <w:r w:rsidR="00C6045B">
        <w:rPr>
          <w:rFonts w:ascii="Times New Roman" w:hAnsi="Times New Roman" w:cs="Times New Roman"/>
          <w:sz w:val="24"/>
          <w:szCs w:val="24"/>
        </w:rPr>
        <w:t xml:space="preserve"> </w:t>
      </w:r>
      <w:r w:rsidRPr="0018524B">
        <w:rPr>
          <w:rFonts w:ascii="Times New Roman" w:hAnsi="Times New Roman" w:cs="Times New Roman"/>
          <w:sz w:val="24"/>
          <w:szCs w:val="24"/>
        </w:rPr>
        <w:t xml:space="preserve">– </w:t>
      </w:r>
      <w:r w:rsidRPr="0018524B">
        <w:rPr>
          <w:rFonts w:ascii="Times New Roman" w:hAnsi="Times New Roman" w:cs="Times New Roman"/>
          <w:i/>
          <w:sz w:val="24"/>
          <w:szCs w:val="24"/>
        </w:rPr>
        <w:t>Prawo bankowe</w:t>
      </w:r>
      <w:r w:rsidRPr="0018524B">
        <w:rPr>
          <w:rFonts w:ascii="Times New Roman" w:hAnsi="Times New Roman" w:cs="Times New Roman"/>
          <w:sz w:val="24"/>
          <w:szCs w:val="24"/>
        </w:rPr>
        <w:t xml:space="preserve"> (Dz. U. z 20</w:t>
      </w:r>
      <w:r w:rsidR="00CB0E7A">
        <w:rPr>
          <w:rFonts w:ascii="Times New Roman" w:hAnsi="Times New Roman" w:cs="Times New Roman"/>
          <w:sz w:val="24"/>
          <w:szCs w:val="24"/>
        </w:rPr>
        <w:t>20</w:t>
      </w:r>
      <w:r w:rsidR="00201625">
        <w:rPr>
          <w:rFonts w:ascii="Times New Roman" w:hAnsi="Times New Roman" w:cs="Times New Roman"/>
          <w:sz w:val="24"/>
          <w:szCs w:val="24"/>
        </w:rPr>
        <w:t xml:space="preserve"> r.</w:t>
      </w:r>
      <w:r w:rsidRPr="0018524B">
        <w:rPr>
          <w:rFonts w:ascii="Times New Roman" w:hAnsi="Times New Roman" w:cs="Times New Roman"/>
          <w:sz w:val="24"/>
          <w:szCs w:val="24"/>
        </w:rPr>
        <w:t xml:space="preserve"> poz. </w:t>
      </w:r>
      <w:r w:rsidR="0013747E">
        <w:rPr>
          <w:rFonts w:ascii="Times New Roman" w:hAnsi="Times New Roman" w:cs="Times New Roman"/>
          <w:sz w:val="24"/>
          <w:szCs w:val="24"/>
        </w:rPr>
        <w:t>1896,</w:t>
      </w:r>
      <w:r w:rsidR="00C6045B">
        <w:rPr>
          <w:rFonts w:ascii="Times New Roman" w:hAnsi="Times New Roman" w:cs="Times New Roman"/>
          <w:sz w:val="24"/>
          <w:szCs w:val="24"/>
        </w:rPr>
        <w:t xml:space="preserve"> </w:t>
      </w:r>
      <w:r w:rsidRPr="0018524B">
        <w:rPr>
          <w:rFonts w:ascii="Times New Roman" w:hAnsi="Times New Roman" w:cs="Times New Roman"/>
          <w:sz w:val="24"/>
          <w:szCs w:val="24"/>
        </w:rPr>
        <w:t xml:space="preserve">z późn. zm.) zawarte są w regulaminach bankowych, charakter prawny tych umów może znacząco się od siebie różnić. W związku z powyższym, projektodawca nie zdecydował się na szczegółową regulację praw i obowiązków stron umów o udostępnienie skrytki sejfowej, wychodząc z założenia, że zastosowanie znajdą tu przede wszystkim przepisy prawa cywilnego oraz prawa bankowego. Niezależnie od powyższego, pełne i prawidłowe wdrożenie przepisów dyrektywy 2015/849 wymaga, aby w każdym przypadku, wobec klienta chcącego skorzystać z anonimowej skrytki sejfowej zastosowane zostały środki bezpieczeństwa finansowego (art. </w:t>
      </w:r>
      <w:r w:rsidR="007F63A1">
        <w:rPr>
          <w:rFonts w:ascii="Times New Roman" w:hAnsi="Times New Roman" w:cs="Times New Roman"/>
          <w:sz w:val="24"/>
          <w:szCs w:val="24"/>
        </w:rPr>
        <w:t>20</w:t>
      </w:r>
      <w:r w:rsidRPr="0018524B">
        <w:rPr>
          <w:rFonts w:ascii="Times New Roman" w:hAnsi="Times New Roman" w:cs="Times New Roman"/>
          <w:sz w:val="24"/>
          <w:szCs w:val="24"/>
        </w:rPr>
        <w:t xml:space="preserve"> ust. 2 projektu ustawy). Środki bezpieczeństwa finansowego muszą zostać zastosowane niezależnie </w:t>
      </w:r>
      <w:r w:rsidR="007F63A1">
        <w:rPr>
          <w:rFonts w:ascii="Times New Roman" w:hAnsi="Times New Roman" w:cs="Times New Roman"/>
          <w:sz w:val="24"/>
          <w:szCs w:val="24"/>
        </w:rPr>
        <w:t>o</w:t>
      </w:r>
      <w:r w:rsidRPr="0018524B">
        <w:rPr>
          <w:rFonts w:ascii="Times New Roman" w:hAnsi="Times New Roman" w:cs="Times New Roman"/>
          <w:sz w:val="24"/>
          <w:szCs w:val="24"/>
        </w:rPr>
        <w:t>d tego</w:t>
      </w:r>
      <w:r w:rsidR="007F63A1">
        <w:rPr>
          <w:rFonts w:ascii="Times New Roman" w:hAnsi="Times New Roman" w:cs="Times New Roman"/>
          <w:sz w:val="24"/>
          <w:szCs w:val="24"/>
        </w:rPr>
        <w:t>,</w:t>
      </w:r>
      <w:r w:rsidRPr="0018524B">
        <w:rPr>
          <w:rFonts w:ascii="Times New Roman" w:hAnsi="Times New Roman" w:cs="Times New Roman"/>
          <w:sz w:val="24"/>
          <w:szCs w:val="24"/>
        </w:rPr>
        <w:t xml:space="preserve"> czy będzie to miało miejsce jeszcze w czasie obowiązywania umowy o udost</w:t>
      </w:r>
      <w:r w:rsidR="005C2B3A">
        <w:rPr>
          <w:rFonts w:ascii="Times New Roman" w:hAnsi="Times New Roman" w:cs="Times New Roman"/>
          <w:sz w:val="24"/>
          <w:szCs w:val="24"/>
        </w:rPr>
        <w:t>ę</w:t>
      </w:r>
      <w:r w:rsidRPr="0018524B">
        <w:rPr>
          <w:rFonts w:ascii="Times New Roman" w:hAnsi="Times New Roman" w:cs="Times New Roman"/>
          <w:sz w:val="24"/>
          <w:szCs w:val="24"/>
        </w:rPr>
        <w:t xml:space="preserve">pnienia anonimowej skrytki sejfowej, czy już po jej wygaśnięciu na podstawie art. </w:t>
      </w:r>
      <w:r w:rsidR="007F63A1">
        <w:rPr>
          <w:rFonts w:ascii="Times New Roman" w:hAnsi="Times New Roman" w:cs="Times New Roman"/>
          <w:sz w:val="24"/>
          <w:szCs w:val="24"/>
        </w:rPr>
        <w:t>20</w:t>
      </w:r>
      <w:r w:rsidRPr="0018524B">
        <w:rPr>
          <w:rFonts w:ascii="Times New Roman" w:hAnsi="Times New Roman" w:cs="Times New Roman"/>
          <w:sz w:val="24"/>
          <w:szCs w:val="24"/>
        </w:rPr>
        <w:t xml:space="preserve"> ust.1 ustawy. </w:t>
      </w:r>
      <w:r w:rsidR="007F63A1">
        <w:rPr>
          <w:rFonts w:ascii="Times New Roman" w:hAnsi="Times New Roman" w:cs="Times New Roman"/>
          <w:sz w:val="24"/>
          <w:szCs w:val="24"/>
        </w:rPr>
        <w:t xml:space="preserve">Należy zauważyć, że </w:t>
      </w:r>
      <w:r w:rsidR="007F63A1" w:rsidRPr="00545EEA">
        <w:rPr>
          <w:rFonts w:ascii="Times New Roman" w:hAnsi="Times New Roman" w:cs="Times New Roman"/>
          <w:sz w:val="24"/>
          <w:szCs w:val="24"/>
        </w:rPr>
        <w:t xml:space="preserve">obowiązujące przepisy </w:t>
      </w:r>
      <w:r w:rsidR="007F63A1">
        <w:rPr>
          <w:rFonts w:ascii="Times New Roman" w:hAnsi="Times New Roman" w:cs="Times New Roman"/>
          <w:sz w:val="24"/>
          <w:szCs w:val="24"/>
        </w:rPr>
        <w:t>w zakresie obowiązku stosowania przez instytucje obowiązane</w:t>
      </w:r>
      <w:r w:rsidR="007F63A1" w:rsidRPr="00545EEA">
        <w:rPr>
          <w:rFonts w:ascii="Times New Roman" w:hAnsi="Times New Roman" w:cs="Times New Roman"/>
          <w:sz w:val="24"/>
          <w:szCs w:val="24"/>
        </w:rPr>
        <w:t xml:space="preserve"> środków b</w:t>
      </w:r>
      <w:r w:rsidR="007F63A1">
        <w:rPr>
          <w:rFonts w:ascii="Times New Roman" w:hAnsi="Times New Roman" w:cs="Times New Roman"/>
          <w:sz w:val="24"/>
          <w:szCs w:val="24"/>
        </w:rPr>
        <w:t>ezpieczeństwa finansowego</w:t>
      </w:r>
      <w:r w:rsidR="007F63A1" w:rsidRPr="00545EEA">
        <w:rPr>
          <w:rFonts w:ascii="Times New Roman" w:hAnsi="Times New Roman" w:cs="Times New Roman"/>
          <w:sz w:val="24"/>
          <w:szCs w:val="24"/>
        </w:rPr>
        <w:t xml:space="preserve"> nie dopuszczają </w:t>
      </w:r>
      <w:r w:rsidR="007F63A1">
        <w:rPr>
          <w:rFonts w:ascii="Times New Roman" w:hAnsi="Times New Roman" w:cs="Times New Roman"/>
          <w:sz w:val="24"/>
          <w:szCs w:val="24"/>
        </w:rPr>
        <w:t xml:space="preserve">możliwości nawiązania </w:t>
      </w:r>
      <w:r w:rsidR="007F63A1" w:rsidRPr="00545EEA">
        <w:rPr>
          <w:rFonts w:ascii="Times New Roman" w:hAnsi="Times New Roman" w:cs="Times New Roman"/>
          <w:sz w:val="24"/>
          <w:szCs w:val="24"/>
        </w:rPr>
        <w:t>stosunku gospodarczego lub zawarcia transakcji okazjonalnej w przypadk</w:t>
      </w:r>
      <w:r w:rsidR="007F63A1">
        <w:rPr>
          <w:rFonts w:ascii="Times New Roman" w:hAnsi="Times New Roman" w:cs="Times New Roman"/>
          <w:sz w:val="24"/>
          <w:szCs w:val="24"/>
        </w:rPr>
        <w:t xml:space="preserve">u braku zastosowania m.in. identyfikacji i weryfikacji tożsamości klienta </w:t>
      </w:r>
      <w:r w:rsidR="007F63A1" w:rsidRPr="00545EEA">
        <w:rPr>
          <w:rFonts w:ascii="Times New Roman" w:hAnsi="Times New Roman" w:cs="Times New Roman"/>
          <w:sz w:val="24"/>
          <w:szCs w:val="24"/>
        </w:rPr>
        <w:t xml:space="preserve">(tym samym nie </w:t>
      </w:r>
      <w:r w:rsidR="007F63A1">
        <w:rPr>
          <w:rFonts w:ascii="Times New Roman" w:hAnsi="Times New Roman" w:cs="Times New Roman"/>
          <w:sz w:val="24"/>
          <w:szCs w:val="24"/>
        </w:rPr>
        <w:t xml:space="preserve">dopuszczają możliwości zakładania anonimowych skrytek). </w:t>
      </w:r>
      <w:r w:rsidR="007F63A1" w:rsidRPr="00545EEA">
        <w:rPr>
          <w:rFonts w:ascii="Times New Roman" w:hAnsi="Times New Roman" w:cs="Times New Roman"/>
          <w:sz w:val="24"/>
          <w:szCs w:val="24"/>
        </w:rPr>
        <w:t>Projektowany prz</w:t>
      </w:r>
      <w:r w:rsidR="007F63A1">
        <w:rPr>
          <w:rFonts w:ascii="Times New Roman" w:hAnsi="Times New Roman" w:cs="Times New Roman"/>
          <w:sz w:val="24"/>
          <w:szCs w:val="24"/>
        </w:rPr>
        <w:t>epis ma zatem charakter przejściowy,</w:t>
      </w:r>
      <w:r w:rsidR="007F63A1" w:rsidRPr="00545EEA">
        <w:rPr>
          <w:rFonts w:ascii="Times New Roman" w:hAnsi="Times New Roman" w:cs="Times New Roman"/>
          <w:sz w:val="24"/>
          <w:szCs w:val="24"/>
        </w:rPr>
        <w:t xml:space="preserve"> dotyczy jedynie relatywnie niewielkiego wolumenu umów o prowadzenie skrytek, które zostały założone przed laty</w:t>
      </w:r>
      <w:r w:rsidR="006A1D89">
        <w:rPr>
          <w:rFonts w:ascii="Times New Roman" w:hAnsi="Times New Roman" w:cs="Times New Roman"/>
          <w:sz w:val="24"/>
          <w:szCs w:val="24"/>
        </w:rPr>
        <w:t>,</w:t>
      </w:r>
      <w:r w:rsidR="007F63A1" w:rsidRPr="00545EEA">
        <w:rPr>
          <w:rFonts w:ascii="Times New Roman" w:hAnsi="Times New Roman" w:cs="Times New Roman"/>
          <w:sz w:val="24"/>
          <w:szCs w:val="24"/>
        </w:rPr>
        <w:t xml:space="preserve"> i wobec których w międzyczasie nie zastosowano środków bezpieczeństwa finansowego. </w:t>
      </w:r>
    </w:p>
    <w:p w14:paraId="7BC4EB46" w14:textId="0E14B011" w:rsidR="0016336F" w:rsidRDefault="0016336F" w:rsidP="00ED2506">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W</w:t>
      </w:r>
      <w:r w:rsidRPr="0018524B">
        <w:rPr>
          <w:rFonts w:ascii="Times New Roman" w:hAnsi="Times New Roman" w:cs="Times New Roman"/>
          <w:b/>
          <w:sz w:val="24"/>
          <w:szCs w:val="24"/>
        </w:rPr>
        <w:t xml:space="preserve"> art. 2</w:t>
      </w:r>
      <w:r>
        <w:rPr>
          <w:rFonts w:ascii="Times New Roman" w:hAnsi="Times New Roman" w:cs="Times New Roman"/>
          <w:b/>
          <w:sz w:val="24"/>
          <w:szCs w:val="24"/>
        </w:rPr>
        <w:t>1</w:t>
      </w:r>
      <w:r w:rsidRPr="0018524B">
        <w:rPr>
          <w:rFonts w:ascii="Times New Roman" w:hAnsi="Times New Roman" w:cs="Times New Roman"/>
          <w:b/>
          <w:sz w:val="24"/>
          <w:szCs w:val="24"/>
        </w:rPr>
        <w:t xml:space="preserve"> </w:t>
      </w:r>
      <w:r w:rsidRPr="0018524B">
        <w:rPr>
          <w:rFonts w:ascii="Times New Roman" w:hAnsi="Times New Roman" w:cs="Times New Roman"/>
          <w:sz w:val="24"/>
          <w:szCs w:val="24"/>
        </w:rPr>
        <w:t xml:space="preserve">projektu </w:t>
      </w:r>
      <w:r>
        <w:rPr>
          <w:rFonts w:ascii="Times New Roman" w:hAnsi="Times New Roman" w:cs="Times New Roman"/>
          <w:sz w:val="24"/>
          <w:szCs w:val="24"/>
        </w:rPr>
        <w:t xml:space="preserve">przewidziano przepis wskazujący, iż przepisy wykonawcze </w:t>
      </w:r>
      <w:r w:rsidRPr="0016336F">
        <w:rPr>
          <w:rFonts w:ascii="Times New Roman" w:hAnsi="Times New Roman" w:cs="Times New Roman"/>
          <w:sz w:val="24"/>
          <w:szCs w:val="24"/>
        </w:rPr>
        <w:t xml:space="preserve">wydane na podstawie art. 46 ust. 3 ustawy </w:t>
      </w:r>
      <w:r>
        <w:rPr>
          <w:rFonts w:ascii="Times New Roman" w:hAnsi="Times New Roman" w:cs="Times New Roman"/>
          <w:sz w:val="24"/>
          <w:szCs w:val="24"/>
        </w:rPr>
        <w:t>o Krajowej Administracji Skarbowej</w:t>
      </w:r>
      <w:r w:rsidRPr="0016336F">
        <w:rPr>
          <w:rFonts w:ascii="Times New Roman" w:hAnsi="Times New Roman" w:cs="Times New Roman"/>
          <w:sz w:val="24"/>
          <w:szCs w:val="24"/>
        </w:rPr>
        <w:t>,</w:t>
      </w:r>
      <w:r w:rsidR="00C6045B">
        <w:rPr>
          <w:rFonts w:ascii="Times New Roman" w:hAnsi="Times New Roman" w:cs="Times New Roman"/>
          <w:sz w:val="24"/>
          <w:szCs w:val="24"/>
        </w:rPr>
        <w:t xml:space="preserve"> </w:t>
      </w:r>
      <w:r w:rsidRPr="0016336F">
        <w:rPr>
          <w:rFonts w:ascii="Times New Roman" w:hAnsi="Times New Roman" w:cs="Times New Roman"/>
          <w:sz w:val="24"/>
          <w:szCs w:val="24"/>
        </w:rPr>
        <w:t xml:space="preserve">zachowują moc do dnia wejścia w życie nowych przepisów wykonawczych wydanych na podstawie </w:t>
      </w:r>
      <w:r>
        <w:rPr>
          <w:rFonts w:ascii="Times New Roman" w:hAnsi="Times New Roman" w:cs="Times New Roman"/>
          <w:sz w:val="24"/>
          <w:szCs w:val="24"/>
        </w:rPr>
        <w:t>tego przepisu</w:t>
      </w:r>
      <w:r w:rsidRPr="0016336F">
        <w:rPr>
          <w:rFonts w:ascii="Times New Roman" w:hAnsi="Times New Roman" w:cs="Times New Roman"/>
          <w:sz w:val="24"/>
          <w:szCs w:val="24"/>
        </w:rPr>
        <w:t>, jednak nie d</w:t>
      </w:r>
      <w:r w:rsidRPr="0016336F">
        <w:rPr>
          <w:rFonts w:ascii="Times New Roman" w:hAnsi="Times New Roman" w:cs="Times New Roman" w:hint="eastAsia"/>
          <w:sz w:val="24"/>
          <w:szCs w:val="24"/>
        </w:rPr>
        <w:t>ł</w:t>
      </w:r>
      <w:r w:rsidRPr="0016336F">
        <w:rPr>
          <w:rFonts w:ascii="Times New Roman" w:hAnsi="Times New Roman" w:cs="Times New Roman"/>
          <w:sz w:val="24"/>
          <w:szCs w:val="24"/>
        </w:rPr>
        <w:t>u</w:t>
      </w:r>
      <w:r w:rsidRPr="0016336F">
        <w:rPr>
          <w:rFonts w:ascii="Times New Roman" w:hAnsi="Times New Roman" w:cs="Times New Roman" w:hint="eastAsia"/>
          <w:sz w:val="24"/>
          <w:szCs w:val="24"/>
        </w:rPr>
        <w:t>ż</w:t>
      </w:r>
      <w:r w:rsidRPr="0016336F">
        <w:rPr>
          <w:rFonts w:ascii="Times New Roman" w:hAnsi="Times New Roman" w:cs="Times New Roman"/>
          <w:sz w:val="24"/>
          <w:szCs w:val="24"/>
        </w:rPr>
        <w:t>ej ni</w:t>
      </w:r>
      <w:r w:rsidRPr="0016336F">
        <w:rPr>
          <w:rFonts w:ascii="Times New Roman" w:hAnsi="Times New Roman" w:cs="Times New Roman" w:hint="eastAsia"/>
          <w:sz w:val="24"/>
          <w:szCs w:val="24"/>
        </w:rPr>
        <w:t>ż</w:t>
      </w:r>
      <w:r w:rsidRPr="0016336F">
        <w:rPr>
          <w:rFonts w:ascii="Times New Roman" w:hAnsi="Times New Roman" w:cs="Times New Roman"/>
          <w:sz w:val="24"/>
          <w:szCs w:val="24"/>
        </w:rPr>
        <w:t xml:space="preserve"> przez</w:t>
      </w:r>
      <w:r w:rsidR="00C6045B">
        <w:rPr>
          <w:rFonts w:ascii="Times New Roman" w:hAnsi="Times New Roman" w:cs="Times New Roman"/>
          <w:sz w:val="24"/>
          <w:szCs w:val="24"/>
        </w:rPr>
        <w:t xml:space="preserve"> </w:t>
      </w:r>
      <w:r w:rsidRPr="0016336F">
        <w:rPr>
          <w:rFonts w:ascii="Times New Roman" w:hAnsi="Times New Roman" w:cs="Times New Roman"/>
          <w:sz w:val="24"/>
          <w:szCs w:val="24"/>
        </w:rPr>
        <w:t>12</w:t>
      </w:r>
      <w:r w:rsidR="00C6045B">
        <w:rPr>
          <w:rFonts w:ascii="Times New Roman" w:hAnsi="Times New Roman" w:cs="Times New Roman"/>
          <w:sz w:val="24"/>
          <w:szCs w:val="24"/>
        </w:rPr>
        <w:t xml:space="preserve"> </w:t>
      </w:r>
      <w:r w:rsidRPr="0016336F">
        <w:rPr>
          <w:rFonts w:ascii="Times New Roman" w:hAnsi="Times New Roman" w:cs="Times New Roman"/>
          <w:sz w:val="24"/>
          <w:szCs w:val="24"/>
        </w:rPr>
        <w:t>miesi</w:t>
      </w:r>
      <w:r w:rsidRPr="0016336F">
        <w:rPr>
          <w:rFonts w:ascii="Times New Roman" w:hAnsi="Times New Roman" w:cs="Times New Roman" w:hint="eastAsia"/>
          <w:sz w:val="24"/>
          <w:szCs w:val="24"/>
        </w:rPr>
        <w:t>ę</w:t>
      </w:r>
      <w:r w:rsidRPr="0016336F">
        <w:rPr>
          <w:rFonts w:ascii="Times New Roman" w:hAnsi="Times New Roman" w:cs="Times New Roman"/>
          <w:sz w:val="24"/>
          <w:szCs w:val="24"/>
        </w:rPr>
        <w:t>cy od dnia wej</w:t>
      </w:r>
      <w:r w:rsidRPr="0016336F">
        <w:rPr>
          <w:rFonts w:ascii="Times New Roman" w:hAnsi="Times New Roman" w:cs="Times New Roman" w:hint="eastAsia"/>
          <w:sz w:val="24"/>
          <w:szCs w:val="24"/>
        </w:rPr>
        <w:t>ś</w:t>
      </w:r>
      <w:r w:rsidRPr="0016336F">
        <w:rPr>
          <w:rFonts w:ascii="Times New Roman" w:hAnsi="Times New Roman" w:cs="Times New Roman"/>
          <w:sz w:val="24"/>
          <w:szCs w:val="24"/>
        </w:rPr>
        <w:t xml:space="preserve">cia w </w:t>
      </w:r>
      <w:r w:rsidRPr="0016336F">
        <w:rPr>
          <w:rFonts w:ascii="Times New Roman" w:hAnsi="Times New Roman" w:cs="Times New Roman" w:hint="eastAsia"/>
          <w:sz w:val="24"/>
          <w:szCs w:val="24"/>
        </w:rPr>
        <w:t>ż</w:t>
      </w:r>
      <w:r w:rsidRPr="0016336F">
        <w:rPr>
          <w:rFonts w:ascii="Times New Roman" w:hAnsi="Times New Roman" w:cs="Times New Roman"/>
          <w:sz w:val="24"/>
          <w:szCs w:val="24"/>
        </w:rPr>
        <w:t>ycie ustawy</w:t>
      </w:r>
      <w:r>
        <w:rPr>
          <w:rFonts w:ascii="Times New Roman" w:hAnsi="Times New Roman" w:cs="Times New Roman"/>
          <w:sz w:val="24"/>
          <w:szCs w:val="24"/>
        </w:rPr>
        <w:t>. Wprowadzenie art. 21 jest konieczne z uwagi na fakt, iż na podstawie art. 7 projektu dodano ust. 2a do art. 46 ustawy o Krajowej Administracji Skarbowej, co wpłynie n</w:t>
      </w:r>
      <w:r w:rsidRPr="0016336F">
        <w:rPr>
          <w:rFonts w:ascii="Times New Roman" w:hAnsi="Times New Roman" w:cs="Times New Roman"/>
          <w:sz w:val="24"/>
          <w:szCs w:val="24"/>
        </w:rPr>
        <w:t>a treść upoważnienia ustawowego</w:t>
      </w:r>
      <w:r>
        <w:rPr>
          <w:rFonts w:ascii="Times New Roman" w:hAnsi="Times New Roman" w:cs="Times New Roman"/>
          <w:sz w:val="24"/>
          <w:szCs w:val="24"/>
        </w:rPr>
        <w:t xml:space="preserve"> z art. 46 ust. 3 tej ustawy i będzie się wiązało z koniecznością wydania nowego </w:t>
      </w:r>
      <w:r w:rsidR="006A1D89">
        <w:rPr>
          <w:rFonts w:ascii="Times New Roman" w:hAnsi="Times New Roman" w:cs="Times New Roman"/>
          <w:sz w:val="24"/>
          <w:szCs w:val="24"/>
        </w:rPr>
        <w:t>aktu</w:t>
      </w:r>
      <w:r>
        <w:rPr>
          <w:rFonts w:ascii="Times New Roman" w:hAnsi="Times New Roman" w:cs="Times New Roman"/>
          <w:sz w:val="24"/>
          <w:szCs w:val="24"/>
        </w:rPr>
        <w:t xml:space="preserve"> wykonawczego. Niemniej z uwagi na zachowanie ciągłości wymiany informacji, zasadne jest wskazanie okresu, w jakim zachow</w:t>
      </w:r>
      <w:r w:rsidR="004A6CED">
        <w:rPr>
          <w:rFonts w:ascii="Times New Roman" w:hAnsi="Times New Roman" w:cs="Times New Roman"/>
          <w:sz w:val="24"/>
          <w:szCs w:val="24"/>
        </w:rPr>
        <w:t>u</w:t>
      </w:r>
      <w:r>
        <w:rPr>
          <w:rFonts w:ascii="Times New Roman" w:hAnsi="Times New Roman" w:cs="Times New Roman"/>
          <w:sz w:val="24"/>
          <w:szCs w:val="24"/>
        </w:rPr>
        <w:t>ją moc dotychczasowe przepisy.</w:t>
      </w:r>
    </w:p>
    <w:p w14:paraId="2DB82083" w14:textId="4B171807" w:rsidR="00F10481" w:rsidRPr="0018524B" w:rsidRDefault="00F10481" w:rsidP="00ED2506">
      <w:pPr>
        <w:spacing w:line="400" w:lineRule="atLeast"/>
        <w:jc w:val="both"/>
        <w:rPr>
          <w:rFonts w:ascii="Times New Roman" w:hAnsi="Times New Roman" w:cs="Times New Roman"/>
          <w:b/>
          <w:sz w:val="24"/>
          <w:szCs w:val="24"/>
        </w:rPr>
      </w:pPr>
      <w:r w:rsidRPr="0018524B">
        <w:rPr>
          <w:rFonts w:ascii="Times New Roman" w:hAnsi="Times New Roman" w:cs="Times New Roman"/>
          <w:sz w:val="24"/>
          <w:szCs w:val="24"/>
        </w:rPr>
        <w:t>W</w:t>
      </w:r>
      <w:r w:rsidRPr="0018524B">
        <w:rPr>
          <w:rFonts w:ascii="Times New Roman" w:hAnsi="Times New Roman" w:cs="Times New Roman"/>
          <w:b/>
          <w:sz w:val="24"/>
          <w:szCs w:val="24"/>
        </w:rPr>
        <w:t xml:space="preserve"> art. </w:t>
      </w:r>
      <w:r w:rsidR="00B94168" w:rsidRPr="0018524B">
        <w:rPr>
          <w:rFonts w:ascii="Times New Roman" w:hAnsi="Times New Roman" w:cs="Times New Roman"/>
          <w:b/>
          <w:sz w:val="24"/>
          <w:szCs w:val="24"/>
        </w:rPr>
        <w:t>2</w:t>
      </w:r>
      <w:r w:rsidR="0016336F">
        <w:rPr>
          <w:rFonts w:ascii="Times New Roman" w:hAnsi="Times New Roman" w:cs="Times New Roman"/>
          <w:b/>
          <w:sz w:val="24"/>
          <w:szCs w:val="24"/>
        </w:rPr>
        <w:t>2</w:t>
      </w:r>
      <w:r w:rsidR="002661D8" w:rsidRPr="0018524B">
        <w:rPr>
          <w:rFonts w:ascii="Times New Roman" w:hAnsi="Times New Roman" w:cs="Times New Roman"/>
          <w:b/>
          <w:sz w:val="24"/>
          <w:szCs w:val="24"/>
        </w:rPr>
        <w:t xml:space="preserve"> </w:t>
      </w:r>
      <w:r w:rsidRPr="0018524B">
        <w:rPr>
          <w:rFonts w:ascii="Times New Roman" w:hAnsi="Times New Roman" w:cs="Times New Roman"/>
          <w:sz w:val="24"/>
          <w:szCs w:val="24"/>
        </w:rPr>
        <w:t xml:space="preserve">projektu określono skutki finansowe związane z wejściem w życie projektowanych przepisów, które </w:t>
      </w:r>
      <w:r w:rsidR="00546B98" w:rsidRPr="0018524B">
        <w:rPr>
          <w:rFonts w:ascii="Times New Roman" w:hAnsi="Times New Roman" w:cs="Times New Roman"/>
          <w:sz w:val="24"/>
          <w:szCs w:val="24"/>
        </w:rPr>
        <w:t>wiązać się będą z wydatkami dla budżetu państwa w latach 202</w:t>
      </w:r>
      <w:r w:rsidR="00201625">
        <w:rPr>
          <w:rFonts w:ascii="Times New Roman" w:hAnsi="Times New Roman" w:cs="Times New Roman"/>
          <w:sz w:val="24"/>
          <w:szCs w:val="24"/>
        </w:rPr>
        <w:t>1</w:t>
      </w:r>
      <w:r w:rsidR="00C6045B">
        <w:rPr>
          <w:rFonts w:ascii="Times New Roman" w:hAnsi="Times New Roman" w:cs="Times New Roman"/>
          <w:sz w:val="24"/>
          <w:szCs w:val="24"/>
        </w:rPr>
        <w:t>–</w:t>
      </w:r>
      <w:r w:rsidR="00546B98" w:rsidRPr="0018524B">
        <w:rPr>
          <w:rFonts w:ascii="Times New Roman" w:hAnsi="Times New Roman" w:cs="Times New Roman"/>
          <w:sz w:val="24"/>
          <w:szCs w:val="24"/>
        </w:rPr>
        <w:t>20</w:t>
      </w:r>
      <w:r w:rsidR="00201625">
        <w:rPr>
          <w:rFonts w:ascii="Times New Roman" w:hAnsi="Times New Roman" w:cs="Times New Roman"/>
          <w:sz w:val="24"/>
          <w:szCs w:val="24"/>
        </w:rPr>
        <w:t>30</w:t>
      </w:r>
      <w:r w:rsidR="00546B98" w:rsidRPr="0018524B">
        <w:rPr>
          <w:rFonts w:ascii="Times New Roman" w:hAnsi="Times New Roman" w:cs="Times New Roman"/>
          <w:sz w:val="24"/>
          <w:szCs w:val="24"/>
        </w:rPr>
        <w:t>.</w:t>
      </w:r>
    </w:p>
    <w:p w14:paraId="6B59F4EC" w14:textId="36EB1CDF" w:rsidR="00ED2506" w:rsidRPr="0018524B" w:rsidRDefault="00ED2506" w:rsidP="00ED2506">
      <w:pPr>
        <w:spacing w:line="400" w:lineRule="atLeast"/>
        <w:jc w:val="both"/>
        <w:rPr>
          <w:rFonts w:ascii="Times New Roman" w:hAnsi="Times New Roman" w:cs="Times New Roman"/>
          <w:sz w:val="24"/>
          <w:szCs w:val="24"/>
        </w:rPr>
      </w:pPr>
      <w:r w:rsidRPr="0018524B">
        <w:rPr>
          <w:rFonts w:ascii="Times New Roman" w:hAnsi="Times New Roman" w:cs="Times New Roman"/>
          <w:b/>
          <w:sz w:val="24"/>
          <w:szCs w:val="24"/>
        </w:rPr>
        <w:lastRenderedPageBreak/>
        <w:t xml:space="preserve">Art. </w:t>
      </w:r>
      <w:r w:rsidR="00B94168" w:rsidRPr="0018524B">
        <w:rPr>
          <w:rFonts w:ascii="Times New Roman" w:hAnsi="Times New Roman" w:cs="Times New Roman"/>
          <w:b/>
          <w:sz w:val="24"/>
          <w:szCs w:val="24"/>
        </w:rPr>
        <w:t>2</w:t>
      </w:r>
      <w:r w:rsidR="0016336F">
        <w:rPr>
          <w:rFonts w:ascii="Times New Roman" w:hAnsi="Times New Roman" w:cs="Times New Roman"/>
          <w:b/>
          <w:sz w:val="24"/>
          <w:szCs w:val="24"/>
        </w:rPr>
        <w:t>3</w:t>
      </w:r>
      <w:r w:rsidR="000C6562" w:rsidRPr="0018524B">
        <w:rPr>
          <w:rFonts w:ascii="Times New Roman" w:hAnsi="Times New Roman" w:cs="Times New Roman"/>
          <w:b/>
          <w:sz w:val="24"/>
          <w:szCs w:val="24"/>
        </w:rPr>
        <w:t xml:space="preserve"> </w:t>
      </w:r>
      <w:r w:rsidRPr="0018524B">
        <w:rPr>
          <w:rFonts w:ascii="Times New Roman" w:hAnsi="Times New Roman" w:cs="Times New Roman"/>
          <w:sz w:val="24"/>
          <w:szCs w:val="24"/>
        </w:rPr>
        <w:t xml:space="preserve">projektu ustawy – przepis końcowy, dotyczy regulacji dotyczących wejścia w życie przepisów ustawy. Proponuje się, aby ustawa weszła w życie po 14 dniach od dnia jej ogłoszenia w dzienniku urzędowym, z wyjątkiem przepisów dotyczących m.in. rozszerzenia zakresu gromadzonych przez GIIF statystyk, uszczegółowienia zasad dotyczących stosowania przez instytucje obowiązane środków bezpieczeństwa finansowego, a także działań podejmowanych przez nie w zakresie relacji związanych z państwami trzecimi wysokiego ryzyka, które zgodnie z propozycją mają wejść w życie po upływie 3 miesięcy od dnia ogłoszenia projektowanej ustawy oraz przepisów dotyczących m.in. mechanizmów weryfikacji danych zawartych w CRBR, oraz przepisów w zakresie działalności regulowanych, o których mowa rozdziale 11a dotyczących działalności na rzecz spółek lub trustów oraz działalności w zakresie walut wirtualnych, które wejdą w życie po upływie 6 miesięcy od dnia ogłoszenia projektowanej ustawy. Powyższa regulacja ma na celu </w:t>
      </w:r>
      <w:r w:rsidR="002F6E04" w:rsidRPr="0018524B">
        <w:rPr>
          <w:rFonts w:ascii="Times New Roman" w:hAnsi="Times New Roman" w:cs="Times New Roman"/>
          <w:sz w:val="24"/>
          <w:szCs w:val="24"/>
        </w:rPr>
        <w:t xml:space="preserve">zapewnienie </w:t>
      </w:r>
      <w:r w:rsidRPr="0018524B">
        <w:rPr>
          <w:rFonts w:ascii="Times New Roman" w:hAnsi="Times New Roman" w:cs="Times New Roman"/>
          <w:sz w:val="24"/>
          <w:szCs w:val="24"/>
        </w:rPr>
        <w:t>odpowiedniego czasu na zapoznanie się z nowymi przepisami, a także przygotowanie do zmian, jakie wynikają z ich wejścia w życie. 6 miesięczne vacatio legis w zakresie wprowadzanych rozwiązań dotyczących działalności regulowanej będzie</w:t>
      </w:r>
      <w:r w:rsidR="00563B5F">
        <w:rPr>
          <w:rFonts w:ascii="Times New Roman" w:hAnsi="Times New Roman" w:cs="Times New Roman"/>
          <w:sz w:val="24"/>
          <w:szCs w:val="24"/>
        </w:rPr>
        <w:t>,</w:t>
      </w:r>
      <w:r w:rsidRPr="0018524B">
        <w:rPr>
          <w:rFonts w:ascii="Times New Roman" w:hAnsi="Times New Roman" w:cs="Times New Roman"/>
          <w:sz w:val="24"/>
          <w:szCs w:val="24"/>
        </w:rPr>
        <w:t xml:space="preserve"> zdaniem projektodawcy</w:t>
      </w:r>
      <w:r w:rsidR="00563B5F">
        <w:rPr>
          <w:rFonts w:ascii="Times New Roman" w:hAnsi="Times New Roman" w:cs="Times New Roman"/>
          <w:sz w:val="24"/>
          <w:szCs w:val="24"/>
        </w:rPr>
        <w:t>,</w:t>
      </w:r>
      <w:r w:rsidRPr="0018524B">
        <w:rPr>
          <w:rFonts w:ascii="Times New Roman" w:hAnsi="Times New Roman" w:cs="Times New Roman"/>
          <w:sz w:val="24"/>
          <w:szCs w:val="24"/>
        </w:rPr>
        <w:t xml:space="preserve"> korzystne z punktu widzenia możliwości dostosowania się przez przedsiębiorców do nowych obowiązków. </w:t>
      </w:r>
    </w:p>
    <w:p w14:paraId="7A93F04C" w14:textId="5D67C0AD" w:rsidR="00823ABA" w:rsidRPr="0018524B" w:rsidRDefault="00ED2506" w:rsidP="00ED2506">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Projekt będzie </w:t>
      </w:r>
      <w:r w:rsidR="001C774F">
        <w:rPr>
          <w:rFonts w:ascii="Times New Roman" w:hAnsi="Times New Roman" w:cs="Times New Roman"/>
          <w:sz w:val="24"/>
          <w:szCs w:val="24"/>
        </w:rPr>
        <w:t>miał wpływ na działalność mikro</w:t>
      </w:r>
      <w:r w:rsidRPr="0018524B">
        <w:rPr>
          <w:rFonts w:ascii="Times New Roman" w:hAnsi="Times New Roman" w:cs="Times New Roman"/>
          <w:sz w:val="24"/>
          <w:szCs w:val="24"/>
        </w:rPr>
        <w:t>przedsiębiorców oraz małych i średnich przedsiębiorców, gdyż nałoży na część instytucji obowiązanych nowe wymogi</w:t>
      </w:r>
      <w:r w:rsidR="00563B5F">
        <w:rPr>
          <w:rFonts w:ascii="Times New Roman" w:hAnsi="Times New Roman" w:cs="Times New Roman"/>
          <w:sz w:val="24"/>
          <w:szCs w:val="24"/>
        </w:rPr>
        <w:t>,</w:t>
      </w:r>
      <w:r w:rsidRPr="0018524B">
        <w:rPr>
          <w:rFonts w:ascii="Times New Roman" w:hAnsi="Times New Roman" w:cs="Times New Roman"/>
          <w:sz w:val="24"/>
          <w:szCs w:val="24"/>
        </w:rPr>
        <w:t xml:space="preserve"> od których </w:t>
      </w:r>
      <w:r w:rsidR="00563B5F" w:rsidRPr="0018524B">
        <w:rPr>
          <w:rFonts w:ascii="Times New Roman" w:hAnsi="Times New Roman" w:cs="Times New Roman"/>
          <w:sz w:val="24"/>
          <w:szCs w:val="24"/>
        </w:rPr>
        <w:t xml:space="preserve">będzie </w:t>
      </w:r>
      <w:r w:rsidRPr="0018524B">
        <w:rPr>
          <w:rFonts w:ascii="Times New Roman" w:hAnsi="Times New Roman" w:cs="Times New Roman"/>
          <w:sz w:val="24"/>
          <w:szCs w:val="24"/>
        </w:rPr>
        <w:t xml:space="preserve">zależeć możliwość prowadzenia przez nie działalności. </w:t>
      </w:r>
    </w:p>
    <w:p w14:paraId="18767E63" w14:textId="77777777" w:rsidR="00823ABA" w:rsidRPr="0018524B" w:rsidRDefault="00823ABA"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Projektowane regulacje nie stoją w sprzeczności z prawem Unii Europejskiej. Projekt nie wymaga zasięgnięcia opinii, dokonania konsultacji oraz uzgodnienia z właściwymi organami i instytucjami Unii Europejskiej, w tym Europejskim Bankiem Centralnym.</w:t>
      </w:r>
    </w:p>
    <w:p w14:paraId="14DB494D" w14:textId="2673AEC7" w:rsidR="00823ABA" w:rsidRPr="0018524B" w:rsidRDefault="00823ABA"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Projekt nie zawiera przepisów technicznych. Projekt nie podlega obowiązkowi notyfikacji, zgodnie z trybem przewidzianym w przepisach dotyczących sposobu funkcjonowania krajowego systemu no</w:t>
      </w:r>
      <w:r w:rsidR="004F5BE1">
        <w:rPr>
          <w:rFonts w:ascii="Times New Roman" w:hAnsi="Times New Roman" w:cs="Times New Roman"/>
          <w:sz w:val="24"/>
          <w:szCs w:val="24"/>
        </w:rPr>
        <w:t>tyfikacji norm i aktów prawnych.</w:t>
      </w:r>
    </w:p>
    <w:p w14:paraId="4AD90D9D" w14:textId="7663DEE6" w:rsidR="003A767D" w:rsidRPr="00357BF8" w:rsidRDefault="00823ABA" w:rsidP="00C81472">
      <w:pPr>
        <w:spacing w:line="400" w:lineRule="atLeast"/>
        <w:jc w:val="both"/>
        <w:rPr>
          <w:rFonts w:ascii="Times New Roman" w:hAnsi="Times New Roman" w:cs="Times New Roman"/>
          <w:sz w:val="24"/>
          <w:szCs w:val="24"/>
        </w:rPr>
      </w:pPr>
      <w:r w:rsidRPr="0018524B">
        <w:rPr>
          <w:rFonts w:ascii="Times New Roman" w:hAnsi="Times New Roman" w:cs="Times New Roman"/>
          <w:sz w:val="24"/>
          <w:szCs w:val="24"/>
        </w:rPr>
        <w:t xml:space="preserve">Stosownie do art. 5 ustawy z dnia 7 lipca 2005 r. </w:t>
      </w:r>
      <w:r w:rsidRPr="0018524B">
        <w:rPr>
          <w:rFonts w:ascii="Times New Roman" w:hAnsi="Times New Roman" w:cs="Times New Roman"/>
          <w:i/>
          <w:sz w:val="24"/>
          <w:szCs w:val="24"/>
        </w:rPr>
        <w:t>o działalności lobbingowej</w:t>
      </w:r>
      <w:r w:rsidRPr="0018524B">
        <w:rPr>
          <w:rFonts w:ascii="Times New Roman" w:hAnsi="Times New Roman" w:cs="Times New Roman"/>
          <w:sz w:val="24"/>
          <w:szCs w:val="24"/>
        </w:rPr>
        <w:t xml:space="preserve"> w procesie stanowienia prawa (Dz. U. z 2017 r. poz. 248) oraz § 4 i § 52 uchwały nr 190 Rady Ministrów z dnia 29 października 2013 r. – </w:t>
      </w:r>
      <w:r w:rsidRPr="0018524B">
        <w:rPr>
          <w:rFonts w:ascii="Times New Roman" w:hAnsi="Times New Roman" w:cs="Times New Roman"/>
          <w:i/>
          <w:sz w:val="24"/>
          <w:szCs w:val="24"/>
        </w:rPr>
        <w:t>Regulamin pracy Rady Ministrów</w:t>
      </w:r>
      <w:r w:rsidRPr="0018524B">
        <w:rPr>
          <w:rFonts w:ascii="Times New Roman" w:hAnsi="Times New Roman" w:cs="Times New Roman"/>
          <w:sz w:val="24"/>
          <w:szCs w:val="24"/>
        </w:rPr>
        <w:t xml:space="preserve"> (M. P. z 2016 r. poz. 10</w:t>
      </w:r>
      <w:r w:rsidR="00563B5F">
        <w:rPr>
          <w:rFonts w:ascii="Times New Roman" w:hAnsi="Times New Roman" w:cs="Times New Roman"/>
          <w:sz w:val="24"/>
          <w:szCs w:val="24"/>
        </w:rPr>
        <w:t>06, z późn. zm.), projekt został</w:t>
      </w:r>
      <w:r w:rsidRPr="0018524B">
        <w:rPr>
          <w:rFonts w:ascii="Times New Roman" w:hAnsi="Times New Roman" w:cs="Times New Roman"/>
          <w:sz w:val="24"/>
          <w:szCs w:val="24"/>
        </w:rPr>
        <w:t xml:space="preserve"> udostępniony w Biuletynie Informacji Publicznej na stronie podmiotowej Rządowego Centrum Legislacji, w serwisie Rządowy Proces Legislacyjny.</w:t>
      </w:r>
    </w:p>
    <w:sectPr w:rsidR="003A767D" w:rsidRPr="00357BF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3BD4D" w14:textId="77777777" w:rsidR="00EF18CE" w:rsidRDefault="00EF18CE" w:rsidP="00C3388F">
      <w:pPr>
        <w:spacing w:after="0" w:line="240" w:lineRule="auto"/>
      </w:pPr>
      <w:r>
        <w:separator/>
      </w:r>
    </w:p>
  </w:endnote>
  <w:endnote w:type="continuationSeparator" w:id="0">
    <w:p w14:paraId="46A43C19" w14:textId="77777777" w:rsidR="00EF18CE" w:rsidRDefault="00EF18CE" w:rsidP="00C3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20055"/>
      <w:docPartObj>
        <w:docPartGallery w:val="Page Numbers (Bottom of Page)"/>
        <w:docPartUnique/>
      </w:docPartObj>
    </w:sdtPr>
    <w:sdtEndPr>
      <w:rPr>
        <w:rFonts w:ascii="Times New Roman" w:hAnsi="Times New Roman" w:cs="Times New Roman"/>
        <w:sz w:val="24"/>
        <w:szCs w:val="24"/>
      </w:rPr>
    </w:sdtEndPr>
    <w:sdtContent>
      <w:p w14:paraId="0E3BACE1" w14:textId="6F9BCCC5" w:rsidR="007E3EE7" w:rsidRPr="00C3388F" w:rsidRDefault="007E3EE7">
        <w:pPr>
          <w:pStyle w:val="Stopka"/>
          <w:jc w:val="center"/>
          <w:rPr>
            <w:rFonts w:ascii="Times New Roman" w:hAnsi="Times New Roman" w:cs="Times New Roman"/>
            <w:sz w:val="24"/>
            <w:szCs w:val="24"/>
          </w:rPr>
        </w:pPr>
        <w:r w:rsidRPr="00C3388F">
          <w:rPr>
            <w:rFonts w:ascii="Times New Roman" w:hAnsi="Times New Roman" w:cs="Times New Roman"/>
            <w:sz w:val="24"/>
            <w:szCs w:val="24"/>
          </w:rPr>
          <w:fldChar w:fldCharType="begin"/>
        </w:r>
        <w:r w:rsidRPr="00C3388F">
          <w:rPr>
            <w:rFonts w:ascii="Times New Roman" w:hAnsi="Times New Roman" w:cs="Times New Roman"/>
            <w:sz w:val="24"/>
            <w:szCs w:val="24"/>
          </w:rPr>
          <w:instrText>PAGE   \* MERGEFORMAT</w:instrText>
        </w:r>
        <w:r w:rsidRPr="00C3388F">
          <w:rPr>
            <w:rFonts w:ascii="Times New Roman" w:hAnsi="Times New Roman" w:cs="Times New Roman"/>
            <w:sz w:val="24"/>
            <w:szCs w:val="24"/>
          </w:rPr>
          <w:fldChar w:fldCharType="separate"/>
        </w:r>
        <w:r w:rsidR="001116E5">
          <w:rPr>
            <w:rFonts w:ascii="Times New Roman" w:hAnsi="Times New Roman" w:cs="Times New Roman"/>
            <w:noProof/>
            <w:sz w:val="24"/>
            <w:szCs w:val="24"/>
          </w:rPr>
          <w:t>1</w:t>
        </w:r>
        <w:r w:rsidRPr="00C3388F">
          <w:rPr>
            <w:rFonts w:ascii="Times New Roman" w:hAnsi="Times New Roman" w:cs="Times New Roman"/>
            <w:sz w:val="24"/>
            <w:szCs w:val="24"/>
          </w:rPr>
          <w:fldChar w:fldCharType="end"/>
        </w:r>
      </w:p>
    </w:sdtContent>
  </w:sdt>
  <w:p w14:paraId="2263EDCF" w14:textId="77777777" w:rsidR="007E3EE7" w:rsidRDefault="007E3E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8BED4" w14:textId="77777777" w:rsidR="00EF18CE" w:rsidRDefault="00EF18CE" w:rsidP="00C3388F">
      <w:pPr>
        <w:spacing w:after="0" w:line="240" w:lineRule="auto"/>
      </w:pPr>
      <w:r>
        <w:separator/>
      </w:r>
    </w:p>
  </w:footnote>
  <w:footnote w:type="continuationSeparator" w:id="0">
    <w:p w14:paraId="387E5653" w14:textId="77777777" w:rsidR="00EF18CE" w:rsidRDefault="00EF18CE" w:rsidP="00C338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9A8"/>
    <w:rsid w:val="00013BBE"/>
    <w:rsid w:val="00020BFB"/>
    <w:rsid w:val="00024176"/>
    <w:rsid w:val="0002441E"/>
    <w:rsid w:val="00025112"/>
    <w:rsid w:val="00027E2D"/>
    <w:rsid w:val="00030539"/>
    <w:rsid w:val="000426F4"/>
    <w:rsid w:val="00047268"/>
    <w:rsid w:val="000601B0"/>
    <w:rsid w:val="000707A1"/>
    <w:rsid w:val="00091256"/>
    <w:rsid w:val="00091F3D"/>
    <w:rsid w:val="0009409A"/>
    <w:rsid w:val="00094B68"/>
    <w:rsid w:val="000962EB"/>
    <w:rsid w:val="00096596"/>
    <w:rsid w:val="000A0D1C"/>
    <w:rsid w:val="000A407B"/>
    <w:rsid w:val="000A471A"/>
    <w:rsid w:val="000B2CAD"/>
    <w:rsid w:val="000C028B"/>
    <w:rsid w:val="000C1901"/>
    <w:rsid w:val="000C543D"/>
    <w:rsid w:val="000C6562"/>
    <w:rsid w:val="000D241E"/>
    <w:rsid w:val="000D4D8F"/>
    <w:rsid w:val="000E45B2"/>
    <w:rsid w:val="000E6C64"/>
    <w:rsid w:val="000F7D62"/>
    <w:rsid w:val="00106CA4"/>
    <w:rsid w:val="001115B0"/>
    <w:rsid w:val="001116E5"/>
    <w:rsid w:val="00113B1F"/>
    <w:rsid w:val="00114B7E"/>
    <w:rsid w:val="001176B2"/>
    <w:rsid w:val="00121889"/>
    <w:rsid w:val="00123FE5"/>
    <w:rsid w:val="0012488C"/>
    <w:rsid w:val="00124DB0"/>
    <w:rsid w:val="00131FDA"/>
    <w:rsid w:val="0013747E"/>
    <w:rsid w:val="001434C9"/>
    <w:rsid w:val="00145E99"/>
    <w:rsid w:val="00146914"/>
    <w:rsid w:val="0016336F"/>
    <w:rsid w:val="0016519C"/>
    <w:rsid w:val="0016557F"/>
    <w:rsid w:val="00165AD7"/>
    <w:rsid w:val="00165BE4"/>
    <w:rsid w:val="00176466"/>
    <w:rsid w:val="0018524B"/>
    <w:rsid w:val="001916BF"/>
    <w:rsid w:val="001A0439"/>
    <w:rsid w:val="001A11E7"/>
    <w:rsid w:val="001A4E21"/>
    <w:rsid w:val="001B1A8F"/>
    <w:rsid w:val="001C16B6"/>
    <w:rsid w:val="001C774F"/>
    <w:rsid w:val="001C77C6"/>
    <w:rsid w:val="001D38B3"/>
    <w:rsid w:val="001E4DB2"/>
    <w:rsid w:val="001E546F"/>
    <w:rsid w:val="001F0032"/>
    <w:rsid w:val="001F1773"/>
    <w:rsid w:val="001F1FA4"/>
    <w:rsid w:val="001F2462"/>
    <w:rsid w:val="001F3261"/>
    <w:rsid w:val="001F5953"/>
    <w:rsid w:val="00201625"/>
    <w:rsid w:val="00203E95"/>
    <w:rsid w:val="002115DC"/>
    <w:rsid w:val="002142BF"/>
    <w:rsid w:val="00215237"/>
    <w:rsid w:val="00215454"/>
    <w:rsid w:val="00216F16"/>
    <w:rsid w:val="00217A0D"/>
    <w:rsid w:val="0022768D"/>
    <w:rsid w:val="00235B60"/>
    <w:rsid w:val="002371A1"/>
    <w:rsid w:val="00241168"/>
    <w:rsid w:val="00245521"/>
    <w:rsid w:val="00245912"/>
    <w:rsid w:val="002464AC"/>
    <w:rsid w:val="00254628"/>
    <w:rsid w:val="0025624B"/>
    <w:rsid w:val="00257C71"/>
    <w:rsid w:val="00260970"/>
    <w:rsid w:val="002614DC"/>
    <w:rsid w:val="00261978"/>
    <w:rsid w:val="002661D8"/>
    <w:rsid w:val="00274824"/>
    <w:rsid w:val="00282A7D"/>
    <w:rsid w:val="002837B5"/>
    <w:rsid w:val="00283854"/>
    <w:rsid w:val="00283BB3"/>
    <w:rsid w:val="00286D43"/>
    <w:rsid w:val="0029002A"/>
    <w:rsid w:val="002910BE"/>
    <w:rsid w:val="00291E13"/>
    <w:rsid w:val="00293402"/>
    <w:rsid w:val="002A2066"/>
    <w:rsid w:val="002A2785"/>
    <w:rsid w:val="002A33B7"/>
    <w:rsid w:val="002A4413"/>
    <w:rsid w:val="002A7639"/>
    <w:rsid w:val="002B4795"/>
    <w:rsid w:val="002B4931"/>
    <w:rsid w:val="002B5712"/>
    <w:rsid w:val="002B6798"/>
    <w:rsid w:val="002C0911"/>
    <w:rsid w:val="002C11FA"/>
    <w:rsid w:val="002C5D01"/>
    <w:rsid w:val="002C6F15"/>
    <w:rsid w:val="002D154D"/>
    <w:rsid w:val="002D6B27"/>
    <w:rsid w:val="002D6F42"/>
    <w:rsid w:val="002E0CA7"/>
    <w:rsid w:val="002F352C"/>
    <w:rsid w:val="002F4F8C"/>
    <w:rsid w:val="002F5F7A"/>
    <w:rsid w:val="002F6E04"/>
    <w:rsid w:val="003011A4"/>
    <w:rsid w:val="00303D73"/>
    <w:rsid w:val="003046BB"/>
    <w:rsid w:val="003047E5"/>
    <w:rsid w:val="00316CB3"/>
    <w:rsid w:val="0031766A"/>
    <w:rsid w:val="00320200"/>
    <w:rsid w:val="00321F97"/>
    <w:rsid w:val="0032777A"/>
    <w:rsid w:val="00333B5F"/>
    <w:rsid w:val="00340C72"/>
    <w:rsid w:val="003459C0"/>
    <w:rsid w:val="00350E56"/>
    <w:rsid w:val="00357AE9"/>
    <w:rsid w:val="00357BF8"/>
    <w:rsid w:val="00360048"/>
    <w:rsid w:val="00366960"/>
    <w:rsid w:val="0037768E"/>
    <w:rsid w:val="00380E62"/>
    <w:rsid w:val="00381C0C"/>
    <w:rsid w:val="00385FAF"/>
    <w:rsid w:val="0039510F"/>
    <w:rsid w:val="003A1D93"/>
    <w:rsid w:val="003A2566"/>
    <w:rsid w:val="003A483B"/>
    <w:rsid w:val="003A767D"/>
    <w:rsid w:val="003A7A61"/>
    <w:rsid w:val="003C2B4D"/>
    <w:rsid w:val="003C3886"/>
    <w:rsid w:val="003C581A"/>
    <w:rsid w:val="003C7C71"/>
    <w:rsid w:val="003D7448"/>
    <w:rsid w:val="003E0635"/>
    <w:rsid w:val="003E2259"/>
    <w:rsid w:val="003E3231"/>
    <w:rsid w:val="003E423C"/>
    <w:rsid w:val="003F17DE"/>
    <w:rsid w:val="003F66CB"/>
    <w:rsid w:val="00407A69"/>
    <w:rsid w:val="00417F7D"/>
    <w:rsid w:val="00422415"/>
    <w:rsid w:val="00430BEA"/>
    <w:rsid w:val="004316F8"/>
    <w:rsid w:val="00433AC4"/>
    <w:rsid w:val="00433BBA"/>
    <w:rsid w:val="00434814"/>
    <w:rsid w:val="004420A5"/>
    <w:rsid w:val="004440A9"/>
    <w:rsid w:val="004453F7"/>
    <w:rsid w:val="00446649"/>
    <w:rsid w:val="004509A8"/>
    <w:rsid w:val="00450BA4"/>
    <w:rsid w:val="004531B1"/>
    <w:rsid w:val="0045480F"/>
    <w:rsid w:val="0045708A"/>
    <w:rsid w:val="004636DC"/>
    <w:rsid w:val="00466B44"/>
    <w:rsid w:val="00471115"/>
    <w:rsid w:val="004746E7"/>
    <w:rsid w:val="00475E11"/>
    <w:rsid w:val="00484A79"/>
    <w:rsid w:val="004908C1"/>
    <w:rsid w:val="00492A51"/>
    <w:rsid w:val="0049494E"/>
    <w:rsid w:val="00495B3A"/>
    <w:rsid w:val="00496145"/>
    <w:rsid w:val="00497859"/>
    <w:rsid w:val="004A060E"/>
    <w:rsid w:val="004A1097"/>
    <w:rsid w:val="004A6CED"/>
    <w:rsid w:val="004B0678"/>
    <w:rsid w:val="004B0E02"/>
    <w:rsid w:val="004B77BE"/>
    <w:rsid w:val="004C03EF"/>
    <w:rsid w:val="004C5AD3"/>
    <w:rsid w:val="004C5C72"/>
    <w:rsid w:val="004C6ADE"/>
    <w:rsid w:val="004C701B"/>
    <w:rsid w:val="004D1B34"/>
    <w:rsid w:val="004D3798"/>
    <w:rsid w:val="004D5719"/>
    <w:rsid w:val="004D6C26"/>
    <w:rsid w:val="004F0EAB"/>
    <w:rsid w:val="004F191E"/>
    <w:rsid w:val="004F2A27"/>
    <w:rsid w:val="004F2E0D"/>
    <w:rsid w:val="004F5BE1"/>
    <w:rsid w:val="0050065F"/>
    <w:rsid w:val="00503208"/>
    <w:rsid w:val="0050334F"/>
    <w:rsid w:val="0050571C"/>
    <w:rsid w:val="00506298"/>
    <w:rsid w:val="005152BD"/>
    <w:rsid w:val="005171C1"/>
    <w:rsid w:val="00517A1F"/>
    <w:rsid w:val="0052043E"/>
    <w:rsid w:val="00520EFA"/>
    <w:rsid w:val="00521104"/>
    <w:rsid w:val="00523793"/>
    <w:rsid w:val="00527EEB"/>
    <w:rsid w:val="00535BF4"/>
    <w:rsid w:val="0054042E"/>
    <w:rsid w:val="005439E7"/>
    <w:rsid w:val="00544DDF"/>
    <w:rsid w:val="00546B98"/>
    <w:rsid w:val="005504C3"/>
    <w:rsid w:val="00553B00"/>
    <w:rsid w:val="00557585"/>
    <w:rsid w:val="0056115B"/>
    <w:rsid w:val="00562884"/>
    <w:rsid w:val="00562B0B"/>
    <w:rsid w:val="00563B5F"/>
    <w:rsid w:val="005642CF"/>
    <w:rsid w:val="00564B0D"/>
    <w:rsid w:val="0057042C"/>
    <w:rsid w:val="005710F7"/>
    <w:rsid w:val="00573732"/>
    <w:rsid w:val="00581C21"/>
    <w:rsid w:val="00584EC2"/>
    <w:rsid w:val="0058577C"/>
    <w:rsid w:val="0059027F"/>
    <w:rsid w:val="00590DBD"/>
    <w:rsid w:val="00593F65"/>
    <w:rsid w:val="005A4B5E"/>
    <w:rsid w:val="005B2C14"/>
    <w:rsid w:val="005B39B0"/>
    <w:rsid w:val="005B3DF4"/>
    <w:rsid w:val="005C2B3A"/>
    <w:rsid w:val="005C2F71"/>
    <w:rsid w:val="005C4B09"/>
    <w:rsid w:val="005D6E60"/>
    <w:rsid w:val="005E30B1"/>
    <w:rsid w:val="005F0B55"/>
    <w:rsid w:val="005F15AE"/>
    <w:rsid w:val="005F6400"/>
    <w:rsid w:val="006027CA"/>
    <w:rsid w:val="00602B7B"/>
    <w:rsid w:val="00606AF4"/>
    <w:rsid w:val="00611027"/>
    <w:rsid w:val="0061612F"/>
    <w:rsid w:val="00616FBC"/>
    <w:rsid w:val="00620425"/>
    <w:rsid w:val="00621810"/>
    <w:rsid w:val="00624534"/>
    <w:rsid w:val="00630D37"/>
    <w:rsid w:val="00640849"/>
    <w:rsid w:val="00644FF0"/>
    <w:rsid w:val="00645999"/>
    <w:rsid w:val="0065235E"/>
    <w:rsid w:val="00654178"/>
    <w:rsid w:val="00656EC4"/>
    <w:rsid w:val="0066171A"/>
    <w:rsid w:val="0066402E"/>
    <w:rsid w:val="00664BDD"/>
    <w:rsid w:val="00664D90"/>
    <w:rsid w:val="006666BA"/>
    <w:rsid w:val="00674157"/>
    <w:rsid w:val="00675CC1"/>
    <w:rsid w:val="00677AC4"/>
    <w:rsid w:val="0068078C"/>
    <w:rsid w:val="006816B6"/>
    <w:rsid w:val="0068703E"/>
    <w:rsid w:val="00687225"/>
    <w:rsid w:val="00692029"/>
    <w:rsid w:val="006A1D89"/>
    <w:rsid w:val="006B089D"/>
    <w:rsid w:val="006B7DF5"/>
    <w:rsid w:val="006C0133"/>
    <w:rsid w:val="006C0AAF"/>
    <w:rsid w:val="006C4F0B"/>
    <w:rsid w:val="006D77F6"/>
    <w:rsid w:val="006E1D46"/>
    <w:rsid w:val="006E5374"/>
    <w:rsid w:val="006F62D8"/>
    <w:rsid w:val="00700751"/>
    <w:rsid w:val="00700AE0"/>
    <w:rsid w:val="00712E9F"/>
    <w:rsid w:val="0071364F"/>
    <w:rsid w:val="00714178"/>
    <w:rsid w:val="00714322"/>
    <w:rsid w:val="00714A4F"/>
    <w:rsid w:val="00715B2B"/>
    <w:rsid w:val="007179FB"/>
    <w:rsid w:val="0072007E"/>
    <w:rsid w:val="0072366B"/>
    <w:rsid w:val="00724D9F"/>
    <w:rsid w:val="007272C0"/>
    <w:rsid w:val="00727CE6"/>
    <w:rsid w:val="007334A7"/>
    <w:rsid w:val="00733C2F"/>
    <w:rsid w:val="00735545"/>
    <w:rsid w:val="0073635A"/>
    <w:rsid w:val="00737432"/>
    <w:rsid w:val="0074433C"/>
    <w:rsid w:val="007461C5"/>
    <w:rsid w:val="00757A0A"/>
    <w:rsid w:val="0078738D"/>
    <w:rsid w:val="007876BE"/>
    <w:rsid w:val="00792A38"/>
    <w:rsid w:val="0079302E"/>
    <w:rsid w:val="0079455A"/>
    <w:rsid w:val="007A05A8"/>
    <w:rsid w:val="007A505E"/>
    <w:rsid w:val="007A6FC5"/>
    <w:rsid w:val="007A741A"/>
    <w:rsid w:val="007C2402"/>
    <w:rsid w:val="007C4D37"/>
    <w:rsid w:val="007C6D48"/>
    <w:rsid w:val="007C6E5F"/>
    <w:rsid w:val="007C78BB"/>
    <w:rsid w:val="007D3384"/>
    <w:rsid w:val="007D40E1"/>
    <w:rsid w:val="007D59AD"/>
    <w:rsid w:val="007D78E6"/>
    <w:rsid w:val="007E2367"/>
    <w:rsid w:val="007E3EE7"/>
    <w:rsid w:val="007F0292"/>
    <w:rsid w:val="007F06E7"/>
    <w:rsid w:val="007F63A1"/>
    <w:rsid w:val="00806E15"/>
    <w:rsid w:val="0080749A"/>
    <w:rsid w:val="00823ABA"/>
    <w:rsid w:val="00826F72"/>
    <w:rsid w:val="00827569"/>
    <w:rsid w:val="00832446"/>
    <w:rsid w:val="00833ABF"/>
    <w:rsid w:val="00834AB9"/>
    <w:rsid w:val="00840C8D"/>
    <w:rsid w:val="00844552"/>
    <w:rsid w:val="00850812"/>
    <w:rsid w:val="00851A28"/>
    <w:rsid w:val="00856F4D"/>
    <w:rsid w:val="00860EBE"/>
    <w:rsid w:val="00870BAE"/>
    <w:rsid w:val="0088160D"/>
    <w:rsid w:val="0088237C"/>
    <w:rsid w:val="00882825"/>
    <w:rsid w:val="0089341C"/>
    <w:rsid w:val="0089786C"/>
    <w:rsid w:val="008A69FA"/>
    <w:rsid w:val="008B0E84"/>
    <w:rsid w:val="008B2E22"/>
    <w:rsid w:val="008B4254"/>
    <w:rsid w:val="008B5053"/>
    <w:rsid w:val="008B726D"/>
    <w:rsid w:val="008C0A5C"/>
    <w:rsid w:val="008C2FE0"/>
    <w:rsid w:val="008C46BE"/>
    <w:rsid w:val="008C4FC5"/>
    <w:rsid w:val="008D0101"/>
    <w:rsid w:val="008D449A"/>
    <w:rsid w:val="008E41B3"/>
    <w:rsid w:val="008E742B"/>
    <w:rsid w:val="008F39C3"/>
    <w:rsid w:val="00900957"/>
    <w:rsid w:val="0090382C"/>
    <w:rsid w:val="0090438C"/>
    <w:rsid w:val="00906385"/>
    <w:rsid w:val="00910A34"/>
    <w:rsid w:val="009138B0"/>
    <w:rsid w:val="00915710"/>
    <w:rsid w:val="00924B4C"/>
    <w:rsid w:val="00926329"/>
    <w:rsid w:val="00926946"/>
    <w:rsid w:val="00927C1F"/>
    <w:rsid w:val="00937D60"/>
    <w:rsid w:val="00946983"/>
    <w:rsid w:val="00951AB8"/>
    <w:rsid w:val="009544FB"/>
    <w:rsid w:val="009557E6"/>
    <w:rsid w:val="00955E21"/>
    <w:rsid w:val="00956ED4"/>
    <w:rsid w:val="0096423A"/>
    <w:rsid w:val="009671A1"/>
    <w:rsid w:val="0096735A"/>
    <w:rsid w:val="00977CB2"/>
    <w:rsid w:val="00983B08"/>
    <w:rsid w:val="00985139"/>
    <w:rsid w:val="00990368"/>
    <w:rsid w:val="009A2B25"/>
    <w:rsid w:val="009A2C76"/>
    <w:rsid w:val="009A2D1B"/>
    <w:rsid w:val="009A6116"/>
    <w:rsid w:val="009B22FD"/>
    <w:rsid w:val="009B430D"/>
    <w:rsid w:val="009B43A0"/>
    <w:rsid w:val="009B4CB9"/>
    <w:rsid w:val="009B5768"/>
    <w:rsid w:val="009C1AE5"/>
    <w:rsid w:val="009C207B"/>
    <w:rsid w:val="009C4708"/>
    <w:rsid w:val="009C6120"/>
    <w:rsid w:val="009C742A"/>
    <w:rsid w:val="009D135C"/>
    <w:rsid w:val="009E35A4"/>
    <w:rsid w:val="009E7791"/>
    <w:rsid w:val="009F0F0D"/>
    <w:rsid w:val="009F58FC"/>
    <w:rsid w:val="009F6274"/>
    <w:rsid w:val="00A00C44"/>
    <w:rsid w:val="00A01FDF"/>
    <w:rsid w:val="00A028B0"/>
    <w:rsid w:val="00A03690"/>
    <w:rsid w:val="00A06559"/>
    <w:rsid w:val="00A07C4F"/>
    <w:rsid w:val="00A10C9E"/>
    <w:rsid w:val="00A1402C"/>
    <w:rsid w:val="00A14641"/>
    <w:rsid w:val="00A173DD"/>
    <w:rsid w:val="00A3751F"/>
    <w:rsid w:val="00A37C2C"/>
    <w:rsid w:val="00A4614F"/>
    <w:rsid w:val="00A46B11"/>
    <w:rsid w:val="00A53903"/>
    <w:rsid w:val="00A606B2"/>
    <w:rsid w:val="00A64CB8"/>
    <w:rsid w:val="00A66CE5"/>
    <w:rsid w:val="00A729AA"/>
    <w:rsid w:val="00A73B26"/>
    <w:rsid w:val="00A7438A"/>
    <w:rsid w:val="00A7577C"/>
    <w:rsid w:val="00A808B1"/>
    <w:rsid w:val="00A81622"/>
    <w:rsid w:val="00A865DC"/>
    <w:rsid w:val="00A86A47"/>
    <w:rsid w:val="00A945B3"/>
    <w:rsid w:val="00A97445"/>
    <w:rsid w:val="00A97480"/>
    <w:rsid w:val="00AA2912"/>
    <w:rsid w:val="00AA4BE0"/>
    <w:rsid w:val="00AB5C79"/>
    <w:rsid w:val="00AB7FB7"/>
    <w:rsid w:val="00AC120F"/>
    <w:rsid w:val="00AC222C"/>
    <w:rsid w:val="00AC4A07"/>
    <w:rsid w:val="00AC6E8E"/>
    <w:rsid w:val="00AC744C"/>
    <w:rsid w:val="00AD1040"/>
    <w:rsid w:val="00AE6051"/>
    <w:rsid w:val="00AE73F1"/>
    <w:rsid w:val="00B0019F"/>
    <w:rsid w:val="00B00424"/>
    <w:rsid w:val="00B0130E"/>
    <w:rsid w:val="00B03380"/>
    <w:rsid w:val="00B04B01"/>
    <w:rsid w:val="00B141F0"/>
    <w:rsid w:val="00B1651D"/>
    <w:rsid w:val="00B21747"/>
    <w:rsid w:val="00B21941"/>
    <w:rsid w:val="00B2574E"/>
    <w:rsid w:val="00B309A9"/>
    <w:rsid w:val="00B32256"/>
    <w:rsid w:val="00B32F6A"/>
    <w:rsid w:val="00B366EA"/>
    <w:rsid w:val="00B403F5"/>
    <w:rsid w:val="00B45F42"/>
    <w:rsid w:val="00B4759F"/>
    <w:rsid w:val="00B53063"/>
    <w:rsid w:val="00B62878"/>
    <w:rsid w:val="00B639F7"/>
    <w:rsid w:val="00B63A59"/>
    <w:rsid w:val="00B73349"/>
    <w:rsid w:val="00B74828"/>
    <w:rsid w:val="00B76BE9"/>
    <w:rsid w:val="00B7781E"/>
    <w:rsid w:val="00B80749"/>
    <w:rsid w:val="00B80FB4"/>
    <w:rsid w:val="00B9091D"/>
    <w:rsid w:val="00B927C8"/>
    <w:rsid w:val="00B92917"/>
    <w:rsid w:val="00B93A3B"/>
    <w:rsid w:val="00B94168"/>
    <w:rsid w:val="00B94C95"/>
    <w:rsid w:val="00B95DE8"/>
    <w:rsid w:val="00BA02EF"/>
    <w:rsid w:val="00BA0301"/>
    <w:rsid w:val="00BA34E8"/>
    <w:rsid w:val="00BA513B"/>
    <w:rsid w:val="00BA60F5"/>
    <w:rsid w:val="00BA6A4D"/>
    <w:rsid w:val="00BA6FCF"/>
    <w:rsid w:val="00BB363B"/>
    <w:rsid w:val="00BB641E"/>
    <w:rsid w:val="00BB6DE3"/>
    <w:rsid w:val="00BC25D9"/>
    <w:rsid w:val="00BC5FBD"/>
    <w:rsid w:val="00BD1928"/>
    <w:rsid w:val="00BD458D"/>
    <w:rsid w:val="00BD77CD"/>
    <w:rsid w:val="00BE1D8C"/>
    <w:rsid w:val="00C0110D"/>
    <w:rsid w:val="00C104B3"/>
    <w:rsid w:val="00C15B34"/>
    <w:rsid w:val="00C16099"/>
    <w:rsid w:val="00C217C5"/>
    <w:rsid w:val="00C21A71"/>
    <w:rsid w:val="00C21AA2"/>
    <w:rsid w:val="00C238C2"/>
    <w:rsid w:val="00C23F16"/>
    <w:rsid w:val="00C3388F"/>
    <w:rsid w:val="00C34006"/>
    <w:rsid w:val="00C34D49"/>
    <w:rsid w:val="00C3542A"/>
    <w:rsid w:val="00C40723"/>
    <w:rsid w:val="00C41C58"/>
    <w:rsid w:val="00C447AA"/>
    <w:rsid w:val="00C44827"/>
    <w:rsid w:val="00C44BC6"/>
    <w:rsid w:val="00C46B28"/>
    <w:rsid w:val="00C4722A"/>
    <w:rsid w:val="00C51ADA"/>
    <w:rsid w:val="00C531A8"/>
    <w:rsid w:val="00C55278"/>
    <w:rsid w:val="00C6045B"/>
    <w:rsid w:val="00C65976"/>
    <w:rsid w:val="00C65A1D"/>
    <w:rsid w:val="00C65EC7"/>
    <w:rsid w:val="00C674A9"/>
    <w:rsid w:val="00C7327E"/>
    <w:rsid w:val="00C73E3E"/>
    <w:rsid w:val="00C77BD6"/>
    <w:rsid w:val="00C81472"/>
    <w:rsid w:val="00C818D2"/>
    <w:rsid w:val="00C87D4A"/>
    <w:rsid w:val="00C93F68"/>
    <w:rsid w:val="00C947F0"/>
    <w:rsid w:val="00C94875"/>
    <w:rsid w:val="00C97A93"/>
    <w:rsid w:val="00CA120C"/>
    <w:rsid w:val="00CA14F2"/>
    <w:rsid w:val="00CA36C4"/>
    <w:rsid w:val="00CB02A8"/>
    <w:rsid w:val="00CB0E7A"/>
    <w:rsid w:val="00CB1F98"/>
    <w:rsid w:val="00CB2BF6"/>
    <w:rsid w:val="00CB77D9"/>
    <w:rsid w:val="00CC319B"/>
    <w:rsid w:val="00CC6C5A"/>
    <w:rsid w:val="00CC74BD"/>
    <w:rsid w:val="00CE3667"/>
    <w:rsid w:val="00CE37EC"/>
    <w:rsid w:val="00CE3C81"/>
    <w:rsid w:val="00CE7EE6"/>
    <w:rsid w:val="00CF1196"/>
    <w:rsid w:val="00CF1688"/>
    <w:rsid w:val="00D02BF9"/>
    <w:rsid w:val="00D10FE1"/>
    <w:rsid w:val="00D22064"/>
    <w:rsid w:val="00D2485D"/>
    <w:rsid w:val="00D255CA"/>
    <w:rsid w:val="00D25BAE"/>
    <w:rsid w:val="00D30FD8"/>
    <w:rsid w:val="00D3631E"/>
    <w:rsid w:val="00D37D41"/>
    <w:rsid w:val="00D54FEE"/>
    <w:rsid w:val="00D7305D"/>
    <w:rsid w:val="00D74427"/>
    <w:rsid w:val="00D7625A"/>
    <w:rsid w:val="00D77A73"/>
    <w:rsid w:val="00D8005E"/>
    <w:rsid w:val="00D81774"/>
    <w:rsid w:val="00DA0B3E"/>
    <w:rsid w:val="00DA319E"/>
    <w:rsid w:val="00DB7E81"/>
    <w:rsid w:val="00DC2149"/>
    <w:rsid w:val="00DC2B67"/>
    <w:rsid w:val="00DC3369"/>
    <w:rsid w:val="00DC577F"/>
    <w:rsid w:val="00DD1151"/>
    <w:rsid w:val="00DD65B6"/>
    <w:rsid w:val="00DD7909"/>
    <w:rsid w:val="00DE094F"/>
    <w:rsid w:val="00DE4715"/>
    <w:rsid w:val="00DF508E"/>
    <w:rsid w:val="00DF5176"/>
    <w:rsid w:val="00DF7225"/>
    <w:rsid w:val="00E05257"/>
    <w:rsid w:val="00E05C3E"/>
    <w:rsid w:val="00E14E1C"/>
    <w:rsid w:val="00E218B5"/>
    <w:rsid w:val="00E24976"/>
    <w:rsid w:val="00E27B5F"/>
    <w:rsid w:val="00E31385"/>
    <w:rsid w:val="00E336D4"/>
    <w:rsid w:val="00E35173"/>
    <w:rsid w:val="00E41A9A"/>
    <w:rsid w:val="00E42E35"/>
    <w:rsid w:val="00E454D3"/>
    <w:rsid w:val="00E51358"/>
    <w:rsid w:val="00E52520"/>
    <w:rsid w:val="00E543F6"/>
    <w:rsid w:val="00E562C3"/>
    <w:rsid w:val="00E574B2"/>
    <w:rsid w:val="00E606C7"/>
    <w:rsid w:val="00E64F0F"/>
    <w:rsid w:val="00E705F8"/>
    <w:rsid w:val="00E767DE"/>
    <w:rsid w:val="00E76AC3"/>
    <w:rsid w:val="00E83C80"/>
    <w:rsid w:val="00E93401"/>
    <w:rsid w:val="00E94F6F"/>
    <w:rsid w:val="00EA0762"/>
    <w:rsid w:val="00EA44DE"/>
    <w:rsid w:val="00EA6155"/>
    <w:rsid w:val="00EC1B7B"/>
    <w:rsid w:val="00EC2159"/>
    <w:rsid w:val="00EC7D0E"/>
    <w:rsid w:val="00ED1152"/>
    <w:rsid w:val="00ED2506"/>
    <w:rsid w:val="00ED2B96"/>
    <w:rsid w:val="00ED2D90"/>
    <w:rsid w:val="00ED33DE"/>
    <w:rsid w:val="00ED5D11"/>
    <w:rsid w:val="00EE2C77"/>
    <w:rsid w:val="00EF1789"/>
    <w:rsid w:val="00EF18CE"/>
    <w:rsid w:val="00F01CFE"/>
    <w:rsid w:val="00F06A90"/>
    <w:rsid w:val="00F07DBC"/>
    <w:rsid w:val="00F1022F"/>
    <w:rsid w:val="00F10481"/>
    <w:rsid w:val="00F15A5B"/>
    <w:rsid w:val="00F16419"/>
    <w:rsid w:val="00F21C45"/>
    <w:rsid w:val="00F2333E"/>
    <w:rsid w:val="00F31450"/>
    <w:rsid w:val="00F35C37"/>
    <w:rsid w:val="00F35C76"/>
    <w:rsid w:val="00F36351"/>
    <w:rsid w:val="00F37CAE"/>
    <w:rsid w:val="00F43AF4"/>
    <w:rsid w:val="00F441AA"/>
    <w:rsid w:val="00F457EC"/>
    <w:rsid w:val="00F4607E"/>
    <w:rsid w:val="00F53DDF"/>
    <w:rsid w:val="00F546AD"/>
    <w:rsid w:val="00F54AC1"/>
    <w:rsid w:val="00F61CD3"/>
    <w:rsid w:val="00F67E72"/>
    <w:rsid w:val="00F74B30"/>
    <w:rsid w:val="00F774C8"/>
    <w:rsid w:val="00F821A1"/>
    <w:rsid w:val="00F84A12"/>
    <w:rsid w:val="00F85DFA"/>
    <w:rsid w:val="00F862B8"/>
    <w:rsid w:val="00F92877"/>
    <w:rsid w:val="00F94A94"/>
    <w:rsid w:val="00F95A3C"/>
    <w:rsid w:val="00FA2026"/>
    <w:rsid w:val="00FB11E9"/>
    <w:rsid w:val="00FB46D6"/>
    <w:rsid w:val="00FB4BAE"/>
    <w:rsid w:val="00FB4EEF"/>
    <w:rsid w:val="00FC32A8"/>
    <w:rsid w:val="00FC37D4"/>
    <w:rsid w:val="00FC4CC7"/>
    <w:rsid w:val="00FC56E8"/>
    <w:rsid w:val="00FD45E4"/>
    <w:rsid w:val="00FD467C"/>
    <w:rsid w:val="00FE33FE"/>
    <w:rsid w:val="00FE68C9"/>
    <w:rsid w:val="00FF356F"/>
    <w:rsid w:val="00FF379E"/>
    <w:rsid w:val="00FF79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1BF1"/>
  <w15:docId w15:val="{D56EF35B-4214-46D6-A3C8-0ADB4E90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B641E"/>
  </w:style>
  <w:style w:type="paragraph" w:styleId="Nagwek1">
    <w:name w:val="heading 1"/>
    <w:basedOn w:val="Normalny"/>
    <w:next w:val="Normalny"/>
    <w:link w:val="Nagwek1Znak"/>
    <w:uiPriority w:val="9"/>
    <w:qFormat/>
    <w:rsid w:val="000912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65A1D"/>
    <w:rPr>
      <w:color w:val="0563C1" w:themeColor="hyperlink"/>
      <w:u w:val="single"/>
    </w:rPr>
  </w:style>
  <w:style w:type="character" w:styleId="Odwoaniedokomentarza">
    <w:name w:val="annotation reference"/>
    <w:basedOn w:val="Domylnaczcionkaakapitu"/>
    <w:uiPriority w:val="99"/>
    <w:semiHidden/>
    <w:unhideWhenUsed/>
    <w:rsid w:val="00AA2912"/>
    <w:rPr>
      <w:sz w:val="16"/>
      <w:szCs w:val="16"/>
    </w:rPr>
  </w:style>
  <w:style w:type="paragraph" w:styleId="Tekstkomentarza">
    <w:name w:val="annotation text"/>
    <w:basedOn w:val="Normalny"/>
    <w:link w:val="TekstkomentarzaZnak"/>
    <w:uiPriority w:val="99"/>
    <w:semiHidden/>
    <w:unhideWhenUsed/>
    <w:rsid w:val="00AA291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A2912"/>
    <w:rPr>
      <w:sz w:val="20"/>
      <w:szCs w:val="20"/>
    </w:rPr>
  </w:style>
  <w:style w:type="paragraph" w:styleId="Tematkomentarza">
    <w:name w:val="annotation subject"/>
    <w:basedOn w:val="Tekstkomentarza"/>
    <w:next w:val="Tekstkomentarza"/>
    <w:link w:val="TematkomentarzaZnak"/>
    <w:uiPriority w:val="99"/>
    <w:semiHidden/>
    <w:unhideWhenUsed/>
    <w:rsid w:val="00AA2912"/>
    <w:rPr>
      <w:b/>
      <w:bCs/>
    </w:rPr>
  </w:style>
  <w:style w:type="character" w:customStyle="1" w:styleId="TematkomentarzaZnak">
    <w:name w:val="Temat komentarza Znak"/>
    <w:basedOn w:val="TekstkomentarzaZnak"/>
    <w:link w:val="Tematkomentarza"/>
    <w:uiPriority w:val="99"/>
    <w:semiHidden/>
    <w:rsid w:val="00AA2912"/>
    <w:rPr>
      <w:b/>
      <w:bCs/>
      <w:sz w:val="20"/>
      <w:szCs w:val="20"/>
    </w:rPr>
  </w:style>
  <w:style w:type="paragraph" w:styleId="Tekstdymka">
    <w:name w:val="Balloon Text"/>
    <w:basedOn w:val="Normalny"/>
    <w:link w:val="TekstdymkaZnak"/>
    <w:uiPriority w:val="99"/>
    <w:semiHidden/>
    <w:unhideWhenUsed/>
    <w:rsid w:val="00AA29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912"/>
    <w:rPr>
      <w:rFonts w:ascii="Segoe UI" w:hAnsi="Segoe UI" w:cs="Segoe UI"/>
      <w:sz w:val="18"/>
      <w:szCs w:val="18"/>
    </w:rPr>
  </w:style>
  <w:style w:type="paragraph" w:styleId="Nagwek">
    <w:name w:val="header"/>
    <w:basedOn w:val="Normalny"/>
    <w:link w:val="NagwekZnak"/>
    <w:uiPriority w:val="99"/>
    <w:unhideWhenUsed/>
    <w:rsid w:val="00C338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388F"/>
  </w:style>
  <w:style w:type="paragraph" w:styleId="Stopka">
    <w:name w:val="footer"/>
    <w:basedOn w:val="Normalny"/>
    <w:link w:val="StopkaZnak"/>
    <w:uiPriority w:val="99"/>
    <w:unhideWhenUsed/>
    <w:rsid w:val="00C338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388F"/>
  </w:style>
  <w:style w:type="paragraph" w:styleId="Tekstprzypisukocowego">
    <w:name w:val="endnote text"/>
    <w:basedOn w:val="Normalny"/>
    <w:link w:val="TekstprzypisukocowegoZnak"/>
    <w:uiPriority w:val="99"/>
    <w:semiHidden/>
    <w:unhideWhenUsed/>
    <w:rsid w:val="002614D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614DC"/>
    <w:rPr>
      <w:sz w:val="20"/>
      <w:szCs w:val="20"/>
    </w:rPr>
  </w:style>
  <w:style w:type="character" w:styleId="Odwoanieprzypisukocowego">
    <w:name w:val="endnote reference"/>
    <w:basedOn w:val="Domylnaczcionkaakapitu"/>
    <w:uiPriority w:val="99"/>
    <w:semiHidden/>
    <w:unhideWhenUsed/>
    <w:rsid w:val="002614DC"/>
    <w:rPr>
      <w:vertAlign w:val="superscript"/>
    </w:rPr>
  </w:style>
  <w:style w:type="character" w:customStyle="1" w:styleId="Nagwek1Znak">
    <w:name w:val="Nagłówek 1 Znak"/>
    <w:basedOn w:val="Domylnaczcionkaakapitu"/>
    <w:link w:val="Nagwek1"/>
    <w:uiPriority w:val="9"/>
    <w:rsid w:val="00091256"/>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F35C37"/>
    <w:pPr>
      <w:spacing w:after="0" w:line="240" w:lineRule="auto"/>
    </w:pPr>
  </w:style>
  <w:style w:type="paragraph" w:customStyle="1" w:styleId="Default">
    <w:name w:val="Default"/>
    <w:rsid w:val="00757A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Tartustawynprozporzdzenia">
    <w:name w:val="ART(§) – art. ustawy (§ np. rozporządzenia)"/>
    <w:qFormat/>
    <w:rsid w:val="007F63A1"/>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52442">
      <w:bodyDiv w:val="1"/>
      <w:marLeft w:val="0"/>
      <w:marRight w:val="0"/>
      <w:marTop w:val="0"/>
      <w:marBottom w:val="0"/>
      <w:divBdr>
        <w:top w:val="none" w:sz="0" w:space="0" w:color="auto"/>
        <w:left w:val="none" w:sz="0" w:space="0" w:color="auto"/>
        <w:bottom w:val="none" w:sz="0" w:space="0" w:color="auto"/>
        <w:right w:val="none" w:sz="0" w:space="0" w:color="auto"/>
      </w:divBdr>
    </w:div>
    <w:div w:id="873077817">
      <w:bodyDiv w:val="1"/>
      <w:marLeft w:val="0"/>
      <w:marRight w:val="0"/>
      <w:marTop w:val="0"/>
      <w:marBottom w:val="0"/>
      <w:divBdr>
        <w:top w:val="none" w:sz="0" w:space="0" w:color="auto"/>
        <w:left w:val="none" w:sz="0" w:space="0" w:color="auto"/>
        <w:bottom w:val="none" w:sz="0" w:space="0" w:color="auto"/>
        <w:right w:val="none" w:sz="0" w:space="0" w:color="auto"/>
      </w:divBdr>
    </w:div>
    <w:div w:id="874925359">
      <w:bodyDiv w:val="1"/>
      <w:marLeft w:val="0"/>
      <w:marRight w:val="0"/>
      <w:marTop w:val="0"/>
      <w:marBottom w:val="0"/>
      <w:divBdr>
        <w:top w:val="none" w:sz="0" w:space="0" w:color="auto"/>
        <w:left w:val="none" w:sz="0" w:space="0" w:color="auto"/>
        <w:bottom w:val="none" w:sz="0" w:space="0" w:color="auto"/>
        <w:right w:val="none" w:sz="0" w:space="0" w:color="auto"/>
      </w:divBdr>
    </w:div>
    <w:div w:id="1393649768">
      <w:bodyDiv w:val="1"/>
      <w:marLeft w:val="0"/>
      <w:marRight w:val="0"/>
      <w:marTop w:val="0"/>
      <w:marBottom w:val="0"/>
      <w:divBdr>
        <w:top w:val="none" w:sz="0" w:space="0" w:color="auto"/>
        <w:left w:val="none" w:sz="0" w:space="0" w:color="auto"/>
        <w:bottom w:val="none" w:sz="0" w:space="0" w:color="auto"/>
        <w:right w:val="none" w:sz="0" w:space="0" w:color="auto"/>
      </w:divBdr>
    </w:div>
    <w:div w:id="1432314594">
      <w:bodyDiv w:val="1"/>
      <w:marLeft w:val="0"/>
      <w:marRight w:val="0"/>
      <w:marTop w:val="0"/>
      <w:marBottom w:val="0"/>
      <w:divBdr>
        <w:top w:val="none" w:sz="0" w:space="0" w:color="auto"/>
        <w:left w:val="none" w:sz="0" w:space="0" w:color="auto"/>
        <w:bottom w:val="none" w:sz="0" w:space="0" w:color="auto"/>
        <w:right w:val="none" w:sz="0" w:space="0" w:color="auto"/>
      </w:divBdr>
    </w:div>
    <w:div w:id="1513840964">
      <w:bodyDiv w:val="1"/>
      <w:marLeft w:val="0"/>
      <w:marRight w:val="0"/>
      <w:marTop w:val="0"/>
      <w:marBottom w:val="0"/>
      <w:divBdr>
        <w:top w:val="none" w:sz="0" w:space="0" w:color="auto"/>
        <w:left w:val="none" w:sz="0" w:space="0" w:color="auto"/>
        <w:bottom w:val="none" w:sz="0" w:space="0" w:color="auto"/>
        <w:right w:val="none" w:sz="0" w:space="0" w:color="auto"/>
      </w:divBdr>
    </w:div>
    <w:div w:id="1559247765">
      <w:bodyDiv w:val="1"/>
      <w:marLeft w:val="0"/>
      <w:marRight w:val="0"/>
      <w:marTop w:val="0"/>
      <w:marBottom w:val="0"/>
      <w:divBdr>
        <w:top w:val="none" w:sz="0" w:space="0" w:color="auto"/>
        <w:left w:val="none" w:sz="0" w:space="0" w:color="auto"/>
        <w:bottom w:val="none" w:sz="0" w:space="0" w:color="auto"/>
        <w:right w:val="none" w:sz="0" w:space="0" w:color="auto"/>
      </w:divBdr>
    </w:div>
    <w:div w:id="1705249885">
      <w:bodyDiv w:val="1"/>
      <w:marLeft w:val="0"/>
      <w:marRight w:val="0"/>
      <w:marTop w:val="0"/>
      <w:marBottom w:val="0"/>
      <w:divBdr>
        <w:top w:val="none" w:sz="0" w:space="0" w:color="auto"/>
        <w:left w:val="none" w:sz="0" w:space="0" w:color="auto"/>
        <w:bottom w:val="none" w:sz="0" w:space="0" w:color="auto"/>
        <w:right w:val="none" w:sz="0" w:space="0" w:color="auto"/>
      </w:divBdr>
    </w:div>
    <w:div w:id="195717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C7615-C4F6-4584-9D1E-BD1DF280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25305</Words>
  <Characters>151836</Characters>
  <Application>Microsoft Office Word</Application>
  <DocSecurity>0</DocSecurity>
  <Lines>1265</Lines>
  <Paragraphs>353</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176788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Pawłowski Łukasz</dc:creator>
  <cp:keywords/>
  <dc:description/>
  <cp:lastModifiedBy>Grażyna D. Grabowska</cp:lastModifiedBy>
  <cp:revision>2</cp:revision>
  <cp:lastPrinted>2019-11-22T15:04:00Z</cp:lastPrinted>
  <dcterms:created xsi:type="dcterms:W3CDTF">2021-01-25T14:33:00Z</dcterms:created>
  <dcterms:modified xsi:type="dcterms:W3CDTF">2021-01-25T14:33:00Z</dcterms:modified>
</cp:coreProperties>
</file>