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078" w:rsidRPr="00E000DC" w:rsidRDefault="00E00078" w:rsidP="00E00078">
      <w:pPr>
        <w:pStyle w:val="OZNRODZAKTUtznustawalubrozporzdzenieiorganwydajcy"/>
      </w:pPr>
      <w:r w:rsidRPr="004810D7">
        <w:t>u</w:t>
      </w:r>
      <w:r>
        <w:t>zasadnienie</w:t>
      </w:r>
    </w:p>
    <w:p w:rsidR="00E00078" w:rsidRDefault="00E00078" w:rsidP="00E00078"/>
    <w:p w:rsidR="00E00078" w:rsidRPr="00F2384C" w:rsidRDefault="00E00078" w:rsidP="00E00078">
      <w:pPr>
        <w:pStyle w:val="ROZDZODDZPRZEDMprzedmiotregulacjirozdziauluboddziau"/>
        <w:jc w:val="left"/>
      </w:pPr>
      <w:r w:rsidRPr="00F2384C">
        <w:t>I. Geneza proponowanej regulacji prawnej</w:t>
      </w:r>
    </w:p>
    <w:p w:rsidR="00E00078" w:rsidRPr="00626B6B" w:rsidRDefault="00E00078" w:rsidP="00E00078">
      <w:pPr>
        <w:pStyle w:val="NIEARTTEKSTtekstnieartykuowanynppodstprawnarozplubpreambua"/>
      </w:pPr>
      <w:r>
        <w:t xml:space="preserve">Do Rzecznika Praw Obywatelskich sukcesywnie wpływają wnioski dotyczące </w:t>
      </w:r>
      <w:r w:rsidRPr="00626B6B">
        <w:t>kosztów postępowania sądowego ponoszonych przez osob</w:t>
      </w:r>
      <w:r>
        <w:t>y niebędące stroną postępowania.</w:t>
      </w:r>
    </w:p>
    <w:p w:rsidR="00E00078" w:rsidRPr="00626B6B" w:rsidRDefault="00E00078" w:rsidP="00E00078">
      <w:pPr>
        <w:pStyle w:val="NIEARTTEKSTtekstnieartykuowanynppodstprawnarozplubpreambua"/>
      </w:pPr>
      <w:r>
        <w:t>W związku z tym w B</w:t>
      </w:r>
      <w:r w:rsidRPr="00626B6B">
        <w:t>iurze</w:t>
      </w:r>
      <w:r>
        <w:t xml:space="preserve"> Rzecznika Praw Obywatelskich została przeprowadzona</w:t>
      </w:r>
      <w:r w:rsidRPr="00626B6B">
        <w:t xml:space="preserve"> analiza prawna</w:t>
      </w:r>
      <w:r>
        <w:t>, która</w:t>
      </w:r>
      <w:r w:rsidRPr="00626B6B">
        <w:t xml:space="preserve"> </w:t>
      </w:r>
      <w:r>
        <w:t>po</w:t>
      </w:r>
      <w:r w:rsidRPr="00626B6B">
        <w:t>kazuje, iż w zakresie zwrotu</w:t>
      </w:r>
      <w:r>
        <w:t xml:space="preserve"> </w:t>
      </w:r>
      <w:r w:rsidRPr="00626B6B">
        <w:t xml:space="preserve">kosztów </w:t>
      </w:r>
      <w:r>
        <w:t xml:space="preserve">ponoszonych przez </w:t>
      </w:r>
      <w:r w:rsidRPr="00626B6B">
        <w:t>wez</w:t>
      </w:r>
      <w:r>
        <w:t>wanego do stawiennictwa świadka</w:t>
      </w:r>
      <w:r w:rsidRPr="00626B6B">
        <w:t xml:space="preserve"> przepisy procedur karnej i cywilnej nie</w:t>
      </w:r>
      <w:r>
        <w:t xml:space="preserve"> </w:t>
      </w:r>
      <w:r w:rsidRPr="00626B6B">
        <w:t xml:space="preserve">przystają </w:t>
      </w:r>
      <w:r>
        <w:t>do aktualnych realiów społeczno–</w:t>
      </w:r>
      <w:r w:rsidRPr="00626B6B">
        <w:t>gospodarczych.</w:t>
      </w:r>
      <w:r>
        <w:t xml:space="preserve"> </w:t>
      </w:r>
      <w:r w:rsidRPr="00626B6B">
        <w:t>Osoba stawiająca się w sądzie lub prokuraturze w</w:t>
      </w:r>
      <w:r>
        <w:t> </w:t>
      </w:r>
      <w:r w:rsidRPr="00626B6B">
        <w:t>charakterze świadka musi zwykle</w:t>
      </w:r>
      <w:r>
        <w:t xml:space="preserve"> </w:t>
      </w:r>
      <w:r w:rsidRPr="00626B6B">
        <w:t>poświęcić na ten cel znaczną ilość czasu. Należy tu</w:t>
      </w:r>
      <w:r>
        <w:t> </w:t>
      </w:r>
      <w:r w:rsidRPr="00626B6B">
        <w:t>uwzględnić nie tylko czas potrzebny na</w:t>
      </w:r>
      <w:r>
        <w:t xml:space="preserve"> </w:t>
      </w:r>
      <w:r w:rsidRPr="00626B6B">
        <w:t>samo złożenie zeznań, lecz także oczekiwanie na</w:t>
      </w:r>
      <w:r>
        <w:t> </w:t>
      </w:r>
      <w:r w:rsidRPr="00626B6B">
        <w:t>wywołanie sprawy lub</w:t>
      </w:r>
      <w:r>
        <w:t xml:space="preserve"> </w:t>
      </w:r>
      <w:r w:rsidRPr="00626B6B">
        <w:t>przesłuchanie</w:t>
      </w:r>
      <w:r>
        <w:t xml:space="preserve"> </w:t>
      </w:r>
      <w:r w:rsidRPr="00626B6B">
        <w:t>pozostałych świadków (w przypadku wezwania kilku osób na tę samą godzinę) oraz dojazd</w:t>
      </w:r>
      <w:r>
        <w:t xml:space="preserve"> </w:t>
      </w:r>
      <w:r w:rsidRPr="00626B6B">
        <w:t xml:space="preserve">do siedziby wzywającego organu </w:t>
      </w:r>
      <w:r>
        <w:t>i</w:t>
      </w:r>
      <w:r w:rsidRPr="00626B6B">
        <w:t xml:space="preserve"> powrót do</w:t>
      </w:r>
      <w:r>
        <w:t xml:space="preserve"> miejsca pracy,</w:t>
      </w:r>
      <w:r w:rsidRPr="00626B6B">
        <w:t xml:space="preserve"> </w:t>
      </w:r>
      <w:r>
        <w:t xml:space="preserve">w </w:t>
      </w:r>
      <w:r w:rsidRPr="00626B6B">
        <w:t>efekcie</w:t>
      </w:r>
      <w:r>
        <w:t xml:space="preserve"> czego</w:t>
      </w:r>
      <w:r w:rsidRPr="00626B6B">
        <w:t xml:space="preserve"> w</w:t>
      </w:r>
      <w:r>
        <w:t xml:space="preserve"> </w:t>
      </w:r>
      <w:r w:rsidRPr="00626B6B">
        <w:t>większości</w:t>
      </w:r>
      <w:r>
        <w:t xml:space="preserve"> </w:t>
      </w:r>
      <w:r w:rsidRPr="00626B6B">
        <w:t>przypadków konieczność składania zeznań uniemożliwia osobie wezwanej wykonywanie</w:t>
      </w:r>
      <w:r>
        <w:t xml:space="preserve"> </w:t>
      </w:r>
      <w:r w:rsidRPr="00626B6B">
        <w:t>pracy lub prowadzenie innej działalności zarobkowej przez znaczną część dnia pracy albo</w:t>
      </w:r>
      <w:r>
        <w:t xml:space="preserve"> </w:t>
      </w:r>
      <w:r w:rsidRPr="00626B6B">
        <w:t>niekiedy przez jego całość.</w:t>
      </w:r>
    </w:p>
    <w:p w:rsidR="00E00078" w:rsidRPr="00626B6B" w:rsidRDefault="00E00078" w:rsidP="00E00078">
      <w:pPr>
        <w:pStyle w:val="NIEARTTEKSTtekstnieartykuowanynppodstprawnarozplubpreambua"/>
      </w:pPr>
      <w:r w:rsidRPr="00626B6B">
        <w:t>Przepisy dotyczące kosztów postępowania karnego i cywilnego przewidują</w:t>
      </w:r>
      <w:r>
        <w:t xml:space="preserve"> </w:t>
      </w:r>
      <w:r w:rsidRPr="00626B6B">
        <w:t>rozwiązania mające zapewnić osobie wezwanej w charakterze świadka zwrot utraconego</w:t>
      </w:r>
      <w:r>
        <w:t xml:space="preserve"> zarobku lub </w:t>
      </w:r>
      <w:r w:rsidRPr="00626B6B">
        <w:t xml:space="preserve">dochodu </w:t>
      </w:r>
      <w:r>
        <w:t xml:space="preserve">(odpowiednio art. 618b ustawy </w:t>
      </w:r>
      <w:r w:rsidRPr="00D82960">
        <w:t>z dnia 6 czerwca 1997 r. – Kodeks postępowania karnego</w:t>
      </w:r>
      <w:r>
        <w:t>, dalej</w:t>
      </w:r>
      <w:r w:rsidRPr="00D82960">
        <w:t xml:space="preserve"> </w:t>
      </w:r>
      <w:r>
        <w:t>„k.p.k.”</w:t>
      </w:r>
      <w:r w:rsidRPr="00626B6B">
        <w:t xml:space="preserve"> oraz art. 86 ustawy z dnia 28</w:t>
      </w:r>
      <w:r>
        <w:t xml:space="preserve"> </w:t>
      </w:r>
      <w:r w:rsidRPr="00626B6B">
        <w:t>lipca 2005 r. o kosztach sądowych w</w:t>
      </w:r>
      <w:r>
        <w:t> </w:t>
      </w:r>
      <w:r w:rsidRPr="00626B6B">
        <w:t xml:space="preserve">sprawach cywilnych, dalej: </w:t>
      </w:r>
      <w:r>
        <w:t>„</w:t>
      </w:r>
      <w:r w:rsidRPr="00626B6B">
        <w:t>u.k.s.c.</w:t>
      </w:r>
      <w:r>
        <w:t>”</w:t>
      </w:r>
      <w:r w:rsidRPr="00626B6B">
        <w:t>). Art. 618b § 1</w:t>
      </w:r>
      <w:r>
        <w:t xml:space="preserve"> </w:t>
      </w:r>
      <w:r w:rsidRPr="00626B6B">
        <w:t>k.p.k. oraz art. 86 ust. 1 u.k.s.c</w:t>
      </w:r>
      <w:r>
        <w:t>.</w:t>
      </w:r>
      <w:r w:rsidRPr="00626B6B">
        <w:t xml:space="preserve"> stanowią, że </w:t>
      </w:r>
      <w:r>
        <w:t>„</w:t>
      </w:r>
      <w:r w:rsidRPr="00626B6B">
        <w:t>świadkowi przysługuje zwrot zarobku lub</w:t>
      </w:r>
      <w:r>
        <w:t xml:space="preserve"> </w:t>
      </w:r>
      <w:r w:rsidRPr="00626B6B">
        <w:t>dochodu utraconego z</w:t>
      </w:r>
      <w:r>
        <w:t xml:space="preserve"> </w:t>
      </w:r>
      <w:r w:rsidRPr="00626B6B">
        <w:t>powodu stawiennictwa na wezwanie sądu</w:t>
      </w:r>
      <w:r>
        <w:t>”</w:t>
      </w:r>
      <w:r w:rsidRPr="00626B6B">
        <w:t>.</w:t>
      </w:r>
      <w:r>
        <w:t xml:space="preserve"> </w:t>
      </w:r>
      <w:r w:rsidRPr="00626B6B">
        <w:t>Jednocześnie art. 618b § 3 k.p.k. oraz</w:t>
      </w:r>
      <w:r>
        <w:t xml:space="preserve"> </w:t>
      </w:r>
      <w:r w:rsidRPr="00626B6B">
        <w:t>art.</w:t>
      </w:r>
      <w:r>
        <w:t xml:space="preserve"> </w:t>
      </w:r>
      <w:r w:rsidRPr="00626B6B">
        <w:t>86</w:t>
      </w:r>
      <w:r>
        <w:t xml:space="preserve"> </w:t>
      </w:r>
      <w:r w:rsidRPr="00626B6B">
        <w:t>ust. 3 u.k.s.c. przewidują ograniczenie</w:t>
      </w:r>
      <w:r>
        <w:t xml:space="preserve"> </w:t>
      </w:r>
      <w:r w:rsidRPr="00626B6B">
        <w:t>maksymalnej wysokości tego zwrotu</w:t>
      </w:r>
      <w:r>
        <w:t>,</w:t>
      </w:r>
      <w:r w:rsidRPr="00626B6B">
        <w:t xml:space="preserve"> wskazując, że górną granicę tej należności stanowi</w:t>
      </w:r>
      <w:r>
        <w:t xml:space="preserve"> </w:t>
      </w:r>
      <w:r w:rsidRPr="00626B6B">
        <w:t>równowartość 4,6% kwoty bazowej dla</w:t>
      </w:r>
      <w:r>
        <w:t xml:space="preserve"> </w:t>
      </w:r>
      <w:r w:rsidRPr="00626B6B">
        <w:t>osób zajmujących kierownicze stanowiska</w:t>
      </w:r>
      <w:r>
        <w:t xml:space="preserve"> </w:t>
      </w:r>
      <w:r w:rsidRPr="00626B6B">
        <w:t>państwowe, której wysokość, ustaloną według odrębnych zasad, określa ustawa budżetowa.</w:t>
      </w:r>
      <w:r>
        <w:t xml:space="preserve"> </w:t>
      </w:r>
      <w:r w:rsidRPr="00626B6B">
        <w:t>Zarówno w 2019 r., jak i w 2020 r., ten</w:t>
      </w:r>
      <w:r>
        <w:t xml:space="preserve"> </w:t>
      </w:r>
      <w:r w:rsidRPr="00626B6B">
        <w:t>maksymalny pułap zwrotu był równy</w:t>
      </w:r>
      <w:r>
        <w:t xml:space="preserve"> </w:t>
      </w:r>
      <w:r w:rsidRPr="00626B6B">
        <w:t>kwocie 82,31 zł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626B6B">
        <w:t>.</w:t>
      </w:r>
    </w:p>
    <w:p w:rsidR="00E00078" w:rsidRDefault="00E00078" w:rsidP="00E00078">
      <w:pPr>
        <w:pStyle w:val="NIEARTTEKSTtekstnieartykuowanynppodstprawnarozplubpreambua"/>
      </w:pPr>
      <w:r>
        <w:lastRenderedPageBreak/>
        <w:t>Maksymalna wysokość tej kwoty (</w:t>
      </w:r>
      <w:r w:rsidRPr="00626B6B">
        <w:t>za cały dzień utraconego zarobku lub</w:t>
      </w:r>
      <w:r>
        <w:t xml:space="preserve"> </w:t>
      </w:r>
      <w:r w:rsidRPr="00626B6B">
        <w:t>dochodu</w:t>
      </w:r>
      <w:r>
        <w:t>)</w:t>
      </w:r>
      <w:r w:rsidRPr="00626B6B">
        <w:t xml:space="preserve"> jest rażąco niska, jeśli weźmie się pod uwagę warunki gospodarcze na rynku</w:t>
      </w:r>
      <w:r>
        <w:t xml:space="preserve"> </w:t>
      </w:r>
      <w:r w:rsidRPr="00626B6B">
        <w:t xml:space="preserve">polskim, a </w:t>
      </w:r>
      <w:r>
        <w:t xml:space="preserve">także </w:t>
      </w:r>
      <w:r w:rsidRPr="00626B6B">
        <w:t>przepisy dotyczące wynagrodzenia minimalnego. Jest ona bowiem</w:t>
      </w:r>
      <w:r>
        <w:t xml:space="preserve"> </w:t>
      </w:r>
      <w:r w:rsidRPr="00626B6B">
        <w:t>znacznie niższa nawet od</w:t>
      </w:r>
      <w:r>
        <w:t> </w:t>
      </w:r>
      <w:r w:rsidRPr="00626B6B">
        <w:t>przeciętnego dziennego wynagrodzenia osoby otrzymującej płacę</w:t>
      </w:r>
      <w:r>
        <w:t xml:space="preserve"> </w:t>
      </w:r>
      <w:r w:rsidRPr="00626B6B">
        <w:t>minimalną. W 2019 i</w:t>
      </w:r>
      <w:r>
        <w:t> </w:t>
      </w:r>
      <w:r w:rsidRPr="00626B6B">
        <w:t>2020 r. wysokość płacy minimalnej ustalona była odpowiednio na</w:t>
      </w:r>
      <w:r>
        <w:t xml:space="preserve"> poziomach 2.250 zł</w:t>
      </w:r>
      <w:r w:rsidRPr="00626B6B">
        <w:t xml:space="preserve"> i</w:t>
      </w:r>
      <w:r>
        <w:t> </w:t>
      </w:r>
      <w:r w:rsidRPr="00626B6B">
        <w:t>2.600 zł</w:t>
      </w:r>
      <w:r>
        <w:t xml:space="preserve"> </w:t>
      </w:r>
      <w:r w:rsidRPr="00626B6B">
        <w:t>, co daje roczne wynagrodzenie w kwocie 27.000 zł i 31.200</w:t>
      </w:r>
      <w:r>
        <w:t xml:space="preserve"> </w:t>
      </w:r>
      <w:r w:rsidRPr="00626B6B">
        <w:t>zł. Przy założeniu, że w roku kalendarzowym przypada średnio 250 dni roboczych oznacza</w:t>
      </w:r>
      <w:r>
        <w:t xml:space="preserve"> </w:t>
      </w:r>
      <w:r w:rsidRPr="00626B6B">
        <w:t>to, że osoba pobierająca wynagrodzenie minimalne winna otrzymać przeciętne dzienne</w:t>
      </w:r>
      <w:r>
        <w:t xml:space="preserve"> </w:t>
      </w:r>
      <w:r w:rsidRPr="00626B6B">
        <w:t>wynagrodzenie w wysokości 102,80 zł w 2019 r. oraz 124,80 zł w 2020 r.</w:t>
      </w:r>
      <w:r>
        <w:t xml:space="preserve"> Należy dodać, że wysokość minimalnego wynagrodzenia w roku 2021 ma wynieść 2.800 zł.</w:t>
      </w:r>
    </w:p>
    <w:p w:rsidR="00E00078" w:rsidRPr="00626B6B" w:rsidRDefault="00E00078" w:rsidP="00E00078">
      <w:pPr>
        <w:pStyle w:val="NIEARTTEKSTtekstnieartykuowanynppodstprawnarozplubpreambua"/>
      </w:pPr>
      <w:r w:rsidRPr="00626B6B">
        <w:t>Wzrost płac, w szczególności płacy minimalnej, następuje</w:t>
      </w:r>
      <w:r>
        <w:t xml:space="preserve"> </w:t>
      </w:r>
      <w:r w:rsidRPr="00626B6B">
        <w:t>w innym tempie niż</w:t>
      </w:r>
      <w:r>
        <w:t> </w:t>
      </w:r>
      <w:r w:rsidRPr="00626B6B">
        <w:t>waloryzacja kwoty bazowej dla osób zajmujących kierownicze</w:t>
      </w:r>
      <w:r>
        <w:t xml:space="preserve"> </w:t>
      </w:r>
      <w:r w:rsidRPr="00626B6B">
        <w:t>stanowiska państwowe, do</w:t>
      </w:r>
      <w:r>
        <w:t> </w:t>
      </w:r>
      <w:r w:rsidRPr="00626B6B">
        <w:t>której odwołują się art. 618b § 3 k.p.k. i art. 86 ust. 3 u.k.s.c.</w:t>
      </w:r>
      <w:r>
        <w:t xml:space="preserve"> </w:t>
      </w:r>
      <w:r w:rsidRPr="00626B6B">
        <w:t xml:space="preserve">(dalej: </w:t>
      </w:r>
      <w:r>
        <w:t>„</w:t>
      </w:r>
      <w:r w:rsidRPr="00626B6B">
        <w:t>kwota bazowa</w:t>
      </w:r>
      <w:r>
        <w:t>”</w:t>
      </w:r>
      <w:r w:rsidRPr="00626B6B">
        <w:t>). Podkreślenia wymaga, że wysokość wynagrodzenia minimalnego</w:t>
      </w:r>
      <w:r>
        <w:t xml:space="preserve"> </w:t>
      </w:r>
      <w:r w:rsidRPr="00626B6B">
        <w:t>i kwoty bazowej wynikają z dwóch odrębnych aktów prawnych, odpowiednio z</w:t>
      </w:r>
      <w:r>
        <w:t xml:space="preserve"> </w:t>
      </w:r>
      <w:r w:rsidRPr="00626B6B">
        <w:t>rozporządzenia Prezesa Rady Ministrów i ustawy budżetowej.</w:t>
      </w:r>
      <w:r>
        <w:t xml:space="preserve"> W</w:t>
      </w:r>
      <w:r w:rsidRPr="00626B6B">
        <w:t xml:space="preserve"> praktyce </w:t>
      </w:r>
      <w:r>
        <w:t xml:space="preserve">nie jest </w:t>
      </w:r>
      <w:r w:rsidRPr="00626B6B">
        <w:t>możliwe zapewnienie</w:t>
      </w:r>
      <w:r>
        <w:t xml:space="preserve"> </w:t>
      </w:r>
      <w:r w:rsidRPr="00626B6B">
        <w:t>waloryzacji wynagrodzenia minimalnego i kwoty bazowej na tym samym</w:t>
      </w:r>
      <w:r>
        <w:t xml:space="preserve"> </w:t>
      </w:r>
      <w:r w:rsidRPr="00626B6B">
        <w:t xml:space="preserve">poziomie. Na przestrzeni ostatnich lat </w:t>
      </w:r>
      <w:r>
        <w:t xml:space="preserve">doszło </w:t>
      </w:r>
      <w:r w:rsidRPr="00626B6B">
        <w:t>do</w:t>
      </w:r>
      <w:r>
        <w:t xml:space="preserve"> </w:t>
      </w:r>
      <w:r w:rsidRPr="00626B6B">
        <w:t>desynchronizacji tych poziomów, czego praktyczną konsekwencją jest zbyt nisko określony</w:t>
      </w:r>
      <w:r>
        <w:t xml:space="preserve"> </w:t>
      </w:r>
      <w:r w:rsidRPr="00626B6B">
        <w:t>maksymalny pułap zwrotu utraconego zarobku lub dochodu.</w:t>
      </w:r>
    </w:p>
    <w:p w:rsidR="00E00078" w:rsidRPr="00626B6B" w:rsidRDefault="00E00078" w:rsidP="00E00078">
      <w:pPr>
        <w:pStyle w:val="NIEARTTEKSTtekstnieartykuowanynppodstprawnarozplubpreambua"/>
      </w:pPr>
      <w:r>
        <w:t xml:space="preserve">Powyższy </w:t>
      </w:r>
      <w:r w:rsidRPr="00626B6B">
        <w:t>stan prawny wymaga</w:t>
      </w:r>
      <w:r>
        <w:t xml:space="preserve"> zmiany</w:t>
      </w:r>
      <w:r w:rsidRPr="00626B6B">
        <w:t>. Osoba</w:t>
      </w:r>
      <w:r>
        <w:t xml:space="preserve"> </w:t>
      </w:r>
      <w:r w:rsidRPr="00626B6B">
        <w:t>wezwana w charakterze świadka nie</w:t>
      </w:r>
      <w:r>
        <w:t> </w:t>
      </w:r>
      <w:r w:rsidRPr="00626B6B">
        <w:t>może co do zasady uwolnić się od obowiązku</w:t>
      </w:r>
      <w:r>
        <w:t xml:space="preserve"> </w:t>
      </w:r>
      <w:r w:rsidRPr="00626B6B">
        <w:t>stawiennictwa i zeznawania (art. 177 § 1 k.p.k., art. 261 § 1 k.p.c.). Usprawiedliwienie</w:t>
      </w:r>
      <w:r>
        <w:t xml:space="preserve"> </w:t>
      </w:r>
      <w:r w:rsidRPr="00626B6B">
        <w:t>niestawiennictwa wymaga przedstawienia zaświadczenia wystawionego przez lekarza</w:t>
      </w:r>
      <w:r>
        <w:t xml:space="preserve"> </w:t>
      </w:r>
      <w:r w:rsidRPr="00626B6B">
        <w:t>sądowego (art. 117 § 2a k.p.k., art. 2141 § 1 k.p.c.). Osoba wezwana jest zatem obowiązana</w:t>
      </w:r>
      <w:r>
        <w:t xml:space="preserve"> </w:t>
      </w:r>
      <w:r w:rsidRPr="00626B6B">
        <w:t>do takiego rozplanowania swoich obowiązków zawodowych, aby móc uczynić zadość</w:t>
      </w:r>
      <w:r>
        <w:t xml:space="preserve"> </w:t>
      </w:r>
      <w:r w:rsidRPr="00626B6B">
        <w:t>wezwaniu; w przypadku pozostawania w</w:t>
      </w:r>
      <w:r>
        <w:t> </w:t>
      </w:r>
      <w:r w:rsidRPr="00626B6B">
        <w:t>stosunku pracy, podstawę udzielenia takiej osobie</w:t>
      </w:r>
      <w:r>
        <w:t xml:space="preserve"> </w:t>
      </w:r>
      <w:r w:rsidRPr="00626B6B">
        <w:t>zwolnienia stanowi § 6 rozporządzenia Ministra Pracy i Polityki Socjalnej z dnia 15 maja</w:t>
      </w:r>
      <w:r>
        <w:t xml:space="preserve"> </w:t>
      </w:r>
      <w:r w:rsidRPr="00626B6B">
        <w:t>1996 r. w sprawie sposobu usprawiedliwiania nieobecności w pracy oraz udzielania</w:t>
      </w:r>
      <w:r>
        <w:t xml:space="preserve"> </w:t>
      </w:r>
      <w:r w:rsidRPr="00626B6B">
        <w:t>pracownikom zwolnień od pracy.</w:t>
      </w:r>
    </w:p>
    <w:p w:rsidR="00E00078" w:rsidRPr="00626B6B" w:rsidRDefault="00E00078" w:rsidP="00E00078">
      <w:pPr>
        <w:pStyle w:val="NIEARTTEKSTtekstnieartykuowanynppodstprawnarozplubpreambua"/>
      </w:pPr>
      <w:r w:rsidRPr="00626B6B">
        <w:t>Konieczność składania zeznań wiązać się może dla osoby wezwanej z istotną utratą</w:t>
      </w:r>
      <w:r>
        <w:t xml:space="preserve"> </w:t>
      </w:r>
      <w:r w:rsidRPr="00626B6B">
        <w:t xml:space="preserve">przychodu w szczególności, jeśli przesłuchanie trwa więcej niż jeden dzień. </w:t>
      </w:r>
      <w:r>
        <w:t>Pomimo, że k</w:t>
      </w:r>
      <w:r w:rsidRPr="00626B6B">
        <w:t>onieczność złożenia zeznań jest dopuszczalnym obowiązkiem nałożonym na obywatela w</w:t>
      </w:r>
      <w:r>
        <w:t> </w:t>
      </w:r>
      <w:r w:rsidRPr="00626B6B">
        <w:t xml:space="preserve">demokratycznym państwie prawnym, </w:t>
      </w:r>
      <w:r>
        <w:t xml:space="preserve">to </w:t>
      </w:r>
      <w:r w:rsidRPr="00626B6B">
        <w:t xml:space="preserve">art. 31 ust. 3 Konstytucji przemawia za tym, </w:t>
      </w:r>
      <w:r w:rsidRPr="00626B6B">
        <w:lastRenderedPageBreak/>
        <w:t>aby</w:t>
      </w:r>
      <w:r>
        <w:t> </w:t>
      </w:r>
      <w:r w:rsidRPr="00626B6B">
        <w:t>związane z tym ujemne konsekwencje dla świadka zostały w rozsądnym stopniu</w:t>
      </w:r>
      <w:r>
        <w:t xml:space="preserve"> </w:t>
      </w:r>
      <w:r w:rsidRPr="00626B6B">
        <w:t xml:space="preserve">wyrównane. </w:t>
      </w:r>
      <w:r>
        <w:t>S</w:t>
      </w:r>
      <w:r w:rsidRPr="00626B6B">
        <w:t>amo wprowadzenie pewnego maksymalnego pułapu zwrotu w istocie</w:t>
      </w:r>
      <w:r>
        <w:t xml:space="preserve"> </w:t>
      </w:r>
      <w:r w:rsidRPr="00626B6B">
        <w:t>uznać należy za zasadne</w:t>
      </w:r>
      <w:r>
        <w:t>, albowiem</w:t>
      </w:r>
      <w:r w:rsidRPr="00626B6B">
        <w:t xml:space="preserve"> w przeciwnym przypadku przesłuchanie osób szczególnie dobrze</w:t>
      </w:r>
      <w:r>
        <w:t xml:space="preserve"> </w:t>
      </w:r>
      <w:r w:rsidRPr="00626B6B">
        <w:t>zarabiających mogłoby przekroczyć możliwości finansowe sądów i prokuratur</w:t>
      </w:r>
      <w:r>
        <w:t>. Niemniej</w:t>
      </w:r>
      <w:r w:rsidRPr="00626B6B">
        <w:t xml:space="preserve"> </w:t>
      </w:r>
      <w:r>
        <w:t xml:space="preserve">wypada też </w:t>
      </w:r>
      <w:r w:rsidRPr="00626B6B">
        <w:t>stwierdzić, że obecnie obowiązująca górna granica jest rażąco zbyt niska.</w:t>
      </w:r>
    </w:p>
    <w:p w:rsidR="00E00078" w:rsidRPr="00626B6B" w:rsidRDefault="00E00078" w:rsidP="00E00078">
      <w:pPr>
        <w:pStyle w:val="NIEARTTEKSTtekstnieartykuowanynppodstprawnarozplubpreambua"/>
      </w:pPr>
      <w:r w:rsidRPr="00626B6B">
        <w:t>Zaznaczyć trzeba, że prawa majątkowe podlegają ochronie konstytucyjnej.</w:t>
      </w:r>
      <w:r>
        <w:t xml:space="preserve"> </w:t>
      </w:r>
      <w:r w:rsidRPr="00626B6B">
        <w:t>Zgodnie ze</w:t>
      </w:r>
      <w:r>
        <w:t> </w:t>
      </w:r>
      <w:r w:rsidRPr="00626B6B">
        <w:t>stanowiskiem Trybunału Konstytucyjnego, prawo do żądania zwrotu utraconego</w:t>
      </w:r>
      <w:r>
        <w:t xml:space="preserve"> </w:t>
      </w:r>
      <w:r w:rsidRPr="00626B6B">
        <w:t>dochodu lub wynagrodzenia z powodu stawiennictwa w roli świadka stanowi takie właśnie</w:t>
      </w:r>
      <w:r>
        <w:t xml:space="preserve"> </w:t>
      </w:r>
      <w:r w:rsidRPr="00626B6B">
        <w:t>prawo i</w:t>
      </w:r>
      <w:r>
        <w:t> </w:t>
      </w:r>
      <w:r w:rsidRPr="00626B6B">
        <w:t>tym samym podlega ochronie na podstawie art. 64 ust. 2 Konstytucji RP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 w:rsidRPr="00626B6B">
        <w:t>.</w:t>
      </w:r>
    </w:p>
    <w:p w:rsidR="00E00078" w:rsidRDefault="00E00078" w:rsidP="00E00078">
      <w:pPr>
        <w:pStyle w:val="NIEARTTEKSTtekstnieartykuowanynppodstprawnarozplubpreambua"/>
      </w:pPr>
      <w:r w:rsidRPr="00626B6B">
        <w:t>Podkreślić należy, że obecny stan prawny nosi znamiona pewnej</w:t>
      </w:r>
      <w:r>
        <w:t xml:space="preserve"> </w:t>
      </w:r>
      <w:r w:rsidRPr="00626B6B">
        <w:t>nielojalności ze strony prawodawcy wobec obywatela. Wymogi formalne warunkujące</w:t>
      </w:r>
      <w:r>
        <w:t xml:space="preserve"> </w:t>
      </w:r>
      <w:r w:rsidRPr="00626B6B">
        <w:t>przyznanie zwrotu utraconego zarobku lub dochodu są bowiem dość daleko idące. Z jednej</w:t>
      </w:r>
      <w:r>
        <w:t xml:space="preserve"> </w:t>
      </w:r>
      <w:r w:rsidRPr="00626B6B">
        <w:t>strony wymaga się od osoby wezwanej wykazania zarówno faktu, jak i wysokości</w:t>
      </w:r>
      <w:r>
        <w:t xml:space="preserve"> </w:t>
      </w:r>
      <w:r w:rsidRPr="00626B6B">
        <w:t>rzeczywiście utracon</w:t>
      </w:r>
      <w:r>
        <w:t>ego</w:t>
      </w:r>
      <w:r w:rsidRPr="00626B6B">
        <w:t xml:space="preserve"> zarobk</w:t>
      </w:r>
      <w:r>
        <w:t>u</w:t>
      </w:r>
      <w:r w:rsidRPr="00626B6B">
        <w:t xml:space="preserve"> lub </w:t>
      </w:r>
      <w:r>
        <w:t xml:space="preserve">dochodu </w:t>
      </w:r>
      <w:r w:rsidRPr="00626B6B">
        <w:t>(art. 618b § 4 k.p.k., art. 86 ust. 4</w:t>
      </w:r>
      <w:r>
        <w:t xml:space="preserve"> </w:t>
      </w:r>
      <w:r w:rsidRPr="00626B6B">
        <w:t>u.k.s.c.) ora</w:t>
      </w:r>
      <w:r>
        <w:t>z przewiduje niezwykle krótki 3-</w:t>
      </w:r>
      <w:r w:rsidRPr="00626B6B">
        <w:t>dniowy termin na złożenie stosownego</w:t>
      </w:r>
      <w:r>
        <w:t xml:space="preserve"> </w:t>
      </w:r>
      <w:r w:rsidRPr="00626B6B">
        <w:t>wniosku (art. 618k § 1 i 2 k.p.k., art. 92 ust. 1 i 2 u.k.s.c.), a także skrócony, 3-letni okres</w:t>
      </w:r>
      <w:r>
        <w:t xml:space="preserve"> </w:t>
      </w:r>
      <w:r w:rsidRPr="00626B6B">
        <w:t>przed</w:t>
      </w:r>
      <w:r>
        <w:t>awnienia roszczenia o ich zwrot</w:t>
      </w:r>
      <w:r w:rsidRPr="00626B6B">
        <w:t xml:space="preserve"> (art. 618k §</w:t>
      </w:r>
      <w:r>
        <w:t> </w:t>
      </w:r>
      <w:r w:rsidRPr="00626B6B">
        <w:t>3 k.</w:t>
      </w:r>
      <w:r>
        <w:t>p.k., art. 92 ust. 3 u.k.s.c.).</w:t>
      </w:r>
    </w:p>
    <w:p w:rsidR="00E00078" w:rsidRPr="00626B6B" w:rsidRDefault="00E00078" w:rsidP="00E00078">
      <w:pPr>
        <w:pStyle w:val="NIEARTTEKSTtekstnieartykuowanynppodstprawnarozplubpreambua"/>
      </w:pPr>
      <w:r w:rsidRPr="00626B6B">
        <w:t>Ponadto</w:t>
      </w:r>
      <w:r>
        <w:t xml:space="preserve"> </w:t>
      </w:r>
      <w:r w:rsidRPr="00626B6B">
        <w:t>ustawodawca obliguje osobę wezwaną do stawiennictwa</w:t>
      </w:r>
      <w:r>
        <w:t>.</w:t>
      </w:r>
      <w:r w:rsidRPr="00626B6B">
        <w:t xml:space="preserve"> </w:t>
      </w:r>
      <w:r>
        <w:t>W</w:t>
      </w:r>
      <w:r w:rsidRPr="00626B6B">
        <w:t xml:space="preserve"> przypadku jego braku organ</w:t>
      </w:r>
      <w:r>
        <w:t xml:space="preserve"> </w:t>
      </w:r>
      <w:r w:rsidRPr="00626B6B">
        <w:t>prowadzący postępowanie może nałożyć na świadka grzywnę, a nawet ukarać go</w:t>
      </w:r>
      <w:r>
        <w:t xml:space="preserve"> porządkową </w:t>
      </w:r>
      <w:r w:rsidRPr="00626B6B">
        <w:t>karą aresztu (art. 285 § 1 i art. 287 § 2 k.p.k. oraz art. 274 § 1 k.p.c.). Z</w:t>
      </w:r>
      <w:r>
        <w:t> </w:t>
      </w:r>
      <w:r w:rsidRPr="00626B6B">
        <w:t>drugiej</w:t>
      </w:r>
      <w:r>
        <w:t xml:space="preserve"> </w:t>
      </w:r>
      <w:r w:rsidRPr="00626B6B">
        <w:t>jednak strony, nawet w przypadku spełnienia wszystkich wspomnianych wymogów,</w:t>
      </w:r>
      <w:r>
        <w:t xml:space="preserve"> </w:t>
      </w:r>
      <w:r w:rsidRPr="00626B6B">
        <w:t>prawodawca uniemożliwia świadkowi uzyskanie zwrotu faktycznie utraconych</w:t>
      </w:r>
      <w:r>
        <w:t xml:space="preserve"> </w:t>
      </w:r>
      <w:r w:rsidRPr="00626B6B">
        <w:t>przychodów, ograniczając ich zwrot do poziomu poniżej tego, który ten sam prawodawca</w:t>
      </w:r>
      <w:r>
        <w:t xml:space="preserve"> </w:t>
      </w:r>
      <w:r w:rsidRPr="00626B6B">
        <w:t>uznaje za</w:t>
      </w:r>
      <w:r>
        <w:t> </w:t>
      </w:r>
      <w:r w:rsidRPr="00626B6B">
        <w:t>wynagrodzenie minimalne. Takie rozwiązania można ocenić jako niezgodne z</w:t>
      </w:r>
      <w:r>
        <w:t xml:space="preserve"> </w:t>
      </w:r>
      <w:r w:rsidRPr="00626B6B">
        <w:t>zasadą demokratycznego państwa prawa określoną w art. 2 Konstytucji RP. Dbałość o</w:t>
      </w:r>
      <w:r>
        <w:t xml:space="preserve"> </w:t>
      </w:r>
      <w:r w:rsidRPr="00626B6B">
        <w:t>interes finansowy Skarbu Państwa w tym przypadku przyjmuje charakter nieproporcjonalny</w:t>
      </w:r>
      <w:r>
        <w:t xml:space="preserve"> </w:t>
      </w:r>
      <w:r w:rsidRPr="00626B6B">
        <w:t>do</w:t>
      </w:r>
      <w:r>
        <w:t> </w:t>
      </w:r>
      <w:r w:rsidRPr="00626B6B">
        <w:t>dolegliwości wyrządzonej świadkowi.</w:t>
      </w:r>
    </w:p>
    <w:p w:rsidR="00E00078" w:rsidRPr="00626B6B" w:rsidRDefault="00E00078" w:rsidP="00E00078">
      <w:pPr>
        <w:pStyle w:val="NIEARTTEKSTtekstnieartykuowanynppodstprawnarozplubpreambua"/>
      </w:pPr>
      <w:r w:rsidRPr="00626B6B">
        <w:t>Przypomnieć jednocześnie należy, że w przypadku podniesienia maksymalnego</w:t>
      </w:r>
      <w:r>
        <w:t xml:space="preserve"> </w:t>
      </w:r>
      <w:r w:rsidRPr="00626B6B">
        <w:t>pułapu zwrotu określonego w art. 618b § 3 k.p.k. oraz art. 86 ust. 3 u.k.s.c., jeśli świadek</w:t>
      </w:r>
      <w:r>
        <w:t xml:space="preserve"> </w:t>
      </w:r>
      <w:r w:rsidRPr="00626B6B">
        <w:t xml:space="preserve">faktycznie </w:t>
      </w:r>
      <w:r w:rsidRPr="00626B6B">
        <w:lastRenderedPageBreak/>
        <w:t>utracił niższą kwotę (np. ponieważ stawiennictwo było krótkie), należeć mu się</w:t>
      </w:r>
      <w:r>
        <w:t xml:space="preserve"> </w:t>
      </w:r>
      <w:r w:rsidRPr="00626B6B">
        <w:t>będzie oczywiście kwota rzeczywiście utracona.</w:t>
      </w:r>
    </w:p>
    <w:p w:rsidR="00E00078" w:rsidRDefault="00E00078" w:rsidP="00E00078">
      <w:pPr>
        <w:pStyle w:val="NIEARTTEKSTtekstnieartykuowanynppodstprawnarozplubpreambua"/>
      </w:pPr>
      <w:r w:rsidRPr="00626B6B">
        <w:t>W związk</w:t>
      </w:r>
      <w:r>
        <w:t>u z powyższym wydaje się zasadna</w:t>
      </w:r>
      <w:r w:rsidRPr="00626B6B">
        <w:t xml:space="preserve"> zmian</w:t>
      </w:r>
      <w:r>
        <w:t>a</w:t>
      </w:r>
      <w:r w:rsidRPr="00626B6B">
        <w:t xml:space="preserve"> opisanego wyż</w:t>
      </w:r>
      <w:r>
        <w:t>ej stanu prawnego i podwyższenie, a tym samym urealnienie</w:t>
      </w:r>
      <w:r w:rsidRPr="00626B6B">
        <w:t>,</w:t>
      </w:r>
      <w:r>
        <w:t xml:space="preserve"> </w:t>
      </w:r>
      <w:r w:rsidRPr="00626B6B">
        <w:t xml:space="preserve">maksymalnej kwoty zwrotu utraconego </w:t>
      </w:r>
      <w:r>
        <w:t xml:space="preserve">zarobku </w:t>
      </w:r>
      <w:r w:rsidRPr="00626B6B">
        <w:t>lub dochodu</w:t>
      </w:r>
      <w:r w:rsidRPr="003E57EF">
        <w:t xml:space="preserve"> przysługujące</w:t>
      </w:r>
      <w:r>
        <w:t>go</w:t>
      </w:r>
      <w:r w:rsidRPr="003E57EF">
        <w:t xml:space="preserve"> świadkowi</w:t>
      </w:r>
      <w:r w:rsidRPr="00626B6B">
        <w:t>.</w:t>
      </w:r>
    </w:p>
    <w:p w:rsidR="00E00078" w:rsidRPr="003E690E" w:rsidRDefault="00E00078" w:rsidP="00E00078"/>
    <w:p w:rsidR="00E00078" w:rsidRPr="00F2384C" w:rsidRDefault="00E00078" w:rsidP="00E00078">
      <w:pPr>
        <w:pStyle w:val="ROZDZODDZPRZEDMprzedmiotregulacjirozdziauluboddziau"/>
        <w:jc w:val="left"/>
      </w:pPr>
      <w:r w:rsidRPr="00F2384C">
        <w:t>II. Rzeczywisty stan w dziedzinie, której dotyczy projekt ustawy</w:t>
      </w:r>
    </w:p>
    <w:p w:rsidR="00E00078" w:rsidRPr="00217093" w:rsidRDefault="00E00078" w:rsidP="00E00078">
      <w:pPr>
        <w:pStyle w:val="NIEARTTEKSTtekstnieartykuowanynppodstprawnarozplubpreambua"/>
      </w:pPr>
      <w:r>
        <w:t xml:space="preserve">Reguły dotyczące przysługującemu świadkowi </w:t>
      </w:r>
      <w:r w:rsidRPr="006F426E">
        <w:t>zwrotu zarobku lub dochodu utraconego z powodu stawiennictwa na wezwanie sądu lub organu prowadzącego postępowanie przygotowawcze</w:t>
      </w:r>
      <w:r>
        <w:t xml:space="preserve"> w postępowaniu karnym i cywilnym zostały uregulowane odpowiednio w </w:t>
      </w:r>
      <w:r w:rsidRPr="009D7516">
        <w:t>art. 618b k.p.k. oraz art. 86 u.k.s.c.</w:t>
      </w:r>
      <w:r w:rsidRPr="009257B3">
        <w:t xml:space="preserve"> </w:t>
      </w:r>
      <w:r>
        <w:t>W myśl tych przepisów w</w:t>
      </w:r>
      <w:r w:rsidRPr="00217093">
        <w:t>ynagrodzenie za</w:t>
      </w:r>
      <w:r>
        <w:t xml:space="preserve"> </w:t>
      </w:r>
      <w:r w:rsidRPr="00217093">
        <w:t>utracony zarobek lub dochód za każdy dzień udziału w czynnościach postępowania przyznaje się świadkowi w wysokości jego przeciętnego dziennego zarobku lub dochodu. W</w:t>
      </w:r>
      <w:r>
        <w:t xml:space="preserve"> </w:t>
      </w:r>
      <w:r w:rsidRPr="00217093">
        <w:t>przypadku świadka pozostającego w stosunku pracy przeciętny dzienny utracony zarobek oblicza się według zasad obowiązujących przy ustalaniu należnego pracownikowi ekwiwalentu pieniężnego za urlop.</w:t>
      </w:r>
    </w:p>
    <w:p w:rsidR="00E00078" w:rsidRDefault="00E00078" w:rsidP="00E00078">
      <w:pPr>
        <w:pStyle w:val="NIEARTTEKSTtekstnieartykuowanynppodstprawnarozplubpreambua"/>
      </w:pPr>
      <w:r>
        <w:t>Jednocześnie ustawodawca określił g</w:t>
      </w:r>
      <w:r w:rsidRPr="00217093">
        <w:t xml:space="preserve">órną granicę </w:t>
      </w:r>
      <w:r>
        <w:t>tych należności, która stanowi</w:t>
      </w:r>
      <w:r w:rsidRPr="00217093">
        <w:t xml:space="preserve"> równowartość 4,6% kwoty bazowej dla osób zajmujących kierownicze stanowiska państwowe, której wysokość, ustaloną według odrębnych zasad, określa ustawa budżetowa. W przypadku gdy ogłoszenie ustawy budżetowej nastąpi po dniu 1 stycznia roku, którego dotyczy ustawa budżetowa, podstawę obliczenia należności za okres od 1 stycznia do dnia ogłoszenia ustawy budżetowej stanowi kwota bazowa w wysokości obowiązując</w:t>
      </w:r>
      <w:r>
        <w:t>ej w grudniu roku poprzedniego.</w:t>
      </w:r>
    </w:p>
    <w:p w:rsidR="00E00078" w:rsidRPr="005D7029" w:rsidRDefault="00E00078" w:rsidP="00E00078">
      <w:pPr>
        <w:pStyle w:val="ARTartustawynprozporzdzenia"/>
      </w:pPr>
      <w:r>
        <w:t>Należy dodać, że u</w:t>
      </w:r>
      <w:r w:rsidRPr="005D7029">
        <w:t>tratę zarobku lub dochodu</w:t>
      </w:r>
      <w:r>
        <w:t xml:space="preserve">, z </w:t>
      </w:r>
      <w:r w:rsidRPr="009B4F5C">
        <w:t>powodu stawiennictwa na wezwanie sądu lub organu prowadzącego postępowanie przygotowawcze</w:t>
      </w:r>
      <w:r w:rsidRPr="005D7029">
        <w:t>, oraz ich wysokość świadek powinien należycie wykazać</w:t>
      </w:r>
      <w:r>
        <w:t>.</w:t>
      </w:r>
    </w:p>
    <w:p w:rsidR="00E00078" w:rsidRDefault="00E00078" w:rsidP="00E00078"/>
    <w:p w:rsidR="00E00078" w:rsidRPr="00F2384C" w:rsidRDefault="00E00078" w:rsidP="00E00078">
      <w:pPr>
        <w:pStyle w:val="ROZDZODDZPRZEDMprzedmiotregulacjirozdziauluboddziau"/>
        <w:jc w:val="left"/>
      </w:pPr>
      <w:r w:rsidRPr="00F2384C">
        <w:t>III. Różnice między dotychczasowym a proponowanym stanem prawnym</w:t>
      </w:r>
    </w:p>
    <w:p w:rsidR="00E00078" w:rsidRDefault="00E00078" w:rsidP="00E00078">
      <w:pPr>
        <w:pStyle w:val="NIEARTTEKSTtekstnieartykuowanynppodstprawnarozplubpreambua"/>
      </w:pPr>
      <w:r w:rsidRPr="00F2384C">
        <w:t>W ramach proponowanych zmian</w:t>
      </w:r>
      <w:r w:rsidRPr="00BF63A8">
        <w:t xml:space="preserve"> </w:t>
      </w:r>
      <w:r>
        <w:t xml:space="preserve">w </w:t>
      </w:r>
      <w:r w:rsidRPr="00BF63A8">
        <w:t>art. 618b § 3 k.p.k</w:t>
      </w:r>
      <w:r>
        <w:t xml:space="preserve">. oraz art. 86 ust. 3 u.k.s.c. zakłada się podwyższenie maksymalnej kwoty zwrotu utraconego zarobku lub dochodu. W celu osiągnięcia powyższego przewiduje się zwiększenie </w:t>
      </w:r>
      <w:r w:rsidRPr="00AD58CB">
        <w:t xml:space="preserve">z 4,6% do 10% </w:t>
      </w:r>
      <w:r w:rsidRPr="0092087E">
        <w:t>równowartoś</w:t>
      </w:r>
      <w:r>
        <w:t>ci</w:t>
      </w:r>
      <w:r w:rsidRPr="0092087E">
        <w:t xml:space="preserve"> </w:t>
      </w:r>
      <w:r w:rsidRPr="0092087E">
        <w:lastRenderedPageBreak/>
        <w:t>kwoty bazowej dla osób zajmujących kierowni</w:t>
      </w:r>
      <w:r>
        <w:t>cze stanowiska państwowe,</w:t>
      </w:r>
      <w:r w:rsidRPr="00412CC3">
        <w:t xml:space="preserve"> </w:t>
      </w:r>
      <w:r>
        <w:t xml:space="preserve">która stanowi górną granicę należności przysługujących świadkowi za utracony zarobek lub dochód za każdy dzień udziału w </w:t>
      </w:r>
      <w:r w:rsidRPr="00AB6B59">
        <w:t>czynnościach postępowania</w:t>
      </w:r>
      <w:r>
        <w:t>.</w:t>
      </w:r>
    </w:p>
    <w:p w:rsidR="00E00078" w:rsidRPr="005E50AA" w:rsidRDefault="00E00078" w:rsidP="00E00078">
      <w:pPr>
        <w:pStyle w:val="ARTartustawynprozporzdzenia"/>
      </w:pPr>
      <w:r w:rsidRPr="005E50AA">
        <w:t xml:space="preserve">Zgodnie z art. </w:t>
      </w:r>
      <w:r>
        <w:t>3</w:t>
      </w:r>
      <w:r w:rsidRPr="005E50AA">
        <w:t xml:space="preserve"> projektowanej ustawy </w:t>
      </w:r>
      <w:r>
        <w:t xml:space="preserve">ma </w:t>
      </w:r>
      <w:r w:rsidRPr="005E50AA">
        <w:t xml:space="preserve">ona </w:t>
      </w:r>
      <w:r>
        <w:t>wejść</w:t>
      </w:r>
      <w:r w:rsidRPr="005E50AA">
        <w:t xml:space="preserve"> w życie po upływie 14 dni od dnia o</w:t>
      </w:r>
      <w:r>
        <w:t>głoszenia, co ma zapewnić minimalną</w:t>
      </w:r>
      <w:r w:rsidRPr="005E50AA">
        <w:t xml:space="preserve"> </w:t>
      </w:r>
      <w:r w:rsidRPr="005E50AA">
        <w:rPr>
          <w:rStyle w:val="Kkursywa"/>
        </w:rPr>
        <w:t>vacatio legis</w:t>
      </w:r>
      <w:r w:rsidRPr="005E50AA">
        <w:t xml:space="preserve"> zgodnie z przepisami art. 4 ust. 1 ustawy z</w:t>
      </w:r>
      <w:r>
        <w:t> </w:t>
      </w:r>
      <w:r w:rsidRPr="005E50AA">
        <w:t>dnia 20 lipca 2000 r. o ogłaszaniu aktów normatywnych i niektórych innych aktów prawnych.</w:t>
      </w:r>
    </w:p>
    <w:p w:rsidR="00E00078" w:rsidRPr="000A2D67" w:rsidRDefault="00E00078" w:rsidP="00E00078"/>
    <w:p w:rsidR="00E00078" w:rsidRPr="00F2384C" w:rsidRDefault="00E00078" w:rsidP="00E00078">
      <w:pPr>
        <w:pStyle w:val="ROZDZODDZPRZEDMprzedmiotregulacjirozdziauluboddziau"/>
        <w:jc w:val="left"/>
      </w:pPr>
      <w:r w:rsidRPr="00F2384C">
        <w:t>IV. Przewidywane skutki proponowanych zmian</w:t>
      </w:r>
    </w:p>
    <w:p w:rsidR="00E00078" w:rsidRPr="00626B6B" w:rsidRDefault="00E00078" w:rsidP="00E00078">
      <w:pPr>
        <w:pStyle w:val="NIEARTTEKSTtekstnieartykuowanynppodstprawnarozplubpreambua"/>
      </w:pPr>
      <w:r w:rsidRPr="00626B6B">
        <w:t>Brak pełnego czy nawet proporcjonalnego zwrotu utraconego przychodu może</w:t>
      </w:r>
      <w:r>
        <w:t xml:space="preserve"> </w:t>
      </w:r>
      <w:r w:rsidRPr="00626B6B">
        <w:t>zniechęcać osoby wezwane w charakterze świadka do stawiennictwa. Brak stawiennictwa</w:t>
      </w:r>
      <w:r>
        <w:t xml:space="preserve"> </w:t>
      </w:r>
      <w:r w:rsidRPr="00626B6B">
        <w:t>świadka z kolei prowadzić może do konieczności wezwania go ponownie, a w tym celu</w:t>
      </w:r>
      <w:r>
        <w:t xml:space="preserve"> </w:t>
      </w:r>
      <w:r w:rsidRPr="00626B6B">
        <w:t>wyznaczenia dodatkowego terminu rozprawy. Ponadto może być konieczne</w:t>
      </w:r>
      <w:r>
        <w:t xml:space="preserve"> </w:t>
      </w:r>
      <w:r w:rsidRPr="00626B6B">
        <w:t>przedsięwzięcie czynności związanych z zatrzymaniem i przymusowym doprowadzeniem</w:t>
      </w:r>
      <w:r>
        <w:t xml:space="preserve"> </w:t>
      </w:r>
      <w:r w:rsidRPr="00626B6B">
        <w:t>świadka (art.</w:t>
      </w:r>
      <w:r>
        <w:t> </w:t>
      </w:r>
      <w:r w:rsidRPr="00626B6B">
        <w:t>285</w:t>
      </w:r>
      <w:r>
        <w:t> </w:t>
      </w:r>
      <w:r w:rsidRPr="00626B6B">
        <w:t>§</w:t>
      </w:r>
      <w:r>
        <w:t> </w:t>
      </w:r>
      <w:r w:rsidRPr="00626B6B">
        <w:t>2 k.p.k., art. 274 § 1 k.p.c.). Wszystkie te konsekwencje same w sobie</w:t>
      </w:r>
      <w:r>
        <w:t xml:space="preserve"> </w:t>
      </w:r>
      <w:r w:rsidRPr="00626B6B">
        <w:t>generują koszty dla sądu lub prokuratury prowadzących postępowanie oraz mogą prowadzić</w:t>
      </w:r>
      <w:r>
        <w:t xml:space="preserve"> </w:t>
      </w:r>
      <w:r w:rsidRPr="00626B6B">
        <w:t>do</w:t>
      </w:r>
      <w:r>
        <w:t> </w:t>
      </w:r>
      <w:r w:rsidRPr="00626B6B">
        <w:t>przedłużania się postępowań. Podwyższenie maksymalnego pułapu zwrotu utraconego</w:t>
      </w:r>
      <w:r>
        <w:t xml:space="preserve"> </w:t>
      </w:r>
      <w:r w:rsidRPr="00626B6B">
        <w:t>zarobku lub dochodu może doprowadzić do zwiększenia skuteczności wezwań do</w:t>
      </w:r>
      <w:r>
        <w:t> </w:t>
      </w:r>
      <w:r w:rsidRPr="00626B6B">
        <w:t>stawiennictwa i tym samym do oszczędności związanych z brakiem konieczności</w:t>
      </w:r>
      <w:r>
        <w:t xml:space="preserve"> </w:t>
      </w:r>
      <w:r w:rsidRPr="00626B6B">
        <w:t>wyznaczania dodatkowych terminów, a także do przyspieszenia postępowań w ogólności.</w:t>
      </w:r>
    </w:p>
    <w:p w:rsidR="00E00078" w:rsidRDefault="00E00078" w:rsidP="00E00078">
      <w:pPr>
        <w:pStyle w:val="NIEARTTEKSTtekstnieartykuowanynppodstprawnarozplubpreambua"/>
      </w:pPr>
      <w:r w:rsidRPr="00502743">
        <w:t xml:space="preserve">Oczekiwane skutki społeczne, gospodarcze i finansowe </w:t>
      </w:r>
      <w:r>
        <w:t xml:space="preserve">zostały </w:t>
      </w:r>
      <w:r w:rsidRPr="00502743">
        <w:t>przedstawione w Ocenie Skutków Regulacji.</w:t>
      </w:r>
    </w:p>
    <w:p w:rsidR="00E00078" w:rsidRPr="00A25FB3" w:rsidRDefault="00E00078" w:rsidP="00E00078"/>
    <w:p w:rsidR="00E00078" w:rsidRPr="003956AE" w:rsidRDefault="00E00078" w:rsidP="00E00078">
      <w:pPr>
        <w:pStyle w:val="ROZDZODDZPRZEDMprzedmiotregulacjirozdziauluboddziau"/>
        <w:jc w:val="both"/>
      </w:pPr>
      <w:r w:rsidRPr="003956AE">
        <w:t>V. Konsultacje</w:t>
      </w:r>
    </w:p>
    <w:p w:rsidR="00E00078" w:rsidRDefault="00E00078" w:rsidP="00E00078">
      <w:pPr>
        <w:pStyle w:val="NIEARTTEKSTtekstnieartykuowanynppodstprawnarozplubpreambua"/>
      </w:pPr>
      <w:r w:rsidRPr="003956AE">
        <w:t xml:space="preserve">Nadesłane w ramach konsultacji opinie i uwagi </w:t>
      </w:r>
      <w:r>
        <w:t xml:space="preserve">są </w:t>
      </w:r>
      <w:r w:rsidRPr="003956AE">
        <w:t>zamieszczone na senackiej stronie interne</w:t>
      </w:r>
      <w:r>
        <w:t>towej. Wyniki konsultacji zostały</w:t>
      </w:r>
      <w:r w:rsidRPr="003956AE">
        <w:t xml:space="preserve"> przedstawione w Ocenie Skutków Regulacji.</w:t>
      </w:r>
    </w:p>
    <w:p w:rsidR="00E00078" w:rsidRPr="00BE72B8" w:rsidRDefault="00E00078" w:rsidP="00E00078"/>
    <w:p w:rsidR="00E00078" w:rsidRPr="00F2384C" w:rsidRDefault="00E00078" w:rsidP="00E00078">
      <w:pPr>
        <w:pStyle w:val="ROZDZODDZPRZEDMprzedmiotregulacjirozdziauluboddziau"/>
        <w:jc w:val="left"/>
      </w:pPr>
      <w:r w:rsidRPr="003956AE">
        <w:t>V</w:t>
      </w:r>
      <w:r>
        <w:t>I</w:t>
      </w:r>
      <w:r w:rsidRPr="003956AE">
        <w:t xml:space="preserve">. </w:t>
      </w:r>
      <w:r w:rsidRPr="00F2384C">
        <w:t>Oświadczenie o zgodności projektu ustawy z Prawem Unii Europejskiej</w:t>
      </w:r>
    </w:p>
    <w:p w:rsidR="00E00078" w:rsidRPr="00502743" w:rsidRDefault="00E00078" w:rsidP="00E00078">
      <w:pPr>
        <w:pStyle w:val="NIEARTTEKSTtekstnieartykuowanynppodstprawnarozplubpreambua"/>
      </w:pPr>
      <w:r w:rsidRPr="00502743">
        <w:t>Projekt ustawy nie jest objęty zakresem prawa Unii Europejskiej.</w:t>
      </w:r>
    </w:p>
    <w:p w:rsidR="00C70646" w:rsidRPr="001B342E" w:rsidRDefault="00C70646" w:rsidP="00E00078">
      <w:pPr>
        <w:widowControl/>
        <w:autoSpaceDE/>
        <w:autoSpaceDN/>
        <w:adjustRightInd/>
        <w:jc w:val="left"/>
      </w:pPr>
      <w:bookmarkStart w:id="0" w:name="_GoBack"/>
      <w:bookmarkEnd w:id="0"/>
    </w:p>
    <w:sectPr w:rsidR="00C70646" w:rsidRPr="001B342E" w:rsidSect="00E00078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1C7" w:rsidRDefault="00BE01C7">
      <w:r>
        <w:separator/>
      </w:r>
    </w:p>
  </w:endnote>
  <w:endnote w:type="continuationSeparator" w:id="0">
    <w:p w:rsidR="00BE01C7" w:rsidRDefault="00BE0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1C7" w:rsidRDefault="00BE01C7">
      <w:r>
        <w:separator/>
      </w:r>
    </w:p>
  </w:footnote>
  <w:footnote w:type="continuationSeparator" w:id="0">
    <w:p w:rsidR="00BE01C7" w:rsidRDefault="00BE01C7">
      <w:r>
        <w:continuationSeparator/>
      </w:r>
    </w:p>
  </w:footnote>
  <w:footnote w:id="1">
    <w:p w:rsidR="00E00078" w:rsidRPr="00B86FD1" w:rsidRDefault="00E00078" w:rsidP="00E0007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Zob. art. 9 ust. 1 pkt 2 ustawy budżetowej na rok 2019 z dnia 16 stycznia 2019 r. (Dz. U. poz. 198), art. 9 ust. 1 pkt 2 ustawy budżetowej na rok 2020 z dnia 14 lutego</w:t>
      </w:r>
      <w:r w:rsidRPr="002B49F5">
        <w:t xml:space="preserve"> 20</w:t>
      </w:r>
      <w:r>
        <w:t>20 r. (Dz. U. poz. 571).</w:t>
      </w:r>
    </w:p>
  </w:footnote>
  <w:footnote w:id="2">
    <w:p w:rsidR="00E00078" w:rsidRPr="00626B6B" w:rsidRDefault="00E00078" w:rsidP="00E0007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26B6B">
        <w:t>Wyrok Trybunału Konstytucyjnego z dnia 22 marca 2011 r., sygn. akt SK 13/08.</w:t>
      </w:r>
    </w:p>
    <w:p w:rsidR="00E00078" w:rsidRPr="00D63F34" w:rsidRDefault="00E00078" w:rsidP="00E00078">
      <w:pPr>
        <w:pStyle w:val="ODNONIKtreodnonik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4FA" w:rsidRPr="00B371CC" w:rsidRDefault="007204F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A0513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5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20"/>
  </w:num>
  <w:num w:numId="32">
    <w:abstractNumId w:val="12"/>
  </w:num>
  <w:num w:numId="33">
    <w:abstractNumId w:val="33"/>
  </w:num>
  <w:num w:numId="34">
    <w:abstractNumId w:val="21"/>
  </w:num>
  <w:num w:numId="35">
    <w:abstractNumId w:val="18"/>
  </w:num>
  <w:num w:numId="36">
    <w:abstractNumId w:val="23"/>
  </w:num>
  <w:num w:numId="37">
    <w:abstractNumId w:val="29"/>
  </w:num>
  <w:num w:numId="38">
    <w:abstractNumId w:val="26"/>
  </w:num>
  <w:num w:numId="39">
    <w:abstractNumId w:val="14"/>
  </w:num>
  <w:num w:numId="40">
    <w:abstractNumId w:val="32"/>
  </w:num>
  <w:num w:numId="41">
    <w:abstractNumId w:val="30"/>
  </w:num>
  <w:num w:numId="42">
    <w:abstractNumId w:val="22"/>
  </w:num>
  <w:num w:numId="43">
    <w:abstractNumId w:val="37"/>
  </w:num>
  <w:num w:numId="44">
    <w:abstractNumId w:val="13"/>
  </w:num>
  <w:num w:numId="45">
    <w:abstractNumId w:val="31"/>
  </w:num>
  <w:num w:numId="46">
    <w:abstractNumId w:val="10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32"/>
    <w:rsid w:val="000012DA"/>
    <w:rsid w:val="0000246E"/>
    <w:rsid w:val="00004C91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46EC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6AF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273E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01C7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A0513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007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E5387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3773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8694BF-1B68-4F8F-ABB8-173442E4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7732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E00078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00078"/>
    <w:rPr>
      <w:bCs/>
    </w:rPr>
  </w:style>
  <w:style w:type="character" w:customStyle="1" w:styleId="IGindeksgrny">
    <w:name w:val="_IG_ – indeks górny"/>
    <w:basedOn w:val="Domylnaczcionkaakapitu"/>
    <w:uiPriority w:val="2"/>
    <w:qFormat/>
    <w:rsid w:val="00E00078"/>
    <w:rPr>
      <w:b w:val="0"/>
      <w:i w:val="0"/>
      <w:vanish w:val="0"/>
      <w:spacing w:val="0"/>
      <w:vertAlign w:val="superscript"/>
    </w:rPr>
  </w:style>
  <w:style w:type="character" w:customStyle="1" w:styleId="Kkursywa">
    <w:name w:val="_K_ – kursywa"/>
    <w:basedOn w:val="Domylnaczcionkaakapitu"/>
    <w:uiPriority w:val="1"/>
    <w:qFormat/>
    <w:rsid w:val="00E00078"/>
    <w:rPr>
      <w:i/>
    </w:rPr>
  </w:style>
  <w:style w:type="paragraph" w:customStyle="1" w:styleId="tresc">
    <w:name w:val="tresc"/>
    <w:basedOn w:val="Normalny"/>
    <w:rsid w:val="00E00078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B211F-3DCA-48EE-AEF0-058941E02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31</TotalTime>
  <Pages>5</Pages>
  <Words>1577</Words>
  <Characters>9464</Characters>
  <Application>Microsoft Office Word</Application>
  <DocSecurity>0</DocSecurity>
  <Lines>78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5</cp:revision>
  <cp:lastPrinted>2012-07-23T08:40:00Z</cp:lastPrinted>
  <dcterms:created xsi:type="dcterms:W3CDTF">2020-12-17T17:54:00Z</dcterms:created>
  <dcterms:modified xsi:type="dcterms:W3CDTF">2020-12-21T09:06:00Z</dcterms:modified>
</cp:coreProperties>
</file>