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322FA" w:rsidRPr="000060E1" w:rsidRDefault="00A322FA" w:rsidP="00A322FA">
      <w:pPr>
        <w:spacing w:line="360" w:lineRule="auto"/>
        <w:jc w:val="center"/>
        <w:rPr>
          <w:rFonts w:ascii="Times New Roman" w:hAnsi="Times New Roman"/>
          <w:b/>
          <w:szCs w:val="24"/>
        </w:rPr>
      </w:pPr>
      <w:r w:rsidRPr="000060E1">
        <w:rPr>
          <w:rFonts w:ascii="Times New Roman" w:hAnsi="Times New Roman"/>
          <w:b/>
          <w:szCs w:val="24"/>
        </w:rPr>
        <w:t>Uzas</w:t>
      </w:r>
      <w:r>
        <w:rPr>
          <w:rFonts w:ascii="Times New Roman" w:hAnsi="Times New Roman"/>
          <w:b/>
          <w:szCs w:val="24"/>
        </w:rPr>
        <w:t>a</w:t>
      </w:r>
      <w:r w:rsidRPr="000060E1">
        <w:rPr>
          <w:rFonts w:ascii="Times New Roman" w:hAnsi="Times New Roman"/>
          <w:b/>
          <w:szCs w:val="24"/>
        </w:rPr>
        <w:t>dnienie projektu ustawy o zmianie ustawy o opłatach abonamentowych</w:t>
      </w:r>
    </w:p>
    <w:p w:rsidR="00A322FA" w:rsidRPr="00350A86" w:rsidRDefault="00A322FA" w:rsidP="00A322FA">
      <w:pPr>
        <w:spacing w:line="360" w:lineRule="auto"/>
        <w:jc w:val="both"/>
        <w:rPr>
          <w:rFonts w:ascii="Times New Roman" w:hAnsi="Times New Roman"/>
          <w:szCs w:val="24"/>
        </w:rPr>
      </w:pPr>
    </w:p>
    <w:p w:rsidR="00A322FA" w:rsidRPr="000060E1" w:rsidRDefault="00A322FA" w:rsidP="00A322FA">
      <w:pPr>
        <w:numPr>
          <w:ilvl w:val="0"/>
          <w:numId w:val="1"/>
        </w:numPr>
        <w:spacing w:line="360" w:lineRule="auto"/>
        <w:jc w:val="both"/>
        <w:rPr>
          <w:rFonts w:ascii="Times New Roman" w:hAnsi="Times New Roman"/>
          <w:b/>
          <w:szCs w:val="24"/>
        </w:rPr>
      </w:pPr>
      <w:r w:rsidRPr="000060E1">
        <w:rPr>
          <w:rFonts w:ascii="Times New Roman" w:hAnsi="Times New Roman"/>
          <w:b/>
          <w:szCs w:val="24"/>
        </w:rPr>
        <w:t xml:space="preserve">Potrzeba i cel wydania ustawy. </w:t>
      </w:r>
    </w:p>
    <w:p w:rsidR="00A322FA" w:rsidRDefault="00A322FA" w:rsidP="00A322FA">
      <w:pPr>
        <w:spacing w:line="360" w:lineRule="auto"/>
        <w:ind w:firstLine="708"/>
        <w:jc w:val="both"/>
        <w:rPr>
          <w:rFonts w:ascii="Times New Roman" w:hAnsi="Times New Roman"/>
          <w:szCs w:val="24"/>
        </w:rPr>
      </w:pPr>
      <w:r w:rsidRPr="000060E1">
        <w:rPr>
          <w:rFonts w:ascii="Times New Roman" w:hAnsi="Times New Roman"/>
          <w:szCs w:val="24"/>
        </w:rPr>
        <w:t xml:space="preserve">Potrzeba wydania projektowanej ustawy wynika z </w:t>
      </w:r>
      <w:r>
        <w:rPr>
          <w:rFonts w:ascii="Times New Roman" w:hAnsi="Times New Roman"/>
          <w:szCs w:val="24"/>
        </w:rPr>
        <w:t xml:space="preserve">braku adekwatnego, stabilnego, przewidywalnego i długofalowego </w:t>
      </w:r>
      <w:r w:rsidRPr="000060E1">
        <w:rPr>
          <w:rFonts w:ascii="Times New Roman" w:hAnsi="Times New Roman"/>
          <w:szCs w:val="24"/>
        </w:rPr>
        <w:t xml:space="preserve">publicznego finansowania mediów publicznych w Polsce. </w:t>
      </w:r>
      <w:r>
        <w:rPr>
          <w:rFonts w:ascii="Times New Roman" w:hAnsi="Times New Roman"/>
          <w:szCs w:val="24"/>
        </w:rPr>
        <w:t>Na niedostatek ten w dłuższej perspektywie składa się m.in. narastające przez lata, od 1993 r., poszerzanie</w:t>
      </w:r>
      <w:r w:rsidRPr="000060E1">
        <w:rPr>
          <w:rFonts w:ascii="Times New Roman" w:hAnsi="Times New Roman"/>
          <w:szCs w:val="24"/>
        </w:rPr>
        <w:t xml:space="preserve"> kręgu osób zwolnionych z obowiązku uiszczania opłat abonamentowych</w:t>
      </w:r>
      <w:r>
        <w:rPr>
          <w:rFonts w:ascii="Times New Roman" w:hAnsi="Times New Roman"/>
          <w:szCs w:val="24"/>
        </w:rPr>
        <w:t xml:space="preserve">. Do największego poszerzenia tych zwolnień doszło </w:t>
      </w:r>
      <w:r w:rsidRPr="000060E1">
        <w:rPr>
          <w:rFonts w:ascii="Times New Roman" w:hAnsi="Times New Roman"/>
          <w:szCs w:val="24"/>
        </w:rPr>
        <w:t>na mocy ustawy z dnia 13 czerwca 2008 r. o zmianie ustawy o opłatach abonamentowych,</w:t>
      </w:r>
      <w:r w:rsidRPr="00350A86">
        <w:rPr>
          <w:rStyle w:val="Odwoanieprzypisudolnego"/>
          <w:rFonts w:ascii="Times New Roman" w:hAnsi="Times New Roman"/>
          <w:szCs w:val="24"/>
        </w:rPr>
        <w:footnoteReference w:id="1"/>
      </w:r>
      <w:r w:rsidRPr="000060E1">
        <w:rPr>
          <w:rFonts w:ascii="Times New Roman" w:hAnsi="Times New Roman"/>
          <w:szCs w:val="24"/>
        </w:rPr>
        <w:t xml:space="preserve">  która weszła w życie w dniu 1 marca 2010 r. W toku dyskusji nad tą ustawą wskazywano</w:t>
      </w:r>
      <w:r>
        <w:rPr>
          <w:rFonts w:ascii="Times New Roman" w:hAnsi="Times New Roman"/>
          <w:szCs w:val="24"/>
        </w:rPr>
        <w:t xml:space="preserve">, że godzi ona w konieczność zapewnienia adekwatnego finansowania realizacji misji publicznej radiofonii i telewizji oraz, konsekwentnie, </w:t>
      </w:r>
      <w:r w:rsidRPr="000060E1">
        <w:rPr>
          <w:rFonts w:ascii="Times New Roman" w:hAnsi="Times New Roman"/>
          <w:szCs w:val="24"/>
        </w:rPr>
        <w:t xml:space="preserve">że ewentualnemu poszerzeniu zwolnień od opłat abonamentowych powinno towarzyszyć </w:t>
      </w:r>
      <w:r>
        <w:rPr>
          <w:rFonts w:ascii="Times New Roman" w:hAnsi="Times New Roman"/>
          <w:szCs w:val="24"/>
        </w:rPr>
        <w:t>zre</w:t>
      </w:r>
      <w:r w:rsidRPr="000060E1">
        <w:rPr>
          <w:rFonts w:ascii="Times New Roman" w:hAnsi="Times New Roman"/>
          <w:szCs w:val="24"/>
        </w:rPr>
        <w:t xml:space="preserve">kompensowanie ubytku wpływów, wynikających z takiego zabiegu. W przeciwnym razie nie zostanie wykonany obowiązek Państwa zapewnienia warunków finansowych dla realizacji misji publicznej radiofonii i telewizji. </w:t>
      </w:r>
    </w:p>
    <w:p w:rsidR="00A322FA" w:rsidRDefault="00A322FA" w:rsidP="00A322FA">
      <w:pPr>
        <w:spacing w:line="360" w:lineRule="auto"/>
        <w:ind w:firstLine="708"/>
        <w:jc w:val="both"/>
        <w:rPr>
          <w:rFonts w:ascii="Times New Roman" w:hAnsi="Times New Roman" w:cs="Times New Roman"/>
          <w:szCs w:val="24"/>
        </w:rPr>
      </w:pPr>
      <w:r w:rsidRPr="00407726">
        <w:rPr>
          <w:rFonts w:ascii="Times New Roman" w:hAnsi="Times New Roman" w:cs="Times New Roman"/>
          <w:szCs w:val="24"/>
        </w:rPr>
        <w:t>Elementy te skłoniły Prezydenta RP do skierowania powołanej usta</w:t>
      </w:r>
      <w:r>
        <w:rPr>
          <w:rFonts w:ascii="Times New Roman" w:hAnsi="Times New Roman" w:cs="Times New Roman"/>
          <w:szCs w:val="24"/>
        </w:rPr>
        <w:t>wy do Trybunału Konstytucyjnego.</w:t>
      </w:r>
      <w:r>
        <w:rPr>
          <w:rStyle w:val="Odwoanieprzypisudolnego"/>
          <w:rFonts w:ascii="Times New Roman" w:hAnsi="Times New Roman" w:cs="Times New Roman"/>
          <w:szCs w:val="24"/>
        </w:rPr>
        <w:footnoteReference w:id="2"/>
      </w:r>
      <w:r>
        <w:rPr>
          <w:rFonts w:ascii="Times New Roman" w:hAnsi="Times New Roman" w:cs="Times New Roman"/>
          <w:szCs w:val="24"/>
        </w:rPr>
        <w:t xml:space="preserve"> Trybunał w wyroku dnia 4 listopada 2009 r. stwierdził niezgodność z Konstytucją tylko części tej ustawy, uznając, że poszerzenie zwolnień od opłat abonamentowych co do zasady mieści się w swobodzie ustawodawcy</w:t>
      </w:r>
      <w:r w:rsidRPr="00742B19">
        <w:rPr>
          <w:rFonts w:ascii="Times New Roman" w:hAnsi="Times New Roman" w:cs="Times New Roman"/>
          <w:szCs w:val="24"/>
        </w:rPr>
        <w:t xml:space="preserve"> w zakresie wyboru formy finansowania mediów ze środków publicznych, wysokości tego finansowania i jego szczegółowych zasad</w:t>
      </w:r>
      <w:r>
        <w:rPr>
          <w:rFonts w:ascii="Times New Roman" w:hAnsi="Times New Roman" w:cs="Times New Roman"/>
          <w:szCs w:val="24"/>
        </w:rPr>
        <w:t xml:space="preserve">. Trybunał Konstytucyjny przy tym zauważył: </w:t>
      </w:r>
      <w:r w:rsidRPr="00742B19">
        <w:rPr>
          <w:rFonts w:ascii="Times New Roman" w:hAnsi="Times New Roman" w:cs="Times New Roman"/>
          <w:i/>
          <w:szCs w:val="24"/>
        </w:rPr>
        <w:t>Swoboda wybor</w:t>
      </w:r>
      <w:r>
        <w:rPr>
          <w:rFonts w:ascii="Times New Roman" w:hAnsi="Times New Roman" w:cs="Times New Roman"/>
          <w:i/>
          <w:szCs w:val="24"/>
        </w:rPr>
        <w:t>u formy finansowania publicznej</w:t>
      </w:r>
      <w:r w:rsidRPr="00742B19">
        <w:rPr>
          <w:rFonts w:ascii="Times New Roman" w:hAnsi="Times New Roman" w:cs="Times New Roman"/>
          <w:i/>
          <w:szCs w:val="24"/>
        </w:rPr>
        <w:t xml:space="preserve"> radiofonii i telewizji nie zwalnia jednocześnie ustawodawcy z obowiązku ustalenia właściwych zasad finansowania. Realizacja misji publicznej przez media publiczne nie jest bowiem możliwa bez zapewnienia odpowiednich nakładów finansowych pochodzących ze środków publicznych.</w:t>
      </w:r>
      <w:r>
        <w:rPr>
          <w:rStyle w:val="Odwoanieprzypisudolnego"/>
          <w:rFonts w:ascii="Times New Roman" w:hAnsi="Times New Roman" w:cs="Times New Roman"/>
          <w:i/>
          <w:szCs w:val="24"/>
        </w:rPr>
        <w:footnoteReference w:id="3"/>
      </w:r>
    </w:p>
    <w:p w:rsidR="00A322FA" w:rsidRDefault="00A322FA" w:rsidP="00A322FA">
      <w:pPr>
        <w:spacing w:line="360" w:lineRule="auto"/>
        <w:ind w:firstLine="708"/>
        <w:jc w:val="both"/>
        <w:rPr>
          <w:rFonts w:ascii="Times New Roman" w:hAnsi="Times New Roman"/>
          <w:szCs w:val="24"/>
        </w:rPr>
      </w:pPr>
      <w:r>
        <w:rPr>
          <w:rFonts w:ascii="Times New Roman" w:eastAsiaTheme="minorHAnsi" w:hAnsi="Times New Roman" w:cs="Times New Roman"/>
          <w:szCs w:val="24"/>
          <w:lang w:eastAsia="en-US"/>
        </w:rPr>
        <w:tab/>
      </w:r>
      <w:r w:rsidRPr="00350A86">
        <w:rPr>
          <w:rFonts w:ascii="Times New Roman" w:hAnsi="Times New Roman"/>
          <w:szCs w:val="24"/>
        </w:rPr>
        <w:t xml:space="preserve">Projektowana ustawa ma na celu </w:t>
      </w:r>
      <w:r>
        <w:rPr>
          <w:rFonts w:ascii="Times New Roman" w:hAnsi="Times New Roman"/>
          <w:szCs w:val="24"/>
        </w:rPr>
        <w:t xml:space="preserve">wykonanie tego obowiązku Państwa i wypełnienie </w:t>
      </w:r>
      <w:r w:rsidRPr="00350A86">
        <w:rPr>
          <w:rFonts w:ascii="Times New Roman" w:hAnsi="Times New Roman"/>
          <w:szCs w:val="24"/>
        </w:rPr>
        <w:t>wskazanej luki</w:t>
      </w:r>
      <w:r>
        <w:rPr>
          <w:rFonts w:ascii="Times New Roman" w:hAnsi="Times New Roman"/>
          <w:szCs w:val="24"/>
        </w:rPr>
        <w:t xml:space="preserve"> w 2020 r., do czasu wprowadzenia docelowego systemu </w:t>
      </w:r>
      <w:r>
        <w:rPr>
          <w:rFonts w:ascii="Times New Roman" w:hAnsi="Times New Roman"/>
          <w:szCs w:val="24"/>
        </w:rPr>
        <w:lastRenderedPageBreak/>
        <w:t xml:space="preserve">finansowania mediów publicznych, </w:t>
      </w:r>
      <w:r w:rsidRPr="00350A86">
        <w:rPr>
          <w:rFonts w:ascii="Times New Roman" w:hAnsi="Times New Roman"/>
          <w:szCs w:val="24"/>
        </w:rPr>
        <w:t>przez zapewnienie rekompensowan</w:t>
      </w:r>
      <w:r>
        <w:rPr>
          <w:rFonts w:ascii="Times New Roman" w:hAnsi="Times New Roman"/>
          <w:szCs w:val="24"/>
        </w:rPr>
        <w:t xml:space="preserve">ia </w:t>
      </w:r>
      <w:r w:rsidRPr="00350A86">
        <w:rPr>
          <w:rFonts w:ascii="Times New Roman" w:hAnsi="Times New Roman"/>
          <w:szCs w:val="24"/>
        </w:rPr>
        <w:t>ubytku wpływów z opłat abonamentowych wynikającego z</w:t>
      </w:r>
      <w:r>
        <w:rPr>
          <w:rFonts w:ascii="Times New Roman" w:hAnsi="Times New Roman"/>
          <w:szCs w:val="24"/>
        </w:rPr>
        <w:t>e znacznego</w:t>
      </w:r>
      <w:r w:rsidRPr="00350A86">
        <w:rPr>
          <w:rFonts w:ascii="Times New Roman" w:hAnsi="Times New Roman"/>
          <w:szCs w:val="24"/>
        </w:rPr>
        <w:t xml:space="preserve"> </w:t>
      </w:r>
      <w:r>
        <w:rPr>
          <w:rFonts w:ascii="Times New Roman" w:hAnsi="Times New Roman"/>
          <w:szCs w:val="24"/>
        </w:rPr>
        <w:t xml:space="preserve">kręgu osób </w:t>
      </w:r>
      <w:r w:rsidRPr="00350A86">
        <w:rPr>
          <w:rFonts w:ascii="Times New Roman" w:hAnsi="Times New Roman"/>
          <w:szCs w:val="24"/>
        </w:rPr>
        <w:t>zwo</w:t>
      </w:r>
      <w:r>
        <w:rPr>
          <w:rFonts w:ascii="Times New Roman" w:hAnsi="Times New Roman"/>
          <w:szCs w:val="24"/>
        </w:rPr>
        <w:t xml:space="preserve">lnionych z tych opłat. </w:t>
      </w:r>
    </w:p>
    <w:p w:rsidR="00A322FA" w:rsidRPr="00046E93" w:rsidRDefault="00A322FA" w:rsidP="00A322FA">
      <w:pPr>
        <w:spacing w:line="360" w:lineRule="auto"/>
        <w:ind w:firstLine="708"/>
        <w:jc w:val="both"/>
      </w:pPr>
      <w:r w:rsidRPr="00134F84">
        <w:t xml:space="preserve">Pomimo </w:t>
      </w:r>
      <w:r>
        <w:t xml:space="preserve">tego, że według </w:t>
      </w:r>
      <w:r w:rsidRPr="00134F84">
        <w:t>danych GUS 96,</w:t>
      </w:r>
      <w:r>
        <w:t>4</w:t>
      </w:r>
      <w:r w:rsidRPr="00134F84">
        <w:t>% gospodarstw domowych posiada odbiornik TV,</w:t>
      </w:r>
      <w:r w:rsidRPr="00134F84">
        <w:rPr>
          <w:rStyle w:val="Odwoanieprzypisudolnego"/>
        </w:rPr>
        <w:footnoteReference w:id="4"/>
      </w:r>
      <w:r w:rsidRPr="00134F84">
        <w:t xml:space="preserve"> </w:t>
      </w:r>
      <w:r>
        <w:t>ponad</w:t>
      </w:r>
      <w:r w:rsidRPr="00134F84">
        <w:t xml:space="preserve"> połowa polskich gospodarstw nie zarejestrowała odbiornika telewizyjnego lub radiowego, a wśród samych zarejestrowanych większość stanowią zwolnieni z opłaty. </w:t>
      </w:r>
      <w:r w:rsidRPr="00350A86">
        <w:rPr>
          <w:rFonts w:ascii="Times New Roman" w:hAnsi="Times New Roman"/>
          <w:szCs w:val="24"/>
        </w:rPr>
        <w:t xml:space="preserve">Według KRRiT </w:t>
      </w:r>
      <w:r>
        <w:rPr>
          <w:rFonts w:ascii="Times New Roman" w:hAnsi="Times New Roman"/>
          <w:szCs w:val="24"/>
        </w:rPr>
        <w:t xml:space="preserve">na koniec </w:t>
      </w:r>
      <w:r w:rsidRPr="00AE367D">
        <w:rPr>
          <w:rFonts w:ascii="Times New Roman" w:hAnsi="Times New Roman"/>
          <w:szCs w:val="24"/>
        </w:rPr>
        <w:t>201</w:t>
      </w:r>
      <w:r>
        <w:rPr>
          <w:rFonts w:ascii="Times New Roman" w:hAnsi="Times New Roman"/>
          <w:szCs w:val="24"/>
        </w:rPr>
        <w:t>8</w:t>
      </w:r>
      <w:r w:rsidRPr="00AE367D">
        <w:rPr>
          <w:rFonts w:ascii="Times New Roman" w:hAnsi="Times New Roman"/>
          <w:szCs w:val="24"/>
        </w:rPr>
        <w:t xml:space="preserve"> r.</w:t>
      </w:r>
      <w:r>
        <w:rPr>
          <w:rFonts w:ascii="Times New Roman" w:hAnsi="Times New Roman"/>
          <w:szCs w:val="24"/>
        </w:rPr>
        <w:t xml:space="preserve"> spośród 6,6</w:t>
      </w:r>
      <w:r w:rsidRPr="00350A86">
        <w:rPr>
          <w:rFonts w:ascii="Times New Roman" w:hAnsi="Times New Roman"/>
          <w:szCs w:val="24"/>
        </w:rPr>
        <w:t xml:space="preserve"> </w:t>
      </w:r>
      <w:r>
        <w:rPr>
          <w:rFonts w:ascii="Times New Roman" w:hAnsi="Times New Roman"/>
          <w:szCs w:val="24"/>
        </w:rPr>
        <w:t>mln</w:t>
      </w:r>
      <w:r w:rsidRPr="00350A86">
        <w:rPr>
          <w:rFonts w:ascii="Times New Roman" w:hAnsi="Times New Roman"/>
          <w:szCs w:val="24"/>
        </w:rPr>
        <w:t xml:space="preserve"> zarejestrowanych abonentów </w:t>
      </w:r>
      <w:r>
        <w:rPr>
          <w:rFonts w:ascii="Times New Roman" w:hAnsi="Times New Roman"/>
          <w:szCs w:val="24"/>
        </w:rPr>
        <w:t xml:space="preserve">(gospodarstw domowych) </w:t>
      </w:r>
      <w:r w:rsidRPr="00350A86">
        <w:rPr>
          <w:rFonts w:ascii="Times New Roman" w:hAnsi="Times New Roman"/>
          <w:szCs w:val="24"/>
        </w:rPr>
        <w:t xml:space="preserve">było </w:t>
      </w:r>
      <w:r w:rsidRPr="00AE367D">
        <w:rPr>
          <w:rFonts w:ascii="Times New Roman" w:hAnsi="Times New Roman"/>
          <w:szCs w:val="24"/>
        </w:rPr>
        <w:t>3,</w:t>
      </w:r>
      <w:r>
        <w:rPr>
          <w:rFonts w:ascii="Times New Roman" w:hAnsi="Times New Roman"/>
          <w:szCs w:val="24"/>
        </w:rPr>
        <w:t>7</w:t>
      </w:r>
      <w:r w:rsidRPr="00AE367D">
        <w:rPr>
          <w:rFonts w:ascii="Times New Roman" w:hAnsi="Times New Roman"/>
          <w:szCs w:val="24"/>
        </w:rPr>
        <w:t xml:space="preserve"> </w:t>
      </w:r>
      <w:r>
        <w:rPr>
          <w:rFonts w:ascii="Times New Roman" w:hAnsi="Times New Roman"/>
          <w:szCs w:val="24"/>
        </w:rPr>
        <w:t>mln</w:t>
      </w:r>
      <w:r w:rsidRPr="00AE367D">
        <w:rPr>
          <w:rFonts w:ascii="Times New Roman" w:hAnsi="Times New Roman"/>
          <w:szCs w:val="24"/>
        </w:rPr>
        <w:t xml:space="preserve"> zwolnionych</w:t>
      </w:r>
      <w:r>
        <w:rPr>
          <w:rFonts w:ascii="Times New Roman" w:hAnsi="Times New Roman"/>
          <w:szCs w:val="24"/>
        </w:rPr>
        <w:t>.</w:t>
      </w:r>
      <w:r w:rsidRPr="00350A86">
        <w:rPr>
          <w:rStyle w:val="Odwoanieprzypisudolnego"/>
          <w:rFonts w:ascii="Times New Roman" w:hAnsi="Times New Roman"/>
          <w:szCs w:val="24"/>
        </w:rPr>
        <w:footnoteReference w:id="5"/>
      </w:r>
      <w:r>
        <w:rPr>
          <w:rFonts w:ascii="Times New Roman" w:hAnsi="Times New Roman"/>
          <w:szCs w:val="24"/>
        </w:rPr>
        <w:t xml:space="preserve"> </w:t>
      </w:r>
      <w:r w:rsidRPr="00350A86">
        <w:rPr>
          <w:rFonts w:ascii="Times New Roman" w:hAnsi="Times New Roman"/>
          <w:szCs w:val="24"/>
        </w:rPr>
        <w:t xml:space="preserve"> Innymi słowy</w:t>
      </w:r>
      <w:r>
        <w:rPr>
          <w:rFonts w:ascii="Times New Roman" w:hAnsi="Times New Roman"/>
          <w:szCs w:val="24"/>
        </w:rPr>
        <w:t>,</w:t>
      </w:r>
      <w:r w:rsidRPr="00350A86">
        <w:rPr>
          <w:rFonts w:ascii="Times New Roman" w:hAnsi="Times New Roman"/>
          <w:szCs w:val="24"/>
        </w:rPr>
        <w:t xml:space="preserve"> w ramach </w:t>
      </w:r>
      <w:r>
        <w:rPr>
          <w:rFonts w:ascii="Times New Roman" w:hAnsi="Times New Roman"/>
          <w:szCs w:val="24"/>
        </w:rPr>
        <w:t>niespełna połowy</w:t>
      </w:r>
      <w:r w:rsidRPr="00350A86">
        <w:rPr>
          <w:rFonts w:ascii="Times New Roman" w:hAnsi="Times New Roman"/>
          <w:szCs w:val="24"/>
        </w:rPr>
        <w:t xml:space="preserve"> gospodarstw domowych, które </w:t>
      </w:r>
      <w:r>
        <w:rPr>
          <w:rFonts w:ascii="Times New Roman" w:hAnsi="Times New Roman"/>
          <w:szCs w:val="24"/>
        </w:rPr>
        <w:t>zarejestrowały odbiorniki</w:t>
      </w:r>
      <w:r w:rsidRPr="00350A86">
        <w:rPr>
          <w:rFonts w:ascii="Times New Roman" w:hAnsi="Times New Roman"/>
          <w:szCs w:val="24"/>
        </w:rPr>
        <w:t xml:space="preserve"> – </w:t>
      </w:r>
      <w:r>
        <w:rPr>
          <w:rFonts w:ascii="Times New Roman" w:hAnsi="Times New Roman"/>
          <w:szCs w:val="24"/>
        </w:rPr>
        <w:t>55,7</w:t>
      </w:r>
      <w:r w:rsidRPr="00350A86">
        <w:rPr>
          <w:rFonts w:ascii="Times New Roman" w:hAnsi="Times New Roman"/>
          <w:szCs w:val="24"/>
        </w:rPr>
        <w:t>% korzysta ze zwolnień</w:t>
      </w:r>
      <w:r w:rsidRPr="00D37503">
        <w:rPr>
          <w:rFonts w:ascii="Times New Roman" w:hAnsi="Times New Roman"/>
          <w:szCs w:val="24"/>
        </w:rPr>
        <w:t>.</w:t>
      </w:r>
      <w:r w:rsidRPr="00D37503">
        <w:rPr>
          <w:rStyle w:val="Odwoanieprzypisudolnego"/>
          <w:rFonts w:ascii="Times New Roman" w:hAnsi="Times New Roman"/>
          <w:szCs w:val="24"/>
        </w:rPr>
        <w:footnoteReference w:id="6"/>
      </w:r>
      <w:r w:rsidRPr="00D37503">
        <w:rPr>
          <w:rFonts w:ascii="Times New Roman" w:hAnsi="Times New Roman"/>
          <w:szCs w:val="24"/>
        </w:rPr>
        <w:t xml:space="preserve"> </w:t>
      </w:r>
      <w:r>
        <w:rPr>
          <w:rFonts w:ascii="Times New Roman" w:hAnsi="Times New Roman"/>
          <w:szCs w:val="24"/>
        </w:rPr>
        <w:t>Wśród zarejestrowanych i zobowiązanych do zapłaty (2,9 mln gospodarstw domowych) na koniec 2018 r. opłaty uregulowało jedynie ok 31% z nich</w:t>
      </w:r>
      <w:r>
        <w:rPr>
          <w:rStyle w:val="Odwoanieprzypisudolnego"/>
          <w:rFonts w:ascii="Times New Roman" w:hAnsi="Times New Roman"/>
          <w:szCs w:val="24"/>
        </w:rPr>
        <w:footnoteReference w:id="7"/>
      </w:r>
      <w:r>
        <w:rPr>
          <w:rFonts w:ascii="Times New Roman" w:hAnsi="Times New Roman"/>
          <w:szCs w:val="24"/>
        </w:rPr>
        <w:t>. Na szacowane 14,5 mln gospodarstw domowych w Polsce</w:t>
      </w:r>
      <w:r>
        <w:rPr>
          <w:rStyle w:val="Odwoanieprzypisudolnego"/>
          <w:rFonts w:ascii="Times New Roman" w:hAnsi="Times New Roman"/>
          <w:szCs w:val="24"/>
        </w:rPr>
        <w:footnoteReference w:id="8"/>
      </w:r>
      <w:r>
        <w:rPr>
          <w:rFonts w:ascii="Times New Roman" w:hAnsi="Times New Roman"/>
          <w:szCs w:val="24"/>
        </w:rPr>
        <w:t xml:space="preserve"> </w:t>
      </w:r>
      <w:r>
        <w:t xml:space="preserve">terminowo opłaty uregulowało niespełna 1 mln. </w:t>
      </w:r>
      <w:r w:rsidRPr="001C3DC5">
        <w:t>Akty Rady Europy, w tym rezolucja nr 1 „Przyszłość publicznej radiofonii i telewizji”, przyjęta na 4-tej Konferencji Ministerialnej w sprawie polityki w dziedzinie mediów masowych w Pradze w 1994 r.,</w:t>
      </w:r>
      <w:r w:rsidRPr="001C3DC5">
        <w:rPr>
          <w:rStyle w:val="Odwoanieprzypisudolnego"/>
        </w:rPr>
        <w:footnoteReference w:id="9"/>
      </w:r>
      <w:r w:rsidRPr="001C3DC5">
        <w:t xml:space="preserve"> zalecenie nr R (96)10 Komitetu Ministrów w sprawie gwarancji niezależności nadawców publicznych (z 11 września 1996 r.),</w:t>
      </w:r>
      <w:r w:rsidRPr="001C3DC5">
        <w:rPr>
          <w:rStyle w:val="Odwoanieprzypisudolnego"/>
        </w:rPr>
        <w:footnoteReference w:id="10"/>
      </w:r>
      <w:r w:rsidRPr="001C3DC5">
        <w:t xml:space="preserve"> zalecenie CM/</w:t>
      </w:r>
      <w:proofErr w:type="spellStart"/>
      <w:r w:rsidRPr="001C3DC5">
        <w:t>Rec</w:t>
      </w:r>
      <w:proofErr w:type="spellEnd"/>
      <w:r w:rsidRPr="001C3DC5">
        <w:t xml:space="preserve"> (2007)3 Komitetu Ministrów w sprawie misji mediów publicznych w społeczeństwie informacyjnym,</w:t>
      </w:r>
      <w:r w:rsidRPr="001C3DC5">
        <w:rPr>
          <w:rStyle w:val="Odwoanieprzypisudolnego"/>
        </w:rPr>
        <w:footnoteReference w:id="11"/>
      </w:r>
      <w:r w:rsidRPr="001C3DC5">
        <w:t xml:space="preserve"> zalecenie 1878(2009) Zgromadzenia Parlamentarnego w sprawie finansowania publicznej radiofonii i telewizji,</w:t>
      </w:r>
      <w:r w:rsidRPr="001C3DC5">
        <w:rPr>
          <w:rStyle w:val="Odwoanieprzypisudolnego"/>
        </w:rPr>
        <w:footnoteReference w:id="12"/>
      </w:r>
      <w:r w:rsidRPr="001C3DC5">
        <w:t xml:space="preserve"> zalecenie CM/</w:t>
      </w:r>
      <w:proofErr w:type="spellStart"/>
      <w:r w:rsidRPr="001C3DC5">
        <w:t>Rec</w:t>
      </w:r>
      <w:proofErr w:type="spellEnd"/>
      <w:r w:rsidRPr="001C3DC5">
        <w:t xml:space="preserve"> (2012)/1 w sprawie zarządzania i struktury mediów publicznych,</w:t>
      </w:r>
      <w:r w:rsidRPr="001C3DC5">
        <w:rPr>
          <w:rStyle w:val="Odwoanieprzypisudolnego"/>
        </w:rPr>
        <w:footnoteReference w:id="13"/>
      </w:r>
      <w:r w:rsidRPr="001C3DC5">
        <w:t xml:space="preserve"> konsekwentnie wskazują na konieczność zapewnienia </w:t>
      </w:r>
      <w:r w:rsidRPr="001C3DC5">
        <w:rPr>
          <w:b/>
        </w:rPr>
        <w:t>odpowiedniego, bezpiecznego i przejrzystego</w:t>
      </w:r>
      <w:r w:rsidRPr="001C3DC5">
        <w:t xml:space="preserve">, a także </w:t>
      </w:r>
      <w:r w:rsidRPr="001C3DC5">
        <w:rPr>
          <w:b/>
        </w:rPr>
        <w:t>adekwatnego finansowania mediów publicznych</w:t>
      </w:r>
      <w:r w:rsidRPr="001C3DC5">
        <w:t xml:space="preserve">, tj.  gwarantującego im środki niezbędne do realizacji ich misji. W powołanych aktach Rady Europy podkreśla się także, że finansowanie mediów publicznych powinno pozwalać tym nadawcom </w:t>
      </w:r>
      <w:r w:rsidRPr="00E7438A">
        <w:t>na długoterminowe planowanie. Wreszcie</w:t>
      </w:r>
      <w:r w:rsidRPr="001C3DC5">
        <w:t xml:space="preserve">, Rada Europy kładzie nacisk na to, aby </w:t>
      </w:r>
      <w:r w:rsidRPr="001C3DC5">
        <w:lastRenderedPageBreak/>
        <w:t>finansowanie mediów publicznych nie zagrażało ich niezależności. Choć uznaje się za zasadne finansowanie mediów publicznych z różnych źródeł (w tym opłat abonamentowych, budżetu państwa, komunikatów handlowych i sprzedaży praw do audycji), wskazuje się jednak przy finansowaniu z opłat abonamentowych lub środków budżetowych na konieczność zapewnienia takich mechanizmów, aby uprawnienia decyzyjne władz w zakresie finansowania nie mogły służyć do wywierania wpływu na działalność redakcyjną nadawcy. Warto zaznaczyć na marginesie, że do zaleceń Rady Europy dotyczących mediów publicznych odwołuje się także Komisja Europejska.</w:t>
      </w:r>
      <w:r w:rsidRPr="001C3DC5">
        <w:rPr>
          <w:rStyle w:val="Odwoanieprzypisudolnego"/>
        </w:rPr>
        <w:footnoteReference w:id="14"/>
      </w:r>
      <w:r w:rsidRPr="001C3DC5">
        <w:t xml:space="preserve"> </w:t>
      </w:r>
    </w:p>
    <w:p w:rsidR="00A322FA" w:rsidRPr="00350A86" w:rsidRDefault="00A322FA" w:rsidP="00A322FA">
      <w:pPr>
        <w:spacing w:line="360" w:lineRule="auto"/>
        <w:ind w:firstLine="708"/>
        <w:jc w:val="both"/>
        <w:rPr>
          <w:rFonts w:ascii="Times New Roman" w:hAnsi="Times New Roman"/>
          <w:szCs w:val="24"/>
        </w:rPr>
      </w:pPr>
      <w:r w:rsidRPr="001C3DC5">
        <w:t xml:space="preserve">Kombinacja powołanych standardów Rady Europy skłania do </w:t>
      </w:r>
      <w:r>
        <w:t>kontynuacji</w:t>
      </w:r>
      <w:r w:rsidRPr="001C3DC5">
        <w:t>, jako  uzupełnienia opłat abonamentowych, w obliczu szerokich zwolnień od nich, mechanizmu rekompensaty ubytku wynikającego z tych zwolnień</w:t>
      </w:r>
      <w:r>
        <w:t>.</w:t>
      </w:r>
      <w:r>
        <w:rPr>
          <w:bCs/>
        </w:rPr>
        <w:t xml:space="preserve"> </w:t>
      </w:r>
      <w:r>
        <w:t xml:space="preserve">Nadawcy publiczni nie mogą prowadzić normalnej działalności w wykonaniu powierzonej im misji publicznej bez jasnej i pewnej perspektywy finansowania ich zadań. </w:t>
      </w:r>
      <w:r w:rsidRPr="00350A86">
        <w:rPr>
          <w:rFonts w:ascii="Times New Roman" w:hAnsi="Times New Roman"/>
          <w:szCs w:val="24"/>
        </w:rPr>
        <w:t>P</w:t>
      </w:r>
      <w:r>
        <w:rPr>
          <w:rFonts w:ascii="Times New Roman" w:hAnsi="Times New Roman"/>
          <w:szCs w:val="24"/>
        </w:rPr>
        <w:t xml:space="preserve">rzy utrzymaniu aktualnego, szerokiego </w:t>
      </w:r>
      <w:r w:rsidRPr="00350A86">
        <w:rPr>
          <w:rFonts w:ascii="Times New Roman" w:hAnsi="Times New Roman"/>
          <w:szCs w:val="24"/>
        </w:rPr>
        <w:t>zakres</w:t>
      </w:r>
      <w:r>
        <w:rPr>
          <w:rFonts w:ascii="Times New Roman" w:hAnsi="Times New Roman"/>
          <w:szCs w:val="24"/>
        </w:rPr>
        <w:t>u</w:t>
      </w:r>
      <w:r w:rsidRPr="00350A86">
        <w:rPr>
          <w:rFonts w:ascii="Times New Roman" w:hAnsi="Times New Roman"/>
          <w:szCs w:val="24"/>
        </w:rPr>
        <w:t xml:space="preserve"> zwolnień od opłat abonamentowych, motywowanych względami społecznymi, </w:t>
      </w:r>
      <w:r>
        <w:rPr>
          <w:rFonts w:ascii="Times New Roman" w:hAnsi="Times New Roman"/>
          <w:szCs w:val="24"/>
        </w:rPr>
        <w:t xml:space="preserve">projektowana ustawa zapewni </w:t>
      </w:r>
      <w:r w:rsidRPr="00350A86">
        <w:rPr>
          <w:rFonts w:ascii="Times New Roman" w:hAnsi="Times New Roman"/>
          <w:szCs w:val="24"/>
        </w:rPr>
        <w:t>mediom publiczny</w:t>
      </w:r>
      <w:r>
        <w:rPr>
          <w:rFonts w:ascii="Times New Roman" w:hAnsi="Times New Roman"/>
          <w:szCs w:val="24"/>
        </w:rPr>
        <w:t>m bardziej adekwatne finansowanie publiczne</w:t>
      </w:r>
      <w:r w:rsidRPr="00350A86">
        <w:rPr>
          <w:rFonts w:ascii="Times New Roman" w:hAnsi="Times New Roman"/>
          <w:szCs w:val="24"/>
        </w:rPr>
        <w:t xml:space="preserve"> realizowanej przez nie misji. </w:t>
      </w:r>
    </w:p>
    <w:p w:rsidR="00A322FA" w:rsidRPr="00350A86" w:rsidRDefault="00A322FA" w:rsidP="00A322FA">
      <w:pPr>
        <w:numPr>
          <w:ilvl w:val="0"/>
          <w:numId w:val="1"/>
        </w:numPr>
        <w:spacing w:line="360" w:lineRule="auto"/>
        <w:jc w:val="both"/>
        <w:rPr>
          <w:rFonts w:ascii="Times New Roman" w:hAnsi="Times New Roman"/>
          <w:szCs w:val="24"/>
        </w:rPr>
      </w:pPr>
      <w:r w:rsidRPr="000060E1">
        <w:rPr>
          <w:rFonts w:ascii="Times New Roman" w:hAnsi="Times New Roman"/>
          <w:b/>
          <w:szCs w:val="24"/>
        </w:rPr>
        <w:t>Stan aktualny</w:t>
      </w:r>
      <w:r w:rsidRPr="00350A86">
        <w:rPr>
          <w:rFonts w:ascii="Times New Roman" w:hAnsi="Times New Roman"/>
          <w:szCs w:val="24"/>
        </w:rPr>
        <w:t xml:space="preserve">. </w:t>
      </w:r>
    </w:p>
    <w:p w:rsidR="00A322FA" w:rsidRDefault="00A322FA" w:rsidP="00A322FA">
      <w:pPr>
        <w:spacing w:line="360" w:lineRule="auto"/>
        <w:ind w:firstLine="708"/>
        <w:jc w:val="both"/>
        <w:rPr>
          <w:rFonts w:ascii="Times New Roman" w:hAnsi="Times New Roman"/>
          <w:szCs w:val="24"/>
        </w:rPr>
      </w:pPr>
      <w:bookmarkStart w:id="0" w:name="_GoBack"/>
      <w:bookmarkEnd w:id="0"/>
      <w:r w:rsidRPr="00D272A4">
        <w:rPr>
          <w:rFonts w:ascii="Times New Roman" w:hAnsi="Times New Roman"/>
          <w:szCs w:val="24"/>
        </w:rPr>
        <w:t>Finansowanie z budżetu państwa stanowi jedno ze źródeł przychodów jednostek publicznej radiofonii i telewizji (art. 31 ust. 2 ustawy o radiofonii i telewizji).</w:t>
      </w:r>
      <w:r w:rsidRPr="00D272A4">
        <w:rPr>
          <w:rStyle w:val="Odwoanieprzypisudolnego"/>
          <w:rFonts w:ascii="Times New Roman" w:hAnsi="Times New Roman"/>
          <w:szCs w:val="24"/>
        </w:rPr>
        <w:footnoteReference w:id="15"/>
      </w:r>
      <w:r w:rsidRPr="00D272A4">
        <w:rPr>
          <w:rFonts w:ascii="Times New Roman" w:hAnsi="Times New Roman"/>
          <w:szCs w:val="24"/>
        </w:rPr>
        <w:t xml:space="preserve"> Ubytek wpływów z opłat abonamentowych wynikający ze zwolnień z tych opłat mógłby więc być rekompensowany z budżetu państwa także w aktualnym stanie prawnym. Krajowa Rada Radiofonii i Telewizji zresztą wielokrotnie występowała o refundowanie z budżetu państwa ubytku wpływów z abonamentu spowodowanego zwolnieniami. Wnioski te aż do 2017 r. nie były jednak uwzględniane.</w:t>
      </w:r>
      <w:r>
        <w:rPr>
          <w:rFonts w:ascii="Times New Roman" w:hAnsi="Times New Roman"/>
          <w:szCs w:val="24"/>
        </w:rPr>
        <w:t xml:space="preserve"> </w:t>
      </w:r>
    </w:p>
    <w:p w:rsidR="00A322FA" w:rsidRPr="00350A86" w:rsidRDefault="00A322FA" w:rsidP="00A322FA">
      <w:pPr>
        <w:spacing w:line="360" w:lineRule="auto"/>
        <w:ind w:firstLine="708"/>
        <w:jc w:val="both"/>
        <w:rPr>
          <w:rFonts w:ascii="Times New Roman" w:hAnsi="Times New Roman"/>
          <w:szCs w:val="24"/>
        </w:rPr>
      </w:pPr>
      <w:r>
        <w:rPr>
          <w:rFonts w:ascii="Times New Roman" w:hAnsi="Times New Roman"/>
          <w:szCs w:val="24"/>
        </w:rPr>
        <w:t>A</w:t>
      </w:r>
      <w:r w:rsidRPr="00350A86">
        <w:rPr>
          <w:rFonts w:ascii="Times New Roman" w:hAnsi="Times New Roman"/>
          <w:szCs w:val="24"/>
        </w:rPr>
        <w:t xml:space="preserve">ktualne przepisy nie określają szczegółowo zasad, w tym granic i trybu </w:t>
      </w:r>
      <w:r>
        <w:rPr>
          <w:rFonts w:ascii="Times New Roman" w:hAnsi="Times New Roman"/>
          <w:szCs w:val="24"/>
        </w:rPr>
        <w:t xml:space="preserve">stałego </w:t>
      </w:r>
      <w:r w:rsidRPr="00350A86">
        <w:rPr>
          <w:rFonts w:ascii="Times New Roman" w:hAnsi="Times New Roman"/>
          <w:szCs w:val="24"/>
        </w:rPr>
        <w:t>rekompensowania</w:t>
      </w:r>
      <w:r>
        <w:rPr>
          <w:rFonts w:ascii="Times New Roman" w:hAnsi="Times New Roman"/>
          <w:szCs w:val="24"/>
        </w:rPr>
        <w:t xml:space="preserve"> ubytku wpływów abonamentowych</w:t>
      </w:r>
      <w:r w:rsidRPr="00350A86">
        <w:rPr>
          <w:rFonts w:ascii="Times New Roman" w:hAnsi="Times New Roman"/>
          <w:szCs w:val="24"/>
        </w:rPr>
        <w:t xml:space="preserve">. Projektowana ustawa </w:t>
      </w:r>
      <w:r>
        <w:rPr>
          <w:rFonts w:ascii="Times New Roman" w:hAnsi="Times New Roman"/>
          <w:szCs w:val="24"/>
        </w:rPr>
        <w:t xml:space="preserve">czerpie z rozwiązań już zastosowanych w przeszłości. </w:t>
      </w:r>
    </w:p>
    <w:p w:rsidR="00A322FA" w:rsidRPr="00510177" w:rsidRDefault="00A322FA" w:rsidP="00A322FA">
      <w:pPr>
        <w:spacing w:line="360" w:lineRule="auto"/>
        <w:ind w:firstLine="708"/>
        <w:jc w:val="both"/>
        <w:rPr>
          <w:rFonts w:ascii="Times New Roman" w:hAnsi="Times New Roman" w:cs="Times New Roman"/>
          <w:b/>
          <w:color w:val="000000" w:themeColor="text1"/>
          <w:szCs w:val="24"/>
        </w:rPr>
      </w:pPr>
      <w:r>
        <w:rPr>
          <w:rFonts w:ascii="Times New Roman" w:hAnsi="Times New Roman"/>
          <w:szCs w:val="24"/>
        </w:rPr>
        <w:lastRenderedPageBreak/>
        <w:t>F</w:t>
      </w:r>
      <w:r w:rsidRPr="00350A86">
        <w:rPr>
          <w:rFonts w:ascii="Times New Roman" w:hAnsi="Times New Roman"/>
          <w:szCs w:val="24"/>
        </w:rPr>
        <w:t>inansowanie mediów publicznych w Polsce od lat utrzymuje się na niedostatecznym poziomie.</w:t>
      </w:r>
      <w:r w:rsidRPr="00350A86">
        <w:rPr>
          <w:rStyle w:val="Odwoanieprzypisudolnego"/>
          <w:rFonts w:ascii="Times New Roman" w:hAnsi="Times New Roman"/>
          <w:szCs w:val="24"/>
        </w:rPr>
        <w:footnoteReference w:id="16"/>
      </w:r>
      <w:r>
        <w:rPr>
          <w:rFonts w:ascii="Times New Roman" w:hAnsi="Times New Roman"/>
          <w:szCs w:val="24"/>
        </w:rPr>
        <w:t xml:space="preserve"> Poszerza</w:t>
      </w:r>
      <w:r w:rsidRPr="00350A86">
        <w:rPr>
          <w:rFonts w:ascii="Times New Roman" w:hAnsi="Times New Roman"/>
          <w:szCs w:val="24"/>
        </w:rPr>
        <w:t>nie kręgu osób zwolnionych z opłat abonamentowych i ułatwie</w:t>
      </w:r>
      <w:r>
        <w:rPr>
          <w:rFonts w:ascii="Times New Roman" w:hAnsi="Times New Roman"/>
          <w:szCs w:val="24"/>
        </w:rPr>
        <w:t>nie korzystania przez niektóre</w:t>
      </w:r>
      <w:r w:rsidRPr="00350A86">
        <w:rPr>
          <w:rFonts w:ascii="Times New Roman" w:hAnsi="Times New Roman"/>
          <w:szCs w:val="24"/>
        </w:rPr>
        <w:t xml:space="preserve"> z </w:t>
      </w:r>
      <w:r>
        <w:rPr>
          <w:rFonts w:ascii="Times New Roman" w:hAnsi="Times New Roman"/>
          <w:szCs w:val="24"/>
        </w:rPr>
        <w:t xml:space="preserve">tych osób </w:t>
      </w:r>
      <w:r w:rsidRPr="00350A86">
        <w:rPr>
          <w:rFonts w:ascii="Times New Roman" w:hAnsi="Times New Roman"/>
          <w:szCs w:val="24"/>
        </w:rPr>
        <w:t xml:space="preserve">ze zwolnień </w:t>
      </w:r>
      <w:r>
        <w:rPr>
          <w:rFonts w:ascii="Times New Roman" w:hAnsi="Times New Roman"/>
          <w:szCs w:val="24"/>
        </w:rPr>
        <w:t xml:space="preserve">zasadniczo pogłębiło ten niedostatek i przyczyniło się do stanu </w:t>
      </w:r>
      <w:r w:rsidRPr="0068269C">
        <w:rPr>
          <w:rFonts w:ascii="Times New Roman" w:hAnsi="Times New Roman"/>
          <w:szCs w:val="24"/>
        </w:rPr>
        <w:t>systematycznego, kumulującego się niedofinansowania polskiej publicznej radiofonii i telewizji.</w:t>
      </w:r>
      <w:r>
        <w:rPr>
          <w:rFonts w:ascii="Times New Roman" w:hAnsi="Times New Roman"/>
          <w:szCs w:val="24"/>
        </w:rPr>
        <w:t xml:space="preserve"> </w:t>
      </w:r>
    </w:p>
    <w:p w:rsidR="00A322FA" w:rsidRPr="000060E1" w:rsidRDefault="00A322FA" w:rsidP="00A322FA">
      <w:pPr>
        <w:numPr>
          <w:ilvl w:val="0"/>
          <w:numId w:val="1"/>
        </w:numPr>
        <w:spacing w:line="360" w:lineRule="auto"/>
        <w:jc w:val="both"/>
        <w:rPr>
          <w:rFonts w:ascii="Times New Roman" w:hAnsi="Times New Roman"/>
          <w:b/>
          <w:szCs w:val="24"/>
        </w:rPr>
      </w:pPr>
      <w:r w:rsidRPr="000060E1">
        <w:rPr>
          <w:rFonts w:ascii="Times New Roman" w:hAnsi="Times New Roman"/>
          <w:b/>
          <w:szCs w:val="24"/>
        </w:rPr>
        <w:t>Projektowane zmiany.</w:t>
      </w:r>
    </w:p>
    <w:p w:rsidR="00A322FA" w:rsidRDefault="00A322FA" w:rsidP="00A322FA">
      <w:pPr>
        <w:spacing w:line="360" w:lineRule="auto"/>
        <w:ind w:firstLine="708"/>
        <w:jc w:val="both"/>
        <w:rPr>
          <w:rFonts w:ascii="Times New Roman" w:hAnsi="Times New Roman"/>
          <w:szCs w:val="24"/>
        </w:rPr>
      </w:pPr>
      <w:r w:rsidRPr="00350A86">
        <w:rPr>
          <w:rFonts w:ascii="Times New Roman" w:hAnsi="Times New Roman"/>
          <w:szCs w:val="24"/>
        </w:rPr>
        <w:t>Proponuje się</w:t>
      </w:r>
      <w:r>
        <w:rPr>
          <w:rFonts w:ascii="Times New Roman" w:hAnsi="Times New Roman"/>
          <w:szCs w:val="24"/>
        </w:rPr>
        <w:t>, analogicznie do lat 2017, 2018 i 2019</w:t>
      </w:r>
      <w:r w:rsidRPr="00350A86">
        <w:rPr>
          <w:rFonts w:ascii="Times New Roman" w:hAnsi="Times New Roman"/>
          <w:szCs w:val="24"/>
        </w:rPr>
        <w:t xml:space="preserve"> wprowadzenie rekompensowania ubytku wpływów </w:t>
      </w:r>
      <w:r>
        <w:rPr>
          <w:rFonts w:ascii="Times New Roman" w:hAnsi="Times New Roman"/>
          <w:szCs w:val="24"/>
        </w:rPr>
        <w:t xml:space="preserve">wynikającego </w:t>
      </w:r>
      <w:r w:rsidRPr="00350A86">
        <w:rPr>
          <w:rFonts w:ascii="Times New Roman" w:hAnsi="Times New Roman"/>
          <w:szCs w:val="24"/>
        </w:rPr>
        <w:t>z</w:t>
      </w:r>
      <w:r>
        <w:rPr>
          <w:rFonts w:ascii="Times New Roman" w:hAnsi="Times New Roman"/>
          <w:szCs w:val="24"/>
        </w:rPr>
        <w:t xml:space="preserve">e </w:t>
      </w:r>
      <w:r w:rsidRPr="00350A86">
        <w:rPr>
          <w:rFonts w:ascii="Times New Roman" w:hAnsi="Times New Roman"/>
          <w:szCs w:val="24"/>
        </w:rPr>
        <w:t>zwolnień od opłat abonamentowych</w:t>
      </w:r>
      <w:r>
        <w:rPr>
          <w:rFonts w:ascii="Times New Roman" w:hAnsi="Times New Roman"/>
          <w:szCs w:val="24"/>
        </w:rPr>
        <w:t xml:space="preserve"> w roku 2020. </w:t>
      </w:r>
      <w:r w:rsidRPr="00B71343">
        <w:rPr>
          <w:rFonts w:ascii="Times New Roman" w:hAnsi="Times New Roman"/>
          <w:szCs w:val="24"/>
        </w:rPr>
        <w:t>Zaproponowany w projekcie ustawy mechanizm rekompensaty bazuje na emisji skarbowych papierów wartościowych</w:t>
      </w:r>
      <w:r>
        <w:rPr>
          <w:rFonts w:ascii="Times New Roman" w:hAnsi="Times New Roman"/>
          <w:szCs w:val="24"/>
        </w:rPr>
        <w:t>.</w:t>
      </w:r>
    </w:p>
    <w:p w:rsidR="00A322FA" w:rsidRDefault="00A322FA" w:rsidP="00A322FA">
      <w:pPr>
        <w:spacing w:line="360" w:lineRule="auto"/>
        <w:ind w:firstLine="708"/>
        <w:jc w:val="both"/>
        <w:rPr>
          <w:rFonts w:ascii="Times New Roman" w:hAnsi="Times New Roman"/>
          <w:szCs w:val="24"/>
        </w:rPr>
      </w:pPr>
      <w:r>
        <w:rPr>
          <w:rFonts w:ascii="Times New Roman" w:hAnsi="Times New Roman"/>
          <w:szCs w:val="24"/>
        </w:rPr>
        <w:t>Rekompensata przekazywana byłaby w formie skarbowych papierów wartościowych i przeznaczana pod nadzorem Krajowej Rady – tak jak opłaty abonamentowe – wyłącznie na realizację przez jednostki publicznej radiofonii i telewizji misji publicznej, w wysokości nie przekraczającej wydatków ponoszonych w związku z realizacją tej misji. Zastosowane zostaną więc aktualne i przyszłe gwarancje proporcjonalności publicznego finansowania misji publicznych mediów (zapobiegania nadmiernej rekompensacie), które dotyczą opłat abonamentowych i innych publicznych źródeł finansowania mediów publicznych. Zachowana zostanie rola Krajowej Rady Radiofonii i Telewizji jako konstytucyjnego organu odpowiedzialnego za interes publiczny w radiofonii i telewizji,</w:t>
      </w:r>
      <w:r>
        <w:rPr>
          <w:rStyle w:val="Odwoanieprzypisudolnego"/>
          <w:rFonts w:ascii="Times New Roman" w:hAnsi="Times New Roman"/>
          <w:szCs w:val="24"/>
        </w:rPr>
        <w:footnoteReference w:id="17"/>
      </w:r>
      <w:r>
        <w:rPr>
          <w:rFonts w:ascii="Times New Roman" w:hAnsi="Times New Roman"/>
          <w:szCs w:val="24"/>
        </w:rPr>
        <w:t xml:space="preserve"> w tym za finansowanie realizacji misji publicznych mediów.</w:t>
      </w:r>
      <w:r>
        <w:rPr>
          <w:rStyle w:val="Odwoanieprzypisudolnego"/>
          <w:rFonts w:ascii="Times New Roman" w:hAnsi="Times New Roman"/>
          <w:szCs w:val="24"/>
        </w:rPr>
        <w:footnoteReference w:id="18"/>
      </w:r>
      <w:r w:rsidRPr="00350A86">
        <w:rPr>
          <w:rFonts w:ascii="Times New Roman" w:hAnsi="Times New Roman"/>
          <w:szCs w:val="24"/>
        </w:rPr>
        <w:t xml:space="preserve"> </w:t>
      </w:r>
    </w:p>
    <w:p w:rsidR="00A322FA" w:rsidRDefault="00A322FA" w:rsidP="00A322FA">
      <w:pPr>
        <w:autoSpaceDE w:val="0"/>
        <w:autoSpaceDN w:val="0"/>
        <w:adjustRightInd w:val="0"/>
        <w:spacing w:after="120" w:line="360" w:lineRule="auto"/>
        <w:ind w:firstLine="708"/>
        <w:jc w:val="both"/>
        <w:rPr>
          <w:rFonts w:ascii="Times New Roman" w:hAnsi="Times New Roman"/>
          <w:szCs w:val="24"/>
        </w:rPr>
      </w:pPr>
      <w:r w:rsidRPr="004C7C35">
        <w:rPr>
          <w:rFonts w:ascii="Times New Roman" w:hAnsi="Times New Roman"/>
          <w:szCs w:val="24"/>
        </w:rPr>
        <w:t xml:space="preserve">Zbliżone do proponowanego rozwiązanie zostało już zastosowane na mocy art. 16a ustawy </w:t>
      </w:r>
      <w:r w:rsidRPr="004C7C35">
        <w:rPr>
          <w:rFonts w:ascii="Times New Roman" w:eastAsiaTheme="minorHAnsi" w:hAnsi="Times New Roman" w:cs="Times New Roman"/>
          <w:szCs w:val="24"/>
          <w:lang w:eastAsia="en-US"/>
        </w:rPr>
        <w:t xml:space="preserve">z dnia 2 grudnia 2016 r. o szczególnych rozwiązaniach służących realizacji ustawy budżetowej na rok 2017 (Dz. U. poz. 1984) dodanego ustawą z dnia 9 listopada 2017 r. o zmianie powołanej ustawy o szczególnych rozwiązaniach (Dz. U. </w:t>
      </w:r>
      <w:proofErr w:type="spellStart"/>
      <w:r w:rsidRPr="004C7C35">
        <w:rPr>
          <w:rFonts w:ascii="Times New Roman" w:eastAsiaTheme="minorHAnsi" w:hAnsi="Times New Roman" w:cs="Times New Roman"/>
          <w:szCs w:val="24"/>
          <w:lang w:eastAsia="en-US"/>
        </w:rPr>
        <w:t>poz</w:t>
      </w:r>
      <w:proofErr w:type="spellEnd"/>
      <w:r w:rsidRPr="004C7C35">
        <w:rPr>
          <w:rFonts w:ascii="Times New Roman" w:eastAsiaTheme="minorHAnsi" w:hAnsi="Times New Roman" w:cs="Times New Roman"/>
          <w:szCs w:val="24"/>
          <w:lang w:eastAsia="en-US"/>
        </w:rPr>
        <w:t xml:space="preserve"> 2161). Przepisem tym wprowadzono rekompensatę w wysokości 980 000 tys. zł. z </w:t>
      </w:r>
      <w:r w:rsidRPr="004C7C35">
        <w:t xml:space="preserve">tytułu utraconych w latach 2010–2017 wpływów z opłat abonamentowych z tytułu zwolnień z tych opłat z przeznaczeniem na realizację przez jednostki publicznej radiofonii i telewizji misji publicznej. Rekompensata ta została przez KRRiT podzielona pomiędzy nadawców publicznych z przeznaczeniem na koszty realizacji ich misji. Rekompensata pochodziła z budżetu państwa i została przekazana przez </w:t>
      </w:r>
      <w:r w:rsidRPr="004C7C35">
        <w:lastRenderedPageBreak/>
        <w:t>ministra właściwego do spraw kultury i ochrony dziedzictwa narodowego w 2017 r. na wyodrębniony rachunek Krajowej Rady Radiofonii i Telewizji, służący do gromadzenia wpływów abonamentowych. Następnie, tak jak wpływy z opłat abonamentowych, rekompensata w odpowiednich częściach podlega przekazaniu nadawcom publicznym. Całość tego rozwiązania opiera się więc na traktowaniu rekompensaty, zgodnie z jej naturą, tak jak opłat abonamentowych. Rekompensata ubytku za lata 2010-2017 umożliwiła pokrycie części kosztów realizacji misji publicznych mediów w krótkim okresie.</w:t>
      </w:r>
      <w:r>
        <w:t xml:space="preserve"> Analogiczny mechanizm, </w:t>
      </w:r>
      <w:r w:rsidRPr="004C7C35">
        <w:t xml:space="preserve"> </w:t>
      </w:r>
      <w:r>
        <w:t xml:space="preserve">bazujący na emisji skarbowych papierów wartościowych </w:t>
      </w:r>
      <w:r w:rsidRPr="004C7C35">
        <w:rPr>
          <w:rFonts w:ascii="Times New Roman" w:hAnsi="Times New Roman" w:cs="Times New Roman"/>
          <w:color w:val="000000" w:themeColor="text1"/>
          <w:szCs w:val="24"/>
        </w:rPr>
        <w:t>zastosowano w 2019 r. wprowadzając rekompensatę z tytułu utraconych w latach 2018-2019 opłat abonamentowych z tytułu zwolnień.</w:t>
      </w:r>
      <w:r w:rsidRPr="004C7C35">
        <w:rPr>
          <w:rStyle w:val="Odwoanieprzypisudolnego"/>
          <w:rFonts w:ascii="Times New Roman" w:hAnsi="Times New Roman" w:cs="Times New Roman"/>
          <w:color w:val="000000" w:themeColor="text1"/>
          <w:szCs w:val="24"/>
        </w:rPr>
        <w:footnoteReference w:id="19"/>
      </w:r>
    </w:p>
    <w:p w:rsidR="00A322FA" w:rsidRDefault="00A322FA" w:rsidP="00A322FA">
      <w:pPr>
        <w:spacing w:line="360" w:lineRule="auto"/>
        <w:ind w:firstLine="708"/>
        <w:jc w:val="both"/>
        <w:rPr>
          <w:rFonts w:ascii="Times New Roman" w:hAnsi="Times New Roman"/>
          <w:szCs w:val="24"/>
        </w:rPr>
      </w:pPr>
      <w:r w:rsidRPr="00D272A4">
        <w:rPr>
          <w:rFonts w:ascii="Times New Roman" w:hAnsi="Times New Roman"/>
          <w:szCs w:val="24"/>
        </w:rPr>
        <w:t>Zarówno w poprzednich latach jak i teraz to Krajowa Rada Radiofonii i Telewizji będzie miała wpływ na to jak środki finansowe będą podzielone pomiędzy poszczególne jednostki publicznej radiofonii i telewizji. Na podstawie uchwały KRRiT określającej kwotę rekompensaty, sposób podziału skarbowych papierów wartościowych pomiędzy spółki oraz terminy ich przekazania, Minister Kultury i Dziedzictwa Narodowego zawnioskuje do Ministra Finansów o przekazanie skarbowych papierów wartościowych o wartości nominalnej wskazanej w uchwale KRRiT. Minister Finansów na tej podstawie wyemituje obligacje skarbowe i przekaże je zgodnie z decyzją wskazaną w uchwale KRRiT wskazanym jednostkom publicznej radiofonii i telewizji</w:t>
      </w:r>
    </w:p>
    <w:p w:rsidR="00A322FA" w:rsidRDefault="00A322FA" w:rsidP="00A322FA">
      <w:pPr>
        <w:spacing w:line="360" w:lineRule="auto"/>
        <w:ind w:firstLine="708"/>
        <w:jc w:val="both"/>
        <w:rPr>
          <w:rFonts w:ascii="Times New Roman" w:hAnsi="Times New Roman"/>
          <w:szCs w:val="24"/>
        </w:rPr>
      </w:pPr>
      <w:r w:rsidRPr="00350A86">
        <w:rPr>
          <w:rFonts w:ascii="Times New Roman" w:hAnsi="Times New Roman"/>
          <w:szCs w:val="24"/>
        </w:rPr>
        <w:t xml:space="preserve">Sumę ubytku podlegającego rekompensacie </w:t>
      </w:r>
      <w:r>
        <w:rPr>
          <w:rFonts w:ascii="Times New Roman" w:hAnsi="Times New Roman"/>
          <w:szCs w:val="24"/>
        </w:rPr>
        <w:t xml:space="preserve">KRRiT ustali mając na uwadze zapotrzebowanie jednostek mediów publicznych na finansowanie oraz uwzględniając liczbę osób zwolnionych i wysokość opłat abonamentowych na rok 2020. Przy czym należy zaznaczyć, że proponuje się, aby w wyliczeniu ubytku uwzględniać również </w:t>
      </w:r>
      <w:r w:rsidRPr="00A71BAC">
        <w:rPr>
          <w:rFonts w:ascii="Times New Roman" w:hAnsi="Times New Roman"/>
          <w:szCs w:val="24"/>
        </w:rPr>
        <w:t xml:space="preserve">szacowaną </w:t>
      </w:r>
      <w:r>
        <w:rPr>
          <w:rFonts w:ascii="Times New Roman" w:hAnsi="Times New Roman"/>
          <w:szCs w:val="24"/>
        </w:rPr>
        <w:t>l</w:t>
      </w:r>
      <w:r w:rsidRPr="00A71BAC">
        <w:rPr>
          <w:rFonts w:ascii="Times New Roman" w:hAnsi="Times New Roman"/>
          <w:szCs w:val="24"/>
        </w:rPr>
        <w:t>iczbę osób posiadających uprawnienia do zwolnienia z wnoszenia opłat abonamentowych, któr</w:t>
      </w:r>
      <w:r>
        <w:rPr>
          <w:rFonts w:ascii="Times New Roman" w:hAnsi="Times New Roman"/>
          <w:szCs w:val="24"/>
        </w:rPr>
        <w:t>e</w:t>
      </w:r>
      <w:r w:rsidRPr="00A71BAC">
        <w:rPr>
          <w:rFonts w:ascii="Times New Roman" w:hAnsi="Times New Roman"/>
          <w:szCs w:val="24"/>
        </w:rPr>
        <w:t xml:space="preserve"> nie dopełni</w:t>
      </w:r>
      <w:r>
        <w:rPr>
          <w:rFonts w:ascii="Times New Roman" w:hAnsi="Times New Roman"/>
          <w:szCs w:val="24"/>
        </w:rPr>
        <w:t>ły</w:t>
      </w:r>
      <w:r w:rsidRPr="00A71BAC">
        <w:rPr>
          <w:rFonts w:ascii="Times New Roman" w:hAnsi="Times New Roman"/>
          <w:szCs w:val="24"/>
        </w:rPr>
        <w:t xml:space="preserve"> obowiązku zarejestrowania odbiornika radiofonicznego lub telewizyjnego</w:t>
      </w:r>
      <w:r>
        <w:rPr>
          <w:rFonts w:ascii="Times New Roman" w:hAnsi="Times New Roman"/>
          <w:szCs w:val="24"/>
        </w:rPr>
        <w:t xml:space="preserve">. Zasadność takiego podejścia wynika zarówno z nieefektywności w egzekwowaniu obowiązku rejestracji odbiorników jak i braku z jednej strony realnych sankcji za brak rejestracji a z drugiej braku korzyści wynikających z rejestracji. Wobec takiego stanu rzeczy można uznać, że osoby niezarejestrowane ale posiadające prawo do zwolnienia postrzegają rejestrację jako bezcelową. </w:t>
      </w:r>
    </w:p>
    <w:p w:rsidR="00A322FA" w:rsidRDefault="00A322FA" w:rsidP="00A322FA">
      <w:pPr>
        <w:spacing w:line="360" w:lineRule="auto"/>
        <w:ind w:firstLine="708"/>
        <w:jc w:val="both"/>
        <w:rPr>
          <w:rFonts w:ascii="Times New Roman" w:hAnsi="Times New Roman"/>
          <w:szCs w:val="24"/>
        </w:rPr>
      </w:pPr>
      <w:r>
        <w:rPr>
          <w:rFonts w:ascii="Times New Roman" w:hAnsi="Times New Roman"/>
          <w:szCs w:val="24"/>
        </w:rPr>
        <w:lastRenderedPageBreak/>
        <w:t xml:space="preserve">Kwotę rekompensaty na 2020 wyznacza suma </w:t>
      </w:r>
      <w:r w:rsidRPr="00350A86">
        <w:rPr>
          <w:rFonts w:ascii="Times New Roman" w:hAnsi="Times New Roman"/>
          <w:szCs w:val="24"/>
        </w:rPr>
        <w:t xml:space="preserve">ubytku wpływów abonamentowych wynikającego ze zwolnień </w:t>
      </w:r>
      <w:r>
        <w:rPr>
          <w:rFonts w:ascii="Times New Roman" w:hAnsi="Times New Roman"/>
          <w:szCs w:val="24"/>
        </w:rPr>
        <w:t xml:space="preserve">oraz niewypłacona dotąd część rekompensaty ubytku wpływów abonamentowych, który wynika z nieuiszczania opłat abonamentowych przez osoby ustawowo zwolnione od tego obowiązku w latach 2018 i 2019. </w:t>
      </w:r>
    </w:p>
    <w:p w:rsidR="00A322FA" w:rsidRDefault="00A322FA" w:rsidP="00A322FA">
      <w:pPr>
        <w:spacing w:line="360" w:lineRule="auto"/>
        <w:ind w:firstLine="708"/>
        <w:jc w:val="both"/>
        <w:rPr>
          <w:rFonts w:ascii="Times New Roman" w:hAnsi="Times New Roman"/>
          <w:szCs w:val="24"/>
        </w:rPr>
      </w:pPr>
      <w:r>
        <w:rPr>
          <w:rFonts w:ascii="Times New Roman" w:hAnsi="Times New Roman"/>
          <w:szCs w:val="24"/>
        </w:rPr>
        <w:t xml:space="preserve">Określając wysokość rekompensaty KRRiT powinna również uwzględnić szacowane koszty związane ze zbyciem skarbowych papierów wartościowych tak, aby kwota uzyskana z ich zbycia odpowiadała zapotrzebowaniu jednostkom publicznej radiofonii i telewizji. </w:t>
      </w:r>
    </w:p>
    <w:p w:rsidR="00A322FA" w:rsidRDefault="00A322FA" w:rsidP="00A322FA">
      <w:pPr>
        <w:spacing w:line="360" w:lineRule="auto"/>
        <w:ind w:firstLine="708"/>
        <w:jc w:val="both"/>
        <w:rPr>
          <w:rFonts w:ascii="Times New Roman" w:hAnsi="Times New Roman"/>
          <w:szCs w:val="24"/>
        </w:rPr>
      </w:pPr>
      <w:r>
        <w:rPr>
          <w:rFonts w:ascii="Times New Roman" w:hAnsi="Times New Roman"/>
          <w:szCs w:val="24"/>
        </w:rPr>
        <w:t xml:space="preserve">Rozliczenie rekompensaty następowałoby na zasadach określonych dla opłat abonamentowych jako środków publicznych przeznaczanych na realizację misji publicznej radiofonii i telewizji. Do rekompensaty znajdowałyby zastosowanie mechanizmy służące proporcjonalności publicznego finansowania nadawców publicznych, w tym zasada wyłączności przeznaczania takich wpływów na realizację przez jednostki publicznej radiofonii i telewizji misji publicznej i inne instrumenty znacząco rozbudowane ustawą z dnia 20 lipca 2018 roku o zmianie ustawy o radiofonii i telewizji oraz ustawy o opłatach abonamentowych (Dz. U. poz. 1717). </w:t>
      </w:r>
    </w:p>
    <w:p w:rsidR="00A322FA" w:rsidRDefault="00A322FA" w:rsidP="00A322FA">
      <w:pPr>
        <w:spacing w:line="360" w:lineRule="auto"/>
        <w:ind w:firstLine="708"/>
        <w:jc w:val="both"/>
        <w:rPr>
          <w:rFonts w:ascii="Times New Roman" w:hAnsi="Times New Roman"/>
          <w:szCs w:val="24"/>
        </w:rPr>
      </w:pPr>
      <w:r>
        <w:rPr>
          <w:rFonts w:ascii="Times New Roman" w:hAnsi="Times New Roman"/>
          <w:szCs w:val="24"/>
        </w:rPr>
        <w:t xml:space="preserve">W odniesieniu do roku 2020 zastosowanie znajdzie rekompensata przekazana w formie skarbowych papierów wartościowych o wartości nominalnej nie większej, niż 1 950 000 000 zł. Sposób wyliczenia tej kwoty opisany jest w dalszej części uzasadnienia. </w:t>
      </w:r>
    </w:p>
    <w:p w:rsidR="00A322FA" w:rsidRPr="007A5297" w:rsidRDefault="00A322FA" w:rsidP="00A322FA">
      <w:pPr>
        <w:spacing w:line="360" w:lineRule="auto"/>
        <w:ind w:firstLine="708"/>
        <w:jc w:val="both"/>
        <w:rPr>
          <w:rFonts w:ascii="Times New Roman" w:hAnsi="Times New Roman"/>
          <w:szCs w:val="24"/>
        </w:rPr>
      </w:pPr>
      <w:r>
        <w:rPr>
          <w:rFonts w:ascii="Times New Roman" w:hAnsi="Times New Roman"/>
          <w:szCs w:val="24"/>
        </w:rPr>
        <w:t xml:space="preserve">Projekt reguluje również kwestie związane z kartami powinności. </w:t>
      </w:r>
      <w:r w:rsidRPr="007A5297">
        <w:rPr>
          <w:rFonts w:ascii="Times New Roman" w:hAnsi="Times New Roman"/>
          <w:szCs w:val="24"/>
        </w:rPr>
        <w:t xml:space="preserve">Art. 2 projektu zobowiązuje nadawców publicznych i KRRiT do uwzględnienia w kartach powinności na lata 2020-2024, w odniesieniu do każdego roku kalendarzowego objętego taką kartą, finansowania publicznego na poziomie nie niższym niż suma prognozowanych wpływów z opłat abonamentowych na rok 2020 oraz rekompensaty określonej w projektowanej ustawie. Zawarcie porozumień między Przewodniczącym KRRiT a nadawcami publicznymi w sprawie kart powinności na lata 2020-2024 uwzględniających tę zasadę nastąpi do końca marca 2020 r. Unormowanie takie jest konieczne z uwagi na przewidziane w art. 21a ustawy o radiofonii i telewizji oraz art. 4 ust. 1 ustawy z dnia 20 lipca 2018 r. o zmianie ustawy o radiofonii i telewizji oraz ustawy o opłatach abonamentowych przyjęcie kart powinności dookreślających zadania nadawców publicznych po raz pierwszy na okres lat 2020-2024. W toku prac nad projektami kart powinności nadawców publicznych na ten okres ujawnił się problem braku zagwarantowania w praktyce adekwatnego, przewidywalnego i stałego publicznego finansowania nadawców publicznych w całym okresie 2020-2024. Finansowanie takie </w:t>
      </w:r>
      <w:r w:rsidRPr="007A5297">
        <w:rPr>
          <w:rFonts w:ascii="Times New Roman" w:hAnsi="Times New Roman"/>
          <w:szCs w:val="24"/>
        </w:rPr>
        <w:lastRenderedPageBreak/>
        <w:t xml:space="preserve">zasadniczo jest, co prawda, de iure przewidziane ustawą o opłatach abonamentowych, jednak w obliczu dysfunkcji systemu poboru tych opłat i braku stałego mechanizmu rekompensowania zwolnień od tych opłat, powstały wątpliwości, czy przyniesie w praktyce zapewnione będą wpływy na poziomie odpowiadającym szacowanym kosztom realizacji zadań nadawców publicznych w całym pięcioletnim okresie pierwszych kart powinności, a w tej sytuacji, czy KRRiT może upoważnić Przewodniczącego zawarcia porozumień co do tych kart. Proponuje się zobowiązanie nadawców publicznych i KRRiT do przyjęcia założenia na użytek kart powinności na lata 2020-2024, że poziom publicznego finansowania misji mediów publicznych w każdym roku kalendarzowym w tym okresie będzie nie niższy niż w 2020 r. przy uwzględnieniu rekompensaty  proponowanej w projekcie. Rozwiązanie to należy traktować jako gwarancję Państwa zapewnienia w kolejnych latach karty powinności publicznego finansowania misji mediów publicznych na adekwatnym, przewidywalnym i bezpiecznym poziomie, zgodnie z konstytucyjnym obowiązkiem Państwa.  Zakłada się bowiem, że w następstwie przyjęcia projektowanej ustawy zostaną opracowane i wprowadzone rozwiązania zapewniające trwały efektywny system finansowania mediów publicznych na poziomie adekwatnym do ich zadań. </w:t>
      </w:r>
    </w:p>
    <w:p w:rsidR="00A322FA" w:rsidRPr="00350A86" w:rsidRDefault="00A322FA" w:rsidP="00A322FA">
      <w:pPr>
        <w:numPr>
          <w:ilvl w:val="0"/>
          <w:numId w:val="1"/>
        </w:numPr>
        <w:spacing w:line="360" w:lineRule="auto"/>
        <w:jc w:val="both"/>
        <w:rPr>
          <w:rFonts w:ascii="Times New Roman" w:hAnsi="Times New Roman"/>
          <w:szCs w:val="24"/>
        </w:rPr>
      </w:pPr>
      <w:r w:rsidRPr="000060E1">
        <w:rPr>
          <w:rFonts w:ascii="Times New Roman" w:hAnsi="Times New Roman"/>
          <w:b/>
          <w:szCs w:val="24"/>
        </w:rPr>
        <w:t>Przewidywane skutki regulacji</w:t>
      </w:r>
      <w:r w:rsidRPr="00350A86">
        <w:rPr>
          <w:rFonts w:ascii="Times New Roman" w:hAnsi="Times New Roman"/>
          <w:szCs w:val="24"/>
        </w:rPr>
        <w:t xml:space="preserve">. </w:t>
      </w:r>
    </w:p>
    <w:p w:rsidR="00A322FA" w:rsidRPr="00A71BAC" w:rsidRDefault="00A322FA" w:rsidP="00A322FA">
      <w:pPr>
        <w:spacing w:line="360" w:lineRule="auto"/>
        <w:ind w:firstLine="708"/>
        <w:jc w:val="both"/>
        <w:rPr>
          <w:rFonts w:ascii="Times New Roman" w:hAnsi="Times New Roman"/>
          <w:szCs w:val="24"/>
        </w:rPr>
      </w:pPr>
      <w:r w:rsidRPr="00A71BAC">
        <w:rPr>
          <w:rFonts w:ascii="Times New Roman" w:hAnsi="Times New Roman"/>
          <w:szCs w:val="24"/>
        </w:rPr>
        <w:t xml:space="preserve">Projektowana regulacja zapewni jednostkom publicznej radiofonii i telewizji środki na realizację ich misji publicznej. Wywoła to pozytywne skutki w zakresie zdolności tych nadawców do wypełniania ich doniosłej roli kulturowej, społecznej i demokratycznej. </w:t>
      </w:r>
    </w:p>
    <w:p w:rsidR="00A322FA" w:rsidRDefault="00A322FA" w:rsidP="00A322FA">
      <w:pPr>
        <w:spacing w:line="360" w:lineRule="auto"/>
        <w:ind w:firstLine="709"/>
        <w:jc w:val="both"/>
        <w:rPr>
          <w:rFonts w:ascii="Times New Roman" w:hAnsi="Times New Roman"/>
          <w:szCs w:val="24"/>
        </w:rPr>
      </w:pPr>
      <w:r>
        <w:rPr>
          <w:rFonts w:ascii="Times New Roman" w:hAnsi="Times New Roman"/>
          <w:szCs w:val="24"/>
        </w:rPr>
        <w:t xml:space="preserve">Wartość szacowanej rekompensaty jest sumą utraconych wpływów abonamentowych z tytułu </w:t>
      </w:r>
      <w:r w:rsidRPr="005556C5">
        <w:rPr>
          <w:rFonts w:ascii="Times New Roman" w:hAnsi="Times New Roman"/>
          <w:szCs w:val="24"/>
        </w:rPr>
        <w:t>o których mowa w art. 4 ustawy o opłatach abonamentowych, i innych odrębnych przepisów o zwolnieniach z tych opłat</w:t>
      </w:r>
      <w:r>
        <w:rPr>
          <w:rFonts w:ascii="Times New Roman" w:hAnsi="Times New Roman"/>
          <w:szCs w:val="24"/>
        </w:rPr>
        <w:t xml:space="preserve"> oraz kwoty niewypłaconej w 2019 r. mediom publicznym rekompensaty z tytułu ubytku </w:t>
      </w:r>
      <w:r w:rsidRPr="0096014A">
        <w:rPr>
          <w:rFonts w:ascii="Times New Roman" w:hAnsi="Times New Roman"/>
          <w:szCs w:val="24"/>
        </w:rPr>
        <w:t>nieuiszczania opłat abonamentowych przez osoby ustawowo zwolnione od tego obowiązku w latach 2018 i 2019</w:t>
      </w:r>
      <w:r>
        <w:rPr>
          <w:rFonts w:ascii="Times New Roman" w:hAnsi="Times New Roman"/>
          <w:szCs w:val="24"/>
        </w:rPr>
        <w:t>.</w:t>
      </w:r>
    </w:p>
    <w:p w:rsidR="00A322FA" w:rsidRPr="00A71BAC" w:rsidRDefault="00A322FA" w:rsidP="00A322FA">
      <w:pPr>
        <w:spacing w:line="360" w:lineRule="auto"/>
        <w:ind w:firstLine="709"/>
        <w:jc w:val="both"/>
        <w:rPr>
          <w:rFonts w:ascii="Times New Roman" w:hAnsi="Times New Roman"/>
          <w:szCs w:val="24"/>
        </w:rPr>
      </w:pPr>
      <w:r>
        <w:rPr>
          <w:rFonts w:ascii="Times New Roman" w:hAnsi="Times New Roman"/>
          <w:szCs w:val="24"/>
        </w:rPr>
        <w:t xml:space="preserve">Wartość rekompensaty wyliczono w oparciu o liczbę abonentów zwolnionych, którzy zarejestrowali swoje odbiorniki oraz wysokość opłaty abonamentowej w 2020 r. </w:t>
      </w:r>
      <w:r w:rsidRPr="00CD6679">
        <w:rPr>
          <w:rFonts w:ascii="Times New Roman" w:hAnsi="Times New Roman"/>
          <w:szCs w:val="24"/>
        </w:rPr>
        <w:t>Odsetek abonentów</w:t>
      </w:r>
      <w:r>
        <w:rPr>
          <w:rFonts w:ascii="Times New Roman" w:hAnsi="Times New Roman"/>
          <w:szCs w:val="24"/>
        </w:rPr>
        <w:t xml:space="preserve"> posiadających wyłącznie radio określono na podstawie stanu abonentów na dzień 31 grudnia 2018 r. – danych KRRiT. </w:t>
      </w:r>
    </w:p>
    <w:tbl>
      <w:tblPr>
        <w:tblW w:w="8490" w:type="dxa"/>
        <w:jc w:val="center"/>
        <w:tblCellMar>
          <w:left w:w="70" w:type="dxa"/>
          <w:right w:w="70" w:type="dxa"/>
        </w:tblCellMar>
        <w:tblLook w:val="04A0" w:firstRow="1" w:lastRow="0" w:firstColumn="1" w:lastColumn="0" w:noHBand="0" w:noVBand="1"/>
      </w:tblPr>
      <w:tblGrid>
        <w:gridCol w:w="5660"/>
        <w:gridCol w:w="2830"/>
      </w:tblGrid>
      <w:tr w:rsidR="00A322FA" w:rsidRPr="009A1E22" w:rsidTr="00F60F38">
        <w:trPr>
          <w:trHeight w:val="855"/>
          <w:jc w:val="center"/>
        </w:trPr>
        <w:tc>
          <w:tcPr>
            <w:tcW w:w="8490" w:type="dxa"/>
            <w:gridSpan w:val="2"/>
            <w:tcBorders>
              <w:top w:val="single" w:sz="8" w:space="0" w:color="auto"/>
              <w:left w:val="single" w:sz="8" w:space="0" w:color="auto"/>
              <w:bottom w:val="single" w:sz="8" w:space="0" w:color="auto"/>
              <w:right w:val="single" w:sz="8" w:space="0" w:color="000000"/>
            </w:tcBorders>
            <w:shd w:val="clear" w:color="000000" w:fill="F2F2F2"/>
            <w:vAlign w:val="center"/>
            <w:hideMark/>
          </w:tcPr>
          <w:p w:rsidR="00A322FA" w:rsidRPr="009A1E22" w:rsidRDefault="00A322FA" w:rsidP="00F60F38">
            <w:pPr>
              <w:spacing w:after="0" w:line="240" w:lineRule="auto"/>
              <w:jc w:val="both"/>
              <w:rPr>
                <w:rFonts w:ascii="Times New Roman" w:eastAsia="Times New Roman" w:hAnsi="Times New Roman" w:cs="Times New Roman"/>
                <w:b/>
                <w:bCs/>
                <w:color w:val="000000" w:themeColor="text1"/>
              </w:rPr>
            </w:pPr>
            <w:r w:rsidRPr="009A1E22">
              <w:rPr>
                <w:rFonts w:ascii="Times New Roman" w:eastAsia="Times New Roman" w:hAnsi="Times New Roman" w:cs="Times New Roman"/>
                <w:b/>
                <w:bCs/>
                <w:color w:val="000000" w:themeColor="text1"/>
                <w:sz w:val="22"/>
              </w:rPr>
              <w:t>Wyliczenie ubytku wpływów z zwolnień, o których mowa w art. 4 ustawy o opłatach abonamentowych, i innych odrębnych przepisów o zwolnieniach z tych opłat</w:t>
            </w:r>
          </w:p>
        </w:tc>
      </w:tr>
      <w:tr w:rsidR="00A322FA" w:rsidRPr="009A1E22" w:rsidTr="00F60F38">
        <w:trPr>
          <w:trHeight w:val="485"/>
          <w:jc w:val="center"/>
        </w:trPr>
        <w:tc>
          <w:tcPr>
            <w:tcW w:w="5660" w:type="dxa"/>
            <w:tcBorders>
              <w:top w:val="nil"/>
              <w:left w:val="single" w:sz="8" w:space="0" w:color="auto"/>
              <w:bottom w:val="nil"/>
              <w:right w:val="single" w:sz="8" w:space="0" w:color="auto"/>
            </w:tcBorders>
            <w:shd w:val="clear" w:color="000000" w:fill="F2F2F2"/>
            <w:vAlign w:val="center"/>
            <w:hideMark/>
          </w:tcPr>
          <w:p w:rsidR="00A322FA" w:rsidRPr="009A1E22" w:rsidRDefault="00A322FA" w:rsidP="00F60F38">
            <w:pPr>
              <w:spacing w:after="0" w:line="240" w:lineRule="auto"/>
              <w:rPr>
                <w:rFonts w:ascii="Times New Roman" w:eastAsia="Times New Roman" w:hAnsi="Times New Roman" w:cs="Times New Roman"/>
                <w:b/>
                <w:bCs/>
                <w:color w:val="000000" w:themeColor="text1"/>
              </w:rPr>
            </w:pPr>
            <w:r w:rsidRPr="009A1E22">
              <w:rPr>
                <w:rFonts w:ascii="Times New Roman" w:eastAsia="Times New Roman" w:hAnsi="Times New Roman" w:cs="Times New Roman"/>
                <w:b/>
                <w:bCs/>
                <w:color w:val="000000" w:themeColor="text1"/>
                <w:sz w:val="22"/>
              </w:rPr>
              <w:lastRenderedPageBreak/>
              <w:t>Liczba zwolnionych z opłat</w:t>
            </w:r>
          </w:p>
        </w:tc>
        <w:tc>
          <w:tcPr>
            <w:tcW w:w="2827" w:type="dxa"/>
            <w:vMerge w:val="restart"/>
            <w:tcBorders>
              <w:top w:val="nil"/>
              <w:left w:val="single" w:sz="8" w:space="0" w:color="auto"/>
              <w:bottom w:val="single" w:sz="8" w:space="0" w:color="000000"/>
              <w:right w:val="single" w:sz="8" w:space="0" w:color="auto"/>
            </w:tcBorders>
            <w:shd w:val="clear" w:color="000000" w:fill="FFFFFF"/>
            <w:noWrap/>
            <w:vAlign w:val="center"/>
            <w:hideMark/>
          </w:tcPr>
          <w:p w:rsidR="00A322FA" w:rsidRPr="009A1E22" w:rsidRDefault="00A322FA" w:rsidP="00F60F38">
            <w:pPr>
              <w:spacing w:after="0" w:line="240" w:lineRule="auto"/>
              <w:jc w:val="both"/>
              <w:rPr>
                <w:rFonts w:ascii="Times New Roman" w:eastAsia="Times New Roman" w:hAnsi="Times New Roman" w:cs="Times New Roman"/>
                <w:color w:val="000000" w:themeColor="text1"/>
              </w:rPr>
            </w:pPr>
            <w:r w:rsidRPr="009A1E22">
              <w:rPr>
                <w:rFonts w:ascii="Times New Roman" w:eastAsia="Times New Roman" w:hAnsi="Times New Roman" w:cs="Times New Roman"/>
                <w:color w:val="000000" w:themeColor="text1"/>
                <w:sz w:val="22"/>
              </w:rPr>
              <w:t>3 775 672</w:t>
            </w:r>
          </w:p>
        </w:tc>
      </w:tr>
      <w:tr w:rsidR="00A322FA" w:rsidRPr="009A1E22" w:rsidTr="00F60F38">
        <w:trPr>
          <w:trHeight w:val="371"/>
          <w:jc w:val="center"/>
        </w:trPr>
        <w:tc>
          <w:tcPr>
            <w:tcW w:w="5660" w:type="dxa"/>
            <w:tcBorders>
              <w:top w:val="nil"/>
              <w:left w:val="single" w:sz="8" w:space="0" w:color="auto"/>
              <w:bottom w:val="single" w:sz="8" w:space="0" w:color="auto"/>
              <w:right w:val="single" w:sz="8" w:space="0" w:color="auto"/>
            </w:tcBorders>
            <w:shd w:val="clear" w:color="000000" w:fill="F2F2F2"/>
            <w:vAlign w:val="center"/>
            <w:hideMark/>
          </w:tcPr>
          <w:p w:rsidR="00A322FA" w:rsidRPr="009A1E22" w:rsidRDefault="00A322FA" w:rsidP="00F60F38">
            <w:pPr>
              <w:spacing w:after="0" w:line="240" w:lineRule="auto"/>
              <w:rPr>
                <w:rFonts w:ascii="Times New Roman" w:eastAsia="Times New Roman" w:hAnsi="Times New Roman" w:cs="Times New Roman"/>
                <w:color w:val="000000" w:themeColor="text1"/>
              </w:rPr>
            </w:pPr>
            <w:r w:rsidRPr="009A1E22">
              <w:rPr>
                <w:rFonts w:ascii="Times New Roman" w:eastAsia="Times New Roman" w:hAnsi="Times New Roman" w:cs="Times New Roman"/>
                <w:color w:val="000000" w:themeColor="text1"/>
                <w:sz w:val="22"/>
              </w:rPr>
              <w:t>(KRRiT, lipiec 2019)</w:t>
            </w:r>
          </w:p>
        </w:tc>
        <w:tc>
          <w:tcPr>
            <w:tcW w:w="2827" w:type="dxa"/>
            <w:vMerge/>
            <w:tcBorders>
              <w:top w:val="nil"/>
              <w:left w:val="single" w:sz="8" w:space="0" w:color="auto"/>
              <w:bottom w:val="single" w:sz="8" w:space="0" w:color="000000"/>
              <w:right w:val="single" w:sz="8" w:space="0" w:color="auto"/>
            </w:tcBorders>
            <w:vAlign w:val="center"/>
            <w:hideMark/>
          </w:tcPr>
          <w:p w:rsidR="00A322FA" w:rsidRPr="009A1E22" w:rsidRDefault="00A322FA" w:rsidP="00F60F38">
            <w:pPr>
              <w:spacing w:after="0" w:line="240" w:lineRule="auto"/>
              <w:jc w:val="both"/>
              <w:rPr>
                <w:rFonts w:ascii="Times New Roman" w:eastAsia="Times New Roman" w:hAnsi="Times New Roman" w:cs="Times New Roman"/>
                <w:color w:val="000000" w:themeColor="text1"/>
              </w:rPr>
            </w:pPr>
          </w:p>
        </w:tc>
      </w:tr>
      <w:tr w:rsidR="00A322FA" w:rsidRPr="009A1E22" w:rsidTr="00F60F38">
        <w:trPr>
          <w:trHeight w:val="371"/>
          <w:jc w:val="center"/>
        </w:trPr>
        <w:tc>
          <w:tcPr>
            <w:tcW w:w="5660" w:type="dxa"/>
            <w:tcBorders>
              <w:top w:val="nil"/>
              <w:left w:val="single" w:sz="8" w:space="0" w:color="auto"/>
              <w:bottom w:val="single" w:sz="8" w:space="0" w:color="auto"/>
              <w:right w:val="single" w:sz="8" w:space="0" w:color="auto"/>
            </w:tcBorders>
            <w:shd w:val="clear" w:color="000000" w:fill="F2F2F2"/>
            <w:vAlign w:val="center"/>
          </w:tcPr>
          <w:p w:rsidR="00A322FA" w:rsidRPr="009A1E22" w:rsidRDefault="00A322FA" w:rsidP="00F60F38">
            <w:pPr>
              <w:spacing w:after="0" w:line="240" w:lineRule="auto"/>
              <w:rPr>
                <w:rFonts w:ascii="Times New Roman" w:eastAsia="Times New Roman" w:hAnsi="Times New Roman" w:cs="Times New Roman"/>
                <w:color w:val="000000" w:themeColor="text1"/>
              </w:rPr>
            </w:pPr>
            <w:r w:rsidRPr="009A1E22">
              <w:rPr>
                <w:rFonts w:ascii="Times New Roman" w:eastAsia="Times New Roman" w:hAnsi="Times New Roman" w:cs="Times New Roman"/>
                <w:b/>
                <w:bCs/>
                <w:color w:val="000000" w:themeColor="text1"/>
                <w:sz w:val="22"/>
              </w:rPr>
              <w:t>Opłata abonamentowa RTV</w:t>
            </w:r>
          </w:p>
        </w:tc>
        <w:tc>
          <w:tcPr>
            <w:tcW w:w="2827" w:type="dxa"/>
            <w:tcBorders>
              <w:top w:val="nil"/>
              <w:left w:val="single" w:sz="8" w:space="0" w:color="auto"/>
              <w:bottom w:val="single" w:sz="8" w:space="0" w:color="000000"/>
              <w:right w:val="single" w:sz="8" w:space="0" w:color="auto"/>
            </w:tcBorders>
            <w:vAlign w:val="center"/>
          </w:tcPr>
          <w:p w:rsidR="00A322FA" w:rsidRPr="009A1E22" w:rsidRDefault="00A322FA" w:rsidP="00F60F38">
            <w:pPr>
              <w:spacing w:after="0" w:line="240" w:lineRule="auto"/>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sz w:val="22"/>
              </w:rPr>
              <w:t>22,7</w:t>
            </w:r>
            <w:r w:rsidRPr="009A1E22">
              <w:rPr>
                <w:rFonts w:ascii="Times New Roman" w:eastAsia="Times New Roman" w:hAnsi="Times New Roman" w:cs="Times New Roman"/>
                <w:color w:val="000000" w:themeColor="text1"/>
                <w:sz w:val="22"/>
              </w:rPr>
              <w:t xml:space="preserve"> zł</w:t>
            </w:r>
          </w:p>
        </w:tc>
      </w:tr>
      <w:tr w:rsidR="00A322FA" w:rsidRPr="009A1E22" w:rsidTr="00F60F38">
        <w:trPr>
          <w:trHeight w:val="556"/>
          <w:jc w:val="center"/>
        </w:trPr>
        <w:tc>
          <w:tcPr>
            <w:tcW w:w="5660" w:type="dxa"/>
            <w:tcBorders>
              <w:top w:val="nil"/>
              <w:left w:val="single" w:sz="8" w:space="0" w:color="auto"/>
              <w:bottom w:val="nil"/>
              <w:right w:val="single" w:sz="8" w:space="0" w:color="auto"/>
            </w:tcBorders>
            <w:shd w:val="clear" w:color="000000" w:fill="F2F2F2"/>
            <w:vAlign w:val="center"/>
            <w:hideMark/>
          </w:tcPr>
          <w:p w:rsidR="00A322FA" w:rsidRPr="009A1E22" w:rsidRDefault="00A322FA" w:rsidP="00F60F38">
            <w:pPr>
              <w:spacing w:after="0" w:line="240" w:lineRule="auto"/>
              <w:rPr>
                <w:rFonts w:ascii="Times New Roman" w:eastAsia="Times New Roman" w:hAnsi="Times New Roman" w:cs="Times New Roman"/>
                <w:b/>
                <w:bCs/>
                <w:color w:val="000000" w:themeColor="text1"/>
              </w:rPr>
            </w:pPr>
            <w:r w:rsidRPr="009A1E22">
              <w:rPr>
                <w:rFonts w:ascii="Times New Roman" w:eastAsia="Times New Roman" w:hAnsi="Times New Roman" w:cs="Times New Roman"/>
                <w:b/>
                <w:bCs/>
                <w:color w:val="000000" w:themeColor="text1"/>
                <w:sz w:val="22"/>
              </w:rPr>
              <w:t xml:space="preserve">Opłata abonamentowa </w:t>
            </w:r>
            <w:r>
              <w:rPr>
                <w:rFonts w:ascii="Times New Roman" w:eastAsia="Times New Roman" w:hAnsi="Times New Roman" w:cs="Times New Roman"/>
                <w:b/>
                <w:bCs/>
                <w:color w:val="000000" w:themeColor="text1"/>
                <w:sz w:val="22"/>
              </w:rPr>
              <w:t>radio</w:t>
            </w:r>
          </w:p>
        </w:tc>
        <w:tc>
          <w:tcPr>
            <w:tcW w:w="2827" w:type="dxa"/>
            <w:vMerge w:val="restart"/>
            <w:tcBorders>
              <w:top w:val="nil"/>
              <w:left w:val="single" w:sz="8" w:space="0" w:color="auto"/>
              <w:bottom w:val="single" w:sz="8" w:space="0" w:color="000000"/>
              <w:right w:val="single" w:sz="8" w:space="0" w:color="auto"/>
            </w:tcBorders>
            <w:shd w:val="clear" w:color="000000" w:fill="FFFFFF"/>
            <w:noWrap/>
            <w:vAlign w:val="center"/>
            <w:hideMark/>
          </w:tcPr>
          <w:p w:rsidR="00A322FA" w:rsidRPr="009A1E22" w:rsidRDefault="00A322FA" w:rsidP="00F60F38">
            <w:pPr>
              <w:spacing w:after="0" w:line="240" w:lineRule="auto"/>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sz w:val="22"/>
              </w:rPr>
              <w:t>7</w:t>
            </w:r>
            <w:r w:rsidRPr="009A1E22">
              <w:rPr>
                <w:rFonts w:ascii="Times New Roman" w:eastAsia="Times New Roman" w:hAnsi="Times New Roman" w:cs="Times New Roman"/>
                <w:color w:val="000000" w:themeColor="text1"/>
                <w:sz w:val="22"/>
              </w:rPr>
              <w:t xml:space="preserve"> zł</w:t>
            </w:r>
          </w:p>
        </w:tc>
      </w:tr>
      <w:tr w:rsidR="00A322FA" w:rsidRPr="009A1E22" w:rsidTr="00F60F38">
        <w:trPr>
          <w:trHeight w:val="60"/>
          <w:jc w:val="center"/>
        </w:trPr>
        <w:tc>
          <w:tcPr>
            <w:tcW w:w="5660" w:type="dxa"/>
            <w:tcBorders>
              <w:top w:val="nil"/>
              <w:left w:val="single" w:sz="8" w:space="0" w:color="auto"/>
              <w:bottom w:val="single" w:sz="8" w:space="0" w:color="auto"/>
              <w:right w:val="single" w:sz="8" w:space="0" w:color="auto"/>
            </w:tcBorders>
            <w:shd w:val="clear" w:color="000000" w:fill="F2F2F2"/>
            <w:vAlign w:val="center"/>
            <w:hideMark/>
          </w:tcPr>
          <w:p w:rsidR="00A322FA" w:rsidRPr="009A1E22" w:rsidRDefault="00A322FA" w:rsidP="00F60F38">
            <w:pPr>
              <w:spacing w:after="0" w:line="240" w:lineRule="auto"/>
              <w:rPr>
                <w:rFonts w:ascii="Times New Roman" w:eastAsia="Times New Roman" w:hAnsi="Times New Roman" w:cs="Times New Roman"/>
                <w:color w:val="000000" w:themeColor="text1"/>
              </w:rPr>
            </w:pPr>
          </w:p>
        </w:tc>
        <w:tc>
          <w:tcPr>
            <w:tcW w:w="2827" w:type="dxa"/>
            <w:vMerge/>
            <w:tcBorders>
              <w:top w:val="nil"/>
              <w:left w:val="single" w:sz="8" w:space="0" w:color="auto"/>
              <w:bottom w:val="single" w:sz="8" w:space="0" w:color="000000"/>
              <w:right w:val="single" w:sz="8" w:space="0" w:color="auto"/>
            </w:tcBorders>
            <w:vAlign w:val="center"/>
            <w:hideMark/>
          </w:tcPr>
          <w:p w:rsidR="00A322FA" w:rsidRPr="009A1E22" w:rsidRDefault="00A322FA" w:rsidP="00F60F38">
            <w:pPr>
              <w:spacing w:after="0" w:line="240" w:lineRule="auto"/>
              <w:jc w:val="both"/>
              <w:rPr>
                <w:rFonts w:ascii="Times New Roman" w:eastAsia="Times New Roman" w:hAnsi="Times New Roman" w:cs="Times New Roman"/>
                <w:color w:val="000000" w:themeColor="text1"/>
              </w:rPr>
            </w:pPr>
          </w:p>
        </w:tc>
      </w:tr>
      <w:tr w:rsidR="00A322FA" w:rsidRPr="009A1E22" w:rsidTr="00F60F38">
        <w:trPr>
          <w:trHeight w:val="60"/>
          <w:jc w:val="center"/>
        </w:trPr>
        <w:tc>
          <w:tcPr>
            <w:tcW w:w="5660" w:type="dxa"/>
            <w:tcBorders>
              <w:top w:val="nil"/>
              <w:left w:val="single" w:sz="8" w:space="0" w:color="auto"/>
              <w:bottom w:val="single" w:sz="8" w:space="0" w:color="auto"/>
              <w:right w:val="single" w:sz="8" w:space="0" w:color="auto"/>
            </w:tcBorders>
            <w:shd w:val="clear" w:color="000000" w:fill="F2F2F2"/>
            <w:vAlign w:val="center"/>
          </w:tcPr>
          <w:p w:rsidR="00A322FA" w:rsidRPr="00A71BAC" w:rsidRDefault="00A322FA" w:rsidP="00F60F38">
            <w:pPr>
              <w:spacing w:after="0" w:line="240" w:lineRule="auto"/>
              <w:rPr>
                <w:rFonts w:ascii="Times New Roman" w:eastAsia="Times New Roman" w:hAnsi="Times New Roman" w:cs="Times New Roman"/>
                <w:b/>
                <w:color w:val="000000" w:themeColor="text1"/>
              </w:rPr>
            </w:pPr>
            <w:r w:rsidRPr="00A71BAC">
              <w:rPr>
                <w:rFonts w:ascii="Times New Roman" w:eastAsia="Times New Roman" w:hAnsi="Times New Roman" w:cs="Times New Roman"/>
                <w:b/>
                <w:color w:val="000000" w:themeColor="text1"/>
              </w:rPr>
              <w:t>Odsetek abonentów zwolnionych posiadających wyłącznie radio</w:t>
            </w:r>
          </w:p>
          <w:p w:rsidR="00A322FA" w:rsidRPr="009A1E22" w:rsidRDefault="00A322FA" w:rsidP="00F60F38">
            <w:pPr>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(KRRiT, 2018)</w:t>
            </w:r>
          </w:p>
        </w:tc>
        <w:tc>
          <w:tcPr>
            <w:tcW w:w="2827" w:type="dxa"/>
            <w:tcBorders>
              <w:top w:val="nil"/>
              <w:left w:val="single" w:sz="8" w:space="0" w:color="auto"/>
              <w:bottom w:val="single" w:sz="8" w:space="0" w:color="000000"/>
              <w:right w:val="single" w:sz="8" w:space="0" w:color="auto"/>
            </w:tcBorders>
            <w:vAlign w:val="center"/>
          </w:tcPr>
          <w:p w:rsidR="00A322FA" w:rsidRPr="009A1E22" w:rsidRDefault="00A322FA" w:rsidP="00F60F38">
            <w:pPr>
              <w:spacing w:after="0" w:line="240" w:lineRule="auto"/>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1,66%</w:t>
            </w:r>
          </w:p>
        </w:tc>
      </w:tr>
      <w:tr w:rsidR="00A322FA" w:rsidRPr="009A1E22" w:rsidTr="00F60F38">
        <w:trPr>
          <w:trHeight w:val="741"/>
          <w:jc w:val="center"/>
        </w:trPr>
        <w:tc>
          <w:tcPr>
            <w:tcW w:w="5660" w:type="dxa"/>
            <w:tcBorders>
              <w:top w:val="nil"/>
              <w:left w:val="single" w:sz="8" w:space="0" w:color="auto"/>
              <w:bottom w:val="single" w:sz="8" w:space="0" w:color="auto"/>
              <w:right w:val="single" w:sz="8" w:space="0" w:color="auto"/>
            </w:tcBorders>
            <w:shd w:val="clear" w:color="000000" w:fill="F2F2F2"/>
            <w:vAlign w:val="center"/>
            <w:hideMark/>
          </w:tcPr>
          <w:p w:rsidR="00A322FA" w:rsidRPr="009A1E22" w:rsidRDefault="00A322FA" w:rsidP="00F60F38">
            <w:pPr>
              <w:spacing w:after="0" w:line="240" w:lineRule="auto"/>
              <w:rPr>
                <w:rFonts w:ascii="Times New Roman" w:eastAsia="Times New Roman" w:hAnsi="Times New Roman" w:cs="Times New Roman"/>
                <w:b/>
                <w:bCs/>
                <w:color w:val="000000" w:themeColor="text1"/>
              </w:rPr>
            </w:pPr>
            <w:r w:rsidRPr="009A1E22">
              <w:rPr>
                <w:rFonts w:ascii="Times New Roman" w:eastAsia="Times New Roman" w:hAnsi="Times New Roman" w:cs="Times New Roman"/>
                <w:b/>
                <w:bCs/>
                <w:color w:val="000000" w:themeColor="text1"/>
                <w:sz w:val="22"/>
              </w:rPr>
              <w:t>Roczny ubytek wpływów abonamentowych z tytułu zwolnień</w:t>
            </w:r>
          </w:p>
        </w:tc>
        <w:tc>
          <w:tcPr>
            <w:tcW w:w="2827" w:type="dxa"/>
            <w:tcBorders>
              <w:top w:val="single" w:sz="8" w:space="0" w:color="000000"/>
              <w:left w:val="nil"/>
              <w:bottom w:val="single" w:sz="4" w:space="0" w:color="auto"/>
              <w:right w:val="single" w:sz="8" w:space="0" w:color="auto"/>
            </w:tcBorders>
            <w:shd w:val="clear" w:color="000000" w:fill="FFFFFF"/>
            <w:noWrap/>
            <w:vAlign w:val="center"/>
            <w:hideMark/>
          </w:tcPr>
          <w:p w:rsidR="00A322FA" w:rsidRPr="009A1E22" w:rsidRDefault="00A322FA" w:rsidP="00F60F38">
            <w:pPr>
              <w:spacing w:after="0" w:line="240" w:lineRule="auto"/>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sz w:val="22"/>
              </w:rPr>
              <w:t xml:space="preserve">1 016 720 062 </w:t>
            </w:r>
            <w:r w:rsidRPr="009A1E22">
              <w:rPr>
                <w:rFonts w:ascii="Times New Roman" w:eastAsia="Times New Roman" w:hAnsi="Times New Roman" w:cs="Times New Roman"/>
                <w:color w:val="000000" w:themeColor="text1"/>
                <w:sz w:val="22"/>
              </w:rPr>
              <w:t>zł</w:t>
            </w:r>
          </w:p>
        </w:tc>
      </w:tr>
    </w:tbl>
    <w:p w:rsidR="00A322FA" w:rsidRDefault="00A322FA" w:rsidP="00A322FA">
      <w:pPr>
        <w:spacing w:line="360" w:lineRule="auto"/>
        <w:ind w:firstLine="709"/>
        <w:jc w:val="both"/>
        <w:rPr>
          <w:rFonts w:ascii="Times New Roman" w:hAnsi="Times New Roman"/>
          <w:szCs w:val="24"/>
        </w:rPr>
      </w:pPr>
    </w:p>
    <w:p w:rsidR="00A322FA" w:rsidRPr="0081631A" w:rsidRDefault="00A322FA" w:rsidP="00A322FA">
      <w:pPr>
        <w:spacing w:line="360" w:lineRule="auto"/>
        <w:ind w:firstLine="709"/>
        <w:jc w:val="both"/>
        <w:rPr>
          <w:rFonts w:ascii="Times New Roman" w:hAnsi="Times New Roman"/>
          <w:szCs w:val="24"/>
        </w:rPr>
      </w:pPr>
      <w:r>
        <w:rPr>
          <w:rFonts w:ascii="Times New Roman" w:hAnsi="Times New Roman"/>
          <w:szCs w:val="24"/>
        </w:rPr>
        <w:t>Dodatkowo, jak wcześniej wspomniano,</w:t>
      </w:r>
      <w:r w:rsidRPr="0081631A">
        <w:rPr>
          <w:rFonts w:ascii="Times New Roman" w:hAnsi="Times New Roman"/>
          <w:szCs w:val="24"/>
        </w:rPr>
        <w:t xml:space="preserve"> będą również rekompensowani abonenci, którzy nie zarejestrowali odbiornika telewizyjnego bądź radiowego, a którym przysługuje zwolnienie z opłaty abonamentowej. </w:t>
      </w:r>
    </w:p>
    <w:tbl>
      <w:tblPr>
        <w:tblW w:w="8660" w:type="dxa"/>
        <w:jc w:val="center"/>
        <w:tblCellMar>
          <w:left w:w="70" w:type="dxa"/>
          <w:right w:w="70" w:type="dxa"/>
        </w:tblCellMar>
        <w:tblLook w:val="04A0" w:firstRow="1" w:lastRow="0" w:firstColumn="1" w:lastColumn="0" w:noHBand="0" w:noVBand="1"/>
      </w:tblPr>
      <w:tblGrid>
        <w:gridCol w:w="5830"/>
        <w:gridCol w:w="2830"/>
      </w:tblGrid>
      <w:tr w:rsidR="00A322FA" w:rsidRPr="009A1E22" w:rsidTr="00F60F38">
        <w:trPr>
          <w:trHeight w:val="855"/>
          <w:jc w:val="center"/>
        </w:trPr>
        <w:tc>
          <w:tcPr>
            <w:tcW w:w="8660" w:type="dxa"/>
            <w:gridSpan w:val="2"/>
            <w:tcBorders>
              <w:top w:val="single" w:sz="8" w:space="0" w:color="auto"/>
              <w:left w:val="single" w:sz="8" w:space="0" w:color="auto"/>
              <w:bottom w:val="single" w:sz="8" w:space="0" w:color="auto"/>
              <w:right w:val="single" w:sz="8" w:space="0" w:color="000000"/>
            </w:tcBorders>
            <w:shd w:val="clear" w:color="000000" w:fill="F2F2F2"/>
            <w:vAlign w:val="center"/>
            <w:hideMark/>
          </w:tcPr>
          <w:p w:rsidR="00A322FA" w:rsidRPr="009A1E22" w:rsidRDefault="00A322FA" w:rsidP="00F60F38">
            <w:pPr>
              <w:spacing w:after="0" w:line="240" w:lineRule="auto"/>
              <w:jc w:val="both"/>
              <w:rPr>
                <w:rFonts w:ascii="Times New Roman" w:eastAsia="Times New Roman" w:hAnsi="Times New Roman" w:cs="Times New Roman"/>
                <w:b/>
                <w:bCs/>
                <w:color w:val="000000" w:themeColor="text1"/>
              </w:rPr>
            </w:pPr>
            <w:r w:rsidRPr="009A1E22">
              <w:rPr>
                <w:rFonts w:ascii="Times New Roman" w:eastAsia="Times New Roman" w:hAnsi="Times New Roman" w:cs="Times New Roman"/>
                <w:b/>
                <w:bCs/>
                <w:color w:val="000000" w:themeColor="text1"/>
                <w:sz w:val="22"/>
              </w:rPr>
              <w:t>Wyliczenie ubytku wpływów z zwolnień, o których mowa w art. 4 ustawy o opłatach abonamentowych, i innych odrębnych przepisów o zwolnieniach z tych opłat</w:t>
            </w:r>
          </w:p>
        </w:tc>
      </w:tr>
      <w:tr w:rsidR="00A322FA" w:rsidRPr="009A1E22" w:rsidTr="00F60F38">
        <w:trPr>
          <w:trHeight w:val="371"/>
          <w:jc w:val="center"/>
        </w:trPr>
        <w:tc>
          <w:tcPr>
            <w:tcW w:w="5830" w:type="dxa"/>
            <w:tcBorders>
              <w:top w:val="nil"/>
              <w:left w:val="single" w:sz="8" w:space="0" w:color="auto"/>
              <w:bottom w:val="single" w:sz="8" w:space="0" w:color="auto"/>
              <w:right w:val="single" w:sz="8" w:space="0" w:color="auto"/>
            </w:tcBorders>
            <w:shd w:val="clear" w:color="000000" w:fill="F2F2F2"/>
            <w:vAlign w:val="center"/>
            <w:hideMark/>
          </w:tcPr>
          <w:p w:rsidR="00A322FA" w:rsidRPr="00A71BAC" w:rsidRDefault="00A322FA" w:rsidP="00F60F38">
            <w:pPr>
              <w:spacing w:after="0" w:line="240" w:lineRule="auto"/>
              <w:rPr>
                <w:rFonts w:ascii="Times New Roman" w:eastAsia="Times New Roman" w:hAnsi="Times New Roman" w:cs="Times New Roman"/>
                <w:b/>
                <w:color w:val="000000" w:themeColor="text1"/>
              </w:rPr>
            </w:pPr>
            <w:r w:rsidRPr="00A71BAC">
              <w:rPr>
                <w:rFonts w:ascii="Times New Roman" w:eastAsia="Times New Roman" w:hAnsi="Times New Roman" w:cs="Times New Roman"/>
                <w:b/>
                <w:color w:val="000000" w:themeColor="text1"/>
              </w:rPr>
              <w:t xml:space="preserve">Liczba gospodarstw domowych w Polsce </w:t>
            </w:r>
          </w:p>
        </w:tc>
        <w:tc>
          <w:tcPr>
            <w:tcW w:w="2827" w:type="dxa"/>
            <w:tcBorders>
              <w:top w:val="nil"/>
              <w:left w:val="single" w:sz="8" w:space="0" w:color="auto"/>
              <w:bottom w:val="single" w:sz="8" w:space="0" w:color="000000"/>
              <w:right w:val="single" w:sz="8" w:space="0" w:color="auto"/>
            </w:tcBorders>
            <w:vAlign w:val="center"/>
            <w:hideMark/>
          </w:tcPr>
          <w:p w:rsidR="00A322FA" w:rsidRPr="009A1E22" w:rsidRDefault="00A322FA" w:rsidP="00F60F38">
            <w:pPr>
              <w:spacing w:after="0" w:line="240" w:lineRule="auto"/>
              <w:jc w:val="both"/>
              <w:rPr>
                <w:rFonts w:ascii="Times New Roman" w:eastAsia="Times New Roman" w:hAnsi="Times New Roman" w:cs="Times New Roman"/>
                <w:color w:val="000000" w:themeColor="text1"/>
              </w:rPr>
            </w:pPr>
            <w:r>
              <w:rPr>
                <w:color w:val="000000"/>
                <w:sz w:val="22"/>
              </w:rPr>
              <w:t>14 549 621</w:t>
            </w:r>
          </w:p>
        </w:tc>
      </w:tr>
      <w:tr w:rsidR="00A322FA" w:rsidRPr="009A1E22" w:rsidTr="00F60F38">
        <w:trPr>
          <w:trHeight w:val="371"/>
          <w:jc w:val="center"/>
        </w:trPr>
        <w:tc>
          <w:tcPr>
            <w:tcW w:w="5830" w:type="dxa"/>
            <w:tcBorders>
              <w:top w:val="nil"/>
              <w:left w:val="single" w:sz="8" w:space="0" w:color="auto"/>
              <w:bottom w:val="single" w:sz="8" w:space="0" w:color="auto"/>
              <w:right w:val="single" w:sz="8" w:space="0" w:color="auto"/>
            </w:tcBorders>
            <w:shd w:val="clear" w:color="000000" w:fill="F2F2F2"/>
            <w:vAlign w:val="center"/>
          </w:tcPr>
          <w:p w:rsidR="00A322FA" w:rsidRPr="00A71BAC" w:rsidRDefault="00A322FA" w:rsidP="00F60F38">
            <w:pPr>
              <w:spacing w:after="0" w:line="240" w:lineRule="auto"/>
              <w:rPr>
                <w:rFonts w:ascii="Times New Roman" w:eastAsia="Times New Roman" w:hAnsi="Times New Roman" w:cs="Times New Roman"/>
                <w:b/>
                <w:color w:val="000000" w:themeColor="text1"/>
              </w:rPr>
            </w:pPr>
            <w:r w:rsidRPr="00A71BAC">
              <w:rPr>
                <w:rFonts w:ascii="Times New Roman" w:eastAsia="Times New Roman" w:hAnsi="Times New Roman" w:cs="Times New Roman"/>
                <w:b/>
                <w:color w:val="000000" w:themeColor="text1"/>
              </w:rPr>
              <w:t>Liczba zarejestrowanych abonentów</w:t>
            </w:r>
          </w:p>
          <w:p w:rsidR="00A322FA" w:rsidRDefault="00A322FA" w:rsidP="00F60F38">
            <w:pPr>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(KRRiT, lipiec 2019, z wyłączeniem abonentów instytucjonalnych)</w:t>
            </w:r>
          </w:p>
        </w:tc>
        <w:tc>
          <w:tcPr>
            <w:tcW w:w="2827" w:type="dxa"/>
            <w:tcBorders>
              <w:top w:val="nil"/>
              <w:left w:val="single" w:sz="8" w:space="0" w:color="auto"/>
              <w:bottom w:val="single" w:sz="8" w:space="0" w:color="000000"/>
              <w:right w:val="single" w:sz="8" w:space="0" w:color="auto"/>
            </w:tcBorders>
            <w:vAlign w:val="center"/>
          </w:tcPr>
          <w:p w:rsidR="00A322FA" w:rsidRPr="009A1E22" w:rsidRDefault="00A322FA" w:rsidP="00F60F38">
            <w:pPr>
              <w:spacing w:after="0" w:line="240" w:lineRule="auto"/>
              <w:jc w:val="both"/>
              <w:rPr>
                <w:rFonts w:ascii="Times New Roman" w:eastAsia="Times New Roman" w:hAnsi="Times New Roman" w:cs="Times New Roman"/>
                <w:color w:val="000000" w:themeColor="text1"/>
              </w:rPr>
            </w:pPr>
            <w:r>
              <w:rPr>
                <w:color w:val="000000"/>
                <w:sz w:val="22"/>
              </w:rPr>
              <w:t>6 573 686</w:t>
            </w:r>
          </w:p>
        </w:tc>
      </w:tr>
      <w:tr w:rsidR="00A322FA" w:rsidRPr="009A1E22" w:rsidTr="00F60F38">
        <w:trPr>
          <w:trHeight w:val="371"/>
          <w:jc w:val="center"/>
        </w:trPr>
        <w:tc>
          <w:tcPr>
            <w:tcW w:w="5830" w:type="dxa"/>
            <w:tcBorders>
              <w:top w:val="nil"/>
              <w:left w:val="single" w:sz="8" w:space="0" w:color="auto"/>
              <w:bottom w:val="single" w:sz="8" w:space="0" w:color="auto"/>
              <w:right w:val="single" w:sz="8" w:space="0" w:color="auto"/>
            </w:tcBorders>
            <w:shd w:val="clear" w:color="000000" w:fill="F2F2F2"/>
            <w:vAlign w:val="center"/>
          </w:tcPr>
          <w:p w:rsidR="00A322FA" w:rsidRDefault="00A322FA" w:rsidP="00F60F38">
            <w:pPr>
              <w:spacing w:after="0" w:line="240" w:lineRule="auto"/>
              <w:rPr>
                <w:rFonts w:ascii="Times New Roman" w:eastAsia="Times New Roman" w:hAnsi="Times New Roman" w:cs="Times New Roman"/>
                <w:color w:val="000000" w:themeColor="text1"/>
              </w:rPr>
            </w:pPr>
            <w:r w:rsidRPr="00A71BAC">
              <w:rPr>
                <w:rFonts w:ascii="Times New Roman" w:eastAsia="Times New Roman" w:hAnsi="Times New Roman" w:cs="Times New Roman"/>
                <w:b/>
                <w:color w:val="000000" w:themeColor="text1"/>
              </w:rPr>
              <w:t>Liczba abonentów zwolnionych</w:t>
            </w:r>
            <w:r>
              <w:rPr>
                <w:rFonts w:ascii="Times New Roman" w:eastAsia="Times New Roman" w:hAnsi="Times New Roman" w:cs="Times New Roman"/>
                <w:color w:val="000000" w:themeColor="text1"/>
              </w:rPr>
              <w:t xml:space="preserve"> (zarejestrowanych)</w:t>
            </w:r>
          </w:p>
          <w:p w:rsidR="00A322FA" w:rsidRDefault="00A322FA" w:rsidP="00F60F38">
            <w:pPr>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(KRRiT, lipiec 2019)</w:t>
            </w:r>
          </w:p>
        </w:tc>
        <w:tc>
          <w:tcPr>
            <w:tcW w:w="2827" w:type="dxa"/>
            <w:tcBorders>
              <w:top w:val="nil"/>
              <w:left w:val="single" w:sz="8" w:space="0" w:color="auto"/>
              <w:bottom w:val="single" w:sz="8" w:space="0" w:color="000000"/>
              <w:right w:val="single" w:sz="8" w:space="0" w:color="auto"/>
            </w:tcBorders>
            <w:vAlign w:val="center"/>
          </w:tcPr>
          <w:p w:rsidR="00A322FA" w:rsidRPr="009A1E22" w:rsidRDefault="00A322FA" w:rsidP="00F60F38">
            <w:pPr>
              <w:spacing w:after="0" w:line="240" w:lineRule="auto"/>
              <w:jc w:val="both"/>
              <w:rPr>
                <w:rFonts w:ascii="Times New Roman" w:eastAsia="Times New Roman" w:hAnsi="Times New Roman" w:cs="Times New Roman"/>
                <w:color w:val="000000" w:themeColor="text1"/>
              </w:rPr>
            </w:pPr>
            <w:r w:rsidRPr="009A1E22">
              <w:rPr>
                <w:rFonts w:ascii="Times New Roman" w:eastAsia="Times New Roman" w:hAnsi="Times New Roman" w:cs="Times New Roman"/>
                <w:color w:val="000000" w:themeColor="text1"/>
                <w:sz w:val="22"/>
              </w:rPr>
              <w:t>3 775 672</w:t>
            </w:r>
          </w:p>
        </w:tc>
      </w:tr>
      <w:tr w:rsidR="00A322FA" w:rsidRPr="009A1E22" w:rsidTr="00F60F38">
        <w:trPr>
          <w:trHeight w:val="371"/>
          <w:jc w:val="center"/>
        </w:trPr>
        <w:tc>
          <w:tcPr>
            <w:tcW w:w="5830" w:type="dxa"/>
            <w:tcBorders>
              <w:top w:val="nil"/>
              <w:left w:val="single" w:sz="8" w:space="0" w:color="auto"/>
              <w:bottom w:val="single" w:sz="8" w:space="0" w:color="auto"/>
              <w:right w:val="single" w:sz="8" w:space="0" w:color="auto"/>
            </w:tcBorders>
            <w:shd w:val="clear" w:color="000000" w:fill="F2F2F2"/>
            <w:vAlign w:val="center"/>
          </w:tcPr>
          <w:p w:rsidR="00A322FA" w:rsidRPr="0012562B" w:rsidRDefault="00A322FA" w:rsidP="00F60F38">
            <w:pPr>
              <w:spacing w:after="0" w:line="240" w:lineRule="auto"/>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Odsetek zarejestrowanych abonentów zwolnionych w grupie wszystkich zarejestrowanych abonentów</w:t>
            </w:r>
          </w:p>
        </w:tc>
        <w:tc>
          <w:tcPr>
            <w:tcW w:w="2827" w:type="dxa"/>
            <w:tcBorders>
              <w:top w:val="nil"/>
              <w:left w:val="single" w:sz="8" w:space="0" w:color="auto"/>
              <w:bottom w:val="single" w:sz="8" w:space="0" w:color="000000"/>
              <w:right w:val="single" w:sz="8" w:space="0" w:color="auto"/>
            </w:tcBorders>
            <w:vAlign w:val="center"/>
          </w:tcPr>
          <w:p w:rsidR="00A322FA" w:rsidRPr="009A1E22" w:rsidRDefault="00A322FA" w:rsidP="00F60F38">
            <w:pPr>
              <w:spacing w:after="0" w:line="240" w:lineRule="auto"/>
              <w:jc w:val="both"/>
              <w:rPr>
                <w:rFonts w:ascii="Times New Roman" w:eastAsia="Times New Roman" w:hAnsi="Times New Roman" w:cs="Times New Roman"/>
                <w:color w:val="000000" w:themeColor="text1"/>
              </w:rPr>
            </w:pPr>
            <w:r>
              <w:rPr>
                <w:color w:val="000000"/>
                <w:sz w:val="22"/>
              </w:rPr>
              <w:t>57,44%</w:t>
            </w:r>
          </w:p>
        </w:tc>
      </w:tr>
      <w:tr w:rsidR="00A322FA" w:rsidRPr="009A1E22" w:rsidTr="00F60F38">
        <w:trPr>
          <w:trHeight w:val="371"/>
          <w:jc w:val="center"/>
        </w:trPr>
        <w:tc>
          <w:tcPr>
            <w:tcW w:w="5830" w:type="dxa"/>
            <w:tcBorders>
              <w:top w:val="nil"/>
              <w:left w:val="single" w:sz="8" w:space="0" w:color="auto"/>
              <w:bottom w:val="single" w:sz="8" w:space="0" w:color="auto"/>
              <w:right w:val="single" w:sz="8" w:space="0" w:color="auto"/>
            </w:tcBorders>
            <w:shd w:val="clear" w:color="000000" w:fill="F2F2F2"/>
            <w:vAlign w:val="center"/>
          </w:tcPr>
          <w:p w:rsidR="00A322FA" w:rsidRDefault="00A322FA" w:rsidP="00F60F38">
            <w:pPr>
              <w:spacing w:after="0" w:line="240" w:lineRule="auto"/>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Liczba abonentów niezarejestrowanych</w:t>
            </w:r>
          </w:p>
        </w:tc>
        <w:tc>
          <w:tcPr>
            <w:tcW w:w="2827" w:type="dxa"/>
            <w:tcBorders>
              <w:top w:val="nil"/>
              <w:left w:val="single" w:sz="8" w:space="0" w:color="auto"/>
              <w:bottom w:val="single" w:sz="8" w:space="0" w:color="000000"/>
              <w:right w:val="single" w:sz="8" w:space="0" w:color="auto"/>
            </w:tcBorders>
            <w:vAlign w:val="center"/>
          </w:tcPr>
          <w:p w:rsidR="00A322FA" w:rsidRDefault="00A322FA" w:rsidP="00F60F38">
            <w:pPr>
              <w:spacing w:after="0" w:line="240" w:lineRule="auto"/>
              <w:jc w:val="both"/>
              <w:rPr>
                <w:rFonts w:ascii="Times New Roman" w:eastAsia="Times New Roman" w:hAnsi="Times New Roman" w:cs="Times New Roman"/>
                <w:color w:val="000000" w:themeColor="text1"/>
              </w:rPr>
            </w:pPr>
            <w:r>
              <w:rPr>
                <w:color w:val="000000"/>
                <w:sz w:val="22"/>
              </w:rPr>
              <w:t>7 975 935</w:t>
            </w:r>
          </w:p>
        </w:tc>
      </w:tr>
      <w:tr w:rsidR="00A322FA" w:rsidRPr="009A1E22" w:rsidTr="00F60F38">
        <w:trPr>
          <w:trHeight w:val="371"/>
          <w:jc w:val="center"/>
        </w:trPr>
        <w:tc>
          <w:tcPr>
            <w:tcW w:w="5830" w:type="dxa"/>
            <w:tcBorders>
              <w:top w:val="nil"/>
              <w:left w:val="single" w:sz="8" w:space="0" w:color="auto"/>
              <w:bottom w:val="single" w:sz="8" w:space="0" w:color="auto"/>
              <w:right w:val="single" w:sz="8" w:space="0" w:color="auto"/>
            </w:tcBorders>
            <w:shd w:val="clear" w:color="000000" w:fill="F2F2F2"/>
            <w:vAlign w:val="center"/>
          </w:tcPr>
          <w:p w:rsidR="00A322FA" w:rsidRPr="00A71BAC" w:rsidRDefault="00A322FA" w:rsidP="00F60F38">
            <w:pPr>
              <w:spacing w:after="0" w:line="240" w:lineRule="auto"/>
              <w:rPr>
                <w:rFonts w:ascii="Times New Roman" w:eastAsia="Times New Roman" w:hAnsi="Times New Roman" w:cs="Times New Roman"/>
                <w:b/>
                <w:bCs/>
                <w:color w:val="000000" w:themeColor="text1"/>
              </w:rPr>
            </w:pPr>
            <w:r w:rsidRPr="009A1E22">
              <w:rPr>
                <w:rFonts w:ascii="Times New Roman" w:eastAsia="Times New Roman" w:hAnsi="Times New Roman" w:cs="Times New Roman"/>
                <w:b/>
                <w:bCs/>
                <w:color w:val="000000" w:themeColor="text1"/>
                <w:sz w:val="22"/>
              </w:rPr>
              <w:t>Liczba</w:t>
            </w:r>
            <w:r>
              <w:rPr>
                <w:rFonts w:ascii="Times New Roman" w:eastAsia="Times New Roman" w:hAnsi="Times New Roman" w:cs="Times New Roman"/>
                <w:b/>
                <w:bCs/>
                <w:color w:val="000000" w:themeColor="text1"/>
                <w:sz w:val="22"/>
              </w:rPr>
              <w:t xml:space="preserve"> abonentów</w:t>
            </w:r>
            <w:r w:rsidRPr="009A1E22">
              <w:rPr>
                <w:rFonts w:ascii="Times New Roman" w:eastAsia="Times New Roman" w:hAnsi="Times New Roman" w:cs="Times New Roman"/>
                <w:b/>
                <w:bCs/>
                <w:color w:val="000000" w:themeColor="text1"/>
                <w:sz w:val="22"/>
              </w:rPr>
              <w:t xml:space="preserve"> zwolnionych z opłat</w:t>
            </w:r>
            <w:r>
              <w:rPr>
                <w:rFonts w:ascii="Times New Roman" w:eastAsia="Times New Roman" w:hAnsi="Times New Roman" w:cs="Times New Roman"/>
                <w:b/>
                <w:bCs/>
                <w:color w:val="000000" w:themeColor="text1"/>
                <w:sz w:val="22"/>
              </w:rPr>
              <w:t>, którzy nie zarejestrowali odbiorników radiowych i TV</w:t>
            </w:r>
          </w:p>
        </w:tc>
        <w:tc>
          <w:tcPr>
            <w:tcW w:w="2827" w:type="dxa"/>
            <w:tcBorders>
              <w:top w:val="nil"/>
              <w:left w:val="single" w:sz="8" w:space="0" w:color="auto"/>
              <w:bottom w:val="single" w:sz="8" w:space="0" w:color="000000"/>
              <w:right w:val="single" w:sz="8" w:space="0" w:color="auto"/>
            </w:tcBorders>
            <w:vAlign w:val="center"/>
          </w:tcPr>
          <w:p w:rsidR="00A322FA" w:rsidRPr="009A1E22" w:rsidRDefault="00A322FA" w:rsidP="00F60F38">
            <w:pPr>
              <w:spacing w:after="0" w:line="240" w:lineRule="auto"/>
              <w:jc w:val="both"/>
              <w:rPr>
                <w:rFonts w:ascii="Times New Roman" w:eastAsia="Times New Roman" w:hAnsi="Times New Roman" w:cs="Times New Roman"/>
                <w:color w:val="000000" w:themeColor="text1"/>
              </w:rPr>
            </w:pPr>
            <w:r>
              <w:rPr>
                <w:color w:val="000000"/>
                <w:sz w:val="22"/>
              </w:rPr>
              <w:t>4 581 070</w:t>
            </w:r>
          </w:p>
        </w:tc>
      </w:tr>
      <w:tr w:rsidR="00A322FA" w:rsidRPr="009A1E22" w:rsidTr="00F60F38">
        <w:trPr>
          <w:trHeight w:val="371"/>
          <w:jc w:val="center"/>
        </w:trPr>
        <w:tc>
          <w:tcPr>
            <w:tcW w:w="5830" w:type="dxa"/>
            <w:tcBorders>
              <w:top w:val="nil"/>
              <w:left w:val="single" w:sz="8" w:space="0" w:color="auto"/>
              <w:bottom w:val="single" w:sz="8" w:space="0" w:color="auto"/>
              <w:right w:val="single" w:sz="8" w:space="0" w:color="auto"/>
            </w:tcBorders>
            <w:shd w:val="clear" w:color="000000" w:fill="F2F2F2"/>
            <w:vAlign w:val="center"/>
          </w:tcPr>
          <w:p w:rsidR="00A322FA" w:rsidRPr="009A1E22" w:rsidRDefault="00A322FA" w:rsidP="00F60F38">
            <w:pPr>
              <w:spacing w:after="0" w:line="240" w:lineRule="auto"/>
              <w:rPr>
                <w:rFonts w:ascii="Times New Roman" w:eastAsia="Times New Roman" w:hAnsi="Times New Roman" w:cs="Times New Roman"/>
                <w:color w:val="000000" w:themeColor="text1"/>
              </w:rPr>
            </w:pPr>
            <w:r w:rsidRPr="009A1E22">
              <w:rPr>
                <w:rFonts w:ascii="Times New Roman" w:eastAsia="Times New Roman" w:hAnsi="Times New Roman" w:cs="Times New Roman"/>
                <w:b/>
                <w:bCs/>
                <w:color w:val="000000" w:themeColor="text1"/>
                <w:sz w:val="22"/>
              </w:rPr>
              <w:t>Opłata abonamentowa RTV</w:t>
            </w:r>
          </w:p>
        </w:tc>
        <w:tc>
          <w:tcPr>
            <w:tcW w:w="2827" w:type="dxa"/>
            <w:tcBorders>
              <w:top w:val="nil"/>
              <w:left w:val="single" w:sz="8" w:space="0" w:color="auto"/>
              <w:bottom w:val="single" w:sz="8" w:space="0" w:color="000000"/>
              <w:right w:val="single" w:sz="8" w:space="0" w:color="auto"/>
            </w:tcBorders>
            <w:vAlign w:val="center"/>
          </w:tcPr>
          <w:p w:rsidR="00A322FA" w:rsidRPr="009A1E22" w:rsidRDefault="00A322FA" w:rsidP="00F60F38">
            <w:pPr>
              <w:spacing w:after="0" w:line="240" w:lineRule="auto"/>
              <w:jc w:val="both"/>
              <w:rPr>
                <w:rFonts w:ascii="Times New Roman" w:eastAsia="Times New Roman" w:hAnsi="Times New Roman" w:cs="Times New Roman"/>
                <w:color w:val="000000" w:themeColor="text1"/>
              </w:rPr>
            </w:pPr>
            <w:r>
              <w:rPr>
                <w:color w:val="000000"/>
                <w:sz w:val="22"/>
              </w:rPr>
              <w:t>22,70 zł</w:t>
            </w:r>
          </w:p>
        </w:tc>
      </w:tr>
      <w:tr w:rsidR="00A322FA" w:rsidRPr="009A1E22" w:rsidTr="00F60F38">
        <w:trPr>
          <w:trHeight w:val="314"/>
          <w:jc w:val="center"/>
        </w:trPr>
        <w:tc>
          <w:tcPr>
            <w:tcW w:w="5830" w:type="dxa"/>
            <w:tcBorders>
              <w:top w:val="nil"/>
              <w:left w:val="single" w:sz="8" w:space="0" w:color="auto"/>
              <w:bottom w:val="nil"/>
              <w:right w:val="single" w:sz="8" w:space="0" w:color="auto"/>
            </w:tcBorders>
            <w:shd w:val="clear" w:color="000000" w:fill="F2F2F2"/>
            <w:vAlign w:val="center"/>
            <w:hideMark/>
          </w:tcPr>
          <w:p w:rsidR="00A322FA" w:rsidRPr="009A1E22" w:rsidRDefault="00A322FA" w:rsidP="00F60F38">
            <w:pPr>
              <w:spacing w:after="0" w:line="240" w:lineRule="auto"/>
              <w:rPr>
                <w:rFonts w:ascii="Times New Roman" w:eastAsia="Times New Roman" w:hAnsi="Times New Roman" w:cs="Times New Roman"/>
                <w:b/>
                <w:bCs/>
                <w:color w:val="000000" w:themeColor="text1"/>
              </w:rPr>
            </w:pPr>
            <w:r w:rsidRPr="009A1E22">
              <w:rPr>
                <w:rFonts w:ascii="Times New Roman" w:eastAsia="Times New Roman" w:hAnsi="Times New Roman" w:cs="Times New Roman"/>
                <w:b/>
                <w:bCs/>
                <w:color w:val="000000" w:themeColor="text1"/>
                <w:sz w:val="22"/>
              </w:rPr>
              <w:t xml:space="preserve">Opłata abonamentowa </w:t>
            </w:r>
            <w:r>
              <w:rPr>
                <w:rFonts w:ascii="Times New Roman" w:eastAsia="Times New Roman" w:hAnsi="Times New Roman" w:cs="Times New Roman"/>
                <w:b/>
                <w:bCs/>
                <w:color w:val="000000" w:themeColor="text1"/>
                <w:sz w:val="22"/>
              </w:rPr>
              <w:t>radio</w:t>
            </w:r>
          </w:p>
        </w:tc>
        <w:tc>
          <w:tcPr>
            <w:tcW w:w="2827" w:type="dxa"/>
            <w:vMerge w:val="restart"/>
            <w:tcBorders>
              <w:top w:val="nil"/>
              <w:left w:val="single" w:sz="8" w:space="0" w:color="auto"/>
              <w:bottom w:val="single" w:sz="8" w:space="0" w:color="000000"/>
              <w:right w:val="single" w:sz="8" w:space="0" w:color="auto"/>
            </w:tcBorders>
            <w:shd w:val="clear" w:color="000000" w:fill="FFFFFF"/>
            <w:noWrap/>
            <w:vAlign w:val="center"/>
            <w:hideMark/>
          </w:tcPr>
          <w:p w:rsidR="00A322FA" w:rsidRPr="009A1E22" w:rsidRDefault="00A322FA" w:rsidP="00F60F38">
            <w:pPr>
              <w:spacing w:after="0" w:line="240" w:lineRule="auto"/>
              <w:jc w:val="both"/>
              <w:rPr>
                <w:rFonts w:ascii="Times New Roman" w:eastAsia="Times New Roman" w:hAnsi="Times New Roman" w:cs="Times New Roman"/>
                <w:color w:val="000000" w:themeColor="text1"/>
              </w:rPr>
            </w:pPr>
            <w:r>
              <w:rPr>
                <w:color w:val="000000"/>
                <w:sz w:val="22"/>
              </w:rPr>
              <w:t>7 zł</w:t>
            </w:r>
          </w:p>
        </w:tc>
      </w:tr>
      <w:tr w:rsidR="00A322FA" w:rsidRPr="009A1E22" w:rsidTr="00F60F38">
        <w:trPr>
          <w:trHeight w:val="35"/>
          <w:jc w:val="center"/>
        </w:trPr>
        <w:tc>
          <w:tcPr>
            <w:tcW w:w="5830" w:type="dxa"/>
            <w:tcBorders>
              <w:top w:val="nil"/>
              <w:left w:val="single" w:sz="8" w:space="0" w:color="auto"/>
              <w:bottom w:val="single" w:sz="8" w:space="0" w:color="auto"/>
              <w:right w:val="single" w:sz="8" w:space="0" w:color="auto"/>
            </w:tcBorders>
            <w:shd w:val="clear" w:color="000000" w:fill="F2F2F2"/>
            <w:vAlign w:val="center"/>
            <w:hideMark/>
          </w:tcPr>
          <w:p w:rsidR="00A322FA" w:rsidRPr="009A1E22" w:rsidRDefault="00A322FA" w:rsidP="00F60F38">
            <w:pPr>
              <w:spacing w:after="0" w:line="240" w:lineRule="auto"/>
              <w:rPr>
                <w:rFonts w:ascii="Times New Roman" w:eastAsia="Times New Roman" w:hAnsi="Times New Roman" w:cs="Times New Roman"/>
                <w:color w:val="000000" w:themeColor="text1"/>
              </w:rPr>
            </w:pPr>
          </w:p>
        </w:tc>
        <w:tc>
          <w:tcPr>
            <w:tcW w:w="2827" w:type="dxa"/>
            <w:vMerge/>
            <w:tcBorders>
              <w:top w:val="nil"/>
              <w:left w:val="single" w:sz="8" w:space="0" w:color="auto"/>
              <w:bottom w:val="single" w:sz="8" w:space="0" w:color="000000"/>
              <w:right w:val="single" w:sz="8" w:space="0" w:color="auto"/>
            </w:tcBorders>
            <w:vAlign w:val="center"/>
            <w:hideMark/>
          </w:tcPr>
          <w:p w:rsidR="00A322FA" w:rsidRPr="009A1E22" w:rsidRDefault="00A322FA" w:rsidP="00F60F38">
            <w:pPr>
              <w:spacing w:after="0" w:line="240" w:lineRule="auto"/>
              <w:jc w:val="both"/>
              <w:rPr>
                <w:rFonts w:ascii="Times New Roman" w:eastAsia="Times New Roman" w:hAnsi="Times New Roman" w:cs="Times New Roman"/>
                <w:color w:val="000000" w:themeColor="text1"/>
              </w:rPr>
            </w:pPr>
          </w:p>
        </w:tc>
      </w:tr>
      <w:tr w:rsidR="00A322FA" w:rsidRPr="009A1E22" w:rsidTr="00F60F38">
        <w:trPr>
          <w:trHeight w:val="60"/>
          <w:jc w:val="center"/>
        </w:trPr>
        <w:tc>
          <w:tcPr>
            <w:tcW w:w="5830" w:type="dxa"/>
            <w:tcBorders>
              <w:top w:val="nil"/>
              <w:left w:val="single" w:sz="8" w:space="0" w:color="auto"/>
              <w:bottom w:val="single" w:sz="8" w:space="0" w:color="auto"/>
              <w:right w:val="single" w:sz="8" w:space="0" w:color="auto"/>
            </w:tcBorders>
            <w:shd w:val="clear" w:color="000000" w:fill="F2F2F2"/>
            <w:vAlign w:val="center"/>
          </w:tcPr>
          <w:p w:rsidR="00A322FA" w:rsidRPr="00CD6679" w:rsidRDefault="00A322FA" w:rsidP="00F60F38">
            <w:pPr>
              <w:spacing w:after="0" w:line="240" w:lineRule="auto"/>
              <w:rPr>
                <w:rFonts w:ascii="Times New Roman" w:eastAsia="Times New Roman" w:hAnsi="Times New Roman" w:cs="Times New Roman"/>
                <w:b/>
                <w:color w:val="000000" w:themeColor="text1"/>
              </w:rPr>
            </w:pPr>
            <w:r w:rsidRPr="00CD6679">
              <w:rPr>
                <w:rFonts w:ascii="Times New Roman" w:eastAsia="Times New Roman" w:hAnsi="Times New Roman" w:cs="Times New Roman"/>
                <w:b/>
                <w:color w:val="000000" w:themeColor="text1"/>
              </w:rPr>
              <w:t xml:space="preserve">Odsetek </w:t>
            </w:r>
            <w:r>
              <w:rPr>
                <w:rFonts w:ascii="Times New Roman" w:eastAsia="Times New Roman" w:hAnsi="Times New Roman" w:cs="Times New Roman"/>
                <w:b/>
                <w:color w:val="000000" w:themeColor="text1"/>
              </w:rPr>
              <w:t xml:space="preserve">gospodarstw nieposiadających telewizora, </w:t>
            </w:r>
            <w:r w:rsidRPr="002D4803">
              <w:rPr>
                <w:rFonts w:ascii="Times New Roman" w:eastAsia="Times New Roman" w:hAnsi="Times New Roman" w:cs="Times New Roman"/>
                <w:color w:val="000000" w:themeColor="text1"/>
              </w:rPr>
              <w:t>(uznaje się, że posiadają radio)</w:t>
            </w:r>
          </w:p>
          <w:p w:rsidR="00A322FA" w:rsidRPr="009A1E22" w:rsidRDefault="00A322FA" w:rsidP="00F60F38">
            <w:pPr>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(GUS, 2018)</w:t>
            </w:r>
          </w:p>
        </w:tc>
        <w:tc>
          <w:tcPr>
            <w:tcW w:w="2827" w:type="dxa"/>
            <w:tcBorders>
              <w:top w:val="nil"/>
              <w:left w:val="single" w:sz="8" w:space="0" w:color="auto"/>
              <w:bottom w:val="single" w:sz="8" w:space="0" w:color="000000"/>
              <w:right w:val="single" w:sz="8" w:space="0" w:color="auto"/>
            </w:tcBorders>
            <w:vAlign w:val="center"/>
          </w:tcPr>
          <w:p w:rsidR="00A322FA" w:rsidRPr="009A1E22" w:rsidRDefault="00A322FA" w:rsidP="00F60F38">
            <w:pPr>
              <w:spacing w:after="0" w:line="240" w:lineRule="auto"/>
              <w:jc w:val="both"/>
              <w:rPr>
                <w:rFonts w:ascii="Times New Roman" w:eastAsia="Times New Roman" w:hAnsi="Times New Roman" w:cs="Times New Roman"/>
                <w:color w:val="000000" w:themeColor="text1"/>
              </w:rPr>
            </w:pPr>
            <w:r>
              <w:rPr>
                <w:color w:val="000000"/>
              </w:rPr>
              <w:t>3,6%</w:t>
            </w:r>
          </w:p>
        </w:tc>
      </w:tr>
      <w:tr w:rsidR="00A322FA" w:rsidRPr="009A1E22" w:rsidTr="00F60F38">
        <w:trPr>
          <w:trHeight w:val="741"/>
          <w:jc w:val="center"/>
        </w:trPr>
        <w:tc>
          <w:tcPr>
            <w:tcW w:w="5830" w:type="dxa"/>
            <w:tcBorders>
              <w:top w:val="nil"/>
              <w:left w:val="single" w:sz="8" w:space="0" w:color="auto"/>
              <w:bottom w:val="single" w:sz="8" w:space="0" w:color="auto"/>
              <w:right w:val="single" w:sz="8" w:space="0" w:color="auto"/>
            </w:tcBorders>
            <w:shd w:val="clear" w:color="000000" w:fill="F2F2F2"/>
            <w:vAlign w:val="center"/>
            <w:hideMark/>
          </w:tcPr>
          <w:p w:rsidR="00A322FA" w:rsidRPr="009A1E22" w:rsidRDefault="00A322FA" w:rsidP="00F60F38">
            <w:pPr>
              <w:spacing w:after="0" w:line="240" w:lineRule="auto"/>
              <w:rPr>
                <w:rFonts w:ascii="Times New Roman" w:eastAsia="Times New Roman" w:hAnsi="Times New Roman" w:cs="Times New Roman"/>
                <w:b/>
                <w:bCs/>
                <w:color w:val="000000" w:themeColor="text1"/>
              </w:rPr>
            </w:pPr>
            <w:r w:rsidRPr="009A1E22">
              <w:rPr>
                <w:rFonts w:ascii="Times New Roman" w:eastAsia="Times New Roman" w:hAnsi="Times New Roman" w:cs="Times New Roman"/>
                <w:b/>
                <w:bCs/>
                <w:color w:val="000000" w:themeColor="text1"/>
                <w:sz w:val="22"/>
              </w:rPr>
              <w:t>Roczny ubytek wpływów abonamentowych z tytułu zwolnień</w:t>
            </w:r>
          </w:p>
        </w:tc>
        <w:tc>
          <w:tcPr>
            <w:tcW w:w="2827" w:type="dxa"/>
            <w:tcBorders>
              <w:top w:val="single" w:sz="8" w:space="0" w:color="000000"/>
              <w:left w:val="nil"/>
              <w:bottom w:val="single" w:sz="4" w:space="0" w:color="auto"/>
              <w:right w:val="single" w:sz="8" w:space="0" w:color="auto"/>
            </w:tcBorders>
            <w:shd w:val="clear" w:color="000000" w:fill="FFFFFF"/>
            <w:noWrap/>
            <w:vAlign w:val="center"/>
            <w:hideMark/>
          </w:tcPr>
          <w:p w:rsidR="00A322FA" w:rsidRPr="009A1E22" w:rsidRDefault="00A322FA" w:rsidP="00F60F38">
            <w:pPr>
              <w:spacing w:after="0" w:line="240" w:lineRule="auto"/>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sz w:val="22"/>
              </w:rPr>
              <w:t>1 216 812 800 zł</w:t>
            </w:r>
          </w:p>
        </w:tc>
      </w:tr>
    </w:tbl>
    <w:p w:rsidR="00A322FA" w:rsidRDefault="00A322FA" w:rsidP="00A322FA">
      <w:pPr>
        <w:spacing w:line="360" w:lineRule="auto"/>
        <w:ind w:firstLine="709"/>
        <w:jc w:val="both"/>
        <w:rPr>
          <w:rFonts w:ascii="Times New Roman" w:eastAsia="Times New Roman" w:hAnsi="Times New Roman" w:cs="Times New Roman"/>
          <w:bCs/>
          <w:color w:val="000000" w:themeColor="text1"/>
          <w:sz w:val="22"/>
        </w:rPr>
      </w:pPr>
    </w:p>
    <w:p w:rsidR="00A322FA" w:rsidRDefault="00A322FA" w:rsidP="00A322FA">
      <w:pPr>
        <w:spacing w:line="360" w:lineRule="auto"/>
        <w:ind w:firstLine="709"/>
        <w:jc w:val="both"/>
        <w:rPr>
          <w:rFonts w:ascii="Times New Roman" w:hAnsi="Times New Roman"/>
          <w:szCs w:val="24"/>
        </w:rPr>
      </w:pPr>
      <w:r w:rsidRPr="000E7F22">
        <w:rPr>
          <w:rFonts w:ascii="Times New Roman" w:hAnsi="Times New Roman" w:cs="Times New Roman"/>
          <w:szCs w:val="24"/>
        </w:rPr>
        <w:lastRenderedPageBreak/>
        <w:t xml:space="preserve">Liczbę </w:t>
      </w:r>
      <w:r w:rsidRPr="003C6986">
        <w:rPr>
          <w:rFonts w:ascii="Times New Roman" w:hAnsi="Times New Roman" w:cs="Times New Roman"/>
          <w:szCs w:val="24"/>
        </w:rPr>
        <w:t>wszystkich abonentów</w:t>
      </w:r>
      <w:r w:rsidRPr="000E7F22">
        <w:rPr>
          <w:rFonts w:ascii="Times New Roman" w:hAnsi="Times New Roman" w:cs="Times New Roman"/>
          <w:szCs w:val="24"/>
        </w:rPr>
        <w:t xml:space="preserve"> </w:t>
      </w:r>
      <w:r>
        <w:rPr>
          <w:rFonts w:ascii="Times New Roman" w:hAnsi="Times New Roman" w:cs="Times New Roman"/>
          <w:szCs w:val="24"/>
        </w:rPr>
        <w:t xml:space="preserve">– gospodarstw domowych </w:t>
      </w:r>
      <w:r w:rsidRPr="000E7F22">
        <w:rPr>
          <w:rFonts w:ascii="Times New Roman" w:hAnsi="Times New Roman" w:cs="Times New Roman"/>
          <w:szCs w:val="24"/>
        </w:rPr>
        <w:t xml:space="preserve">w Polsce </w:t>
      </w:r>
      <w:r>
        <w:rPr>
          <w:rFonts w:ascii="Times New Roman" w:hAnsi="Times New Roman" w:cs="Times New Roman"/>
          <w:szCs w:val="24"/>
        </w:rPr>
        <w:t>obliczono</w:t>
      </w:r>
      <w:r w:rsidRPr="000E7F22">
        <w:rPr>
          <w:rFonts w:ascii="Times New Roman" w:hAnsi="Times New Roman" w:cs="Times New Roman"/>
          <w:szCs w:val="24"/>
        </w:rPr>
        <w:t xml:space="preserve"> </w:t>
      </w:r>
      <w:r>
        <w:rPr>
          <w:rFonts w:ascii="Times New Roman" w:hAnsi="Times New Roman" w:cs="Times New Roman"/>
          <w:szCs w:val="24"/>
        </w:rPr>
        <w:t>poprzez iloraz liczby wszystkich mieszkańców w Polsce</w:t>
      </w:r>
      <w:r w:rsidRPr="000E7F22">
        <w:rPr>
          <w:rStyle w:val="Odwoanieprzypisudolnego"/>
          <w:rFonts w:ascii="Times New Roman" w:hAnsi="Times New Roman" w:cs="Times New Roman"/>
          <w:szCs w:val="24"/>
        </w:rPr>
        <w:footnoteReference w:id="20"/>
      </w:r>
      <w:r>
        <w:rPr>
          <w:rFonts w:ascii="Times New Roman" w:hAnsi="Times New Roman" w:cs="Times New Roman"/>
          <w:szCs w:val="24"/>
        </w:rPr>
        <w:t xml:space="preserve"> i przeciętnej liczby osób w gospodarstwie domowym</w:t>
      </w:r>
      <w:r w:rsidRPr="000E7F22">
        <w:rPr>
          <w:rStyle w:val="Odwoanieprzypisudolnego"/>
          <w:rFonts w:ascii="Times New Roman" w:hAnsi="Times New Roman" w:cs="Times New Roman"/>
          <w:szCs w:val="24"/>
        </w:rPr>
        <w:footnoteReference w:id="21"/>
      </w:r>
      <w:r w:rsidRPr="000E7F22">
        <w:rPr>
          <w:rFonts w:ascii="Times New Roman" w:hAnsi="Times New Roman" w:cs="Times New Roman"/>
          <w:szCs w:val="24"/>
        </w:rPr>
        <w:t>.</w:t>
      </w:r>
      <w:r>
        <w:rPr>
          <w:rFonts w:ascii="Times New Roman" w:hAnsi="Times New Roman" w:cs="Times New Roman"/>
          <w:szCs w:val="24"/>
        </w:rPr>
        <w:t xml:space="preserve"> Następnie tę wartość pomniejszono o liczbę abonentów, którzy zarejestrowali swoje odbiorniki radiowe lub telewizyjne, w efekcie uzyskując liczbę abonentów uchylających się od rejestracji swoich odbiorników. Odsetek abonentów, którym przysługuje zwolnienie z opłaty abonamentowej, ale którzy nie zarejestrowali swoich odbiorników, wyliczono w oparciu o odsetek abonentów zwolnionych (którzy zarejestrowali swoje odbiorniki) w grupie wszystkich abonentów, którzy również zarejestrowali swoje odbiorniki. </w:t>
      </w:r>
      <w:r w:rsidRPr="00CD6679">
        <w:rPr>
          <w:rFonts w:ascii="Times New Roman" w:hAnsi="Times New Roman"/>
          <w:szCs w:val="24"/>
        </w:rPr>
        <w:t>Odsetek abonentów</w:t>
      </w:r>
      <w:r>
        <w:rPr>
          <w:rFonts w:ascii="Times New Roman" w:hAnsi="Times New Roman"/>
          <w:szCs w:val="24"/>
        </w:rPr>
        <w:t xml:space="preserve"> posiadających wyłącznie radio określono jako odsetek gospodarstw nie posiadających telewizora – wg danych GUS.</w:t>
      </w:r>
    </w:p>
    <w:p w:rsidR="00A322FA" w:rsidRDefault="00A322FA" w:rsidP="00A322FA">
      <w:pPr>
        <w:spacing w:line="360" w:lineRule="auto"/>
        <w:ind w:firstLine="709"/>
        <w:jc w:val="both"/>
        <w:rPr>
          <w:rFonts w:ascii="Times New Roman" w:hAnsi="Times New Roman"/>
          <w:szCs w:val="24"/>
        </w:rPr>
      </w:pPr>
      <w:r>
        <w:rPr>
          <w:rFonts w:ascii="Times New Roman" w:hAnsi="Times New Roman"/>
          <w:szCs w:val="24"/>
        </w:rPr>
        <w:t xml:space="preserve">Ponadto należy zwrócić uwagę, iż nie cały ubytek wynikający ze zwolnień za lata 2018 i 2019 został zrekompensowany. Wartość obliczonej rekompensaty ubytku wpływów abonamentowych, który wynika z nieuiszczania opłat abonamentowych przez osoby ustawowo zwolnione od tego obowiązku w latach 2018 i 2019 wyniosła 1 913 306 888 zł. Jednakże mediom publicznym przyznano kwotę 1 260 000 000 zł. W związku z powyższym proponuje się, aby przyznać mediom publicznym niewypłaconą wartość rekompensaty w wysokości </w:t>
      </w:r>
      <w:r w:rsidRPr="00A71BAC">
        <w:rPr>
          <w:rFonts w:ascii="Times New Roman" w:hAnsi="Times New Roman"/>
          <w:szCs w:val="24"/>
        </w:rPr>
        <w:t>653 306 888</w:t>
      </w:r>
      <w:r>
        <w:rPr>
          <w:rFonts w:ascii="Times New Roman" w:hAnsi="Times New Roman"/>
          <w:szCs w:val="24"/>
        </w:rPr>
        <w:t xml:space="preserve"> zł.</w:t>
      </w:r>
    </w:p>
    <w:tbl>
      <w:tblPr>
        <w:tblW w:w="8789" w:type="dxa"/>
        <w:tblInd w:w="132" w:type="dxa"/>
        <w:tblCellMar>
          <w:left w:w="70" w:type="dxa"/>
          <w:right w:w="70" w:type="dxa"/>
        </w:tblCellMar>
        <w:tblLook w:val="04A0" w:firstRow="1" w:lastRow="0" w:firstColumn="1" w:lastColumn="0" w:noHBand="0" w:noVBand="1"/>
      </w:tblPr>
      <w:tblGrid>
        <w:gridCol w:w="5954"/>
        <w:gridCol w:w="2835"/>
      </w:tblGrid>
      <w:tr w:rsidR="00A322FA" w:rsidRPr="003E4E8E" w:rsidTr="00F60F38">
        <w:trPr>
          <w:trHeight w:val="293"/>
        </w:trPr>
        <w:tc>
          <w:tcPr>
            <w:tcW w:w="8789" w:type="dxa"/>
            <w:gridSpan w:val="2"/>
            <w:tcBorders>
              <w:top w:val="single" w:sz="8" w:space="0" w:color="auto"/>
              <w:left w:val="single" w:sz="8" w:space="0" w:color="auto"/>
              <w:bottom w:val="single" w:sz="8" w:space="0" w:color="auto"/>
              <w:right w:val="single" w:sz="8" w:space="0" w:color="000000"/>
            </w:tcBorders>
            <w:shd w:val="clear" w:color="000000" w:fill="F2F2F2"/>
            <w:vAlign w:val="center"/>
            <w:hideMark/>
          </w:tcPr>
          <w:p w:rsidR="00A322FA" w:rsidRPr="003E4E8E" w:rsidRDefault="00A322FA" w:rsidP="00F60F38">
            <w:pPr>
              <w:spacing w:after="0" w:line="240" w:lineRule="auto"/>
              <w:jc w:val="both"/>
              <w:rPr>
                <w:rFonts w:ascii="Times New Roman" w:eastAsia="Times New Roman" w:hAnsi="Times New Roman" w:cs="Times New Roman"/>
                <w:b/>
                <w:bCs/>
                <w:color w:val="000000"/>
              </w:rPr>
            </w:pPr>
            <w:r w:rsidRPr="003E4E8E">
              <w:rPr>
                <w:rFonts w:ascii="Times New Roman" w:eastAsia="Times New Roman" w:hAnsi="Times New Roman" w:cs="Times New Roman"/>
                <w:b/>
                <w:bCs/>
                <w:color w:val="000000"/>
                <w:sz w:val="22"/>
              </w:rPr>
              <w:t>ZESTAWIENIE WYLICZEŃ</w:t>
            </w:r>
          </w:p>
        </w:tc>
      </w:tr>
      <w:tr w:rsidR="00A322FA" w:rsidRPr="003E4E8E" w:rsidTr="00F60F38">
        <w:trPr>
          <w:trHeight w:val="293"/>
        </w:trPr>
        <w:tc>
          <w:tcPr>
            <w:tcW w:w="5954" w:type="dxa"/>
            <w:tcBorders>
              <w:top w:val="nil"/>
              <w:left w:val="single" w:sz="8" w:space="0" w:color="auto"/>
              <w:bottom w:val="single" w:sz="8" w:space="0" w:color="auto"/>
              <w:right w:val="single" w:sz="8" w:space="0" w:color="auto"/>
            </w:tcBorders>
            <w:shd w:val="clear" w:color="000000" w:fill="F2F2F2"/>
            <w:vAlign w:val="center"/>
            <w:hideMark/>
          </w:tcPr>
          <w:p w:rsidR="00A322FA" w:rsidRPr="003E4E8E" w:rsidRDefault="00A322FA" w:rsidP="00F60F38">
            <w:pPr>
              <w:spacing w:after="0" w:line="240" w:lineRule="auto"/>
              <w:rPr>
                <w:rFonts w:ascii="Times New Roman" w:eastAsia="Times New Roman" w:hAnsi="Times New Roman" w:cs="Times New Roman"/>
                <w:b/>
                <w:bCs/>
                <w:color w:val="000000"/>
              </w:rPr>
            </w:pPr>
            <w:r w:rsidRPr="003E4E8E">
              <w:rPr>
                <w:rFonts w:ascii="Times New Roman" w:eastAsia="Times New Roman" w:hAnsi="Times New Roman" w:cs="Times New Roman"/>
                <w:b/>
                <w:bCs/>
                <w:color w:val="000000"/>
                <w:sz w:val="22"/>
              </w:rPr>
              <w:t xml:space="preserve">Ubytek wpływów - abonenci zwolnieni z wnoszenia opłat  </w:t>
            </w:r>
          </w:p>
        </w:tc>
        <w:tc>
          <w:tcPr>
            <w:tcW w:w="2835" w:type="dxa"/>
            <w:tcBorders>
              <w:top w:val="nil"/>
              <w:left w:val="nil"/>
              <w:bottom w:val="single" w:sz="8" w:space="0" w:color="auto"/>
              <w:right w:val="single" w:sz="8" w:space="0" w:color="auto"/>
            </w:tcBorders>
            <w:shd w:val="clear" w:color="000000" w:fill="FFFFFF"/>
            <w:noWrap/>
            <w:vAlign w:val="center"/>
            <w:hideMark/>
          </w:tcPr>
          <w:p w:rsidR="00A322FA" w:rsidRPr="003E4E8E" w:rsidRDefault="00A322FA" w:rsidP="00F60F38">
            <w:pPr>
              <w:spacing w:after="0" w:line="240" w:lineRule="auto"/>
              <w:jc w:val="both"/>
              <w:rPr>
                <w:rFonts w:ascii="Times New Roman" w:eastAsia="Times New Roman" w:hAnsi="Times New Roman" w:cs="Times New Roman"/>
                <w:color w:val="000000"/>
              </w:rPr>
            </w:pPr>
            <w:r w:rsidRPr="003E4E8E">
              <w:rPr>
                <w:rFonts w:ascii="Times New Roman" w:eastAsia="Times New Roman" w:hAnsi="Times New Roman" w:cs="Times New Roman"/>
                <w:color w:val="000000"/>
                <w:sz w:val="22"/>
              </w:rPr>
              <w:t>1 016 720 062 zł</w:t>
            </w:r>
          </w:p>
        </w:tc>
      </w:tr>
      <w:tr w:rsidR="00A322FA" w:rsidRPr="003E4E8E" w:rsidTr="00F60F38">
        <w:trPr>
          <w:trHeight w:val="548"/>
        </w:trPr>
        <w:tc>
          <w:tcPr>
            <w:tcW w:w="5954" w:type="dxa"/>
            <w:tcBorders>
              <w:top w:val="nil"/>
              <w:left w:val="single" w:sz="8" w:space="0" w:color="auto"/>
              <w:bottom w:val="single" w:sz="8" w:space="0" w:color="auto"/>
              <w:right w:val="single" w:sz="8" w:space="0" w:color="auto"/>
            </w:tcBorders>
            <w:shd w:val="clear" w:color="000000" w:fill="F2F2F2"/>
            <w:vAlign w:val="center"/>
            <w:hideMark/>
          </w:tcPr>
          <w:p w:rsidR="00A322FA" w:rsidRPr="003E4E8E" w:rsidRDefault="00A322FA" w:rsidP="00F60F38">
            <w:pPr>
              <w:spacing w:after="0" w:line="240" w:lineRule="auto"/>
              <w:rPr>
                <w:rFonts w:ascii="Times New Roman" w:eastAsia="Times New Roman" w:hAnsi="Times New Roman" w:cs="Times New Roman"/>
                <w:b/>
                <w:bCs/>
                <w:color w:val="000000"/>
              </w:rPr>
            </w:pPr>
            <w:r w:rsidRPr="003E4E8E">
              <w:rPr>
                <w:rFonts w:ascii="Times New Roman" w:eastAsia="Times New Roman" w:hAnsi="Times New Roman" w:cs="Times New Roman"/>
                <w:b/>
                <w:bCs/>
                <w:color w:val="000000"/>
                <w:sz w:val="22"/>
              </w:rPr>
              <w:t xml:space="preserve">Ubytek wpływów - abonenci niezarejestrowani, posiadający prawo do zwolnienia </w:t>
            </w:r>
          </w:p>
        </w:tc>
        <w:tc>
          <w:tcPr>
            <w:tcW w:w="2835" w:type="dxa"/>
            <w:tcBorders>
              <w:top w:val="nil"/>
              <w:left w:val="nil"/>
              <w:bottom w:val="single" w:sz="8" w:space="0" w:color="auto"/>
              <w:right w:val="single" w:sz="8" w:space="0" w:color="auto"/>
            </w:tcBorders>
            <w:shd w:val="clear" w:color="000000" w:fill="FFFFFF"/>
            <w:noWrap/>
            <w:vAlign w:val="center"/>
            <w:hideMark/>
          </w:tcPr>
          <w:p w:rsidR="00A322FA" w:rsidRPr="003E4E8E" w:rsidRDefault="00A322FA" w:rsidP="00F60F38">
            <w:pPr>
              <w:spacing w:after="0" w:line="240" w:lineRule="auto"/>
              <w:jc w:val="both"/>
              <w:rPr>
                <w:rFonts w:ascii="Times New Roman" w:eastAsia="Times New Roman" w:hAnsi="Times New Roman" w:cs="Times New Roman"/>
                <w:color w:val="000000"/>
              </w:rPr>
            </w:pPr>
            <w:r w:rsidRPr="003E4E8E">
              <w:rPr>
                <w:rFonts w:ascii="Times New Roman" w:eastAsia="Times New Roman" w:hAnsi="Times New Roman" w:cs="Times New Roman"/>
                <w:color w:val="000000"/>
                <w:sz w:val="22"/>
              </w:rPr>
              <w:t>1 216 812 800 zł</w:t>
            </w:r>
          </w:p>
        </w:tc>
      </w:tr>
      <w:tr w:rsidR="00A322FA" w:rsidRPr="003E4E8E" w:rsidTr="00F60F38">
        <w:trPr>
          <w:trHeight w:val="293"/>
        </w:trPr>
        <w:tc>
          <w:tcPr>
            <w:tcW w:w="5954" w:type="dxa"/>
            <w:tcBorders>
              <w:top w:val="nil"/>
              <w:left w:val="single" w:sz="8" w:space="0" w:color="auto"/>
              <w:bottom w:val="single" w:sz="8" w:space="0" w:color="auto"/>
              <w:right w:val="single" w:sz="8" w:space="0" w:color="auto"/>
            </w:tcBorders>
            <w:shd w:val="clear" w:color="000000" w:fill="F2F2F2"/>
            <w:vAlign w:val="center"/>
            <w:hideMark/>
          </w:tcPr>
          <w:p w:rsidR="00A322FA" w:rsidRPr="003E4E8E" w:rsidRDefault="00A322FA" w:rsidP="00F60F38">
            <w:pPr>
              <w:spacing w:after="0" w:line="240" w:lineRule="auto"/>
              <w:rPr>
                <w:rFonts w:ascii="Times New Roman" w:eastAsia="Times New Roman" w:hAnsi="Times New Roman" w:cs="Times New Roman"/>
                <w:b/>
                <w:bCs/>
                <w:color w:val="000000"/>
              </w:rPr>
            </w:pPr>
            <w:r w:rsidRPr="003E4E8E">
              <w:rPr>
                <w:rFonts w:ascii="Times New Roman" w:eastAsia="Times New Roman" w:hAnsi="Times New Roman" w:cs="Times New Roman"/>
                <w:b/>
                <w:bCs/>
                <w:color w:val="000000"/>
                <w:sz w:val="22"/>
              </w:rPr>
              <w:t xml:space="preserve">Niewypłacona część rekompensaty przysługująca za lata 2018 i 2019 </w:t>
            </w:r>
          </w:p>
        </w:tc>
        <w:tc>
          <w:tcPr>
            <w:tcW w:w="2835" w:type="dxa"/>
            <w:tcBorders>
              <w:top w:val="nil"/>
              <w:left w:val="nil"/>
              <w:bottom w:val="single" w:sz="8" w:space="0" w:color="auto"/>
              <w:right w:val="single" w:sz="8" w:space="0" w:color="auto"/>
            </w:tcBorders>
            <w:shd w:val="clear" w:color="000000" w:fill="FFFFFF"/>
            <w:noWrap/>
            <w:vAlign w:val="center"/>
            <w:hideMark/>
          </w:tcPr>
          <w:p w:rsidR="00A322FA" w:rsidRPr="003E4E8E" w:rsidRDefault="00A322FA" w:rsidP="00F60F38">
            <w:pPr>
              <w:spacing w:after="0" w:line="240" w:lineRule="auto"/>
              <w:jc w:val="both"/>
              <w:rPr>
                <w:rFonts w:ascii="Times New Roman" w:eastAsia="Times New Roman" w:hAnsi="Times New Roman" w:cs="Times New Roman"/>
                <w:color w:val="000000"/>
              </w:rPr>
            </w:pPr>
            <w:r w:rsidRPr="003E4E8E">
              <w:rPr>
                <w:rFonts w:ascii="Times New Roman" w:eastAsia="Times New Roman" w:hAnsi="Times New Roman" w:cs="Times New Roman"/>
                <w:color w:val="000000"/>
                <w:sz w:val="22"/>
              </w:rPr>
              <w:t>653 306 888 zł</w:t>
            </w:r>
          </w:p>
        </w:tc>
      </w:tr>
      <w:tr w:rsidR="00A322FA" w:rsidRPr="003E4E8E" w:rsidTr="00F60F38">
        <w:trPr>
          <w:trHeight w:val="293"/>
        </w:trPr>
        <w:tc>
          <w:tcPr>
            <w:tcW w:w="5954" w:type="dxa"/>
            <w:tcBorders>
              <w:top w:val="nil"/>
              <w:left w:val="single" w:sz="8" w:space="0" w:color="auto"/>
              <w:bottom w:val="single" w:sz="8" w:space="0" w:color="auto"/>
              <w:right w:val="single" w:sz="8" w:space="0" w:color="auto"/>
            </w:tcBorders>
            <w:shd w:val="clear" w:color="000000" w:fill="F2F2F2"/>
            <w:vAlign w:val="center"/>
            <w:hideMark/>
          </w:tcPr>
          <w:p w:rsidR="00A322FA" w:rsidRPr="003E4E8E" w:rsidRDefault="00A322FA" w:rsidP="00F60F38">
            <w:pPr>
              <w:spacing w:after="0" w:line="240" w:lineRule="auto"/>
              <w:rPr>
                <w:rFonts w:ascii="Times New Roman" w:eastAsia="Times New Roman" w:hAnsi="Times New Roman" w:cs="Times New Roman"/>
                <w:b/>
                <w:bCs/>
                <w:color w:val="000000"/>
              </w:rPr>
            </w:pPr>
            <w:r w:rsidRPr="003E4E8E">
              <w:rPr>
                <w:rFonts w:ascii="Times New Roman" w:eastAsia="Times New Roman" w:hAnsi="Times New Roman" w:cs="Times New Roman"/>
                <w:b/>
                <w:bCs/>
                <w:color w:val="000000"/>
                <w:sz w:val="22"/>
              </w:rPr>
              <w:t>RAZEM</w:t>
            </w:r>
          </w:p>
        </w:tc>
        <w:tc>
          <w:tcPr>
            <w:tcW w:w="2835" w:type="dxa"/>
            <w:tcBorders>
              <w:top w:val="nil"/>
              <w:left w:val="nil"/>
              <w:bottom w:val="single" w:sz="8" w:space="0" w:color="auto"/>
              <w:right w:val="single" w:sz="8" w:space="0" w:color="auto"/>
            </w:tcBorders>
            <w:shd w:val="clear" w:color="000000" w:fill="FFFFFF"/>
            <w:noWrap/>
            <w:vAlign w:val="center"/>
            <w:hideMark/>
          </w:tcPr>
          <w:p w:rsidR="00A322FA" w:rsidRPr="003E4E8E" w:rsidRDefault="00A322FA" w:rsidP="00F60F38">
            <w:pPr>
              <w:spacing w:after="0" w:line="240" w:lineRule="auto"/>
              <w:jc w:val="both"/>
              <w:rPr>
                <w:rFonts w:ascii="Times New Roman" w:eastAsia="Times New Roman" w:hAnsi="Times New Roman" w:cs="Times New Roman"/>
                <w:color w:val="000000"/>
              </w:rPr>
            </w:pPr>
            <w:r w:rsidRPr="003E4E8E">
              <w:rPr>
                <w:rFonts w:ascii="Times New Roman" w:eastAsia="Times New Roman" w:hAnsi="Times New Roman" w:cs="Times New Roman"/>
                <w:color w:val="000000"/>
                <w:sz w:val="22"/>
              </w:rPr>
              <w:t>2 886 839 750 zł</w:t>
            </w:r>
          </w:p>
        </w:tc>
      </w:tr>
    </w:tbl>
    <w:p w:rsidR="00A322FA" w:rsidRDefault="00A322FA" w:rsidP="00A322FA">
      <w:pPr>
        <w:spacing w:line="360" w:lineRule="auto"/>
        <w:ind w:firstLine="709"/>
        <w:jc w:val="both"/>
        <w:rPr>
          <w:rFonts w:ascii="Times New Roman" w:hAnsi="Times New Roman"/>
          <w:szCs w:val="24"/>
        </w:rPr>
      </w:pPr>
    </w:p>
    <w:p w:rsidR="00A322FA" w:rsidRDefault="00A322FA" w:rsidP="00A322FA">
      <w:pPr>
        <w:spacing w:line="360" w:lineRule="auto"/>
        <w:ind w:firstLine="709"/>
        <w:jc w:val="both"/>
        <w:rPr>
          <w:rFonts w:ascii="Times New Roman" w:hAnsi="Times New Roman"/>
          <w:szCs w:val="24"/>
        </w:rPr>
      </w:pPr>
      <w:r>
        <w:rPr>
          <w:rFonts w:ascii="Times New Roman" w:hAnsi="Times New Roman"/>
          <w:szCs w:val="24"/>
        </w:rPr>
        <w:t xml:space="preserve">Proponuje się, aby z powyższej kwoty przyznać mediom publicznym w roku 2020 rekompensatę w formie skarbowych papierów wartościowych o wartości </w:t>
      </w:r>
      <w:proofErr w:type="spellStart"/>
      <w:r>
        <w:rPr>
          <w:rFonts w:ascii="Times New Roman" w:hAnsi="Times New Roman"/>
          <w:szCs w:val="24"/>
        </w:rPr>
        <w:t>nominalniej</w:t>
      </w:r>
      <w:proofErr w:type="spellEnd"/>
      <w:r>
        <w:rPr>
          <w:rFonts w:ascii="Times New Roman" w:hAnsi="Times New Roman"/>
          <w:szCs w:val="24"/>
        </w:rPr>
        <w:t xml:space="preserve"> nie większej, niż 1 950 000 000 zł, tym samym s</w:t>
      </w:r>
      <w:r w:rsidRPr="00CD6679">
        <w:rPr>
          <w:rFonts w:ascii="Times New Roman" w:hAnsi="Times New Roman"/>
          <w:szCs w:val="24"/>
        </w:rPr>
        <w:t xml:space="preserve">kutki finansowe ustawy </w:t>
      </w:r>
      <w:r>
        <w:rPr>
          <w:rFonts w:ascii="Times New Roman" w:hAnsi="Times New Roman"/>
          <w:szCs w:val="24"/>
        </w:rPr>
        <w:t xml:space="preserve">nie przekroczą powyższej wartości. </w:t>
      </w:r>
    </w:p>
    <w:p w:rsidR="00A322FA" w:rsidRDefault="00A322FA" w:rsidP="00A322FA">
      <w:pPr>
        <w:autoSpaceDE w:val="0"/>
        <w:autoSpaceDN w:val="0"/>
        <w:adjustRightInd w:val="0"/>
        <w:spacing w:after="120" w:line="360" w:lineRule="auto"/>
        <w:ind w:firstLine="708"/>
        <w:jc w:val="both"/>
        <w:rPr>
          <w:rFonts w:ascii="Times New Roman" w:hAnsi="Times New Roman"/>
          <w:szCs w:val="24"/>
        </w:rPr>
      </w:pPr>
      <w:r>
        <w:rPr>
          <w:rFonts w:ascii="Times New Roman" w:hAnsi="Times New Roman"/>
          <w:szCs w:val="24"/>
        </w:rPr>
        <w:t xml:space="preserve">Projekt wywołuje pozytywne skutki społeczne i prawne. </w:t>
      </w:r>
    </w:p>
    <w:p w:rsidR="00A322FA" w:rsidRPr="00F32931" w:rsidRDefault="00A322FA" w:rsidP="00A322FA">
      <w:pPr>
        <w:spacing w:line="360" w:lineRule="auto"/>
        <w:ind w:left="142" w:firstLine="567"/>
        <w:jc w:val="both"/>
        <w:rPr>
          <w:rFonts w:ascii="Times New Roman" w:hAnsi="Times New Roman"/>
          <w:szCs w:val="24"/>
        </w:rPr>
      </w:pPr>
    </w:p>
    <w:p w:rsidR="00A322FA" w:rsidRPr="000060E1" w:rsidRDefault="00A322FA" w:rsidP="00A322FA">
      <w:pPr>
        <w:numPr>
          <w:ilvl w:val="0"/>
          <w:numId w:val="1"/>
        </w:numPr>
        <w:spacing w:line="360" w:lineRule="auto"/>
        <w:jc w:val="both"/>
        <w:rPr>
          <w:rFonts w:ascii="Times New Roman" w:hAnsi="Times New Roman"/>
          <w:b/>
          <w:szCs w:val="24"/>
        </w:rPr>
      </w:pPr>
      <w:r w:rsidRPr="000060E1">
        <w:rPr>
          <w:rFonts w:ascii="Times New Roman" w:hAnsi="Times New Roman"/>
          <w:b/>
          <w:szCs w:val="24"/>
        </w:rPr>
        <w:lastRenderedPageBreak/>
        <w:t>Stosunek do prawa Unii Europejskiej.</w:t>
      </w:r>
    </w:p>
    <w:p w:rsidR="00A322FA" w:rsidRPr="000060E1" w:rsidRDefault="00A322FA" w:rsidP="00A322FA">
      <w:pPr>
        <w:spacing w:line="360" w:lineRule="auto"/>
        <w:jc w:val="both"/>
        <w:rPr>
          <w:rFonts w:ascii="Times New Roman" w:hAnsi="Times New Roman"/>
          <w:szCs w:val="24"/>
        </w:rPr>
      </w:pPr>
      <w:r w:rsidRPr="000060E1">
        <w:rPr>
          <w:rFonts w:ascii="Times New Roman" w:hAnsi="Times New Roman"/>
          <w:szCs w:val="24"/>
        </w:rPr>
        <w:t xml:space="preserve"> </w:t>
      </w:r>
      <w:r w:rsidRPr="000060E1">
        <w:rPr>
          <w:rFonts w:ascii="Times New Roman" w:hAnsi="Times New Roman"/>
          <w:szCs w:val="24"/>
        </w:rPr>
        <w:tab/>
        <w:t>Przedmiot projektowanej regulacji zasadniczo nie jest objęty prawem Unii Europejskiej. System publicznego finansowania mediów publicznych, w tym określenie źródła i sposobu ich finansowania – należy do kompetencji krajowych. W państwach członkowskich UE istnieją różne systemy finansowania mediów publicznych, a w państwach stosujących opłaty abonamentowe, spotykane jest rekompensowanie zwolnień z tych opłat z budżetu państwa.</w:t>
      </w:r>
      <w:r w:rsidRPr="000060E1">
        <w:rPr>
          <w:rStyle w:val="Odwoanieprzypisudolnego"/>
          <w:rFonts w:ascii="Times New Roman" w:hAnsi="Times New Roman"/>
          <w:szCs w:val="24"/>
        </w:rPr>
        <w:footnoteReference w:id="22"/>
      </w:r>
      <w:r w:rsidRPr="000060E1">
        <w:rPr>
          <w:rFonts w:ascii="Times New Roman" w:hAnsi="Times New Roman"/>
          <w:szCs w:val="24"/>
        </w:rPr>
        <w:t xml:space="preserve"> </w:t>
      </w:r>
    </w:p>
    <w:p w:rsidR="00A322FA" w:rsidRPr="000060E1" w:rsidRDefault="00A322FA" w:rsidP="00A322FA">
      <w:pPr>
        <w:spacing w:line="360" w:lineRule="auto"/>
        <w:ind w:firstLine="708"/>
        <w:jc w:val="both"/>
        <w:rPr>
          <w:rFonts w:ascii="Times New Roman" w:hAnsi="Times New Roman"/>
          <w:szCs w:val="24"/>
        </w:rPr>
      </w:pPr>
      <w:r w:rsidRPr="000060E1">
        <w:rPr>
          <w:rFonts w:ascii="Times New Roman" w:hAnsi="Times New Roman"/>
          <w:szCs w:val="24"/>
        </w:rPr>
        <w:t xml:space="preserve">Zgodnie z protokołem nr 29 w sprawie systemu publicznego nadawania w Państwach Członkowskich, zwanym protokołem amsterdamskim, do Traktatu o Unii Europejskiej: </w:t>
      </w:r>
      <w:r w:rsidRPr="000060E1">
        <w:rPr>
          <w:rFonts w:ascii="Times New Roman" w:hAnsi="Times New Roman"/>
          <w:i/>
          <w:szCs w:val="24"/>
        </w:rPr>
        <w:t>Postanowienia Traktatów nie naruszają kompetencji Państw Członkowskich w zakresie zapewnienia finansowania publicznego nadawania w zakresie, w jakim finansowanie przyznaje się organizacjom nadawczym w celu wypełniania misji służby publicznej, która została powierzona, określona i zorganizowana przez każde Państwo Członkowskie, oraz w zakresie, w jakim takie finansowanie nie wpływa na warunki handlowe i konkurencję w Unii w zakresie, w jakim byłoby to sprzeczne ze wspólnym interesem, przy uwzględnieniu konieczności realizacji mandatu tej służby publicznej.</w:t>
      </w:r>
      <w:r w:rsidRPr="000060E1">
        <w:rPr>
          <w:rFonts w:ascii="Times New Roman" w:hAnsi="Times New Roman"/>
          <w:szCs w:val="24"/>
        </w:rPr>
        <w:t xml:space="preserve"> </w:t>
      </w:r>
    </w:p>
    <w:p w:rsidR="00A322FA" w:rsidRPr="000060E1" w:rsidRDefault="00A322FA" w:rsidP="00A322FA">
      <w:pPr>
        <w:spacing w:line="360" w:lineRule="auto"/>
        <w:ind w:firstLine="708"/>
        <w:jc w:val="both"/>
        <w:rPr>
          <w:rFonts w:ascii="Times New Roman" w:hAnsi="Times New Roman"/>
          <w:szCs w:val="24"/>
        </w:rPr>
      </w:pPr>
      <w:r w:rsidRPr="000060E1">
        <w:rPr>
          <w:rFonts w:ascii="Times New Roman" w:hAnsi="Times New Roman"/>
          <w:szCs w:val="24"/>
        </w:rPr>
        <w:t>Istotne znaczenie ma też komunikat Komisji Europejskiej z 2009 r. w sprawie stosowania zasad pomocy państwa wobec radiofonii i telewizji publicznej,</w:t>
      </w:r>
      <w:r w:rsidRPr="000060E1">
        <w:rPr>
          <w:rStyle w:val="Odwoanieprzypisudolnego"/>
          <w:rFonts w:ascii="Times New Roman" w:hAnsi="Times New Roman"/>
          <w:szCs w:val="24"/>
        </w:rPr>
        <w:footnoteReference w:id="23"/>
      </w:r>
      <w:r w:rsidRPr="000060E1">
        <w:rPr>
          <w:rFonts w:ascii="Times New Roman" w:hAnsi="Times New Roman"/>
          <w:szCs w:val="24"/>
        </w:rPr>
        <w:t xml:space="preserve"> zwany komunikatem nadawczym. Zgodnie z nim wymagane jest zwłaszcza odpowiednie powierzenie i zdefiniowanie misji publicznej, nadzór nad jej realizacją, przejrzystość finansowa oraz proporcjonalność finansowania (przeciwdziałanie nadmiernej rekompensacie). Projektowana ustawa nie zmienia istniejących regulacji w tym zakresie, zawartych głównie w ustawie o radiofonii i telewizji (art. 21 i n.). Niezmienione pozostają zasady ustawy o opłatach abonamentowych stanowiące, że wpływy ze środków publicznych przeznacza się wyłącznie na realizację misji publicznej mediów publicznych w wysokości nieprzekraczającej wydatków ponoszonych </w:t>
      </w:r>
      <w:r>
        <w:rPr>
          <w:rFonts w:ascii="Times New Roman" w:hAnsi="Times New Roman"/>
          <w:szCs w:val="24"/>
        </w:rPr>
        <w:t xml:space="preserve">w </w:t>
      </w:r>
      <w:r w:rsidRPr="000060E1">
        <w:rPr>
          <w:rFonts w:ascii="Times New Roman" w:hAnsi="Times New Roman"/>
          <w:szCs w:val="24"/>
        </w:rPr>
        <w:t xml:space="preserve">związku z realizacją tej misji, przy zaliczaniu ewentualnej nadwyżki na poczet wydatków na ten cel w następnym okresie (art. 8 ust. 1 i 4). Podobnie jest z przepisami przyznającymi KRRiT kompetencje w zakresie kształtowania wpływów abonamentowych poszczególnych nadawców publicznych, w drodze określania wysokości opłat (art. 3 ust. 5) oraz sposobu podziału wpływów z nich między tych nadawców i zaliczkowego przekazywania </w:t>
      </w:r>
      <w:r w:rsidRPr="000060E1">
        <w:rPr>
          <w:rFonts w:ascii="Times New Roman" w:hAnsi="Times New Roman"/>
          <w:szCs w:val="24"/>
        </w:rPr>
        <w:lastRenderedPageBreak/>
        <w:t xml:space="preserve">środków na realizację misji (art. 8 ust. 2 i 3). W model ten wpasowane zostały rozwiązania projektowanej ustawy. </w:t>
      </w:r>
    </w:p>
    <w:p w:rsidR="00A322FA" w:rsidRPr="000060E1" w:rsidRDefault="00A322FA" w:rsidP="00A322FA">
      <w:pPr>
        <w:spacing w:line="360" w:lineRule="auto"/>
        <w:ind w:firstLine="708"/>
        <w:jc w:val="both"/>
        <w:rPr>
          <w:rFonts w:ascii="Times New Roman" w:hAnsi="Times New Roman"/>
          <w:szCs w:val="24"/>
        </w:rPr>
      </w:pPr>
      <w:r>
        <w:rPr>
          <w:rFonts w:ascii="Times New Roman" w:hAnsi="Times New Roman"/>
          <w:szCs w:val="24"/>
        </w:rPr>
        <w:t>Istotne jest</w:t>
      </w:r>
      <w:r w:rsidRPr="000060E1">
        <w:rPr>
          <w:rFonts w:ascii="Times New Roman" w:hAnsi="Times New Roman"/>
          <w:szCs w:val="24"/>
        </w:rPr>
        <w:t xml:space="preserve"> dostosowanie przepisów o mediach publicznych w ustawie o radiofonii i telewizji do komunikatu nadawczego</w:t>
      </w:r>
      <w:r>
        <w:rPr>
          <w:rFonts w:ascii="Times New Roman" w:hAnsi="Times New Roman"/>
          <w:szCs w:val="24"/>
        </w:rPr>
        <w:t xml:space="preserve"> Komisji Europejskiej z 2009 r., które nastąpiło na mocy ustawy z dnia 20 lipca 2018 r. o zmianie ustawy o radiofonii i telewizji oraz ustawy o opłatach abonamentowych (Dz. U. poz. 1717). </w:t>
      </w:r>
      <w:r w:rsidRPr="000060E1">
        <w:rPr>
          <w:rFonts w:ascii="Times New Roman" w:hAnsi="Times New Roman"/>
          <w:szCs w:val="24"/>
        </w:rPr>
        <w:t>Obejm</w:t>
      </w:r>
      <w:r>
        <w:rPr>
          <w:rFonts w:ascii="Times New Roman" w:hAnsi="Times New Roman"/>
          <w:szCs w:val="24"/>
        </w:rPr>
        <w:t>uje to</w:t>
      </w:r>
      <w:r w:rsidRPr="000060E1">
        <w:rPr>
          <w:rFonts w:ascii="Times New Roman" w:hAnsi="Times New Roman"/>
          <w:szCs w:val="24"/>
        </w:rPr>
        <w:t xml:space="preserve"> doprecyzowanie misji publicznej i dodatkowe gwarancje proporcjonalności publicznego finansowania mediów publicznych. Zakłada się stosowanie tych nowych rozwiązań wraz z uzyskiwaniem efektów stosowania ustawy opartej na niniejszym projekcie. </w:t>
      </w:r>
    </w:p>
    <w:p w:rsidR="00A322FA" w:rsidRPr="002F0690" w:rsidRDefault="00A322FA" w:rsidP="00A322FA">
      <w:pPr>
        <w:spacing w:line="360" w:lineRule="auto"/>
        <w:ind w:firstLine="708"/>
        <w:jc w:val="both"/>
        <w:rPr>
          <w:rFonts w:ascii="Times New Roman" w:hAnsi="Times New Roman"/>
          <w:szCs w:val="24"/>
        </w:rPr>
      </w:pPr>
      <w:r w:rsidRPr="000060E1">
        <w:rPr>
          <w:rFonts w:ascii="Times New Roman" w:hAnsi="Times New Roman"/>
          <w:szCs w:val="24"/>
        </w:rPr>
        <w:t>Projektowana nowelizacja ustawy o opłatach abonamentowych nie stanowi nowej pomocy państwa w rozumieniu prawa Unii Europejskiej.</w:t>
      </w:r>
      <w:r w:rsidRPr="000060E1">
        <w:rPr>
          <w:rStyle w:val="Odwoanieprzypisudolnego"/>
          <w:rFonts w:ascii="Times New Roman" w:hAnsi="Times New Roman"/>
          <w:szCs w:val="24"/>
        </w:rPr>
        <w:footnoteReference w:id="24"/>
      </w:r>
      <w:r w:rsidRPr="000060E1">
        <w:rPr>
          <w:rFonts w:ascii="Times New Roman" w:hAnsi="Times New Roman"/>
          <w:szCs w:val="24"/>
        </w:rPr>
        <w:t xml:space="preserve"> Jak wyjaśnia komunikat nadawczy z 2009 r., przy ocenie charakteru pomocy jako pomocy istniejącej albo nowej, uwzględnia się: 1) czy pierwotny sposób finansowania stanowi pomoc istniejącą; 2) czy późniejsze zmiany wpływają na istotę pierwotnego środka (tj. charakter korzyści lub źródło finansowania, cel pomocy, beneficjentów lub zakres działań beneficjentów), czy też mają one charakter formalny lub administracyjny; 3) w przypadku, gdy późniejsze zmiany są istotne, czy można je oddzielić od pierwotnego środka.</w:t>
      </w:r>
      <w:r w:rsidRPr="000060E1">
        <w:rPr>
          <w:rStyle w:val="Odwoanieprzypisudolnego"/>
          <w:rFonts w:ascii="Times New Roman" w:hAnsi="Times New Roman"/>
          <w:szCs w:val="24"/>
        </w:rPr>
        <w:footnoteReference w:id="25"/>
      </w:r>
      <w:r w:rsidRPr="000060E1">
        <w:rPr>
          <w:rFonts w:ascii="Times New Roman" w:hAnsi="Times New Roman"/>
          <w:szCs w:val="24"/>
        </w:rPr>
        <w:t xml:space="preserve"> System finansowania polskich mediów publicznych ze środków publicznych, w tym opłat abonamentowych i </w:t>
      </w:r>
      <w:r>
        <w:rPr>
          <w:rFonts w:ascii="Times New Roman" w:hAnsi="Times New Roman"/>
          <w:szCs w:val="24"/>
        </w:rPr>
        <w:t>budżetu państwa</w:t>
      </w:r>
      <w:r w:rsidRPr="000060E1">
        <w:rPr>
          <w:rFonts w:ascii="Times New Roman" w:hAnsi="Times New Roman"/>
          <w:szCs w:val="24"/>
        </w:rPr>
        <w:t>, jako wprowadzony przed datą miarodajną dla oceny charakteru pomocy (jako istniejącej albo nowej) stanowi pomoc istniejącą. Zmiany wprowadzane projektowaną nowelizacją nie wpływają na istotę środka. Sprowadzają się one do zrekompensowania ubytku w ramach jednego z istniejących publicznych źródeł przychodów nadawców publicznych (opłaty abonamentowe), z innego przewidzianego w obecnych przepisac</w:t>
      </w:r>
      <w:r>
        <w:rPr>
          <w:rFonts w:ascii="Times New Roman" w:hAnsi="Times New Roman"/>
          <w:szCs w:val="24"/>
        </w:rPr>
        <w:t>h (art. 31 ust. 2 ustawy</w:t>
      </w:r>
      <w:r w:rsidRPr="000060E1">
        <w:rPr>
          <w:rFonts w:ascii="Times New Roman" w:hAnsi="Times New Roman"/>
          <w:szCs w:val="24"/>
        </w:rPr>
        <w:t xml:space="preserve"> o radiofonii i telewizji) takiego źródła (budżetu państwa)</w:t>
      </w:r>
      <w:r>
        <w:rPr>
          <w:rFonts w:ascii="Times New Roman" w:hAnsi="Times New Roman"/>
          <w:szCs w:val="24"/>
        </w:rPr>
        <w:t>, przy określeniu zasad i trybu takiej rekompensaty w celu zapewnienia jej proporcjonalności</w:t>
      </w:r>
      <w:r w:rsidRPr="000060E1">
        <w:rPr>
          <w:rFonts w:ascii="Times New Roman" w:hAnsi="Times New Roman"/>
          <w:szCs w:val="24"/>
        </w:rPr>
        <w:t xml:space="preserve">. </w:t>
      </w:r>
      <w:r>
        <w:rPr>
          <w:rFonts w:ascii="Times New Roman" w:hAnsi="Times New Roman"/>
          <w:szCs w:val="24"/>
        </w:rPr>
        <w:t xml:space="preserve">Jednocześnie przewiduje się poddanie projektowanej rekompensaty kompetencjom KRRiT, w zakresie podziału i przekazywania środków nadawcom publicznym, nadzoru nad ich wydatkowaniem w oparciu o sprawozdania nadawców publicznych, a także obowiązkom nadawców publicznych dotyczącym publicznych źródeł finansowania (odrębna ewidencja rachunkowa, sprawozdania, itd.) – tak jak w wypadku opłat </w:t>
      </w:r>
      <w:r>
        <w:rPr>
          <w:rFonts w:ascii="Times New Roman" w:hAnsi="Times New Roman"/>
          <w:szCs w:val="24"/>
        </w:rPr>
        <w:lastRenderedPageBreak/>
        <w:t xml:space="preserve">abonamentowych. </w:t>
      </w:r>
      <w:r w:rsidRPr="000060E1">
        <w:rPr>
          <w:rFonts w:ascii="Times New Roman" w:hAnsi="Times New Roman"/>
          <w:szCs w:val="24"/>
        </w:rPr>
        <w:t xml:space="preserve">Jest to </w:t>
      </w:r>
      <w:r>
        <w:rPr>
          <w:rFonts w:ascii="Times New Roman" w:hAnsi="Times New Roman"/>
          <w:szCs w:val="24"/>
        </w:rPr>
        <w:t xml:space="preserve">więc </w:t>
      </w:r>
      <w:r w:rsidRPr="000060E1">
        <w:rPr>
          <w:rFonts w:ascii="Times New Roman" w:hAnsi="Times New Roman"/>
          <w:szCs w:val="24"/>
        </w:rPr>
        <w:t>sytuacja zbliżona do takiej, w której ustawo</w:t>
      </w:r>
      <w:r>
        <w:rPr>
          <w:rFonts w:ascii="Times New Roman" w:hAnsi="Times New Roman"/>
          <w:szCs w:val="24"/>
        </w:rPr>
        <w:t>da</w:t>
      </w:r>
      <w:r w:rsidRPr="000060E1">
        <w:rPr>
          <w:rFonts w:ascii="Times New Roman" w:hAnsi="Times New Roman"/>
          <w:szCs w:val="24"/>
        </w:rPr>
        <w:t>wca uchyliłby uprzednio wprowadzon</w:t>
      </w:r>
      <w:r>
        <w:rPr>
          <w:rFonts w:ascii="Times New Roman" w:hAnsi="Times New Roman"/>
          <w:szCs w:val="24"/>
        </w:rPr>
        <w:t>e</w:t>
      </w:r>
      <w:r w:rsidRPr="000060E1">
        <w:rPr>
          <w:rFonts w:ascii="Times New Roman" w:hAnsi="Times New Roman"/>
          <w:szCs w:val="24"/>
        </w:rPr>
        <w:t xml:space="preserve"> zwolnie</w:t>
      </w:r>
      <w:r>
        <w:rPr>
          <w:rFonts w:ascii="Times New Roman" w:hAnsi="Times New Roman"/>
          <w:szCs w:val="24"/>
        </w:rPr>
        <w:t>nia</w:t>
      </w:r>
      <w:r w:rsidRPr="000060E1">
        <w:rPr>
          <w:rFonts w:ascii="Times New Roman" w:hAnsi="Times New Roman"/>
          <w:szCs w:val="24"/>
        </w:rPr>
        <w:t xml:space="preserve">. Nie zmienia się ani charakter korzyści, ani źródło finansowania (opłaty abonamentowe i </w:t>
      </w:r>
      <w:r>
        <w:rPr>
          <w:rFonts w:ascii="Times New Roman" w:hAnsi="Times New Roman"/>
          <w:szCs w:val="24"/>
        </w:rPr>
        <w:t xml:space="preserve">środki z </w:t>
      </w:r>
      <w:r w:rsidRPr="000060E1">
        <w:rPr>
          <w:rFonts w:ascii="Times New Roman" w:hAnsi="Times New Roman"/>
          <w:szCs w:val="24"/>
        </w:rPr>
        <w:t>budżetu państwa). Ten sam pozostaje cel pomocy (finansowanie realizacji misji publicznej radiofonii i telewizji), beneficjenci (TVP, Polskie Radio i jednostki publicznej radiofonii regionalnej), zakres działań beneficjentów (określony w art. 21 i nast. ustawy o radiofonii i telewizji</w:t>
      </w:r>
      <w:r>
        <w:rPr>
          <w:rFonts w:ascii="Times New Roman" w:hAnsi="Times New Roman"/>
          <w:szCs w:val="24"/>
        </w:rPr>
        <w:t xml:space="preserve"> i doprecyzowany w rocznych planach finansowo-programowych</w:t>
      </w:r>
      <w:r w:rsidRPr="000060E1">
        <w:rPr>
          <w:rFonts w:ascii="Times New Roman" w:hAnsi="Times New Roman"/>
          <w:szCs w:val="24"/>
        </w:rPr>
        <w:t xml:space="preserve">). Nowelizacja nie zmienia zatem charakteru finansowania mediów publicznych z opłat abonamentowych i </w:t>
      </w:r>
      <w:r>
        <w:rPr>
          <w:rFonts w:ascii="Times New Roman" w:hAnsi="Times New Roman"/>
          <w:szCs w:val="24"/>
        </w:rPr>
        <w:t xml:space="preserve">środków </w:t>
      </w:r>
      <w:r w:rsidRPr="000060E1">
        <w:rPr>
          <w:rFonts w:ascii="Times New Roman" w:hAnsi="Times New Roman"/>
          <w:szCs w:val="24"/>
        </w:rPr>
        <w:t xml:space="preserve">budżetowych jako pomocy istniejącej na gruncie prawa UE.  </w:t>
      </w:r>
    </w:p>
    <w:p w:rsidR="00DC598E" w:rsidRDefault="00DC598E"/>
    <w:sectPr w:rsidR="00DC598E" w:rsidSect="00C11FF9">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F60DC" w:rsidRDefault="00AF60DC" w:rsidP="00A322FA">
      <w:pPr>
        <w:spacing w:after="0" w:line="240" w:lineRule="auto"/>
      </w:pPr>
      <w:r>
        <w:separator/>
      </w:r>
    </w:p>
  </w:endnote>
  <w:endnote w:type="continuationSeparator" w:id="0">
    <w:p w:rsidR="00AF60DC" w:rsidRDefault="00AF60DC" w:rsidP="00A322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Open Sans">
    <w:altName w:val="Times New Roman"/>
    <w:panose1 w:val="00000000000000000000"/>
    <w:charset w:val="00"/>
    <w:family w:val="roman"/>
    <w:notTrueType/>
    <w:pitch w:val="default"/>
  </w:font>
  <w:font w:name="EUAlbertina">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840263"/>
      <w:docPartObj>
        <w:docPartGallery w:val="Page Numbers (Bottom of Page)"/>
        <w:docPartUnique/>
      </w:docPartObj>
    </w:sdtPr>
    <w:sdtEndPr/>
    <w:sdtContent>
      <w:p w:rsidR="00C04EFB" w:rsidRDefault="00AF60DC">
        <w:pPr>
          <w:pStyle w:val="Stopka"/>
          <w:jc w:val="right"/>
        </w:pPr>
        <w:r>
          <w:rPr>
            <w:noProof/>
          </w:rPr>
          <w:fldChar w:fldCharType="begin"/>
        </w:r>
        <w:r>
          <w:rPr>
            <w:noProof/>
          </w:rPr>
          <w:instrText xml:space="preserve"> PAGE   \* MERGEFORMAT </w:instrText>
        </w:r>
        <w:r>
          <w:rPr>
            <w:noProof/>
          </w:rPr>
          <w:fldChar w:fldCharType="separate"/>
        </w:r>
        <w:r>
          <w:rPr>
            <w:noProof/>
          </w:rPr>
          <w:t>1</w:t>
        </w:r>
        <w:r>
          <w:rPr>
            <w:noProof/>
          </w:rPr>
          <w:fldChar w:fldCharType="end"/>
        </w:r>
      </w:p>
    </w:sdtContent>
  </w:sdt>
  <w:p w:rsidR="00C04EFB" w:rsidRDefault="00EB0FD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F60DC" w:rsidRDefault="00AF60DC" w:rsidP="00A322FA">
      <w:pPr>
        <w:spacing w:after="0" w:line="240" w:lineRule="auto"/>
      </w:pPr>
      <w:r>
        <w:separator/>
      </w:r>
    </w:p>
  </w:footnote>
  <w:footnote w:type="continuationSeparator" w:id="0">
    <w:p w:rsidR="00AF60DC" w:rsidRDefault="00AF60DC" w:rsidP="00A322FA">
      <w:pPr>
        <w:spacing w:after="0" w:line="240" w:lineRule="auto"/>
      </w:pPr>
      <w:r>
        <w:continuationSeparator/>
      </w:r>
    </w:p>
  </w:footnote>
  <w:footnote w:id="1">
    <w:p w:rsidR="00A322FA" w:rsidRPr="00D272A4" w:rsidRDefault="00A322FA" w:rsidP="00A322FA">
      <w:pPr>
        <w:pStyle w:val="Tekstprzypisudolnego"/>
        <w:spacing w:after="0" w:line="240" w:lineRule="auto"/>
        <w:jc w:val="both"/>
        <w:rPr>
          <w:rFonts w:ascii="Times New Roman" w:hAnsi="Times New Roman"/>
          <w:color w:val="000000" w:themeColor="text1"/>
        </w:rPr>
      </w:pPr>
      <w:r w:rsidRPr="00D272A4">
        <w:rPr>
          <w:rStyle w:val="Odwoanieprzypisudolnego"/>
          <w:rFonts w:ascii="Times New Roman" w:hAnsi="Times New Roman"/>
          <w:color w:val="000000" w:themeColor="text1"/>
        </w:rPr>
        <w:footnoteRef/>
      </w:r>
      <w:r w:rsidRPr="00D272A4">
        <w:rPr>
          <w:rFonts w:ascii="Times New Roman" w:hAnsi="Times New Roman"/>
          <w:color w:val="000000" w:themeColor="text1"/>
        </w:rPr>
        <w:t xml:space="preserve"> Dz. U. z 2010 r., Nr 13, poz. 70. </w:t>
      </w:r>
    </w:p>
  </w:footnote>
  <w:footnote w:id="2">
    <w:p w:rsidR="00A322FA" w:rsidRPr="00EE0071" w:rsidRDefault="00A322FA" w:rsidP="00A322FA">
      <w:pPr>
        <w:pStyle w:val="Tekstprzypisudolnego"/>
        <w:spacing w:after="0" w:line="240" w:lineRule="auto"/>
        <w:jc w:val="both"/>
        <w:rPr>
          <w:rFonts w:ascii="Times New Roman" w:hAnsi="Times New Roman"/>
        </w:rPr>
      </w:pPr>
      <w:r w:rsidRPr="00D272A4">
        <w:rPr>
          <w:rStyle w:val="Odwoanieprzypisudolnego"/>
          <w:rFonts w:ascii="Times New Roman" w:hAnsi="Times New Roman"/>
          <w:color w:val="000000" w:themeColor="text1"/>
        </w:rPr>
        <w:footnoteRef/>
      </w:r>
      <w:r w:rsidRPr="00D272A4">
        <w:rPr>
          <w:rFonts w:ascii="Times New Roman" w:hAnsi="Times New Roman"/>
          <w:color w:val="000000" w:themeColor="text1"/>
        </w:rPr>
        <w:t xml:space="preserve"> Wniosek Prezydenta RP do Trybunału Konstytucyjnego z dnia 7 lipca 2008 r. o zbadanie zgodności z Konstytucją RP ustawy z dnia 13 czerwca 2008 r. o zmianie ustawy o opłatach abonamentowych: </w:t>
      </w:r>
      <w:hyperlink r:id="rId1" w:history="1">
        <w:r w:rsidRPr="00D272A4">
          <w:rPr>
            <w:rStyle w:val="Hipercze"/>
            <w:rFonts w:ascii="Times New Roman" w:hAnsi="Times New Roman"/>
            <w:color w:val="000000" w:themeColor="text1"/>
          </w:rPr>
          <w:t>http://www.prezydent.pl/archiwum-lecha-kaczynskiego/ustawy/ustawy-odeslane-do-tk/art,11,ustawa-o-zmianie-ustawy-o-oplatach-abonamentowych.html</w:t>
        </w:r>
      </w:hyperlink>
      <w:r w:rsidRPr="00EE0071">
        <w:rPr>
          <w:rFonts w:ascii="Times New Roman" w:hAnsi="Times New Roman"/>
        </w:rPr>
        <w:t xml:space="preserve">  </w:t>
      </w:r>
    </w:p>
  </w:footnote>
  <w:footnote w:id="3">
    <w:p w:rsidR="00A322FA" w:rsidRPr="00EE0071" w:rsidRDefault="00A322FA" w:rsidP="00A322FA">
      <w:pPr>
        <w:pStyle w:val="Tekstprzypisudolnego"/>
        <w:spacing w:after="0" w:line="240" w:lineRule="auto"/>
        <w:jc w:val="both"/>
        <w:rPr>
          <w:rFonts w:ascii="Times New Roman" w:hAnsi="Times New Roman"/>
        </w:rPr>
      </w:pPr>
      <w:r w:rsidRPr="00EE0071">
        <w:rPr>
          <w:rStyle w:val="Odwoanieprzypisudolnego"/>
          <w:rFonts w:ascii="Times New Roman" w:hAnsi="Times New Roman"/>
        </w:rPr>
        <w:footnoteRef/>
      </w:r>
      <w:r w:rsidRPr="00EE0071">
        <w:rPr>
          <w:rFonts w:ascii="Times New Roman" w:hAnsi="Times New Roman"/>
        </w:rPr>
        <w:t xml:space="preserve"> </w:t>
      </w:r>
      <w:proofErr w:type="spellStart"/>
      <w:r w:rsidRPr="00EE0071">
        <w:rPr>
          <w:rFonts w:ascii="Times New Roman" w:hAnsi="Times New Roman"/>
        </w:rPr>
        <w:t>Kp</w:t>
      </w:r>
      <w:proofErr w:type="spellEnd"/>
      <w:r w:rsidRPr="00EE0071">
        <w:rPr>
          <w:rFonts w:ascii="Times New Roman" w:hAnsi="Times New Roman"/>
        </w:rPr>
        <w:t xml:space="preserve"> 1/2008.  </w:t>
      </w:r>
    </w:p>
  </w:footnote>
  <w:footnote w:id="4">
    <w:p w:rsidR="00A322FA" w:rsidRPr="00D272A4" w:rsidRDefault="00A322FA" w:rsidP="00A322FA">
      <w:pPr>
        <w:pStyle w:val="Tekstprzypisudolnego"/>
        <w:spacing w:after="0" w:line="240" w:lineRule="auto"/>
        <w:jc w:val="both"/>
        <w:rPr>
          <w:rFonts w:ascii="Times New Roman" w:hAnsi="Times New Roman"/>
          <w:color w:val="000000" w:themeColor="text1"/>
        </w:rPr>
      </w:pPr>
      <w:r w:rsidRPr="00D272A4">
        <w:rPr>
          <w:rStyle w:val="Odwoanieprzypisudolnego"/>
          <w:rFonts w:ascii="Times New Roman" w:hAnsi="Times New Roman"/>
          <w:color w:val="000000" w:themeColor="text1"/>
        </w:rPr>
        <w:footnoteRef/>
      </w:r>
      <w:r w:rsidRPr="00D272A4">
        <w:rPr>
          <w:rFonts w:ascii="Times New Roman" w:hAnsi="Times New Roman"/>
          <w:color w:val="000000" w:themeColor="text1"/>
        </w:rPr>
        <w:t xml:space="preserve"> GUS, Budżety Gospodarstw Domowych w 2018 r., s. 231.</w:t>
      </w:r>
    </w:p>
  </w:footnote>
  <w:footnote w:id="5">
    <w:p w:rsidR="00A322FA" w:rsidRPr="00D272A4" w:rsidRDefault="00A322FA" w:rsidP="00A322FA">
      <w:pPr>
        <w:pStyle w:val="Tekstprzypisudolnego"/>
        <w:spacing w:after="0" w:line="240" w:lineRule="auto"/>
        <w:jc w:val="both"/>
        <w:rPr>
          <w:rFonts w:ascii="Times New Roman" w:hAnsi="Times New Roman"/>
          <w:color w:val="000000" w:themeColor="text1"/>
        </w:rPr>
      </w:pPr>
      <w:r w:rsidRPr="00D272A4">
        <w:rPr>
          <w:rStyle w:val="Odwoanieprzypisudolnego"/>
          <w:rFonts w:ascii="Times New Roman" w:hAnsi="Times New Roman"/>
          <w:color w:val="000000" w:themeColor="text1"/>
        </w:rPr>
        <w:footnoteRef/>
      </w:r>
      <w:r w:rsidRPr="00D272A4">
        <w:rPr>
          <w:rFonts w:ascii="Times New Roman" w:hAnsi="Times New Roman"/>
          <w:color w:val="000000" w:themeColor="text1"/>
        </w:rPr>
        <w:t xml:space="preserve"> Sprawozdanie KRRiT z działalności w 2018 r., s. 84.</w:t>
      </w:r>
    </w:p>
  </w:footnote>
  <w:footnote w:id="6">
    <w:p w:rsidR="00A322FA" w:rsidRPr="00D272A4" w:rsidRDefault="00A322FA" w:rsidP="00A322FA">
      <w:pPr>
        <w:pStyle w:val="Tekstprzypisudolnego"/>
        <w:spacing w:after="0" w:line="240" w:lineRule="auto"/>
        <w:jc w:val="both"/>
        <w:rPr>
          <w:rFonts w:ascii="Times New Roman" w:hAnsi="Times New Roman"/>
          <w:color w:val="000000" w:themeColor="text1"/>
        </w:rPr>
      </w:pPr>
      <w:r w:rsidRPr="00D272A4">
        <w:rPr>
          <w:rStyle w:val="Odwoanieprzypisudolnego"/>
          <w:rFonts w:ascii="Times New Roman" w:hAnsi="Times New Roman"/>
          <w:color w:val="000000" w:themeColor="text1"/>
        </w:rPr>
        <w:footnoteRef/>
      </w:r>
      <w:r w:rsidRPr="00D272A4">
        <w:rPr>
          <w:rFonts w:ascii="Times New Roman" w:hAnsi="Times New Roman"/>
          <w:color w:val="000000" w:themeColor="text1"/>
        </w:rPr>
        <w:t xml:space="preserve"> Sprawozdanie KRRiT z działalności w 2018 r., s. 84.</w:t>
      </w:r>
    </w:p>
  </w:footnote>
  <w:footnote w:id="7">
    <w:p w:rsidR="00A322FA" w:rsidRPr="00D272A4" w:rsidRDefault="00A322FA" w:rsidP="00A322FA">
      <w:pPr>
        <w:pStyle w:val="Tekstprzypisudolnego"/>
        <w:rPr>
          <w:color w:val="000000" w:themeColor="text1"/>
        </w:rPr>
      </w:pPr>
      <w:r w:rsidRPr="00D272A4">
        <w:rPr>
          <w:rStyle w:val="Odwoanieprzypisudolnego"/>
          <w:color w:val="000000" w:themeColor="text1"/>
        </w:rPr>
        <w:footnoteRef/>
      </w:r>
      <w:r w:rsidRPr="00D272A4">
        <w:rPr>
          <w:color w:val="000000" w:themeColor="text1"/>
        </w:rPr>
        <w:t xml:space="preserve"> </w:t>
      </w:r>
      <w:r w:rsidRPr="00D272A4">
        <w:rPr>
          <w:rFonts w:ascii="Times New Roman" w:hAnsi="Times New Roman"/>
          <w:color w:val="000000" w:themeColor="text1"/>
        </w:rPr>
        <w:t>Sprawozdanie KRRiT z działalności w 2018 r., s. 84.</w:t>
      </w:r>
    </w:p>
  </w:footnote>
  <w:footnote w:id="8">
    <w:p w:rsidR="00A322FA" w:rsidRPr="00D272A4" w:rsidRDefault="00A322FA" w:rsidP="00A322FA">
      <w:pPr>
        <w:pStyle w:val="Tekstprzypisudolnego"/>
        <w:rPr>
          <w:color w:val="000000" w:themeColor="text1"/>
        </w:rPr>
      </w:pPr>
      <w:r w:rsidRPr="00D272A4">
        <w:rPr>
          <w:rStyle w:val="Odwoanieprzypisudolnego"/>
          <w:color w:val="000000" w:themeColor="text1"/>
        </w:rPr>
        <w:footnoteRef/>
      </w:r>
      <w:r w:rsidRPr="00D272A4">
        <w:rPr>
          <w:color w:val="000000" w:themeColor="text1"/>
        </w:rPr>
        <w:t>GUS, Polska w liczbach 2019</w:t>
      </w:r>
    </w:p>
  </w:footnote>
  <w:footnote w:id="9">
    <w:p w:rsidR="00A322FA" w:rsidRPr="00D272A4" w:rsidRDefault="00A322FA" w:rsidP="00A322FA">
      <w:pPr>
        <w:pStyle w:val="Tekstprzypisudolnego"/>
        <w:spacing w:after="0" w:line="240" w:lineRule="auto"/>
        <w:jc w:val="both"/>
        <w:rPr>
          <w:rFonts w:ascii="Times New Roman" w:hAnsi="Times New Roman"/>
          <w:color w:val="000000" w:themeColor="text1"/>
          <w:lang w:val="en-GB"/>
        </w:rPr>
      </w:pPr>
      <w:r w:rsidRPr="00D272A4">
        <w:rPr>
          <w:rStyle w:val="Odwoanieprzypisudolnego"/>
          <w:rFonts w:ascii="Times New Roman" w:hAnsi="Times New Roman"/>
          <w:color w:val="000000" w:themeColor="text1"/>
        </w:rPr>
        <w:footnoteRef/>
      </w:r>
      <w:r w:rsidRPr="00D272A4">
        <w:rPr>
          <w:rFonts w:ascii="Times New Roman" w:hAnsi="Times New Roman"/>
          <w:color w:val="000000" w:themeColor="text1"/>
          <w:lang w:val="en-GB"/>
        </w:rPr>
        <w:t xml:space="preserve"> </w:t>
      </w:r>
      <w:hyperlink r:id="rId2" w:history="1">
        <w:r w:rsidRPr="00D272A4">
          <w:rPr>
            <w:rStyle w:val="Hipercze"/>
            <w:rFonts w:ascii="Times New Roman" w:hAnsi="Times New Roman"/>
            <w:color w:val="000000" w:themeColor="text1"/>
            <w:lang w:val="en-GB"/>
          </w:rPr>
          <w:t>https://www.ebu.ch/CMSimages/en/leg_ref_coe_mcm_resolution_psb_07_081294_tcm6-4274.pdf</w:t>
        </w:r>
      </w:hyperlink>
      <w:r w:rsidRPr="00D272A4">
        <w:rPr>
          <w:rFonts w:ascii="Times New Roman" w:hAnsi="Times New Roman"/>
          <w:color w:val="000000" w:themeColor="text1"/>
          <w:lang w:val="en-GB"/>
        </w:rPr>
        <w:t xml:space="preserve"> ; por. </w:t>
      </w:r>
      <w:proofErr w:type="spellStart"/>
      <w:r w:rsidRPr="00D272A4">
        <w:rPr>
          <w:rFonts w:ascii="Times New Roman" w:hAnsi="Times New Roman"/>
          <w:color w:val="000000" w:themeColor="text1"/>
          <w:lang w:val="en-GB"/>
        </w:rPr>
        <w:t>część</w:t>
      </w:r>
      <w:proofErr w:type="spellEnd"/>
      <w:r w:rsidRPr="00D272A4">
        <w:rPr>
          <w:rFonts w:ascii="Times New Roman" w:hAnsi="Times New Roman"/>
          <w:color w:val="000000" w:themeColor="text1"/>
          <w:lang w:val="en-GB"/>
        </w:rPr>
        <w:t xml:space="preserve"> II, </w:t>
      </w:r>
      <w:r w:rsidRPr="00D272A4">
        <w:rPr>
          <w:rFonts w:ascii="Times New Roman" w:hAnsi="Times New Roman"/>
          <w:i/>
          <w:color w:val="000000" w:themeColor="text1"/>
          <w:lang w:val="en-GB"/>
        </w:rPr>
        <w:t>Funding</w:t>
      </w:r>
      <w:r w:rsidRPr="00D272A4">
        <w:rPr>
          <w:rFonts w:ascii="Times New Roman" w:hAnsi="Times New Roman"/>
          <w:color w:val="000000" w:themeColor="text1"/>
          <w:lang w:val="en-GB"/>
        </w:rPr>
        <w:t>.</w:t>
      </w:r>
    </w:p>
  </w:footnote>
  <w:footnote w:id="10">
    <w:p w:rsidR="00A322FA" w:rsidRPr="00D272A4" w:rsidRDefault="00A322FA" w:rsidP="00A322FA">
      <w:pPr>
        <w:pStyle w:val="Tekstprzypisudolnego"/>
        <w:spacing w:after="0" w:line="240" w:lineRule="auto"/>
        <w:jc w:val="both"/>
        <w:rPr>
          <w:rFonts w:ascii="Times New Roman" w:hAnsi="Times New Roman"/>
          <w:color w:val="000000" w:themeColor="text1"/>
        </w:rPr>
      </w:pPr>
      <w:r w:rsidRPr="00D272A4">
        <w:rPr>
          <w:rStyle w:val="Odwoanieprzypisudolnego"/>
          <w:rFonts w:ascii="Times New Roman" w:hAnsi="Times New Roman"/>
          <w:color w:val="000000" w:themeColor="text1"/>
        </w:rPr>
        <w:footnoteRef/>
      </w:r>
      <w:hyperlink r:id="rId3" w:history="1">
        <w:r w:rsidRPr="00D272A4">
          <w:rPr>
            <w:rStyle w:val="Hipercze"/>
            <w:rFonts w:ascii="Times New Roman" w:hAnsi="Times New Roman"/>
            <w:color w:val="000000" w:themeColor="text1"/>
          </w:rPr>
          <w:t>https://rm.coe.int/CoERMPublicCommonSearchServices/DisplayDCTMContent?documentId=090000168050c770</w:t>
        </w:r>
      </w:hyperlink>
      <w:r w:rsidRPr="00D272A4">
        <w:rPr>
          <w:rFonts w:ascii="Times New Roman" w:hAnsi="Times New Roman"/>
          <w:color w:val="000000" w:themeColor="text1"/>
        </w:rPr>
        <w:t xml:space="preserve"> ; tekst polski (tłum. KRRiT): </w:t>
      </w:r>
      <w:hyperlink r:id="rId4" w:history="1">
        <w:r w:rsidRPr="00D272A4">
          <w:rPr>
            <w:rStyle w:val="Hipercze"/>
            <w:rFonts w:ascii="Times New Roman" w:hAnsi="Times New Roman"/>
            <w:color w:val="000000" w:themeColor="text1"/>
          </w:rPr>
          <w:t>http://www.krrit.gov.pl/Data/Files/_public/Portals/0/regulacje-prawne/rada-europy/12.pdf</w:t>
        </w:r>
      </w:hyperlink>
      <w:r w:rsidRPr="00D272A4">
        <w:rPr>
          <w:rFonts w:ascii="Times New Roman" w:hAnsi="Times New Roman"/>
          <w:color w:val="000000" w:themeColor="text1"/>
        </w:rPr>
        <w:t xml:space="preserve"> ; załącznik, pkt V</w:t>
      </w:r>
    </w:p>
  </w:footnote>
  <w:footnote w:id="11">
    <w:p w:rsidR="00A322FA" w:rsidRPr="00D272A4" w:rsidRDefault="00A322FA" w:rsidP="00A322FA">
      <w:pPr>
        <w:pStyle w:val="Tekstprzypisudolnego"/>
        <w:spacing w:after="0" w:line="240" w:lineRule="auto"/>
        <w:jc w:val="both"/>
        <w:rPr>
          <w:rFonts w:ascii="Times New Roman" w:hAnsi="Times New Roman"/>
          <w:color w:val="000000" w:themeColor="text1"/>
          <w:lang w:val="en-GB"/>
        </w:rPr>
      </w:pPr>
      <w:r w:rsidRPr="00D272A4">
        <w:rPr>
          <w:rStyle w:val="Odwoanieprzypisudolnego"/>
          <w:rFonts w:ascii="Times New Roman" w:hAnsi="Times New Roman"/>
          <w:color w:val="000000" w:themeColor="text1"/>
        </w:rPr>
        <w:footnoteRef/>
      </w:r>
      <w:r w:rsidRPr="00D272A4">
        <w:rPr>
          <w:rFonts w:ascii="Times New Roman" w:hAnsi="Times New Roman"/>
          <w:color w:val="000000" w:themeColor="text1"/>
        </w:rPr>
        <w:t xml:space="preserve"> </w:t>
      </w:r>
      <w:hyperlink r:id="rId5" w:history="1">
        <w:r w:rsidRPr="00D272A4">
          <w:rPr>
            <w:rStyle w:val="Hipercze"/>
            <w:rFonts w:ascii="Times New Roman" w:hAnsi="Times New Roman"/>
            <w:color w:val="000000" w:themeColor="text1"/>
          </w:rPr>
          <w:t>https://search.coe.int/cm/Pages/result_details.aspx?ObjectID=09000016805d6bc5</w:t>
        </w:r>
      </w:hyperlink>
      <w:r w:rsidRPr="00D272A4">
        <w:rPr>
          <w:rFonts w:ascii="Times New Roman" w:hAnsi="Times New Roman"/>
          <w:color w:val="000000" w:themeColor="text1"/>
        </w:rPr>
        <w:t xml:space="preserve"> ; tekst polski (tłum. </w:t>
      </w:r>
      <w:proofErr w:type="spellStart"/>
      <w:r w:rsidRPr="00D272A4">
        <w:rPr>
          <w:rFonts w:ascii="Times New Roman" w:hAnsi="Times New Roman"/>
          <w:color w:val="000000" w:themeColor="text1"/>
          <w:lang w:val="en-GB"/>
        </w:rPr>
        <w:t>KRRiT</w:t>
      </w:r>
      <w:proofErr w:type="spellEnd"/>
      <w:r w:rsidRPr="00D272A4">
        <w:rPr>
          <w:rFonts w:ascii="Times New Roman" w:hAnsi="Times New Roman"/>
          <w:color w:val="000000" w:themeColor="text1"/>
          <w:lang w:val="en-GB"/>
        </w:rPr>
        <w:t xml:space="preserve">): </w:t>
      </w:r>
      <w:hyperlink r:id="rId6" w:history="1">
        <w:r w:rsidRPr="00D272A4">
          <w:rPr>
            <w:rStyle w:val="Hipercze"/>
            <w:rFonts w:ascii="Times New Roman" w:hAnsi="Times New Roman"/>
            <w:color w:val="000000" w:themeColor="text1"/>
            <w:lang w:val="en-GB"/>
          </w:rPr>
          <w:t>http://www.krrit.gov.pl/regulacje-prawne/rada-europy/</w:t>
        </w:r>
      </w:hyperlink>
      <w:r w:rsidRPr="00D272A4">
        <w:rPr>
          <w:rFonts w:ascii="Times New Roman" w:hAnsi="Times New Roman"/>
          <w:color w:val="000000" w:themeColor="text1"/>
          <w:lang w:val="en-GB"/>
        </w:rPr>
        <w:t xml:space="preserve"> ; pkt. 29-30. </w:t>
      </w:r>
    </w:p>
  </w:footnote>
  <w:footnote w:id="12">
    <w:p w:rsidR="00A322FA" w:rsidRPr="00D272A4" w:rsidRDefault="00A322FA" w:rsidP="00A322FA">
      <w:pPr>
        <w:pStyle w:val="Tekstprzypisudolnego"/>
        <w:spacing w:after="0" w:line="240" w:lineRule="auto"/>
        <w:jc w:val="both"/>
        <w:rPr>
          <w:rFonts w:ascii="Times New Roman" w:hAnsi="Times New Roman"/>
          <w:color w:val="000000" w:themeColor="text1"/>
        </w:rPr>
      </w:pPr>
      <w:r w:rsidRPr="00D272A4">
        <w:rPr>
          <w:rStyle w:val="Odwoanieprzypisudolnego"/>
          <w:rFonts w:ascii="Times New Roman" w:hAnsi="Times New Roman"/>
          <w:color w:val="000000" w:themeColor="text1"/>
        </w:rPr>
        <w:footnoteRef/>
      </w:r>
      <w:r w:rsidRPr="00D272A4">
        <w:rPr>
          <w:rFonts w:ascii="Times New Roman" w:hAnsi="Times New Roman"/>
          <w:color w:val="000000" w:themeColor="text1"/>
        </w:rPr>
        <w:t xml:space="preserve"> </w:t>
      </w:r>
      <w:hyperlink r:id="rId7" w:history="1">
        <w:r w:rsidRPr="00D272A4">
          <w:rPr>
            <w:rStyle w:val="Hipercze"/>
            <w:rFonts w:ascii="Times New Roman" w:hAnsi="Times New Roman"/>
            <w:color w:val="000000" w:themeColor="text1"/>
          </w:rPr>
          <w:t>http://assembly.coe.int/nw/xml/XRef/Xref-XML2HTML-en.asp?fileid=17763&amp;lang=en</w:t>
        </w:r>
      </w:hyperlink>
      <w:r w:rsidRPr="00D272A4">
        <w:rPr>
          <w:rFonts w:ascii="Times New Roman" w:hAnsi="Times New Roman"/>
          <w:color w:val="000000" w:themeColor="text1"/>
        </w:rPr>
        <w:t xml:space="preserve"> ; pkt. 12-17.</w:t>
      </w:r>
    </w:p>
  </w:footnote>
  <w:footnote w:id="13">
    <w:p w:rsidR="00A322FA" w:rsidRPr="00D272A4" w:rsidRDefault="00A322FA" w:rsidP="00A322FA">
      <w:pPr>
        <w:pStyle w:val="Tekstprzypisudolnego"/>
        <w:spacing w:after="0" w:line="240" w:lineRule="auto"/>
        <w:jc w:val="both"/>
        <w:rPr>
          <w:rFonts w:ascii="Times New Roman" w:hAnsi="Times New Roman"/>
          <w:color w:val="000000" w:themeColor="text1"/>
        </w:rPr>
      </w:pPr>
      <w:r w:rsidRPr="00D272A4">
        <w:rPr>
          <w:rStyle w:val="Odwoanieprzypisudolnego"/>
          <w:rFonts w:ascii="Times New Roman" w:hAnsi="Times New Roman"/>
          <w:color w:val="000000" w:themeColor="text1"/>
        </w:rPr>
        <w:footnoteRef/>
      </w:r>
      <w:r w:rsidRPr="00D272A4">
        <w:rPr>
          <w:rFonts w:ascii="Times New Roman" w:hAnsi="Times New Roman"/>
          <w:color w:val="000000" w:themeColor="text1"/>
        </w:rPr>
        <w:t xml:space="preserve"> </w:t>
      </w:r>
      <w:hyperlink r:id="rId8" w:history="1">
        <w:r w:rsidRPr="00D272A4">
          <w:rPr>
            <w:rStyle w:val="Hipercze"/>
            <w:rFonts w:ascii="Times New Roman" w:hAnsi="Times New Roman"/>
            <w:color w:val="000000" w:themeColor="text1"/>
          </w:rPr>
          <w:t>https://search.coe.int/cm/Pages/result_details.aspx?ObjectID=09000016805cb4b4</w:t>
        </w:r>
      </w:hyperlink>
      <w:r w:rsidRPr="00D272A4">
        <w:rPr>
          <w:rFonts w:ascii="Times New Roman" w:hAnsi="Times New Roman"/>
          <w:color w:val="000000" w:themeColor="text1"/>
        </w:rPr>
        <w:t xml:space="preserve"> ; załącznik, pkt 26.</w:t>
      </w:r>
    </w:p>
  </w:footnote>
  <w:footnote w:id="14">
    <w:p w:rsidR="00A322FA" w:rsidRPr="00EE0071" w:rsidRDefault="00A322FA" w:rsidP="00A322FA">
      <w:pPr>
        <w:pStyle w:val="Default"/>
        <w:jc w:val="both"/>
        <w:rPr>
          <w:rFonts w:ascii="Times New Roman" w:hAnsi="Times New Roman" w:cs="Times New Roman"/>
          <w:sz w:val="20"/>
          <w:szCs w:val="20"/>
        </w:rPr>
      </w:pPr>
      <w:r w:rsidRPr="00EE0071">
        <w:rPr>
          <w:rStyle w:val="Odwoanieprzypisudolnego"/>
          <w:rFonts w:ascii="Times New Roman" w:hAnsi="Times New Roman" w:cs="Times New Roman"/>
          <w:sz w:val="20"/>
          <w:szCs w:val="20"/>
        </w:rPr>
        <w:footnoteRef/>
      </w:r>
      <w:r w:rsidRPr="00EE0071">
        <w:rPr>
          <w:rFonts w:ascii="Times New Roman" w:hAnsi="Times New Roman" w:cs="Times New Roman"/>
          <w:sz w:val="20"/>
          <w:szCs w:val="20"/>
        </w:rPr>
        <w:t xml:space="preserve"> Np. komunikat Komisji Europejskiej w sprawie stosowania zasad pomocy państwa wobec radiofonii i telewizji publicznej  (2009/C 257/01), pkt 14. </w:t>
      </w:r>
    </w:p>
  </w:footnote>
  <w:footnote w:id="15">
    <w:p w:rsidR="00A322FA" w:rsidRPr="00EE0071" w:rsidRDefault="00A322FA" w:rsidP="00A322FA">
      <w:pPr>
        <w:pStyle w:val="Tekstprzypisudolnego"/>
        <w:spacing w:after="0" w:line="240" w:lineRule="auto"/>
        <w:jc w:val="both"/>
        <w:rPr>
          <w:rFonts w:ascii="Times New Roman" w:hAnsi="Times New Roman"/>
        </w:rPr>
      </w:pPr>
      <w:r w:rsidRPr="00EE0071">
        <w:rPr>
          <w:rStyle w:val="Odwoanieprzypisudolnego"/>
          <w:rFonts w:ascii="Times New Roman" w:hAnsi="Times New Roman"/>
        </w:rPr>
        <w:footnoteRef/>
      </w:r>
      <w:r w:rsidRPr="00EE0071">
        <w:rPr>
          <w:rFonts w:ascii="Times New Roman" w:hAnsi="Times New Roman"/>
        </w:rPr>
        <w:t xml:space="preserve"> </w:t>
      </w:r>
      <w:proofErr w:type="spellStart"/>
      <w:r w:rsidRPr="00EE0071">
        <w:rPr>
          <w:rFonts w:ascii="Times New Roman" w:hAnsi="Times New Roman"/>
        </w:rPr>
        <w:t>T.j</w:t>
      </w:r>
      <w:proofErr w:type="spellEnd"/>
      <w:r w:rsidRPr="00EE0071">
        <w:rPr>
          <w:rFonts w:ascii="Times New Roman" w:hAnsi="Times New Roman"/>
        </w:rPr>
        <w:t xml:space="preserve">. Dz. U. z 2016 r. poz. 639, z </w:t>
      </w:r>
      <w:proofErr w:type="spellStart"/>
      <w:r w:rsidRPr="00EE0071">
        <w:rPr>
          <w:rFonts w:ascii="Times New Roman" w:hAnsi="Times New Roman"/>
        </w:rPr>
        <w:t>późn</w:t>
      </w:r>
      <w:proofErr w:type="spellEnd"/>
      <w:r w:rsidRPr="00EE0071">
        <w:rPr>
          <w:rFonts w:ascii="Times New Roman" w:hAnsi="Times New Roman"/>
        </w:rPr>
        <w:t xml:space="preserve">. zm. </w:t>
      </w:r>
    </w:p>
  </w:footnote>
  <w:footnote w:id="16">
    <w:p w:rsidR="00A322FA" w:rsidRPr="00EE0071" w:rsidRDefault="00A322FA" w:rsidP="00A322FA">
      <w:pPr>
        <w:pStyle w:val="Tekstprzypisudolnego"/>
        <w:spacing w:after="0" w:line="240" w:lineRule="auto"/>
        <w:jc w:val="both"/>
        <w:rPr>
          <w:rFonts w:ascii="Times New Roman" w:hAnsi="Times New Roman"/>
        </w:rPr>
      </w:pPr>
      <w:r w:rsidRPr="00EE0071">
        <w:rPr>
          <w:rStyle w:val="Odwoanieprzypisudolnego"/>
          <w:rFonts w:ascii="Times New Roman" w:hAnsi="Times New Roman"/>
        </w:rPr>
        <w:footnoteRef/>
      </w:r>
      <w:r w:rsidRPr="00EE0071">
        <w:rPr>
          <w:rFonts w:ascii="Times New Roman" w:hAnsi="Times New Roman"/>
        </w:rPr>
        <w:t xml:space="preserve"> KRRiT, Nowy model funkcjonowania mediów publicznych w Polsce, grudzień 2015 r. </w:t>
      </w:r>
    </w:p>
  </w:footnote>
  <w:footnote w:id="17">
    <w:p w:rsidR="00A322FA" w:rsidRPr="00EE0071" w:rsidRDefault="00A322FA" w:rsidP="00A322FA">
      <w:pPr>
        <w:pStyle w:val="Tekstprzypisudolnego"/>
        <w:spacing w:after="0" w:line="240" w:lineRule="auto"/>
        <w:jc w:val="both"/>
        <w:rPr>
          <w:rFonts w:ascii="Times New Roman" w:hAnsi="Times New Roman"/>
        </w:rPr>
      </w:pPr>
      <w:r w:rsidRPr="00EE0071">
        <w:rPr>
          <w:rStyle w:val="Odwoanieprzypisudolnego"/>
          <w:rFonts w:ascii="Times New Roman" w:hAnsi="Times New Roman"/>
        </w:rPr>
        <w:footnoteRef/>
      </w:r>
      <w:r w:rsidRPr="00EE0071">
        <w:rPr>
          <w:rFonts w:ascii="Times New Roman" w:hAnsi="Times New Roman"/>
        </w:rPr>
        <w:t xml:space="preserve"> Art. 213 ust. 1 Konstytucji RP.</w:t>
      </w:r>
    </w:p>
  </w:footnote>
  <w:footnote w:id="18">
    <w:p w:rsidR="00A322FA" w:rsidRPr="00EE0071" w:rsidRDefault="00A322FA" w:rsidP="00A322FA">
      <w:pPr>
        <w:pStyle w:val="Tekstprzypisudolnego"/>
        <w:spacing w:after="0" w:line="240" w:lineRule="auto"/>
        <w:jc w:val="both"/>
        <w:rPr>
          <w:rFonts w:ascii="Times New Roman" w:hAnsi="Times New Roman"/>
        </w:rPr>
      </w:pPr>
      <w:r w:rsidRPr="00EE0071">
        <w:rPr>
          <w:rStyle w:val="Odwoanieprzypisudolnego"/>
          <w:rFonts w:ascii="Times New Roman" w:hAnsi="Times New Roman"/>
        </w:rPr>
        <w:footnoteRef/>
      </w:r>
      <w:r w:rsidRPr="00EE0071">
        <w:rPr>
          <w:rFonts w:ascii="Times New Roman" w:hAnsi="Times New Roman"/>
        </w:rPr>
        <w:t xml:space="preserve"> Por. wyrok Trybunału Konstytucyjnego (TK) z dnia 9 września 2004 r., K 2/03.</w:t>
      </w:r>
    </w:p>
  </w:footnote>
  <w:footnote w:id="19">
    <w:p w:rsidR="00A322FA" w:rsidRPr="0045490D" w:rsidRDefault="00A322FA" w:rsidP="00A322FA">
      <w:pPr>
        <w:pStyle w:val="Tekstprzypisudolnego"/>
        <w:spacing w:line="240" w:lineRule="auto"/>
        <w:rPr>
          <w:rFonts w:ascii="Times New Roman" w:hAnsi="Times New Roman"/>
        </w:rPr>
      </w:pPr>
      <w:r w:rsidRPr="0045490D">
        <w:rPr>
          <w:rStyle w:val="Odwoanieprzypisudolnego"/>
          <w:rFonts w:ascii="Times New Roman" w:hAnsi="Times New Roman"/>
        </w:rPr>
        <w:footnoteRef/>
      </w:r>
      <w:r w:rsidRPr="0045490D">
        <w:rPr>
          <w:rFonts w:ascii="Times New Roman" w:hAnsi="Times New Roman"/>
        </w:rPr>
        <w:t xml:space="preserve"> Ustawa z dnia 22 lutego 2019 r. o zmianie ustawy o opłatach abonamentowych (Dz. U. poz. 572). </w:t>
      </w:r>
    </w:p>
  </w:footnote>
  <w:footnote w:id="20">
    <w:p w:rsidR="00A322FA" w:rsidRPr="000E7F22" w:rsidRDefault="00A322FA" w:rsidP="00A322FA">
      <w:pPr>
        <w:pStyle w:val="Tekstprzypisudolnego"/>
        <w:spacing w:after="0"/>
        <w:rPr>
          <w:rFonts w:ascii="Times New Roman" w:hAnsi="Times New Roman"/>
        </w:rPr>
      </w:pPr>
      <w:r w:rsidRPr="000E7F22">
        <w:rPr>
          <w:rStyle w:val="Odwoanieprzypisudolnego"/>
          <w:rFonts w:ascii="Times New Roman" w:hAnsi="Times New Roman"/>
        </w:rPr>
        <w:footnoteRef/>
      </w:r>
      <w:r w:rsidRPr="000E7F22">
        <w:rPr>
          <w:rFonts w:ascii="Times New Roman" w:hAnsi="Times New Roman"/>
        </w:rPr>
        <w:t xml:space="preserve"> Polska w liczbach 2019, Główny Urząd Statystyczny, Warszawa 2019, s. 1</w:t>
      </w:r>
      <w:r>
        <w:rPr>
          <w:rFonts w:ascii="Times New Roman" w:hAnsi="Times New Roman"/>
        </w:rPr>
        <w:t>.</w:t>
      </w:r>
    </w:p>
  </w:footnote>
  <w:footnote w:id="21">
    <w:p w:rsidR="00A322FA" w:rsidRPr="000E7F22" w:rsidRDefault="00A322FA" w:rsidP="00A322FA">
      <w:pPr>
        <w:pStyle w:val="Tekstprzypisudolnego"/>
        <w:spacing w:after="0"/>
        <w:rPr>
          <w:rFonts w:ascii="Times New Roman" w:hAnsi="Times New Roman"/>
        </w:rPr>
      </w:pPr>
      <w:r w:rsidRPr="000E7F22">
        <w:rPr>
          <w:rStyle w:val="Odwoanieprzypisudolnego"/>
          <w:rFonts w:ascii="Times New Roman" w:hAnsi="Times New Roman"/>
        </w:rPr>
        <w:footnoteRef/>
      </w:r>
      <w:r w:rsidRPr="000E7F22">
        <w:rPr>
          <w:rFonts w:ascii="Times New Roman" w:hAnsi="Times New Roman"/>
        </w:rPr>
        <w:t xml:space="preserve"> </w:t>
      </w:r>
      <w:r>
        <w:rPr>
          <w:rFonts w:ascii="Times New Roman" w:hAnsi="Times New Roman"/>
        </w:rPr>
        <w:t xml:space="preserve">Tamże, </w:t>
      </w:r>
      <w:r w:rsidRPr="000E7F22">
        <w:rPr>
          <w:rFonts w:ascii="Times New Roman" w:hAnsi="Times New Roman"/>
        </w:rPr>
        <w:t xml:space="preserve">s. </w:t>
      </w:r>
      <w:r>
        <w:rPr>
          <w:rFonts w:ascii="Times New Roman" w:hAnsi="Times New Roman"/>
        </w:rPr>
        <w:t>10.</w:t>
      </w:r>
    </w:p>
  </w:footnote>
  <w:footnote w:id="22">
    <w:p w:rsidR="00A322FA" w:rsidRPr="00EE0071" w:rsidRDefault="00A322FA" w:rsidP="00A322FA">
      <w:pPr>
        <w:pStyle w:val="Tekstprzypisudolnego"/>
        <w:spacing w:after="0" w:line="240" w:lineRule="auto"/>
        <w:jc w:val="both"/>
        <w:rPr>
          <w:rFonts w:ascii="Times New Roman" w:hAnsi="Times New Roman"/>
        </w:rPr>
      </w:pPr>
      <w:r w:rsidRPr="00EE0071">
        <w:rPr>
          <w:rStyle w:val="Odwoanieprzypisudolnego"/>
          <w:rFonts w:ascii="Times New Roman" w:hAnsi="Times New Roman"/>
        </w:rPr>
        <w:footnoteRef/>
      </w:r>
      <w:r w:rsidRPr="00EE0071">
        <w:rPr>
          <w:rFonts w:ascii="Times New Roman" w:hAnsi="Times New Roman"/>
        </w:rPr>
        <w:t xml:space="preserve"> Np. Francja.</w:t>
      </w:r>
    </w:p>
  </w:footnote>
  <w:footnote w:id="23">
    <w:p w:rsidR="00A322FA" w:rsidRPr="00EE0071" w:rsidRDefault="00A322FA" w:rsidP="00A322FA">
      <w:pPr>
        <w:pStyle w:val="Tekstprzypisudolnego"/>
        <w:spacing w:after="0" w:line="240" w:lineRule="auto"/>
        <w:jc w:val="both"/>
        <w:rPr>
          <w:rFonts w:ascii="Times New Roman" w:hAnsi="Times New Roman"/>
        </w:rPr>
      </w:pPr>
      <w:r w:rsidRPr="00EE0071">
        <w:rPr>
          <w:rStyle w:val="Odwoanieprzypisudolnego"/>
          <w:rFonts w:ascii="Times New Roman" w:hAnsi="Times New Roman"/>
        </w:rPr>
        <w:footnoteRef/>
      </w:r>
      <w:r w:rsidRPr="00EE0071">
        <w:rPr>
          <w:rFonts w:ascii="Times New Roman" w:hAnsi="Times New Roman"/>
        </w:rPr>
        <w:t xml:space="preserve"> Dz. Urz. UE C 257, s. 1.</w:t>
      </w:r>
    </w:p>
  </w:footnote>
  <w:footnote w:id="24">
    <w:p w:rsidR="00A322FA" w:rsidRPr="00EE0071" w:rsidRDefault="00A322FA" w:rsidP="00A322FA">
      <w:pPr>
        <w:pStyle w:val="Tekstprzypisudolnego"/>
        <w:spacing w:after="0" w:line="240" w:lineRule="auto"/>
        <w:jc w:val="both"/>
        <w:rPr>
          <w:rFonts w:ascii="Times New Roman" w:eastAsia="Times New Roman" w:hAnsi="Times New Roman"/>
        </w:rPr>
      </w:pPr>
      <w:r w:rsidRPr="00EE0071">
        <w:rPr>
          <w:rStyle w:val="Odwoanieprzypisudolnego"/>
          <w:rFonts w:ascii="Times New Roman" w:hAnsi="Times New Roman"/>
        </w:rPr>
        <w:footnoteRef/>
      </w:r>
      <w:r w:rsidRPr="00EE0071">
        <w:rPr>
          <w:rFonts w:ascii="Times New Roman" w:hAnsi="Times New Roman"/>
        </w:rPr>
        <w:t xml:space="preserve"> Art. 107 ust. 1 i art. 106 ust. 2 Traktatu o funkcjonowaniu Unii Europejskiej; art. 1 lit. c) rozporządzenia Rady (UE) </w:t>
      </w:r>
      <w:r w:rsidRPr="00EE0071">
        <w:rPr>
          <w:rFonts w:ascii="Times New Roman" w:eastAsia="Times New Roman" w:hAnsi="Times New Roman"/>
          <w:bCs/>
        </w:rPr>
        <w:t>2015/1589</w:t>
      </w:r>
      <w:r w:rsidRPr="00EE0071">
        <w:rPr>
          <w:rFonts w:ascii="Times New Roman" w:eastAsia="Times New Roman" w:hAnsi="Times New Roman"/>
        </w:rPr>
        <w:t xml:space="preserve"> z dnia 13 lipca 2015 r. </w:t>
      </w:r>
      <w:r w:rsidRPr="00EE0071">
        <w:rPr>
          <w:rFonts w:ascii="Times New Roman" w:eastAsia="Times New Roman" w:hAnsi="Times New Roman"/>
          <w:bCs/>
        </w:rPr>
        <w:t>ustanawiającego szczegółowe zasady stosowania art. 108 Traktatu o funkcjonowaniu Unii Europejskiej (tekst jednolity), Dz. Urz. UE z 2015 r.,  L 248/9.</w:t>
      </w:r>
    </w:p>
  </w:footnote>
  <w:footnote w:id="25">
    <w:p w:rsidR="00A322FA" w:rsidRPr="00EE0071" w:rsidRDefault="00A322FA" w:rsidP="00A322FA">
      <w:pPr>
        <w:pStyle w:val="Tekstprzypisudolnego"/>
        <w:spacing w:after="0" w:line="240" w:lineRule="auto"/>
        <w:jc w:val="both"/>
        <w:rPr>
          <w:rFonts w:ascii="Times New Roman" w:hAnsi="Times New Roman"/>
        </w:rPr>
      </w:pPr>
      <w:r w:rsidRPr="00EE0071">
        <w:rPr>
          <w:rStyle w:val="Odwoanieprzypisudolnego"/>
          <w:rFonts w:ascii="Times New Roman" w:hAnsi="Times New Roman"/>
        </w:rPr>
        <w:footnoteRef/>
      </w:r>
      <w:r w:rsidRPr="00EE0071">
        <w:rPr>
          <w:rFonts w:ascii="Times New Roman" w:hAnsi="Times New Roman"/>
        </w:rPr>
        <w:t xml:space="preserve"> Pkt 31 komunikatu nadawczego Komisji Europejskiej z 2009 r.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6E52C56"/>
    <w:multiLevelType w:val="hybridMultilevel"/>
    <w:tmpl w:val="E35282A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22FA"/>
    <w:rsid w:val="00820302"/>
    <w:rsid w:val="00A322FA"/>
    <w:rsid w:val="00AF60DC"/>
    <w:rsid w:val="00D272A4"/>
    <w:rsid w:val="00DC598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F8176F-58A4-49E9-8490-0262D0A83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A322FA"/>
    <w:pPr>
      <w:spacing w:after="200" w:line="276" w:lineRule="auto"/>
    </w:pPr>
    <w:rPr>
      <w:rFonts w:ascii="Open Sans" w:eastAsia="Open Sans" w:hAnsi="Open Sans" w:cs="Open Sans"/>
      <w:sz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aliases w:val="Tekst przypisu Znak"/>
    <w:basedOn w:val="Normalny"/>
    <w:link w:val="TekstprzypisudolnegoZnak"/>
    <w:uiPriority w:val="99"/>
    <w:unhideWhenUsed/>
    <w:rsid w:val="00A322FA"/>
    <w:rPr>
      <w:rFonts w:ascii="Calibri" w:eastAsia="Calibri" w:hAnsi="Calibri" w:cs="Times New Roman"/>
      <w:sz w:val="20"/>
      <w:szCs w:val="20"/>
      <w:lang w:eastAsia="en-US"/>
    </w:rPr>
  </w:style>
  <w:style w:type="character" w:customStyle="1" w:styleId="TekstprzypisudolnegoZnak">
    <w:name w:val="Tekst przypisu dolnego Znak"/>
    <w:aliases w:val="Tekst przypisu Znak Znak"/>
    <w:basedOn w:val="Domylnaczcionkaakapitu"/>
    <w:link w:val="Tekstprzypisudolnego"/>
    <w:uiPriority w:val="99"/>
    <w:rsid w:val="00A322FA"/>
    <w:rPr>
      <w:rFonts w:ascii="Calibri" w:eastAsia="Calibri" w:hAnsi="Calibri" w:cs="Times New Roman"/>
      <w:sz w:val="20"/>
      <w:szCs w:val="20"/>
    </w:rPr>
  </w:style>
  <w:style w:type="character" w:styleId="Odwoanieprzypisudolnego">
    <w:name w:val="footnote reference"/>
    <w:basedOn w:val="Domylnaczcionkaakapitu"/>
    <w:uiPriority w:val="99"/>
    <w:unhideWhenUsed/>
    <w:rsid w:val="00A322FA"/>
    <w:rPr>
      <w:vertAlign w:val="superscript"/>
    </w:rPr>
  </w:style>
  <w:style w:type="character" w:styleId="Hipercze">
    <w:name w:val="Hyperlink"/>
    <w:basedOn w:val="Domylnaczcionkaakapitu"/>
    <w:uiPriority w:val="99"/>
    <w:unhideWhenUsed/>
    <w:rsid w:val="00A322FA"/>
    <w:rPr>
      <w:color w:val="0563C1" w:themeColor="hyperlink"/>
      <w:u w:val="single"/>
    </w:rPr>
  </w:style>
  <w:style w:type="paragraph" w:styleId="Stopka">
    <w:name w:val="footer"/>
    <w:basedOn w:val="Normalny"/>
    <w:link w:val="StopkaZnak"/>
    <w:uiPriority w:val="99"/>
    <w:unhideWhenUsed/>
    <w:rsid w:val="00A322F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322FA"/>
    <w:rPr>
      <w:rFonts w:ascii="Open Sans" w:eastAsia="Open Sans" w:hAnsi="Open Sans" w:cs="Open Sans"/>
      <w:sz w:val="24"/>
      <w:lang w:eastAsia="pl-PL"/>
    </w:rPr>
  </w:style>
  <w:style w:type="paragraph" w:customStyle="1" w:styleId="Default">
    <w:name w:val="Default"/>
    <w:rsid w:val="00A322FA"/>
    <w:pPr>
      <w:autoSpaceDE w:val="0"/>
      <w:autoSpaceDN w:val="0"/>
      <w:adjustRightInd w:val="0"/>
      <w:spacing w:after="0" w:line="240" w:lineRule="auto"/>
    </w:pPr>
    <w:rPr>
      <w:rFonts w:ascii="EUAlbertina" w:hAnsi="EUAlbertina" w:cs="EUAlbertina"/>
      <w:color w:val="000000"/>
      <w:sz w:val="24"/>
      <w:szCs w:val="24"/>
    </w:rPr>
  </w:style>
  <w:style w:type="paragraph" w:styleId="Tekstdymka">
    <w:name w:val="Balloon Text"/>
    <w:basedOn w:val="Normalny"/>
    <w:link w:val="TekstdymkaZnak"/>
    <w:uiPriority w:val="99"/>
    <w:semiHidden/>
    <w:unhideWhenUsed/>
    <w:rsid w:val="00D272A4"/>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D272A4"/>
    <w:rPr>
      <w:rFonts w:ascii="Segoe UI" w:eastAsia="Open Sans" w:hAnsi="Segoe UI" w:cs="Segoe UI"/>
      <w:sz w:val="18"/>
      <w:szCs w:val="18"/>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search.coe.int/cm/Pages/result_details.aspx?ObjectID=09000016805cb4b4" TargetMode="External"/><Relationship Id="rId3" Type="http://schemas.openxmlformats.org/officeDocument/2006/relationships/hyperlink" Target="https://rm.coe.int/CoERMPublicCommonSearchServices/DisplayDCTMContent?documentId=090000168050c770" TargetMode="External"/><Relationship Id="rId7" Type="http://schemas.openxmlformats.org/officeDocument/2006/relationships/hyperlink" Target="http://assembly.coe.int/nw/xml/XRef/Xref-XML2HTML-en.asp?fileid=17763&amp;lang=en" TargetMode="External"/><Relationship Id="rId2" Type="http://schemas.openxmlformats.org/officeDocument/2006/relationships/hyperlink" Target="https://www.ebu.ch/CMSimages/en/leg_ref_coe_mcm_resolution_psb_07_081294_tcm6-4274.pdf" TargetMode="External"/><Relationship Id="rId1" Type="http://schemas.openxmlformats.org/officeDocument/2006/relationships/hyperlink" Target="http://www.prezydent.pl/archiwum-lecha-kaczynskiego/ustawy/ustawy-odeslane-do-tk/art,11,ustawa-o-zmianie-ustawy-o-oplatach-abonamentowych.html" TargetMode="External"/><Relationship Id="rId6" Type="http://schemas.openxmlformats.org/officeDocument/2006/relationships/hyperlink" Target="http://www.krrit.gov.pl/regulacje-prawne/rada-europy/" TargetMode="External"/><Relationship Id="rId5" Type="http://schemas.openxmlformats.org/officeDocument/2006/relationships/hyperlink" Target="https://search.coe.int/cm/Pages/result_details.aspx?ObjectID=09000016805d6bc5" TargetMode="External"/><Relationship Id="rId4" Type="http://schemas.openxmlformats.org/officeDocument/2006/relationships/hyperlink" Target="http://www.krrit.gov.pl/Data/Files/_public/Portals/0/regulacje-prawne/rada-europy/12.pdf"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12</Pages>
  <Words>3490</Words>
  <Characters>20945</Characters>
  <Application>Microsoft Office Word</Application>
  <DocSecurity>0</DocSecurity>
  <Lines>174</Lines>
  <Paragraphs>48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24387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KP PiS</dc:creator>
  <cp:keywords/>
  <dc:description/>
  <cp:lastModifiedBy>Emilia Celińska</cp:lastModifiedBy>
  <cp:revision>3</cp:revision>
  <cp:lastPrinted>2019-12-18T18:04:00Z</cp:lastPrinted>
  <dcterms:created xsi:type="dcterms:W3CDTF">2019-12-17T14:19:00Z</dcterms:created>
  <dcterms:modified xsi:type="dcterms:W3CDTF">2019-12-18T18:11:00Z</dcterms:modified>
</cp:coreProperties>
</file>