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AC" w:rsidRDefault="007E26CA" w:rsidP="002607AA">
      <w:pPr>
        <w:spacing w:after="240" w:line="36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rsidR="00F55C45" w:rsidRDefault="00F55C45" w:rsidP="00F55C45">
      <w:pPr>
        <w:pStyle w:val="NIEARTTEKSTtekstnieartykuowanynppodstprawnarozplubpreambua"/>
      </w:pPr>
      <w:r>
        <w:t>Rząd, zarówno ubiegłej, jak i obecnej kadencji, podejmuje szereg systematycznych działań służących polepszeniu sytuacji rodzin oraz obywateli, jednocześnie dążąc do zmniejszenia biurokracji, poprzez wprowadzenie szeregu ułatwień tak dla obywateli, przedsiębiorców, jak i dla obsługujących ich urzędów. Stąd projekt zakłada rozwiązania kierowane bezpośrednio do rodzin wielodzietnych oraz podmiotów prowadzących instytucje opieki nad dziećmi w wieku do lat 3, które to rozwiązania przyczynią się m.in. do sprawniejszego załatwiania spraw w urzędach. Projektowane regulacje zakładają:</w:t>
      </w:r>
    </w:p>
    <w:p w:rsidR="00F55C45" w:rsidRDefault="00F55C45" w:rsidP="00F55C45">
      <w:pPr>
        <w:pStyle w:val="ARTartustawynprozporzdzenia"/>
      </w:pPr>
    </w:p>
    <w:p w:rsidR="00F55C45" w:rsidRDefault="00F55C45" w:rsidP="00F55C45">
      <w:pPr>
        <w:pStyle w:val="ARTartustawynprozporzdzenia"/>
      </w:pPr>
      <w:r>
        <w:rPr>
          <w:rStyle w:val="Ppogrubienie"/>
        </w:rPr>
        <w:t>W zakresie Karty Dużej Rodziny</w:t>
      </w:r>
    </w:p>
    <w:p w:rsidR="00F55C45" w:rsidRDefault="00F55C45" w:rsidP="00F55C45">
      <w:pPr>
        <w:pStyle w:val="NIEARTTEKSTtekstnieartykuowanynppodstprawnarozplubpreambua"/>
      </w:pPr>
      <w:r>
        <w:t>1. Rozszerzenie możliwości wyświetlania elektronicznych Kart Dużej Rodziny, zarówno w publicznej aplikacji mobilnej, o której mowa w art. 19e ustawy z dnia 17 lutego 2005 r. o informatyzacji działalności podmiotów realizujących zadania publiczne (Dz.</w:t>
      </w:r>
      <w:r w:rsidR="002607AA">
        <w:t xml:space="preserve"> </w:t>
      </w:r>
      <w:r>
        <w:t xml:space="preserve">U. z 2020 r. poz. 346, z późn. zm.), czyli aplikacji </w:t>
      </w:r>
      <w:proofErr w:type="spellStart"/>
      <w:r>
        <w:t>mObywatel</w:t>
      </w:r>
      <w:proofErr w:type="spellEnd"/>
      <w:r>
        <w:t>, jak również innych aplikacji – wskazanych w informacji zamieszczonej na stronie podmiotowej Biuletynu Informacji Publicznej ministra właściwego do spraw rodziny. Minister właściwy do spraw rodziny zachowa możliwość utworzenia własnej aplikacji do wyświetlania Kart, nie będzie miał jednak takiego obowiązku, w szczególności w sytuacji, gdy inne aplikacje będą umożliwiały korzystanie z elektronicznej Karty Dużej Rodziny.</w:t>
      </w:r>
    </w:p>
    <w:p w:rsidR="00F55C45" w:rsidRDefault="00F55C45" w:rsidP="00F55C45">
      <w:pPr>
        <w:pStyle w:val="NIEARTTEKSTtekstnieartykuowanynppodstprawnarozplubpreambua"/>
      </w:pPr>
      <w:r>
        <w:t>W 2018 r. wprowadzono elektroniczną formę Karty Dużej Rodziny, z dedykowaną aplikacją na smartfony. Aby otrzymać elektroniczną formę Karty Dużej Rodziny, należało o nią zawnioskować. W przypadku osób, które posiadały już tradycyjną Kartę z tworzywa sztucznego, konieczne było złożenie wniosku o domówienie drugiej formy Karty Dużej Rodziny. Opłata za domówienie drugiej formy Karty wynosi 9,21 zł. Nie ponoszą tej opłaty osoby, które wnioskują o nową Kartę w związku z np. przedłużeniem ważności Karty lub zmianą danych na Karcie, a także osoby wnioskujące o duplikat Karty. W 2018 r. i 2019 r. domówienie elektronicznej formy Karty Dużej Rodziny było zwolnione z opłaty, jeśli wniosek o Kartę tradycyjną był złożony przed 1 stycznia 2018 r.</w:t>
      </w:r>
    </w:p>
    <w:p w:rsidR="00F55C45" w:rsidRDefault="00F55C45" w:rsidP="00F55C45">
      <w:pPr>
        <w:pStyle w:val="NIEARTTEKSTtekstnieartykuowanynppodstprawnarozplubpreambua"/>
      </w:pPr>
      <w:r>
        <w:t xml:space="preserve">W ramach nowelizacji ustawy o Karcie Dużej Rodziny planuje się rozszerzenie możliwości wyboru przez ministra właściwego do spraw rodziny najlepszego rozwiązania w zakresie wyświetlania elektronicznych Kart Dużej Rodziny, w szczególności poprzez zniesienie obowiązku zapewniania przez tego ministra aplikacji do wyświetlania Kart oraz umożliwienie mu wyboru jednej bądź wielu aplikacji, </w:t>
      </w:r>
      <w:r>
        <w:lastRenderedPageBreak/>
        <w:t xml:space="preserve">w których możliwe będzie wyświetlanie Kart, w tym w szczególności publicznej aplikacji mobilnej, o której mowa w art. 19e ustawy z dnia 17 lutego 2005 r. o informatyzacji działalności podmiotów realizujących zadania publiczne, czyli aplikacji </w:t>
      </w:r>
      <w:proofErr w:type="spellStart"/>
      <w:r>
        <w:t>mObywatel</w:t>
      </w:r>
      <w:proofErr w:type="spellEnd"/>
      <w:r>
        <w:t>.</w:t>
      </w:r>
    </w:p>
    <w:p w:rsidR="00F55C45" w:rsidRDefault="00F55C45" w:rsidP="00F55C45">
      <w:pPr>
        <w:pStyle w:val="NIEARTTEKSTtekstnieartykuowanynppodstprawnarozplubpreambua"/>
      </w:pPr>
      <w:r>
        <w:t xml:space="preserve">Specyfika aplikacji </w:t>
      </w:r>
      <w:proofErr w:type="spellStart"/>
      <w:r>
        <w:t>mObywatel</w:t>
      </w:r>
      <w:proofErr w:type="spellEnd"/>
      <w:r>
        <w:t xml:space="preserve">, polegająca na uwierzytelnianiu się osoby logującej się do </w:t>
      </w:r>
      <w:r>
        <w:rPr>
          <w:rFonts w:eastAsia="Calibri"/>
        </w:rPr>
        <w:t>udostępnionych</w:t>
      </w:r>
      <w:r>
        <w:t xml:space="preserve"> w niej </w:t>
      </w:r>
      <w:r>
        <w:rPr>
          <w:rFonts w:eastAsia="Calibri"/>
        </w:rPr>
        <w:t>usług,</w:t>
      </w:r>
      <w:r>
        <w:t xml:space="preserve"> w tym do </w:t>
      </w:r>
      <w:proofErr w:type="spellStart"/>
      <w:r>
        <w:rPr>
          <w:rFonts w:eastAsia="Calibri"/>
        </w:rPr>
        <w:t>mTożsamości</w:t>
      </w:r>
      <w:proofErr w:type="spellEnd"/>
      <w:r>
        <w:rPr>
          <w:rFonts w:eastAsia="Calibri"/>
        </w:rPr>
        <w:t>,</w:t>
      </w:r>
      <w:r>
        <w:t xml:space="preserve"> jednym z </w:t>
      </w:r>
      <w:r>
        <w:rPr>
          <w:rFonts w:eastAsia="Calibri"/>
        </w:rPr>
        <w:t>dostępnych</w:t>
      </w:r>
      <w:r>
        <w:t xml:space="preserve"> </w:t>
      </w:r>
      <w:r>
        <w:rPr>
          <w:rFonts w:eastAsia="Calibri"/>
        </w:rPr>
        <w:t>środków</w:t>
      </w:r>
      <w:r>
        <w:t xml:space="preserve"> identyfikacji elektronicznej wydanym w systemie identyfikacji elektronicznej </w:t>
      </w:r>
      <w:r>
        <w:rPr>
          <w:rFonts w:eastAsia="Calibri"/>
        </w:rPr>
        <w:t>przyłączonym</w:t>
      </w:r>
      <w:r>
        <w:t xml:space="preserve"> do </w:t>
      </w:r>
      <w:r>
        <w:rPr>
          <w:rFonts w:eastAsia="Calibri"/>
        </w:rPr>
        <w:t>Węzła</w:t>
      </w:r>
      <w:r>
        <w:t xml:space="preserve"> Krajowego Identyfikacji Elektronicznej (login.gov.pl), umożliwia osobom, którym przyznane już zostały uprawnienia na podstawie Karty Dużej Rodziny (wydana została im Karta Dużej Rodziny w formie tradycyjnej)</w:t>
      </w:r>
      <w:r w:rsidR="002607AA">
        <w:t>,</w:t>
      </w:r>
      <w:r>
        <w:t xml:space="preserve"> rezygnację z konieczności wnioskowania o elektroniczną formę Karty Dużej Rodziny – aplikacja ta umożliwi bowiem pobranie swojej Karty w wersji elektronicznej każdemu posiadaczowi Karty, który zaloguje się do aplikacji </w:t>
      </w:r>
      <w:proofErr w:type="spellStart"/>
      <w:r>
        <w:t>mObywatel</w:t>
      </w:r>
      <w:proofErr w:type="spellEnd"/>
      <w:r>
        <w:t>. Rozwiązanie to będzie bardzo korzystne dla osób posiadających obecnie wyłącznie Karty tradycyjne, ponieważ nie będą musiały wnioskować o domówienie elektronicznej formy Karty i ponosić opłat z tym związanych.</w:t>
      </w:r>
    </w:p>
    <w:p w:rsidR="00F55C45" w:rsidRDefault="00F55C45" w:rsidP="00F55C45">
      <w:pPr>
        <w:pStyle w:val="NIEARTTEKSTtekstnieartykuowanynppodstprawnarozplubpreambua"/>
      </w:pPr>
      <w:r>
        <w:t xml:space="preserve">Aplikacja </w:t>
      </w:r>
      <w:proofErr w:type="spellStart"/>
      <w:r>
        <w:t>mObywatel</w:t>
      </w:r>
      <w:proofErr w:type="spellEnd"/>
      <w:r>
        <w:t xml:space="preserve"> umożliwi także wyświetlanie przez rodziców i małżonków rodziców Kart pozostałych członków ich rodziny – tak, jak obecnie ma to miejsce w aplikacji zapewnianej obecnie przez ministra właściwego do spraw rodziny. Aplikacja </w:t>
      </w:r>
      <w:proofErr w:type="spellStart"/>
      <w:r>
        <w:t>mObywatel</w:t>
      </w:r>
      <w:proofErr w:type="spellEnd"/>
      <w:r>
        <w:t xml:space="preserve"> jest dostępna jedynie dla osób posiadających </w:t>
      </w:r>
      <w:proofErr w:type="spellStart"/>
      <w:r>
        <w:t>mTożsamość</w:t>
      </w:r>
      <w:proofErr w:type="spellEnd"/>
      <w:r>
        <w:t xml:space="preserve"> (posiadających numer PESEL oraz dowód osobisty) lub </w:t>
      </w:r>
      <w:proofErr w:type="spellStart"/>
      <w:r>
        <w:rPr>
          <w:rFonts w:eastAsia="Calibri"/>
        </w:rPr>
        <w:t>mLegitymację</w:t>
      </w:r>
      <w:proofErr w:type="spellEnd"/>
      <w:r>
        <w:t xml:space="preserve"> szkolną. Oznacza to, że część cudzoziemców posiadających obecnie Karty Dużej Rodziny nie będzie mogła z tego rozwiązania skorzystać. Takie osoby będą mogły natomiast korzystać z tradycyjnych Kart Dużej Rodziny. Dla osób, które wnioskowały wyłącznie o elektroniczną formę Karty Dużej Rodziny, wójtowie, burmistrzowie oraz prezydenci miast przyznają tradycyjną formę Karty z urzędu, po uzyskaniu potwierdzenia chęci jej posiadania.</w:t>
      </w:r>
    </w:p>
    <w:p w:rsidR="00F55C45" w:rsidRDefault="00F55C45" w:rsidP="00F55C45">
      <w:pPr>
        <w:pStyle w:val="NIEARTTEKSTtekstnieartykuowanynppodstprawnarozplubpreambua"/>
      </w:pPr>
      <w:r>
        <w:rPr>
          <w:rFonts w:eastAsia="Calibri"/>
        </w:rPr>
        <w:t>Ponieważ mobilną</w:t>
      </w:r>
      <w:r>
        <w:t xml:space="preserve"> </w:t>
      </w:r>
      <w:r>
        <w:rPr>
          <w:rFonts w:eastAsia="Calibri"/>
        </w:rPr>
        <w:t>Kartą</w:t>
      </w:r>
      <w:r>
        <w:t xml:space="preserve"> </w:t>
      </w:r>
      <w:r>
        <w:rPr>
          <w:rFonts w:eastAsia="Calibri"/>
        </w:rPr>
        <w:t>Dużej</w:t>
      </w:r>
      <w:r>
        <w:t xml:space="preserve"> Rodziny </w:t>
      </w:r>
      <w:r>
        <w:rPr>
          <w:rFonts w:eastAsia="Calibri"/>
        </w:rPr>
        <w:t>będą</w:t>
      </w:r>
      <w:r>
        <w:t xml:space="preserve"> mogli </w:t>
      </w:r>
      <w:r>
        <w:rPr>
          <w:rFonts w:eastAsia="Calibri"/>
        </w:rPr>
        <w:t>posługiwać</w:t>
      </w:r>
      <w:r>
        <w:t xml:space="preserve"> </w:t>
      </w:r>
      <w:r>
        <w:rPr>
          <w:rFonts w:eastAsia="Calibri"/>
        </w:rPr>
        <w:t>się</w:t>
      </w:r>
      <w:r>
        <w:t xml:space="preserve"> uczniowie, czyli grupa </w:t>
      </w:r>
      <w:r>
        <w:rPr>
          <w:rFonts w:eastAsia="Calibri"/>
        </w:rPr>
        <w:t>użytkowników</w:t>
      </w:r>
      <w:r>
        <w:t xml:space="preserve"> publicznej aplikacji mobilnej, w </w:t>
      </w:r>
      <w:r>
        <w:rPr>
          <w:rFonts w:eastAsia="Calibri"/>
        </w:rPr>
        <w:t>skład</w:t>
      </w:r>
      <w:r>
        <w:t xml:space="preserve"> której </w:t>
      </w:r>
      <w:r>
        <w:rPr>
          <w:rFonts w:eastAsia="Calibri"/>
        </w:rPr>
        <w:t>wchodzą</w:t>
      </w:r>
      <w:r>
        <w:t xml:space="preserve"> </w:t>
      </w:r>
      <w:r>
        <w:rPr>
          <w:rFonts w:eastAsia="Calibri"/>
        </w:rPr>
        <w:t>głównie</w:t>
      </w:r>
      <w:r>
        <w:t xml:space="preserve"> osoby nieletnie, konieczne jest dokonanie zmian w ustawie z dnia 17 lutego 2005 r. o informatyzacji działalności podmiotów realizujących zadania publiczne. Osoby nieletnie nie </w:t>
      </w:r>
      <w:r>
        <w:rPr>
          <w:rFonts w:eastAsia="Calibri"/>
        </w:rPr>
        <w:t>mogą</w:t>
      </w:r>
      <w:r>
        <w:t xml:space="preserve"> </w:t>
      </w:r>
      <w:r>
        <w:rPr>
          <w:rFonts w:eastAsia="Calibri"/>
        </w:rPr>
        <w:t>posiadać</w:t>
      </w:r>
      <w:r>
        <w:t xml:space="preserve"> </w:t>
      </w:r>
      <w:proofErr w:type="spellStart"/>
      <w:r>
        <w:rPr>
          <w:rFonts w:eastAsia="Calibri"/>
        </w:rPr>
        <w:t>mTożsamości</w:t>
      </w:r>
      <w:proofErr w:type="spellEnd"/>
      <w:r>
        <w:rPr>
          <w:rFonts w:eastAsia="Calibri"/>
        </w:rPr>
        <w:t>,</w:t>
      </w:r>
      <w:r>
        <w:t xml:space="preserve"> a tym samym certyfikatu, o którym mowa w art. 19e ust. 2a tej ustawy. </w:t>
      </w:r>
    </w:p>
    <w:p w:rsidR="00F55C45" w:rsidRDefault="00F55C45" w:rsidP="00F55C45">
      <w:pPr>
        <w:pStyle w:val="NIEARTTEKSTtekstnieartykuowanynppodstprawnarozplubpreambua"/>
      </w:pPr>
      <w:r>
        <w:t xml:space="preserve">Aktualnie dzieci </w:t>
      </w:r>
      <w:r>
        <w:rPr>
          <w:rFonts w:eastAsia="Calibri"/>
        </w:rPr>
        <w:t>wykorzystują</w:t>
      </w:r>
      <w:r>
        <w:t xml:space="preserve"> </w:t>
      </w:r>
      <w:r>
        <w:rPr>
          <w:rFonts w:eastAsia="Calibri"/>
        </w:rPr>
        <w:t>publiczną</w:t>
      </w:r>
      <w:r>
        <w:t xml:space="preserve"> </w:t>
      </w:r>
      <w:r>
        <w:rPr>
          <w:rFonts w:eastAsia="Calibri"/>
        </w:rPr>
        <w:t>aplikację</w:t>
      </w:r>
      <w:r>
        <w:t xml:space="preserve"> </w:t>
      </w:r>
      <w:r>
        <w:rPr>
          <w:rFonts w:eastAsia="Calibri"/>
        </w:rPr>
        <w:t>mobilną</w:t>
      </w:r>
      <w:r>
        <w:t xml:space="preserve"> do </w:t>
      </w:r>
      <w:r>
        <w:rPr>
          <w:rFonts w:eastAsia="Calibri"/>
        </w:rPr>
        <w:t>posługiwania</w:t>
      </w:r>
      <w:r>
        <w:t xml:space="preserve"> </w:t>
      </w:r>
      <w:r>
        <w:rPr>
          <w:rFonts w:eastAsia="Calibri"/>
        </w:rPr>
        <w:t>się</w:t>
      </w:r>
      <w:r>
        <w:t xml:space="preserve"> </w:t>
      </w:r>
      <w:proofErr w:type="spellStart"/>
      <w:r>
        <w:rPr>
          <w:rFonts w:eastAsia="Calibri"/>
        </w:rPr>
        <w:t>mLegitymacją</w:t>
      </w:r>
      <w:proofErr w:type="spellEnd"/>
      <w:r>
        <w:t xml:space="preserve"> </w:t>
      </w:r>
      <w:r>
        <w:rPr>
          <w:rFonts w:eastAsia="Calibri"/>
        </w:rPr>
        <w:t xml:space="preserve">szkolną. </w:t>
      </w:r>
      <w:r>
        <w:t xml:space="preserve">W celu </w:t>
      </w:r>
      <w:r>
        <w:rPr>
          <w:rFonts w:eastAsia="Calibri"/>
        </w:rPr>
        <w:t>przyporządkowania</w:t>
      </w:r>
      <w:r>
        <w:t xml:space="preserve"> mobilnej Karty </w:t>
      </w:r>
      <w:r>
        <w:rPr>
          <w:rFonts w:eastAsia="Calibri"/>
        </w:rPr>
        <w:t>Dużej</w:t>
      </w:r>
      <w:r>
        <w:t xml:space="preserve"> Rodziny do </w:t>
      </w:r>
      <w:r>
        <w:rPr>
          <w:rFonts w:eastAsia="Calibri"/>
        </w:rPr>
        <w:t>właściwego</w:t>
      </w:r>
      <w:r>
        <w:t xml:space="preserve"> ucznia, </w:t>
      </w:r>
      <w:r>
        <w:rPr>
          <w:rFonts w:eastAsia="Calibri"/>
        </w:rPr>
        <w:t>posiadającego</w:t>
      </w:r>
      <w:r>
        <w:t xml:space="preserve"> </w:t>
      </w:r>
      <w:proofErr w:type="spellStart"/>
      <w:r>
        <w:rPr>
          <w:rFonts w:eastAsia="Calibri"/>
        </w:rPr>
        <w:lastRenderedPageBreak/>
        <w:t>mLegitymację</w:t>
      </w:r>
      <w:proofErr w:type="spellEnd"/>
      <w:r>
        <w:t xml:space="preserve"> </w:t>
      </w:r>
      <w:r>
        <w:rPr>
          <w:rFonts w:eastAsia="Calibri"/>
        </w:rPr>
        <w:t>szkolną,</w:t>
      </w:r>
      <w:r>
        <w:t xml:space="preserve"> przewiduje </w:t>
      </w:r>
      <w:r>
        <w:rPr>
          <w:rFonts w:eastAsia="Calibri"/>
        </w:rPr>
        <w:t>się</w:t>
      </w:r>
      <w:r>
        <w:t xml:space="preserve"> </w:t>
      </w:r>
      <w:r>
        <w:rPr>
          <w:rFonts w:eastAsia="Calibri"/>
        </w:rPr>
        <w:t>użycie</w:t>
      </w:r>
      <w:r>
        <w:t xml:space="preserve"> certyfikatu, o którym mowa art. 19e w ust. 2a z dnia 17 lutego 2005 r. o informatyzacji działalności podmiotów realizujących zadania publiczne.</w:t>
      </w:r>
    </w:p>
    <w:p w:rsidR="00F55C45" w:rsidRDefault="00F55C45" w:rsidP="00F55C45">
      <w:pPr>
        <w:pStyle w:val="NIEARTTEKSTtekstnieartykuowanynppodstprawnarozplubpreambua"/>
      </w:pPr>
      <w:r>
        <w:t xml:space="preserve">Przedmiotem zmiany jest wprowadzenie nowego wariantu certyfikatu, który </w:t>
      </w:r>
      <w:r>
        <w:rPr>
          <w:rFonts w:eastAsia="Calibri"/>
        </w:rPr>
        <w:t>będzie</w:t>
      </w:r>
      <w:r>
        <w:t xml:space="preserve"> wydawany posiadaczowi </w:t>
      </w:r>
      <w:proofErr w:type="spellStart"/>
      <w:r>
        <w:t>mLegitymacji</w:t>
      </w:r>
      <w:proofErr w:type="spellEnd"/>
      <w:r>
        <w:t xml:space="preserve"> szkolnej, w przypadku którego </w:t>
      </w:r>
      <w:r>
        <w:rPr>
          <w:rFonts w:eastAsia="Calibri"/>
        </w:rPr>
        <w:t>tożsamość</w:t>
      </w:r>
      <w:r>
        <w:t xml:space="preserve"> nie </w:t>
      </w:r>
      <w:r>
        <w:rPr>
          <w:rFonts w:eastAsia="Calibri"/>
        </w:rPr>
        <w:t>może</w:t>
      </w:r>
      <w:r>
        <w:t xml:space="preserve"> </w:t>
      </w:r>
      <w:r>
        <w:rPr>
          <w:rFonts w:eastAsia="Calibri"/>
        </w:rPr>
        <w:t>zostać</w:t>
      </w:r>
      <w:r>
        <w:t xml:space="preserve"> ustalona w sposób </w:t>
      </w:r>
      <w:r>
        <w:rPr>
          <w:rFonts w:eastAsia="Calibri"/>
        </w:rPr>
        <w:t>określony</w:t>
      </w:r>
      <w:r>
        <w:t xml:space="preserve"> w art. 20a ust. 1 z dnia 17 lutego 2005 r. o informatyzacji działalności podmiotów realizujących zadania publiczne – jak to wynika z aktualnego brzmienia art. 19e ust. 2b pkt 1 tej ustawy – lecz zgodnie z procedurami, jakie </w:t>
      </w:r>
      <w:r>
        <w:rPr>
          <w:rFonts w:eastAsia="Calibri"/>
        </w:rPr>
        <w:t>szkoły</w:t>
      </w:r>
      <w:r>
        <w:t xml:space="preserve"> </w:t>
      </w:r>
      <w:r>
        <w:rPr>
          <w:rFonts w:eastAsia="Calibri"/>
        </w:rPr>
        <w:t>stosują</w:t>
      </w:r>
      <w:r>
        <w:t xml:space="preserve"> przy wydawaniu uczniom legitymacji szkolnych. W związku z tym zaproponowano odniesienie do certyfikatu wydanego </w:t>
      </w:r>
      <w:r>
        <w:rPr>
          <w:rFonts w:eastAsia="Calibri"/>
        </w:rPr>
        <w:t>użytkownikowi</w:t>
      </w:r>
      <w:r>
        <w:t xml:space="preserve"> publicznej aplikacji mobilnej, o którym mowa w przepisach wydanych na podstawie art. 11 ust. 2 ustawy z dnia 7 </w:t>
      </w:r>
      <w:r>
        <w:rPr>
          <w:rFonts w:eastAsia="Calibri"/>
        </w:rPr>
        <w:t>września</w:t>
      </w:r>
      <w:r>
        <w:t xml:space="preserve"> 1991 r. o systemie </w:t>
      </w:r>
      <w:r>
        <w:rPr>
          <w:rFonts w:eastAsia="Calibri"/>
        </w:rPr>
        <w:t>oświaty</w:t>
      </w:r>
      <w:r>
        <w:t xml:space="preserve"> (Dz. U. z 2020 r. poz. 1327 oraz z 2021</w:t>
      </w:r>
      <w:r w:rsidR="002607AA">
        <w:t xml:space="preserve"> r.</w:t>
      </w:r>
      <w:r>
        <w:t xml:space="preserve"> poz. 159). Na podstawie wymienionego przepisu ustawy o systemie </w:t>
      </w:r>
      <w:r>
        <w:rPr>
          <w:rFonts w:eastAsia="Calibri"/>
        </w:rPr>
        <w:t>oświaty</w:t>
      </w:r>
      <w:r>
        <w:t xml:space="preserve"> </w:t>
      </w:r>
      <w:r>
        <w:rPr>
          <w:rFonts w:eastAsia="Calibri"/>
        </w:rPr>
        <w:t>zostało</w:t>
      </w:r>
      <w:r>
        <w:t xml:space="preserve"> wydane </w:t>
      </w:r>
      <w:r>
        <w:rPr>
          <w:rFonts w:eastAsia="Calibri"/>
        </w:rPr>
        <w:t>rozporządzenie</w:t>
      </w:r>
      <w:r>
        <w:t xml:space="preserve"> Ministra Edukacji Narodowej z dnia 27 sierpnia 2019 r. w sprawie </w:t>
      </w:r>
      <w:r>
        <w:rPr>
          <w:rFonts w:eastAsia="Calibri"/>
        </w:rPr>
        <w:t>świadectw,</w:t>
      </w:r>
      <w:r>
        <w:t xml:space="preserve"> dyplomów </w:t>
      </w:r>
      <w:r>
        <w:rPr>
          <w:rFonts w:eastAsia="Calibri"/>
        </w:rPr>
        <w:t>państwowych</w:t>
      </w:r>
      <w:r>
        <w:t xml:space="preserve"> i innych druków </w:t>
      </w:r>
      <w:r w:rsidRPr="00F55C45">
        <w:t xml:space="preserve">(Dz. U. z 2019 r. poz. 1700, z </w:t>
      </w:r>
      <w:r w:rsidRPr="00F55C45">
        <w:rPr>
          <w:rFonts w:eastAsia="Calibri"/>
        </w:rPr>
        <w:t>późn.</w:t>
      </w:r>
      <w:r w:rsidRPr="00F55C45">
        <w:t xml:space="preserve"> zm.),</w:t>
      </w:r>
      <w:r>
        <w:t xml:space="preserve"> które reguluje kwestie wydawania </w:t>
      </w:r>
      <w:proofErr w:type="spellStart"/>
      <w:r>
        <w:t>mLegitymacji</w:t>
      </w:r>
      <w:proofErr w:type="spellEnd"/>
      <w:r>
        <w:t>.</w:t>
      </w:r>
    </w:p>
    <w:p w:rsidR="00F55C45" w:rsidRDefault="00F55C45" w:rsidP="00F55C45">
      <w:pPr>
        <w:pStyle w:val="NIEARTTEKSTtekstnieartykuowanynppodstprawnarozplubpreambua"/>
      </w:pPr>
      <w:r>
        <w:rPr>
          <w:rFonts w:eastAsia="Calibri"/>
        </w:rPr>
        <w:t>Jednocześnie</w:t>
      </w:r>
      <w:r w:rsidR="002607AA">
        <w:rPr>
          <w:rFonts w:eastAsia="Calibri"/>
        </w:rPr>
        <w:t>,</w:t>
      </w:r>
      <w:r>
        <w:t xml:space="preserve"> </w:t>
      </w:r>
      <w:r>
        <w:rPr>
          <w:rFonts w:eastAsia="Calibri"/>
        </w:rPr>
        <w:t>mając</w:t>
      </w:r>
      <w:r>
        <w:t xml:space="preserve"> na </w:t>
      </w:r>
      <w:r>
        <w:rPr>
          <w:rFonts w:eastAsia="Calibri"/>
        </w:rPr>
        <w:t>względzie</w:t>
      </w:r>
      <w:r>
        <w:t xml:space="preserve"> planowane w </w:t>
      </w:r>
      <w:r>
        <w:rPr>
          <w:rFonts w:eastAsia="Calibri"/>
        </w:rPr>
        <w:t>najbliższej</w:t>
      </w:r>
      <w:r>
        <w:t xml:space="preserve"> </w:t>
      </w:r>
      <w:r>
        <w:rPr>
          <w:rFonts w:eastAsia="Calibri"/>
        </w:rPr>
        <w:t>przyszłości</w:t>
      </w:r>
      <w:r>
        <w:t xml:space="preserve"> </w:t>
      </w:r>
      <w:r>
        <w:rPr>
          <w:rFonts w:eastAsia="Calibri"/>
        </w:rPr>
        <w:t>udostępnienie</w:t>
      </w:r>
      <w:r>
        <w:t xml:space="preserve"> mobilnych dokumentów, z których </w:t>
      </w:r>
      <w:r>
        <w:rPr>
          <w:rFonts w:eastAsia="Calibri"/>
        </w:rPr>
        <w:t>będą</w:t>
      </w:r>
      <w:r>
        <w:t xml:space="preserve"> mogli </w:t>
      </w:r>
      <w:r>
        <w:rPr>
          <w:rFonts w:eastAsia="Calibri"/>
        </w:rPr>
        <w:t>korzystać</w:t>
      </w:r>
      <w:r>
        <w:t xml:space="preserve"> studenci, co </w:t>
      </w:r>
      <w:r>
        <w:rPr>
          <w:rFonts w:eastAsia="Calibri"/>
        </w:rPr>
        <w:t>będzie</w:t>
      </w:r>
      <w:r>
        <w:t xml:space="preserve"> </w:t>
      </w:r>
      <w:r>
        <w:rPr>
          <w:rFonts w:eastAsia="Calibri"/>
        </w:rPr>
        <w:t>wymagało</w:t>
      </w:r>
      <w:r>
        <w:t xml:space="preserve"> zastosowania analogicznego certyfikatu, </w:t>
      </w:r>
      <w:r>
        <w:rPr>
          <w:rFonts w:eastAsia="Calibri"/>
        </w:rPr>
        <w:t>proponuje się</w:t>
      </w:r>
      <w:r>
        <w:t xml:space="preserve"> wprowadzenie </w:t>
      </w:r>
      <w:r>
        <w:rPr>
          <w:rFonts w:eastAsia="Calibri"/>
        </w:rPr>
        <w:t>możliwości</w:t>
      </w:r>
      <w:r>
        <w:t xml:space="preserve"> wydania certyfikatu </w:t>
      </w:r>
      <w:r>
        <w:rPr>
          <w:rFonts w:eastAsia="Calibri"/>
        </w:rPr>
        <w:t>przyporządkowanego</w:t>
      </w:r>
      <w:r>
        <w:t xml:space="preserve"> do posiadacza </w:t>
      </w:r>
      <w:proofErr w:type="spellStart"/>
      <w:r>
        <w:t>mLegitymacji</w:t>
      </w:r>
      <w:proofErr w:type="spellEnd"/>
      <w:r>
        <w:t xml:space="preserve"> studenckiej. </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 xml:space="preserve">2. Zmiana w zakresie obowiązku przetwarzania przez administratora danych osobowych numeru telefonu i adresu poczty elektronicznej członków rodzin wielodzietnych. </w:t>
      </w:r>
    </w:p>
    <w:p w:rsidR="00F55C45" w:rsidRDefault="00F55C45" w:rsidP="00F55C45">
      <w:pPr>
        <w:pStyle w:val="NIEARTTEKSTtekstnieartykuowanynppodstprawnarozplubpreambua"/>
      </w:pPr>
      <w:r>
        <w:t xml:space="preserve">Ww. propozycja wynika z okoliczności, że podanie adresu poczty elektronicznej oraz numeru telefonu nie będą już niezbędne dla przyznania elektronicznej formy Karty Dużej Rodziny, jednakże </w:t>
      </w:r>
      <w:r w:rsidR="002607AA">
        <w:t>–</w:t>
      </w:r>
      <w:r>
        <w:t xml:space="preserve"> tak jak obecnie </w:t>
      </w:r>
      <w:r w:rsidR="002607AA">
        <w:t>–</w:t>
      </w:r>
      <w:r>
        <w:t xml:space="preserve"> dane kontaktowe członków rodziny wielodzietnej są istotne dla gminy przyjmującej wniosek – pozwalają bowiem na szybki kontakt w przypadku niejasności we wniosku. Taki kontakt pozwala na dużo szybsze wyjaśnienie wątpliwości, a tym samym na znacznie szybsze rozpatrzenie wniosku. Ponadto dzięki tym danym minister właściwy do spraw rodziny będzie miał możliwość przekazywania członkom rodzin wielodzietnych ważnych informacji związanych z ich uprawnieniami.</w:t>
      </w:r>
    </w:p>
    <w:p w:rsidR="00F55C45" w:rsidRDefault="00F55C45" w:rsidP="00F55C45">
      <w:pPr>
        <w:pStyle w:val="ARTartustawynprozporzdzenia"/>
      </w:pPr>
    </w:p>
    <w:p w:rsidR="00F55C45" w:rsidRDefault="00F55C45" w:rsidP="00F55C45">
      <w:pPr>
        <w:pStyle w:val="NIEARTTEKSTtekstnieartykuowanynppodstprawnarozplubpreambua"/>
      </w:pPr>
      <w:r>
        <w:lastRenderedPageBreak/>
        <w:t>3. Realizacja postulatów gmin w zakresie podniesienia kosztów obsługi oraz ujednolicenie kwoty należnej gminie za rozpatrzenie wniosku o przyznanie KDR nowej rodzinie – niezależnie od tego, czy jest to rodzina, w której prawo do Karty Dużej Rodziny przysługuje wszystkim członkom rodziny, czy tylko rodzicom.</w:t>
      </w:r>
    </w:p>
    <w:p w:rsidR="00F55C45" w:rsidRDefault="00F55C45" w:rsidP="00F55C45">
      <w:pPr>
        <w:pStyle w:val="NIEARTTEKSTtekstnieartykuowanynppodstprawnarozplubpreambua"/>
      </w:pPr>
      <w:r>
        <w:t>Proponuje się zwiększenie kwot przysługujących gminom za rozpatrywanie wniosków oraz wprowadzenie kwot zaokrąglanych w trakcie corocznej waloryzacji wskaźnikiem równym wskaźnikowi cen i usług konsumpcyjnych ogółem w roku poprzedzającym rok, w którym przeprowadzana jest weryfikacja, do pełnych złotych. Z licznych pism kierowanych przez gminy do Ministerstwa Rodziny i Polityki Społecznej wynika, że wskazane obecnie w ustawie o Karcie Dużej Rodziny koszty związane z rozpatrywaniem poszczególnych rodzajów wniosków nie odzwierciedlają rzeczywistych kosztów gmin związanych z realizacją tej ustawy. Wzrost kosztów realizacji w gminach ustawy o Karcie Dużej Rodziny wynika w szczególności z wysokiego wzrostu minimalnego wynagrodzenia za pracę od 2014 r. – z 1680 zł brutto do 2600 zł brutto w 2020 r. W ramach tej zmiany przewiduje się również ujednolicenie kwoty należnej gminie za rozpatrzenie wniosku o przyznanie KDR nowej rodzinie – obecnie kwota za nową rodzinę, w której tylko rodzice otrzymują Karty, z u</w:t>
      </w:r>
      <w:r w:rsidR="006C2CAF">
        <w:t>wagi na wiek dzieci wynosi 5,58 </w:t>
      </w:r>
      <w:r>
        <w:t>zł, podczas gdy kwota za przyznanie KDR nowej rodzinie, w której dzieciom również przyznawane są Karty</w:t>
      </w:r>
      <w:r w:rsidR="002607AA">
        <w:t>,</w:t>
      </w:r>
      <w:r>
        <w:t xml:space="preserve"> wynosi obecnie 14,21 zł, mimo że jak podnoszą gminy, rejestracja i rozpatrzenie tych wniosków zajmuje tyle samo czasu.</w:t>
      </w:r>
    </w:p>
    <w:p w:rsidR="00F55C45" w:rsidRDefault="00F55C45" w:rsidP="00F55C45">
      <w:pPr>
        <w:pStyle w:val="NIEARTTEKSTtekstnieartykuowanynppodstprawnarozplubpreambua"/>
      </w:pPr>
      <w:r>
        <w:t xml:space="preserve">Koszty te będą podlegały, tak jak obecnie, corocznej waloryzacji, przy czym proponuje się, aby wysokość ustalonych w jej wyniku kwot zaokrąglana była do pełnych złotych </w:t>
      </w:r>
      <w:r w:rsidR="006C2CAF">
        <w:t>–</w:t>
      </w:r>
      <w:r>
        <w:t xml:space="preserve"> a nie groszy – w górę.</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4. Likwidacja obowiązku sprawozdawczego dla gmin i wojewodów z realizacji ustawy, a także dla starostów i marszałków województw w zakresie samorządowych programów dla rodzin wielodzietnych.</w:t>
      </w:r>
    </w:p>
    <w:p w:rsidR="00F55C45" w:rsidRDefault="00F55C45" w:rsidP="00F55C45">
      <w:pPr>
        <w:pStyle w:val="NIEARTTEKSTtekstnieartykuowanynppodstprawnarozplubpreambua"/>
      </w:pPr>
      <w:r>
        <w:t xml:space="preserve">Kolejną zmianą służącą ułatwieniu realizacji ustawy o Karcie Dużej Rodziny przez wójtów, burmistrzów i prezydentów miast jest likwidacja obowiązku sprawozdawczego dla gmin i wojewodów z realizacji ustawy, a także dla starostów i marszałków województw w zakresie samorządowych programów dla rodzin wielodzietnych – obowiązek sprawozdawczy stanowi dodatkowe obciążenie dla realizatorów ustawy, podczas gdy system teleinformatyczny SI KDR daje możliwość pobrania raportów zawierających istotne dla ministra właściwego do spraw rodziny dane, natomiast wykorzystanie środków przez gminy monitoruje we własnym zakresie minister właściwy do spraw finansów z wykonania rezerwy celowej </w:t>
      </w:r>
      <w:r>
        <w:lastRenderedPageBreak/>
        <w:t>przeznaczonej na realizację ustawy o Karcie Dużej Rodziny. Ostatnie sprawozdanie zostałoby złożone na początku 2021 r. za drugie półrocze 2020 r.</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5. Wprowadzenie możliwości pozyskiwania przez ministra właściwego do spraw rodziny drogą elektroniczną z bazy PESEL informacji o zgonach posiadaczy Kart Dużej Rodziny.</w:t>
      </w:r>
    </w:p>
    <w:p w:rsidR="00F55C45" w:rsidRDefault="00F55C45" w:rsidP="00F55C45">
      <w:pPr>
        <w:pStyle w:val="NIEARTTEKSTtekstnieartykuowanynppodstprawnarozplubpreambua"/>
      </w:pPr>
      <w:r>
        <w:t>W ramach niniejszej nowelizacji przewiduje się również wprowadzenie możliwości pozyskiwania przez ministra właściwego do spraw rodziny drogą elektroniczną z bazy PESEL informacji o zgonach posiadaczy Kart Dużej Rodziny, aby możliwe było dezaktywowanie Kart tych osób. Wskazać należy, że Karty Dużej Rodziny są wydawane rodzicom i małżonkom rodziców bezterminowo, a to wiąże się – w przypadku braku poinformowania wójta, burmistrza lub prezydenta miasta o zgonie posiadacza Karty przez członków jego rodziny – istnieniem wielu aktywnych Kart, których posiadacze zmarli. Funkcjonowanie w obrocie aktywnych Kart Dużej Rodziny, których posiadacze nie żyją, mogłoby w przyszłości powodować obniżenie zaufania Partnerów Karty Dużej Rodziny do wiarygodności tego dokumentu, ponadto z każdym rokiem zwiększałby się margines błędu w zakresie statystyk dotyczących aktywnych użytkowników Kart.</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6. Zmiana limitów wydatków na realizację ustawy o Karcie Dużej Rodziny.</w:t>
      </w:r>
    </w:p>
    <w:p w:rsidR="00F55C45" w:rsidRDefault="00F55C45" w:rsidP="00F55C45">
      <w:pPr>
        <w:pStyle w:val="NIEARTTEKSTtekstnieartykuowanynppodstprawnarozplubpreambua"/>
      </w:pPr>
      <w:r>
        <w:t>Rosnące koszty związane z produkcją Kart, wynikające z dużej liczby wniosków składanych przez rodziny wielodzietne oraz zmiany struktury rodzin wynikające z okoliczności zwiększonej liczby urodzeń trzecich i kolejnych dzieci w rodzinach, wiążą się z koniecznością podniesienia limitów na realizację ustawy. Projektowane rozwiązania w zakresie podniesienia kosztów obsługi dla gmin wpłyną na sektor finansów publicznych.</w:t>
      </w:r>
    </w:p>
    <w:p w:rsidR="00F55C45" w:rsidRDefault="00F55C45" w:rsidP="00F55C45">
      <w:pPr>
        <w:pStyle w:val="ARTartustawynprozporzdzenia"/>
      </w:pPr>
      <w:r>
        <w:t xml:space="preserve">Dodatkowo przewiduje się wprowadzenie możliwości, aby właściwy minister, w przypadku gdy zabraknie mu zaplanowanych środków finansowych na realizację któregoś z zadań związanych z uprawnieniami dla rodzin wielodzietnych, mógł skorzystać ze środków finansowych zaplanowanych dla innego ministra na realizację zadań związanych z uprawnieniami dla rodzin wielodzietnych – bez konieczności nowelizacji ustawy w zakresie poszczególnych kwot maksymalnego limitu wydatków zaplanowanych w danym roku na poszczególne zadania. </w:t>
      </w:r>
    </w:p>
    <w:p w:rsidR="00F55C45" w:rsidRDefault="00F55C45" w:rsidP="00F55C45">
      <w:pPr>
        <w:pStyle w:val="NIEARTTEKSTtekstnieartykuowanynppodstprawnarozplubpreambua"/>
      </w:pPr>
      <w:r>
        <w:lastRenderedPageBreak/>
        <w:t>7. Nałożenie na wójta, burmistrza lub prezydenta miasta obowiązku bezpłatnego wydania Karty tradycyjnej osobom, które wnioskowały wyłącznie o Kartę elektroniczną.</w:t>
      </w:r>
    </w:p>
    <w:p w:rsidR="00F55C45" w:rsidRDefault="00F55C45" w:rsidP="00F55C45">
      <w:pPr>
        <w:pStyle w:val="NIEARTTEKSTtekstnieartykuowanynppodstprawnarozplubpreambua"/>
      </w:pPr>
      <w:r>
        <w:t>Uzasadnieniem dla nałożenia na wójta, burmistrza lub prezydenta miasta obowiązku bezpłatnego wydania Karty tradycyjnej osobom, które wnioskowały wyłącznie o Kartę elektroniczną</w:t>
      </w:r>
      <w:r w:rsidR="002607AA">
        <w:t>,</w:t>
      </w:r>
      <w:r>
        <w:t xml:space="preserve"> jest okoliczność, że nie każda osoba, która posiada obecnie wyłącznie Kartę elektroniczną i korzysta z dedykowanej aplikacji mobilnej zapewnianej przez ministra właściwego do spraw rodziny</w:t>
      </w:r>
      <w:r w:rsidR="002607AA">
        <w:t>,</w:t>
      </w:r>
      <w:r>
        <w:t xml:space="preserve"> będzie mogła lub chciała korzystać z publicznej aplikacji mobilnej </w:t>
      </w:r>
      <w:proofErr w:type="spellStart"/>
      <w:r>
        <w:t>mObywatel</w:t>
      </w:r>
      <w:proofErr w:type="spellEnd"/>
      <w:r>
        <w:t xml:space="preserve">. Zauważyć należy, że korzystanie z tej aplikacji wymaga posiadania jednego z </w:t>
      </w:r>
      <w:r>
        <w:rPr>
          <w:rFonts w:eastAsia="Calibri"/>
        </w:rPr>
        <w:t>dostępnych</w:t>
      </w:r>
      <w:r>
        <w:t xml:space="preserve"> </w:t>
      </w:r>
      <w:r>
        <w:rPr>
          <w:rFonts w:eastAsia="Calibri"/>
        </w:rPr>
        <w:t>środków</w:t>
      </w:r>
      <w:r>
        <w:t xml:space="preserve"> identyfikacji elektronicznej wydanego w systemie identyfikacji elektronicznej </w:t>
      </w:r>
      <w:r>
        <w:rPr>
          <w:rFonts w:eastAsia="Calibri"/>
        </w:rPr>
        <w:t>przyłączonym</w:t>
      </w:r>
      <w:r>
        <w:t xml:space="preserve"> do </w:t>
      </w:r>
      <w:r>
        <w:rPr>
          <w:rFonts w:eastAsia="Calibri"/>
        </w:rPr>
        <w:t>Węzła</w:t>
      </w:r>
      <w:r>
        <w:t xml:space="preserve"> Krajowego Identyfikacji Elektronicznej (login.gov.pl) i </w:t>
      </w:r>
      <w:proofErr w:type="spellStart"/>
      <w:r>
        <w:t>mTożsamości</w:t>
      </w:r>
      <w:proofErr w:type="spellEnd"/>
      <w:r>
        <w:t xml:space="preserve"> </w:t>
      </w:r>
      <w:r w:rsidR="002607AA">
        <w:t>–</w:t>
      </w:r>
      <w:r>
        <w:t xml:space="preserve"> której nie uzyskają np. cudzoziemcy. Korzystanie z elektronicznej Karty w tej aplikacji może być również utrudnione w przypadku dzieci, które nie posiadają </w:t>
      </w:r>
      <w:proofErr w:type="spellStart"/>
      <w:r>
        <w:rPr>
          <w:rFonts w:eastAsia="Calibri"/>
        </w:rPr>
        <w:t>mLegitymacji</w:t>
      </w:r>
      <w:proofErr w:type="spellEnd"/>
      <w:r>
        <w:t xml:space="preserve"> szkolnej. Dlatego też, aby osoby, których taka sytuacja dotyczy, nadal mogły korzystać ze swoich uprawnień, powinny otrzymać Karty tradycyjne, bez konieczności wnioskowania o nie oraz ponoszenia opłaty za domówienie drugiej formy Karty.</w:t>
      </w:r>
    </w:p>
    <w:p w:rsidR="00F55C45" w:rsidRDefault="00F55C45" w:rsidP="00F55C45">
      <w:pPr>
        <w:pStyle w:val="NIEARTTEKSTtekstnieartykuowanynppodstprawnarozplubpreambua"/>
        <w:rPr>
          <w:rStyle w:val="Ppogrubienie"/>
          <w:bCs w:val="0"/>
        </w:rPr>
      </w:pPr>
      <w:r>
        <w:rPr>
          <w:rStyle w:val="Ppogrubienie"/>
          <w:bCs w:val="0"/>
        </w:rPr>
        <w:t xml:space="preserve">W zakresie form opieki nad dziećmi w wieku do lat 3 </w:t>
      </w:r>
    </w:p>
    <w:p w:rsidR="00F55C45" w:rsidRDefault="00F55C45" w:rsidP="00F55C45">
      <w:pPr>
        <w:pStyle w:val="NIEARTTEKSTtekstnieartykuowanynppodstprawnarozplubpreambua"/>
      </w:pPr>
      <w:r>
        <w:t>1. Doprecyzowanie ogólnych wymogów dla personelu instytucji opieki nad dziećmi w wieku do lat 3.</w:t>
      </w:r>
    </w:p>
    <w:p w:rsidR="00F55C45" w:rsidRDefault="00F55C45" w:rsidP="00F55C45">
      <w:pPr>
        <w:pStyle w:val="NIEARTTEKSTtekstnieartykuowanynppodstprawnarozplubpreambua"/>
      </w:pPr>
      <w:r>
        <w:t>Zmiana brzmienia art. 15 ust. 4 i w art. 39 ust. 1 pkt 4 w zakresie wymagań dotyczących figurowania w bazie danych Rejestru Sprawców Przestępstw na Tle Seksualnym z dostępem ograniczonym i skazania prawomocnym wyrokiem za inne przestępstwo umyślne wynika z okoliczności, że obecny przepis budzi wątpliwości zarówno urzędników dokonujących czynności nadzorczych w żłobkach i klubach dziecięcych, jak również podmioty prowadzące te instytucje. Intencją tych przepisów było wprowadzenie obowiązku weryfikacji zarówno tego, czy dana osoba nie figuruje w bazie danych Rejestru Sprawców Przestępstw na Tle Seksualnym z dostępem ograniczony, jak i tego, czy nie została skazana prawomocnym wyrokiem za inne przestępstwo umyślne.</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 xml:space="preserve">2. Dodanie obowiązku podawania we wniosku o wpis żłobka lub klubu dziecięcego do rejestru żłobków i klubów dziecięcych numeru telefonu i adresu poczty elektronicznej podmiotu tworzącego tę instytucję opieki. </w:t>
      </w:r>
    </w:p>
    <w:p w:rsidR="00F55C45" w:rsidRDefault="00F55C45" w:rsidP="00F55C45">
      <w:pPr>
        <w:pStyle w:val="NIEARTTEKSTtekstnieartykuowanynppodstprawnarozplubpreambua"/>
      </w:pPr>
      <w:r>
        <w:lastRenderedPageBreak/>
        <w:t>Ww. propozycja wynika z okoliczności, że dane kontaktowe tego podmiotu są istotne dla gminy przyjmującej wniosek – pozwalają bowiem na szybki kontakt w przypadku niejasności we wniosku. Taki kontakt pozwala na dużo szybsze wyjaśnienie wątpliwości, a tym samym na znacznie szybsze dokonanie wpisu do rejestru żłobków i klubów dziecięcych. Dane te mogą okazać się również niezwykle istotne w sytuacji konieczności pilnego przekazania podmiotom prowadzącym żłobki i kluby dziecięce istotnych informacji lub wytycznych przez organ sprawujący nadzór nad instytucjami opieki nad dziećmi. Dane te potrzebne są wójtowi, burmistrzowi lub prezydentowi miasta, nie będą natomiast publikowane w rejestrze żłobków i klubów dziecięcych.</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3. Zmiana sposobu wyboru dziennego opiekuna.</w:t>
      </w:r>
    </w:p>
    <w:p w:rsidR="00F55C45" w:rsidRDefault="00F55C45" w:rsidP="00F55C45">
      <w:pPr>
        <w:pStyle w:val="NIEARTTEKSTtekstnieartykuowanynppodstprawnarozplubpreambua"/>
      </w:pPr>
      <w:r>
        <w:t>Obecnie konieczność dokonania wyboru dziennego opiekuna w drodze konkursu ofert, przeprowadzanego w trybie określonym w ustawie z dnia 24 kwietnia 2003 r. o działalności pożytku publicznego i o wolontariacie (Dz. U. z 2020 r. poz. 1057)</w:t>
      </w:r>
      <w:r w:rsidR="002607AA">
        <w:t>,</w:t>
      </w:r>
      <w:r>
        <w:t xml:space="preserve"> często stanowi przeszkodę dla jednostek samorządu terytorialnego przy tworzeniu tych instytucji opieki nad dziećmi w wieku do lat 3, ponieważ taki tryb wyboru pracownika jest bardziej skomplikowany i czasochłonny niż zwykły nabór na pracownika samorządowego (w szczególności w przypadku stanowisk pomocniczych i obsługi). Utrudnienia związane z realizacją art. 45 w jego obecnym brzmieniu są niewspółmierne do jego celu, jakim jest zachowanie zasad otwartości i konkurencyjności tego wyboru, w związku z czym proponuje się rezygnację z określenia trybu wyboru dziennego opiekuna przez jednostki samorządu terytorialnego i instytucje publiczne oraz wskazanie zasad, jakie muszą być przestrzegane podczas tego wyboru, analogicznych jak przy wyborze pracowników samorządowych na stanowiska urzędnicze.</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4. Rozszerzenie zakresu danych podawanych we wniosku o wpis dziennego opiekuna do wykazu dziennych opiekunów oraz zakresu danych tego wykazu.</w:t>
      </w:r>
    </w:p>
    <w:p w:rsidR="00F55C45" w:rsidRDefault="00F55C45" w:rsidP="00F55C45">
      <w:pPr>
        <w:pStyle w:val="NIEARTTEKSTtekstnieartykuowanynppodstprawnarozplubpreambua"/>
      </w:pPr>
      <w:r>
        <w:t xml:space="preserve">Wykaz dziennych opiekunów oraz podmiotów ich zatrudniających nie zawiera informacji o liczbie miejsc u dziennego opiekuna, a liczbę dzieci objętych opieką dziennego opiekuna. To, ile dzieci dzienny opiekun może objąć opieką, jest zależne od kilku czynników – wieku dzieci, czy w grupie są dzieci niepełnosprawne lub wymagające szczególnej opieki, zgody rodziców oraz ich pomocy w przypadku ewentualnego zwiększenia liczby dzieci. Informacja o liczbie miejsc, jaką dysponuje dzienny opiekun, </w:t>
      </w:r>
      <w:r>
        <w:lastRenderedPageBreak/>
        <w:t xml:space="preserve">będzie natomiast ułatwieniem dla rodziców szukających opieki dla dzieci, jak również dla wojewodów przy rozliczaniu liczby utworzonych miejsc w ramach Programu Maluch+. </w:t>
      </w:r>
    </w:p>
    <w:p w:rsidR="00F55C45" w:rsidRDefault="00F55C45" w:rsidP="00F55C45">
      <w:pPr>
        <w:pStyle w:val="NIEARTTEKSTtekstnieartykuowanynppodstprawnarozplubpreambua"/>
      </w:pPr>
      <w:r>
        <w:t>Wykaz dziennych opiekunów nie zawiera również dokładnego adresu prowadzenia opieki przez dziennego opiekuna – nie zawiera bowiem numeru budynku oraz lokalu. Dane te przekazywane są rodzicom powierzającym dzieci opiece dziennego opiekuna, jednak dla pozostałych osób dokładny adres nie jest widoczny z uwagi na okoliczność, że może to być adres zamieszkania dziennego opiekuna. Dokładne dane adresowe są natomiast niezbędne wójtowi, burmistrzowi lub prezydentowi miasta w celu dokonywania czynności nadzorczych, o których mowa w art. 54–57 ustawy.</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5. Rozszerzenie danych pobieranych w ramach sprawozdania z realizacji ustawy o opiece nad dziećmi w wieku do lat 3.</w:t>
      </w:r>
    </w:p>
    <w:p w:rsidR="00F55C45" w:rsidRDefault="00F55C45" w:rsidP="00F55C45">
      <w:pPr>
        <w:pStyle w:val="NIEARTTEKSTtekstnieartykuowanynppodstprawnarozplubpreambua"/>
      </w:pPr>
      <w:r>
        <w:t>Projektowana zmiana wynika z okoliczności, że informacje o liczbie dzieci niepełnosprawnych lub wymagających szczególnej opieki oraz o wieku i płci dzieci objętych opieką żłobków, klubów dziecięcych oraz dziennych opiekunów, czasie otwarcia instytucji oraz o liczbie dni pobytu dzieci w placówce, informacja, czy żłobek, klub dziecięcy lub dzienny opiekun funkcjonuje jako przyzakładowa instytucja opieki nad dziećmi w wieku do lat 3, oraz dodatkowe informacje o personelu żłobka i o wolontariuszach są już przekazywane przez podmioty prowadzące żłobki i kluby dziecięce w ramach sprawozdań zbieranych przez Główny Urząd Statystyczny. Rozszerzenie zakresu sprawozdania rocznego, o którym mowa w art. 64 ustawy o opiece nad dziećmi w wieku do lat 3, umożliwi weryfikację sprawozdań zbieranych przez GUS, a w przyszłości może umożliwić rezygnację z nich, co zmniejszyłoby zakres obowiązków podmiotów prowadzących instytucje opieki nad dziećmi w wieku do lat 3. Cele zbierania tych danych są zatem tożsame z celem zbierania tych danych przez GUS, a ponadto dane te, a także dane dotyczące liczby dzieci niepełnosprawnych lub wymagających szczególnej opieki, mają istotne znaczenie podczas opracowywania projektów zmian prawnych obejmujących instytucje opieki nad dziećmi w wieku do lat 3 i dla opracowywania resortowego programu rozwoju instytucji opieki nad dziećmi w wieku do lat 3 Maluch+, w którym jednym z komponentów jest pomoc oferowana w ramach programu „Za życiem”. Podkreślić należy, że ww. dane nie będą prezentowane w odniesieniu do konkretnych gmin, lecz w odniesieniu do całej Polski oraz ewentualnie województw, a to nie będzie stwarzało zagrożenia identyfikacji konkretnych osób.</w:t>
      </w:r>
    </w:p>
    <w:p w:rsidR="00F55C45" w:rsidRDefault="00F55C45" w:rsidP="00F55C45">
      <w:pPr>
        <w:pStyle w:val="NIEARTTEKSTtekstnieartykuowanynppodstprawnarozplubpreambua"/>
      </w:pPr>
      <w:r>
        <w:lastRenderedPageBreak/>
        <w:t>Pozyskiwanie w sprawozdaniach informacji, czy dla pielęgniarek i położnych zatrudnienie w żłobkach jej jedyną formą zatrudnienia</w:t>
      </w:r>
      <w:r w:rsidR="002607AA">
        <w:t>,</w:t>
      </w:r>
      <w:r>
        <w:t xml:space="preserve"> jest szczególnie istotne ze względu na fakt, że minister właściwy do spraw rodziny planuje rozszerzyć własną sprawozdawczość, tak aby GUS zrezygnował ze swojej na formularzu OD-1. Do tej pory sprawozdanie OD-1 było jedynym źródłem informacji o pielęgniarkach i położnych pracujących w żłobkach i klubach dziecięcych, a obowiązek ich pozyskiwania wynika z konieczności przekazywania ww. danych do organizacji międzynarodowych (OECD/Eurostat/WHO) w ramach Wspólnego Kwestionariusza danych niefinansowych z zakresu ochrony zdrowia (OECD/Eurostat/WHO-Europe Joint </w:t>
      </w:r>
      <w:proofErr w:type="spellStart"/>
      <w:r>
        <w:t>Questionnaire</w:t>
      </w:r>
      <w:proofErr w:type="spellEnd"/>
      <w:r>
        <w:t xml:space="preserve"> on Non-</w:t>
      </w:r>
      <w:proofErr w:type="spellStart"/>
      <w:r>
        <w:t>Monetary</w:t>
      </w:r>
      <w:proofErr w:type="spellEnd"/>
      <w:r>
        <w:t xml:space="preserve"> </w:t>
      </w:r>
      <w:proofErr w:type="spellStart"/>
      <w:r>
        <w:t>Health</w:t>
      </w:r>
      <w:proofErr w:type="spellEnd"/>
      <w:r>
        <w:t xml:space="preserve"> </w:t>
      </w:r>
      <w:proofErr w:type="spellStart"/>
      <w:r>
        <w:t>Care</w:t>
      </w:r>
      <w:proofErr w:type="spellEnd"/>
      <w:r>
        <w:t xml:space="preserve"> </w:t>
      </w:r>
      <w:proofErr w:type="spellStart"/>
      <w:r>
        <w:t>Statistics</w:t>
      </w:r>
      <w:proofErr w:type="spellEnd"/>
      <w:r>
        <w:t xml:space="preserve">). Ponadto w projekcie rozporządzenia wykonawczego do rozporządzenia Parlamentu Europejskiego i Rady (WE) nr 1338/2008 z dnia 16 grudnia 2008 r. w sprawie statystyk Wspólnoty w zakresie zdrowia publicznego oraz zdrowia i bezpieczeństwa w pracy, liczba </w:t>
      </w:r>
      <w:r w:rsidR="002607AA">
        <w:t>„</w:t>
      </w:r>
      <w:r>
        <w:t>praktykujących” pielęgniarek jest jedną z informacji, do których przekazywania państwa członkowskie będą zobowiązane. Należy zwrócić uwagę, że dane osobowe nie są nigdzie przekazywane, a deklaracja osoby pracującej w kilku miejscach o tym, że jednostka sprawozdawcza jest jej podstawowym miejscem pracy, służy jedynie prawidłowemu ujęciu w statystyce liczby osób pracujących, gdzie zastosowanie ma metoda jednorazowego ujmowania osób pracujących, przy założeniu, że pracą główną jest ta praca, która zwykle zajmuje więcej czasu. Jeżeli prace zajmują taką samą ilość czasu, pracą główną jest ta, która przynosi wyższy dochód. W celu zmniejszenia obciążeń administracyjnych spoczywających na osobach prowadzących instytucje opieki nad dziećmi w wieku do lat 3 w zakresie sprawozdawczym, jak już wskazano powyżej</w:t>
      </w:r>
      <w:r w:rsidR="002607AA">
        <w:t>,</w:t>
      </w:r>
      <w:r>
        <w:t xml:space="preserve"> minister właściwy do spraw rodziny planuje rozszerzyć własną sprawozdawczość, tak aby GUS zrezygnował ze swojej – jednak warunkiem jest to, aby zakres danych objętych tym sprawozdaniem, w tym na potrzeby instytucji międzynarodowych, będzie zagwarantowany poprzez inne źródła administracyjne.</w:t>
      </w:r>
    </w:p>
    <w:p w:rsidR="00F55C45" w:rsidRDefault="00F55C45" w:rsidP="00F55C45">
      <w:pPr>
        <w:pStyle w:val="NIEARTTEKSTtekstnieartykuowanynppodstprawnarozplubpreambua"/>
      </w:pPr>
      <w:r>
        <w:t>6. Dodanie uprawnień wojewodzie w zakresie wydania decyzji o zwrocie w związku z niewykorzystaniem środków Funduszu Pracy</w:t>
      </w:r>
      <w:r w:rsidR="001F712A">
        <w:t>.</w:t>
      </w:r>
    </w:p>
    <w:p w:rsidR="00F55C45" w:rsidRDefault="00F55C45" w:rsidP="00F55C45">
      <w:pPr>
        <w:pStyle w:val="NIEARTTEKSTtekstnieartykuowanynppodstprawnarozplubpreambua"/>
      </w:pPr>
      <w:r>
        <w:t xml:space="preserve">Mając na uwadze, że resortowy program rozwoju instytucji opieki nad dziećmi w wieku do lat 3 jest finansowany nie tylko z dotacji z budżetu państwa, ale również z Funduszu Pracy, doprecyzowano, iż także dla środków Funduszu Pracy Wojewoda może zastosować przepisy ustawy o finansach publicznych w odniesieniu do wydania decyzji o zwrocie w związku z niewykorzystaniem środków. Ustawa o finansach publicznych w odniesieniu do środków z dotacji pozwala na wydanie decyzji nie tylko o wykorzystaniu środków niezgodnie z przeznaczeniem albo pobraniu ich nienależnie lub w nadmiernej wysokości, ale również decyzję o zwrocie w związku z niewykorzystaniem środków w przypadku, gdy </w:t>
      </w:r>
      <w:r>
        <w:lastRenderedPageBreak/>
        <w:t>zadanie, na które podmiot otrzymał dofinansowanie</w:t>
      </w:r>
      <w:r w:rsidR="001F712A">
        <w:t>,</w:t>
      </w:r>
      <w:r>
        <w:t xml:space="preserve"> nie zostało zrealizowane w całości lub w części, w przypadku niedokonania zapłaty w terminie określonym</w:t>
      </w:r>
      <w:r w:rsidR="006C2CAF">
        <w:t xml:space="preserve"> w umowie dotacyjnej albo do 31 </w:t>
      </w:r>
      <w:r>
        <w:t xml:space="preserve">grudnia roku, w którym przyznano dotację. Mając na uwadze, że w art. 62 ust. 7 wojewoda dostał upoważnienie do stosowania ustawy o finansach publicznych w stosunku do środków Funduszu Pracy, uznano, że należy rozszerzyć katalog możliwości ubiegania się o zwrot środków Funduszu Pracy, zrównując go tym samym z katalogiem instrumentów wykorzystywanych do środków z dotacji. </w:t>
      </w:r>
    </w:p>
    <w:p w:rsidR="00F55C45" w:rsidRDefault="00F55C45" w:rsidP="00F55C45">
      <w:pPr>
        <w:pStyle w:val="NIEARTTEKSTtekstnieartykuowanynppodstprawnarozplubpreambua"/>
      </w:pPr>
      <w:r>
        <w:t>Projektowana ustawa wejdzie w życie po upływie 14 dni od dnia ogłoszenia, z wyjątkiem:</w:t>
      </w:r>
    </w:p>
    <w:p w:rsidR="00F55C45" w:rsidRDefault="00F55C45" w:rsidP="00F55C45">
      <w:pPr>
        <w:pStyle w:val="NIEARTTEKSTtekstnieartykuowanynppodstprawnarozplubpreambua"/>
        <w:numPr>
          <w:ilvl w:val="0"/>
          <w:numId w:val="34"/>
        </w:numPr>
        <w:ind w:left="426"/>
      </w:pPr>
      <w:r>
        <w:t>przepisów dotyczących sprawozdań z realizacji ustawy o opiece nad dziećmi w wieku do lat 3 – które wejdą w życie z dniem 1 stycznia 2022 r.;</w:t>
      </w:r>
    </w:p>
    <w:p w:rsidR="00F55C45" w:rsidRDefault="00F55C45" w:rsidP="00F55C45">
      <w:pPr>
        <w:pStyle w:val="NIEARTTEKSTtekstnieartykuowanynppodstprawnarozplubpreambua"/>
        <w:numPr>
          <w:ilvl w:val="0"/>
          <w:numId w:val="34"/>
        </w:numPr>
        <w:ind w:left="426"/>
        <w:rPr>
          <w:rStyle w:val="Ppogrubienie"/>
          <w:bCs w:val="0"/>
        </w:rPr>
      </w:pPr>
      <w:r>
        <w:t>przepisów przejściowych dotyczących wydania bezpłatnie przez wójta Karty tradycyjnej osobom, które wnioskowały wyłącznie o Kartę elektroniczną</w:t>
      </w:r>
      <w:r w:rsidR="001F712A">
        <w:t>,</w:t>
      </w:r>
      <w:r>
        <w:t xml:space="preserve"> oraz przepisów dotyczących sposobu postępowania z wnioskami o przyznanie Karty lub wydanie jej duplikatu złożonymi i nierozpatrzonymi przed dniem wejścia w życie projektowanej ustawy – które wejdą w życie z dniem następującym po dniu ogłoszenia.</w:t>
      </w:r>
    </w:p>
    <w:p w:rsidR="00F55C45" w:rsidRDefault="00F55C45" w:rsidP="00F55C45">
      <w:pPr>
        <w:pStyle w:val="NIEARTTEKSTtekstnieartykuowanynppodstprawnarozplubpreambua"/>
      </w:pPr>
    </w:p>
    <w:p w:rsidR="00F55C45" w:rsidRDefault="00F55C45" w:rsidP="00F55C45">
      <w:pPr>
        <w:pStyle w:val="NIEARTTEKSTtekstnieartykuowanynppodstprawnarozplubpreambua"/>
      </w:pPr>
      <w:r>
        <w:t>Problematyka regulowana w projekcie ustawy jest zgodna z przepisami prawa Unii Europejskiej. Projekt ustawy nie wymaga przedstawienia właściwym organom i instytucjom Unii Europejskiej, w tym Europejskiemu Bankowi Centralnemu</w:t>
      </w:r>
      <w:r w:rsidR="001F712A">
        <w:t>,</w:t>
      </w:r>
      <w:r>
        <w:t xml:space="preserve"> zgodnie z § 27 ust. 4 uchwały nr 190 Rady Ministrów z dnia 29 października 2013 r. </w:t>
      </w:r>
      <w:r>
        <w:sym w:font="Symbol" w:char="F02D"/>
      </w:r>
      <w:r>
        <w:t xml:space="preserve"> Regulamin pracy Rady Ministrów (M.P. z 2016 r. poz. 1006, z późn. zm.).</w:t>
      </w:r>
    </w:p>
    <w:p w:rsidR="00F55C45" w:rsidRDefault="00F55C45" w:rsidP="00F55C45">
      <w:pPr>
        <w:pStyle w:val="NIEARTTEKSTtekstnieartykuowanynppodstprawnarozplubpreambua"/>
      </w:pPr>
      <w:r>
        <w:t>Projekt ustawy nie podlega procedurze notyfikacji aktów prawnych, określonej w przepisach rozporządzenia Rady Ministrów z dnia 23 grudnia 2002 r. w sprawie sposobu funkcjonowania krajowego systemu notyfikacji norm i aktów prawnych (Dz. U. poz. 2039, z późn. zm.), gdyż nie zawiera przepisów technicznych.</w:t>
      </w:r>
    </w:p>
    <w:p w:rsidR="00F55C45" w:rsidRDefault="00F55C45" w:rsidP="00F55C45">
      <w:pPr>
        <w:pStyle w:val="NIEARTTEKSTtekstnieartykuowanynppodstprawnarozplubpreambua"/>
      </w:pPr>
      <w:r>
        <w:t xml:space="preserve">Projekt ustawy został udostępniony w Biuletynie Informacji Publicznej Rządowego Centrum Legislacji, zgodnie z § 52 ust. 1 uchwały nr 190 Rady Ministrów z dnia 29 października 2013 r. </w:t>
      </w:r>
      <w:r>
        <w:sym w:font="Symbol" w:char="F02D"/>
      </w:r>
      <w:r>
        <w:t xml:space="preserve"> Regulamin pracy Rady Ministrów</w:t>
      </w:r>
      <w:r w:rsidR="001F712A">
        <w:t>,</w:t>
      </w:r>
      <w:r>
        <w:t xml:space="preserve"> oraz w Biuletynie Informacji Publicznej Ministerstwa Rodziny i Polityki Społecznej, zgodnie z art. 5 ustawy z dnia 7 lipca 2005 r. o działalności lobbingowej w procesie stanowienia prawa (Dz. U. z 2017 r. poz.</w:t>
      </w:r>
      <w:r w:rsidR="006C2CAF">
        <w:t> </w:t>
      </w:r>
      <w:r>
        <w:t xml:space="preserve">248). W trybie art. 7 ustawy z dnia 7 lipca 2005 r. o działalności </w:t>
      </w:r>
      <w:r>
        <w:lastRenderedPageBreak/>
        <w:t>lobbingowej w procesie stanowienia prawa żaden z podmiotów nie zgłosił zainteresowania pracami nad projektem.</w:t>
      </w:r>
    </w:p>
    <w:p w:rsidR="007A3A37" w:rsidRPr="007A3A37" w:rsidRDefault="00F55C45" w:rsidP="00F55C45">
      <w:pPr>
        <w:pStyle w:val="NIEARTTEKSTtekstnieartykuowanynppodstprawnarozplubpreambua"/>
        <w:rPr>
          <w:rFonts w:eastAsia="Times New Roman"/>
        </w:rPr>
      </w:pPr>
      <w:r>
        <w:t>Rozwiązania zaproponowane w projekcie ustawy nie stwarzają zagrożeń korupcyjnych.</w:t>
      </w:r>
    </w:p>
    <w:sectPr w:rsidR="007A3A37" w:rsidRPr="007A3A37"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4D4" w:rsidRDefault="004464D4" w:rsidP="009D78F9">
      <w:pPr>
        <w:spacing w:after="0" w:line="240" w:lineRule="auto"/>
      </w:pPr>
      <w:r>
        <w:separator/>
      </w:r>
    </w:p>
  </w:endnote>
  <w:endnote w:type="continuationSeparator" w:id="0">
    <w:p w:rsidR="004464D4" w:rsidRDefault="004464D4"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F44E8B">
          <w:rPr>
            <w:rFonts w:ascii="Times New Roman" w:hAnsi="Times New Roman" w:cs="Times New Roman"/>
            <w:noProof/>
            <w:sz w:val="24"/>
            <w:szCs w:val="24"/>
          </w:rPr>
          <w:t>11</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4D4" w:rsidRDefault="004464D4" w:rsidP="009D78F9">
      <w:pPr>
        <w:spacing w:after="0" w:line="240" w:lineRule="auto"/>
      </w:pPr>
      <w:r>
        <w:separator/>
      </w:r>
    </w:p>
  </w:footnote>
  <w:footnote w:type="continuationSeparator" w:id="0">
    <w:p w:rsidR="004464D4" w:rsidRDefault="004464D4"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F533A51"/>
    <w:multiLevelType w:val="hybridMultilevel"/>
    <w:tmpl w:val="32181FFA"/>
    <w:lvl w:ilvl="0" w:tplc="1C2C37C0">
      <w:start w:val="1"/>
      <w:numFmt w:val="decimal"/>
      <w:lvlText w:val="%1)"/>
      <w:lvlJc w:val="left"/>
      <w:pPr>
        <w:ind w:left="870" w:hanging="360"/>
      </w:pPr>
      <w:rPr>
        <w:rFonts w:hint="default"/>
        <w:b w:val="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6"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7"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0"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ADA3D34"/>
    <w:multiLevelType w:val="hybridMultilevel"/>
    <w:tmpl w:val="46A8F208"/>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3"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8"/>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9"/>
  </w:num>
  <w:num w:numId="16">
    <w:abstractNumId w:val="23"/>
  </w:num>
  <w:num w:numId="17">
    <w:abstractNumId w:val="26"/>
  </w:num>
  <w:num w:numId="18">
    <w:abstractNumId w:val="9"/>
  </w:num>
  <w:num w:numId="19">
    <w:abstractNumId w:val="30"/>
  </w:num>
  <w:num w:numId="20">
    <w:abstractNumId w:val="33"/>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7"/>
  </w:num>
  <w:num w:numId="29">
    <w:abstractNumId w:val="4"/>
  </w:num>
  <w:num w:numId="30">
    <w:abstractNumId w:val="6"/>
  </w:num>
  <w:num w:numId="31">
    <w:abstractNumId w:val="31"/>
  </w:num>
  <w:num w:numId="32">
    <w:abstractNumId w:val="3"/>
  </w:num>
  <w:num w:numId="33">
    <w:abstractNumId w:val="3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0E3539"/>
    <w:rsid w:val="001B3166"/>
    <w:rsid w:val="001F712A"/>
    <w:rsid w:val="00236955"/>
    <w:rsid w:val="002607AA"/>
    <w:rsid w:val="002D3299"/>
    <w:rsid w:val="00392C21"/>
    <w:rsid w:val="003938F7"/>
    <w:rsid w:val="003E1BDD"/>
    <w:rsid w:val="003F6C95"/>
    <w:rsid w:val="00445210"/>
    <w:rsid w:val="004464D4"/>
    <w:rsid w:val="00453BA3"/>
    <w:rsid w:val="004A2B6D"/>
    <w:rsid w:val="004A37A6"/>
    <w:rsid w:val="004E0A95"/>
    <w:rsid w:val="004F3862"/>
    <w:rsid w:val="0053471F"/>
    <w:rsid w:val="005F249D"/>
    <w:rsid w:val="005F4005"/>
    <w:rsid w:val="006466AC"/>
    <w:rsid w:val="006A7C71"/>
    <w:rsid w:val="006C2CAF"/>
    <w:rsid w:val="00725B90"/>
    <w:rsid w:val="00726F0A"/>
    <w:rsid w:val="00727934"/>
    <w:rsid w:val="007455B5"/>
    <w:rsid w:val="007A3A37"/>
    <w:rsid w:val="007E26CA"/>
    <w:rsid w:val="00867028"/>
    <w:rsid w:val="00874676"/>
    <w:rsid w:val="00877B10"/>
    <w:rsid w:val="00882207"/>
    <w:rsid w:val="00887DB4"/>
    <w:rsid w:val="008D1573"/>
    <w:rsid w:val="008F6235"/>
    <w:rsid w:val="009D78F9"/>
    <w:rsid w:val="009E788D"/>
    <w:rsid w:val="009F03C5"/>
    <w:rsid w:val="00A22E28"/>
    <w:rsid w:val="00AB053F"/>
    <w:rsid w:val="00AD453B"/>
    <w:rsid w:val="00C04DCD"/>
    <w:rsid w:val="00C41012"/>
    <w:rsid w:val="00CF08F2"/>
    <w:rsid w:val="00D033A0"/>
    <w:rsid w:val="00D03895"/>
    <w:rsid w:val="00DF4048"/>
    <w:rsid w:val="00DF5F5A"/>
    <w:rsid w:val="00E3628E"/>
    <w:rsid w:val="00EE2731"/>
    <w:rsid w:val="00F44E8B"/>
    <w:rsid w:val="00F55C45"/>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C9844-396C-45C0-B5D8-F5B317D1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55C45"/>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ZUSTzmustartykuempunktem">
    <w:name w:val="Z/UST(§) – zm. ust. (§) artykułem (punktem)"/>
    <w:basedOn w:val="Normalny"/>
    <w:uiPriority w:val="30"/>
    <w:qFormat/>
    <w:rsid w:val="00F55C45"/>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F55C45"/>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731470106">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3587</Words>
  <Characters>21525</Characters>
  <Application>Microsoft Office Word</Application>
  <DocSecurity>4</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Binkowska Joanna</cp:lastModifiedBy>
  <cp:revision>2</cp:revision>
  <cp:lastPrinted>2018-10-02T13:01:00Z</cp:lastPrinted>
  <dcterms:created xsi:type="dcterms:W3CDTF">2021-02-17T09:21:00Z</dcterms:created>
  <dcterms:modified xsi:type="dcterms:W3CDTF">2021-02-17T09:21:00Z</dcterms:modified>
</cp:coreProperties>
</file>