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5.xml" ContentType="application/vnd.openxmlformats-officedocument.themeOverrid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6.xml" ContentType="application/vnd.openxmlformats-officedocument.themeOverrid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7.xml" ContentType="application/vnd.openxmlformats-officedocument.themeOverrid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8.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499C" w:rsidRDefault="00FF499C" w:rsidP="00FF499C">
      <w:pPr>
        <w:spacing w:after="0" w:line="240" w:lineRule="auto"/>
        <w:jc w:val="center"/>
        <w:rPr>
          <w:rFonts w:ascii="Times New Roman" w:eastAsia="Cambria" w:hAnsi="Times New Roman" w:cs="Times New Roman"/>
          <w:b/>
          <w:sz w:val="26"/>
          <w:szCs w:val="26"/>
        </w:rPr>
      </w:pPr>
    </w:p>
    <w:p w:rsidR="00FF499C" w:rsidRDefault="00FF499C" w:rsidP="00FF499C">
      <w:pPr>
        <w:spacing w:after="0" w:line="240" w:lineRule="auto"/>
        <w:jc w:val="center"/>
        <w:rPr>
          <w:rFonts w:ascii="Times New Roman" w:eastAsia="Cambria" w:hAnsi="Times New Roman" w:cs="Times New Roman"/>
          <w:b/>
          <w:sz w:val="26"/>
          <w:szCs w:val="26"/>
        </w:rPr>
      </w:pPr>
    </w:p>
    <w:p w:rsidR="00E43FE1" w:rsidRPr="00FF499C" w:rsidRDefault="00526523" w:rsidP="00FF499C">
      <w:pPr>
        <w:spacing w:after="0" w:line="240" w:lineRule="auto"/>
        <w:jc w:val="center"/>
        <w:rPr>
          <w:rFonts w:ascii="Times New Roman" w:eastAsia="Cambria" w:hAnsi="Times New Roman" w:cs="Times New Roman"/>
          <w:b/>
          <w:sz w:val="26"/>
          <w:szCs w:val="26"/>
        </w:rPr>
      </w:pPr>
      <w:r w:rsidRPr="00FF499C">
        <w:rPr>
          <w:rFonts w:ascii="Times New Roman" w:eastAsia="Cambria" w:hAnsi="Times New Roman" w:cs="Times New Roman"/>
          <w:b/>
          <w:sz w:val="26"/>
          <w:szCs w:val="26"/>
        </w:rPr>
        <w:t>S</w:t>
      </w:r>
      <w:r w:rsidR="001B6996" w:rsidRPr="00FF499C">
        <w:rPr>
          <w:rFonts w:ascii="Times New Roman" w:eastAsia="Cambria" w:hAnsi="Times New Roman" w:cs="Times New Roman"/>
          <w:b/>
          <w:sz w:val="26"/>
          <w:szCs w:val="26"/>
        </w:rPr>
        <w:t>tanowisko</w:t>
      </w:r>
      <w:r w:rsidR="00B93489" w:rsidRPr="00FF499C">
        <w:rPr>
          <w:rFonts w:ascii="Times New Roman" w:eastAsia="Cambria" w:hAnsi="Times New Roman" w:cs="Times New Roman"/>
          <w:b/>
          <w:sz w:val="26"/>
          <w:szCs w:val="26"/>
        </w:rPr>
        <w:t xml:space="preserve"> </w:t>
      </w:r>
      <w:r w:rsidR="00B51F6A" w:rsidRPr="00FF499C">
        <w:rPr>
          <w:rFonts w:ascii="Times New Roman" w:eastAsia="Cambria" w:hAnsi="Times New Roman" w:cs="Times New Roman"/>
          <w:b/>
          <w:sz w:val="26"/>
          <w:szCs w:val="26"/>
        </w:rPr>
        <w:t>Rządu</w:t>
      </w:r>
    </w:p>
    <w:p w:rsidR="002A5128" w:rsidRPr="00FF499C" w:rsidRDefault="000739CB" w:rsidP="00FF499C">
      <w:pPr>
        <w:spacing w:after="0" w:line="240" w:lineRule="auto"/>
        <w:jc w:val="center"/>
        <w:rPr>
          <w:rFonts w:ascii="Times New Roman" w:eastAsia="Cambria" w:hAnsi="Times New Roman" w:cs="Times New Roman"/>
          <w:b/>
          <w:sz w:val="26"/>
          <w:szCs w:val="26"/>
        </w:rPr>
      </w:pPr>
      <w:r w:rsidRPr="00FF499C">
        <w:rPr>
          <w:rFonts w:ascii="Times New Roman" w:eastAsia="Cambria" w:hAnsi="Times New Roman" w:cs="Times New Roman"/>
          <w:b/>
          <w:sz w:val="26"/>
          <w:szCs w:val="26"/>
        </w:rPr>
        <w:t>wobec</w:t>
      </w:r>
      <w:r w:rsidR="00E43FE1" w:rsidRPr="00FF499C">
        <w:rPr>
          <w:b/>
          <w:sz w:val="26"/>
          <w:szCs w:val="26"/>
        </w:rPr>
        <w:t xml:space="preserve"> </w:t>
      </w:r>
      <w:r w:rsidR="00E43FE1" w:rsidRPr="00FF499C">
        <w:rPr>
          <w:rFonts w:ascii="Times New Roman" w:eastAsia="Cambria" w:hAnsi="Times New Roman" w:cs="Times New Roman"/>
          <w:b/>
          <w:sz w:val="26"/>
          <w:szCs w:val="26"/>
        </w:rPr>
        <w:t>senackiego projektu ustawy o zmianie ustawy o dochodach jednostek samorządu terytorialnego (druk sejmowy nr 971)</w:t>
      </w:r>
    </w:p>
    <w:p w:rsidR="00190B6E" w:rsidRDefault="00190B6E" w:rsidP="00826B73">
      <w:pPr>
        <w:spacing w:after="0" w:line="276" w:lineRule="auto"/>
        <w:jc w:val="both"/>
        <w:rPr>
          <w:rFonts w:ascii="Times New Roman" w:eastAsia="Cambria" w:hAnsi="Times New Roman" w:cs="Times New Roman"/>
          <w:b/>
          <w:sz w:val="24"/>
          <w:szCs w:val="24"/>
        </w:rPr>
      </w:pPr>
    </w:p>
    <w:p w:rsidR="000739CB" w:rsidRPr="002A5128" w:rsidRDefault="000739CB" w:rsidP="00826B73">
      <w:pPr>
        <w:spacing w:after="0" w:line="276" w:lineRule="auto"/>
        <w:jc w:val="both"/>
        <w:rPr>
          <w:rFonts w:ascii="Times New Roman" w:eastAsia="Cambria" w:hAnsi="Times New Roman" w:cs="Times New Roman"/>
          <w:sz w:val="24"/>
          <w:szCs w:val="24"/>
        </w:rPr>
      </w:pPr>
    </w:p>
    <w:p w:rsidR="002A5128" w:rsidRDefault="00190B6E" w:rsidP="00190B6E">
      <w:pPr>
        <w:pStyle w:val="Akapitzlist"/>
        <w:numPr>
          <w:ilvl w:val="0"/>
          <w:numId w:val="13"/>
        </w:numPr>
        <w:spacing w:after="0" w:line="276" w:lineRule="auto"/>
        <w:jc w:val="both"/>
        <w:rPr>
          <w:rFonts w:ascii="Times New Roman" w:eastAsia="Cambria" w:hAnsi="Times New Roman" w:cs="Times New Roman"/>
          <w:b/>
          <w:sz w:val="24"/>
          <w:szCs w:val="24"/>
        </w:rPr>
      </w:pPr>
      <w:r w:rsidRPr="00190B6E">
        <w:rPr>
          <w:rFonts w:ascii="Times New Roman" w:eastAsia="Cambria" w:hAnsi="Times New Roman" w:cs="Times New Roman"/>
          <w:b/>
          <w:sz w:val="24"/>
          <w:szCs w:val="24"/>
        </w:rPr>
        <w:t xml:space="preserve">Propozycje zawarte w projekcie ustawy </w:t>
      </w:r>
    </w:p>
    <w:p w:rsidR="00190B6E" w:rsidRPr="00190B6E" w:rsidRDefault="00190B6E" w:rsidP="00190B6E">
      <w:pPr>
        <w:pStyle w:val="Akapitzlist"/>
        <w:spacing w:after="0" w:line="276" w:lineRule="auto"/>
        <w:ind w:left="1080"/>
        <w:jc w:val="both"/>
        <w:rPr>
          <w:rFonts w:ascii="Times New Roman" w:eastAsia="Cambria" w:hAnsi="Times New Roman" w:cs="Times New Roman"/>
          <w:b/>
          <w:sz w:val="24"/>
          <w:szCs w:val="24"/>
        </w:rPr>
      </w:pPr>
    </w:p>
    <w:p w:rsidR="004B4E00" w:rsidRDefault="00353BAC" w:rsidP="00826B73">
      <w:pPr>
        <w:autoSpaceDE w:val="0"/>
        <w:autoSpaceDN w:val="0"/>
        <w:adjustRightInd w:val="0"/>
        <w:spacing w:after="0" w:line="276" w:lineRule="auto"/>
        <w:jc w:val="both"/>
        <w:rPr>
          <w:rFonts w:ascii="Times New Roman" w:eastAsia="Calibri" w:hAnsi="Times New Roman" w:cs="Times New Roman"/>
          <w:color w:val="000000"/>
          <w:sz w:val="24"/>
          <w:szCs w:val="24"/>
        </w:rPr>
      </w:pPr>
      <w:r>
        <w:rPr>
          <w:rFonts w:ascii="Times New Roman" w:eastAsia="Calibri" w:hAnsi="Times New Roman" w:cs="Times New Roman"/>
          <w:bCs/>
          <w:color w:val="000000"/>
          <w:sz w:val="24"/>
          <w:szCs w:val="24"/>
        </w:rPr>
        <w:t>C</w:t>
      </w:r>
      <w:r w:rsidR="002A5128" w:rsidRPr="002A5128">
        <w:rPr>
          <w:rFonts w:ascii="Times New Roman" w:eastAsia="Calibri" w:hAnsi="Times New Roman" w:cs="Times New Roman"/>
          <w:bCs/>
          <w:color w:val="000000"/>
          <w:sz w:val="24"/>
          <w:szCs w:val="24"/>
        </w:rPr>
        <w:t>elem projektu</w:t>
      </w:r>
      <w:r>
        <w:rPr>
          <w:rFonts w:ascii="Times New Roman" w:eastAsia="Calibri" w:hAnsi="Times New Roman" w:cs="Times New Roman"/>
          <w:bCs/>
          <w:color w:val="000000"/>
          <w:sz w:val="24"/>
          <w:szCs w:val="24"/>
        </w:rPr>
        <w:t xml:space="preserve"> ustawy, według Projektodawców, </w:t>
      </w:r>
      <w:r w:rsidR="002A5128" w:rsidRPr="002A5128">
        <w:rPr>
          <w:rFonts w:ascii="Times New Roman" w:eastAsia="Calibri" w:hAnsi="Times New Roman" w:cs="Times New Roman"/>
          <w:bCs/>
          <w:color w:val="000000"/>
          <w:sz w:val="24"/>
          <w:szCs w:val="24"/>
        </w:rPr>
        <w:t xml:space="preserve">jest </w:t>
      </w:r>
      <w:r w:rsidR="002A5128" w:rsidRPr="002A5128">
        <w:rPr>
          <w:rFonts w:ascii="Times New Roman" w:eastAsia="Calibri" w:hAnsi="Times New Roman" w:cs="Times New Roman"/>
          <w:color w:val="000000"/>
          <w:sz w:val="24"/>
          <w:szCs w:val="24"/>
        </w:rPr>
        <w:t>zwiększenie dochodów jednostek samorządu terytorialnego</w:t>
      </w:r>
      <w:r w:rsidR="00B93489">
        <w:rPr>
          <w:rFonts w:ascii="Times New Roman" w:eastAsia="Calibri" w:hAnsi="Times New Roman" w:cs="Times New Roman"/>
          <w:color w:val="000000"/>
          <w:sz w:val="24"/>
          <w:szCs w:val="24"/>
        </w:rPr>
        <w:t xml:space="preserve"> (JST)</w:t>
      </w:r>
      <w:r w:rsidR="002A5128" w:rsidRPr="002A5128">
        <w:rPr>
          <w:rFonts w:ascii="Times New Roman" w:eastAsia="Calibri" w:hAnsi="Times New Roman" w:cs="Times New Roman"/>
          <w:color w:val="000000"/>
          <w:sz w:val="24"/>
          <w:szCs w:val="24"/>
        </w:rPr>
        <w:t xml:space="preserve"> z tytułu udziału we wpływach z podatku dochodowego od osób fizycznych (PIT), w następujący sposób:</w:t>
      </w:r>
    </w:p>
    <w:p w:rsidR="002A5128" w:rsidRPr="002A5128" w:rsidRDefault="002A5128" w:rsidP="00826B73">
      <w:pPr>
        <w:autoSpaceDE w:val="0"/>
        <w:autoSpaceDN w:val="0"/>
        <w:adjustRightInd w:val="0"/>
        <w:spacing w:after="0" w:line="276" w:lineRule="auto"/>
        <w:jc w:val="both"/>
        <w:rPr>
          <w:rFonts w:ascii="Times New Roman" w:eastAsia="Calibri" w:hAnsi="Times New Roman" w:cs="Times New Roman"/>
          <w:color w:val="000000"/>
          <w:sz w:val="24"/>
          <w:szCs w:val="24"/>
        </w:rPr>
      </w:pPr>
      <w:r w:rsidRPr="002A5128">
        <w:rPr>
          <w:rFonts w:ascii="Times New Roman" w:eastAsia="Calibri" w:hAnsi="Times New Roman" w:cs="Times New Roman"/>
          <w:color w:val="000000"/>
          <w:sz w:val="24"/>
          <w:szCs w:val="24"/>
        </w:rPr>
        <w:t xml:space="preserve"> </w:t>
      </w:r>
    </w:p>
    <w:p w:rsidR="002A5128" w:rsidRPr="002A5128" w:rsidRDefault="001B6996" w:rsidP="00826B73">
      <w:pPr>
        <w:autoSpaceDE w:val="0"/>
        <w:autoSpaceDN w:val="0"/>
        <w:adjustRightInd w:val="0"/>
        <w:spacing w:after="0" w:line="276" w:lineRule="auto"/>
        <w:jc w:val="both"/>
        <w:rPr>
          <w:rFonts w:ascii="Times New Roman" w:eastAsia="Calibri" w:hAnsi="Times New Roman" w:cs="Times New Roman"/>
          <w:bCs/>
          <w:color w:val="000000"/>
          <w:sz w:val="24"/>
          <w:szCs w:val="24"/>
        </w:rPr>
      </w:pPr>
      <w:r w:rsidRPr="002A5128">
        <w:rPr>
          <w:rFonts w:ascii="Times New Roman" w:eastAsia="Calibri" w:hAnsi="Times New Roman" w:cs="Times New Roman"/>
          <w:color w:val="000000"/>
          <w:sz w:val="24"/>
          <w:szCs w:val="24"/>
        </w:rPr>
        <w:t>–</w:t>
      </w:r>
      <w:r w:rsidR="002A5128" w:rsidRPr="002A5128">
        <w:rPr>
          <w:rFonts w:ascii="Times New Roman" w:eastAsia="Calibri" w:hAnsi="Times New Roman" w:cs="Times New Roman"/>
          <w:bCs/>
          <w:color w:val="000000"/>
          <w:sz w:val="24"/>
          <w:szCs w:val="24"/>
        </w:rPr>
        <w:t xml:space="preserve"> gminy z 39,34% do 43,93%, </w:t>
      </w:r>
    </w:p>
    <w:p w:rsidR="002A5128" w:rsidRPr="002A5128" w:rsidRDefault="001B6996" w:rsidP="00826B73">
      <w:pPr>
        <w:autoSpaceDE w:val="0"/>
        <w:autoSpaceDN w:val="0"/>
        <w:adjustRightInd w:val="0"/>
        <w:spacing w:after="0" w:line="276" w:lineRule="auto"/>
        <w:jc w:val="both"/>
        <w:rPr>
          <w:rFonts w:ascii="Times New Roman" w:eastAsia="Calibri" w:hAnsi="Times New Roman" w:cs="Times New Roman"/>
          <w:bCs/>
          <w:color w:val="000000"/>
          <w:sz w:val="24"/>
          <w:szCs w:val="24"/>
        </w:rPr>
      </w:pPr>
      <w:r w:rsidRPr="002A5128">
        <w:rPr>
          <w:rFonts w:ascii="Times New Roman" w:eastAsia="Calibri" w:hAnsi="Times New Roman" w:cs="Times New Roman"/>
          <w:color w:val="000000"/>
          <w:sz w:val="24"/>
          <w:szCs w:val="24"/>
        </w:rPr>
        <w:t>–</w:t>
      </w:r>
      <w:r w:rsidR="002A5128" w:rsidRPr="002A5128">
        <w:rPr>
          <w:rFonts w:ascii="Times New Roman" w:eastAsia="Calibri" w:hAnsi="Times New Roman" w:cs="Times New Roman"/>
          <w:bCs/>
          <w:color w:val="000000"/>
          <w:sz w:val="24"/>
          <w:szCs w:val="24"/>
        </w:rPr>
        <w:t xml:space="preserve"> powiaty z 10,25% do 11,49%, </w:t>
      </w:r>
    </w:p>
    <w:p w:rsidR="002A5128" w:rsidRPr="002A5128" w:rsidRDefault="001B6996" w:rsidP="00826B73">
      <w:pPr>
        <w:autoSpaceDE w:val="0"/>
        <w:autoSpaceDN w:val="0"/>
        <w:adjustRightInd w:val="0"/>
        <w:spacing w:after="0" w:line="276" w:lineRule="auto"/>
        <w:jc w:val="both"/>
        <w:rPr>
          <w:rFonts w:ascii="Times New Roman" w:eastAsia="Calibri" w:hAnsi="Times New Roman" w:cs="Times New Roman"/>
          <w:bCs/>
          <w:color w:val="000000"/>
          <w:sz w:val="24"/>
          <w:szCs w:val="24"/>
        </w:rPr>
      </w:pPr>
      <w:r w:rsidRPr="002A5128">
        <w:rPr>
          <w:rFonts w:ascii="Times New Roman" w:eastAsia="Calibri" w:hAnsi="Times New Roman" w:cs="Times New Roman"/>
          <w:color w:val="000000"/>
          <w:sz w:val="24"/>
          <w:szCs w:val="24"/>
        </w:rPr>
        <w:t>–</w:t>
      </w:r>
      <w:r w:rsidR="002A5128" w:rsidRPr="002A5128">
        <w:rPr>
          <w:rFonts w:ascii="Times New Roman" w:eastAsia="Calibri" w:hAnsi="Times New Roman" w:cs="Times New Roman"/>
          <w:bCs/>
          <w:color w:val="000000"/>
          <w:sz w:val="24"/>
          <w:szCs w:val="24"/>
        </w:rPr>
        <w:t xml:space="preserve"> województwa z 1,60% do 1,79%.</w:t>
      </w:r>
    </w:p>
    <w:p w:rsidR="002A5128" w:rsidRPr="002A5128" w:rsidRDefault="002A5128" w:rsidP="00826B73">
      <w:pPr>
        <w:autoSpaceDE w:val="0"/>
        <w:autoSpaceDN w:val="0"/>
        <w:adjustRightInd w:val="0"/>
        <w:spacing w:after="0" w:line="276" w:lineRule="auto"/>
        <w:jc w:val="both"/>
        <w:rPr>
          <w:rFonts w:ascii="Calibri" w:eastAsia="Calibri" w:hAnsi="Calibri" w:cs="Times New Roman"/>
          <w:sz w:val="23"/>
          <w:szCs w:val="23"/>
        </w:rPr>
      </w:pPr>
    </w:p>
    <w:p w:rsidR="002A5128" w:rsidRPr="002A5128" w:rsidRDefault="002A5128" w:rsidP="00826B73">
      <w:pPr>
        <w:autoSpaceDE w:val="0"/>
        <w:autoSpaceDN w:val="0"/>
        <w:adjustRightInd w:val="0"/>
        <w:spacing w:after="0" w:line="276" w:lineRule="auto"/>
        <w:jc w:val="both"/>
        <w:rPr>
          <w:rFonts w:ascii="Times New Roman" w:eastAsia="Calibri" w:hAnsi="Times New Roman" w:cs="Times New Roman"/>
          <w:color w:val="000000"/>
          <w:sz w:val="24"/>
          <w:szCs w:val="24"/>
        </w:rPr>
      </w:pPr>
      <w:r w:rsidRPr="002A5128">
        <w:rPr>
          <w:rFonts w:ascii="Times New Roman" w:eastAsia="Calibri" w:hAnsi="Times New Roman" w:cs="Times New Roman"/>
          <w:color w:val="000000"/>
          <w:sz w:val="24"/>
          <w:szCs w:val="24"/>
        </w:rPr>
        <w:t>Ma to zapewnić wyrównanie ubytków w dochodach jednostek samorządu terytorialnego, spowodowanych wprowadzeniem w 2019 r. zmian w ustawie o podatku dochodowym od osób fizycznych:</w:t>
      </w:r>
    </w:p>
    <w:p w:rsidR="002A5128" w:rsidRPr="002A5128" w:rsidRDefault="002A5128" w:rsidP="008E2039">
      <w:pPr>
        <w:autoSpaceDE w:val="0"/>
        <w:autoSpaceDN w:val="0"/>
        <w:adjustRightInd w:val="0"/>
        <w:spacing w:after="0" w:line="276" w:lineRule="auto"/>
        <w:jc w:val="both"/>
        <w:rPr>
          <w:rFonts w:ascii="Times New Roman" w:eastAsia="Calibri" w:hAnsi="Times New Roman" w:cs="Times New Roman"/>
          <w:color w:val="000000"/>
          <w:sz w:val="24"/>
          <w:szCs w:val="24"/>
        </w:rPr>
      </w:pPr>
      <w:r w:rsidRPr="002A5128">
        <w:rPr>
          <w:rFonts w:ascii="Times New Roman" w:eastAsia="Calibri" w:hAnsi="Times New Roman" w:cs="Times New Roman"/>
          <w:color w:val="000000"/>
          <w:sz w:val="24"/>
          <w:szCs w:val="24"/>
        </w:rPr>
        <w:t>– w wysokości 1</w:t>
      </w:r>
      <w:r w:rsidR="009476AD">
        <w:rPr>
          <w:rFonts w:ascii="Times New Roman" w:eastAsia="Calibri" w:hAnsi="Times New Roman" w:cs="Times New Roman"/>
          <w:color w:val="000000"/>
          <w:sz w:val="24"/>
          <w:szCs w:val="24"/>
        </w:rPr>
        <w:t xml:space="preserve"> 225 mln zł na skutek zmian</w:t>
      </w:r>
      <w:r w:rsidRPr="002A5128">
        <w:rPr>
          <w:rFonts w:ascii="Times New Roman" w:eastAsia="Calibri" w:hAnsi="Times New Roman" w:cs="Times New Roman"/>
          <w:color w:val="000000"/>
          <w:sz w:val="24"/>
          <w:szCs w:val="24"/>
        </w:rPr>
        <w:t xml:space="preserve"> wprowadzonych ustawą z dnia 4 lipca 2019 r. o</w:t>
      </w:r>
      <w:r w:rsidR="007C5794">
        <w:rPr>
          <w:rFonts w:ascii="Times New Roman" w:eastAsia="Calibri" w:hAnsi="Times New Roman" w:cs="Times New Roman"/>
          <w:color w:val="000000"/>
          <w:sz w:val="24"/>
          <w:szCs w:val="24"/>
        </w:rPr>
        <w:t> </w:t>
      </w:r>
      <w:r w:rsidRPr="002A5128">
        <w:rPr>
          <w:rFonts w:ascii="Times New Roman" w:eastAsia="Calibri" w:hAnsi="Times New Roman" w:cs="Times New Roman"/>
          <w:color w:val="000000"/>
          <w:sz w:val="24"/>
          <w:szCs w:val="24"/>
        </w:rPr>
        <w:t>zmianie ustawy o podatku dochodowym od osób fizycznych, ustawy o świadczeniach rodzinnych oraz ustawy o świadczeniach opieki zdrowotnej finansowanych ze środków</w:t>
      </w:r>
      <w:r w:rsidR="008E2039">
        <w:rPr>
          <w:rFonts w:ascii="Times New Roman" w:eastAsia="Calibri" w:hAnsi="Times New Roman" w:cs="Times New Roman"/>
          <w:color w:val="000000"/>
          <w:sz w:val="24"/>
          <w:szCs w:val="24"/>
        </w:rPr>
        <w:t xml:space="preserve"> publicznych (Dz. U.</w:t>
      </w:r>
      <w:r w:rsidR="001B6996">
        <w:rPr>
          <w:rFonts w:ascii="Times New Roman" w:eastAsia="Calibri" w:hAnsi="Times New Roman" w:cs="Times New Roman"/>
          <w:color w:val="000000"/>
          <w:sz w:val="24"/>
          <w:szCs w:val="24"/>
        </w:rPr>
        <w:t xml:space="preserve"> poz. 1394) </w:t>
      </w:r>
      <w:r w:rsidR="001B6996" w:rsidRPr="002A5128">
        <w:rPr>
          <w:rFonts w:ascii="Times New Roman" w:eastAsia="Calibri" w:hAnsi="Times New Roman" w:cs="Times New Roman"/>
          <w:color w:val="000000"/>
          <w:sz w:val="24"/>
          <w:szCs w:val="24"/>
        </w:rPr>
        <w:t>–</w:t>
      </w:r>
      <w:r w:rsidR="008E2039">
        <w:rPr>
          <w:rFonts w:ascii="Times New Roman" w:eastAsia="Calibri" w:hAnsi="Times New Roman" w:cs="Times New Roman"/>
          <w:color w:val="000000"/>
          <w:sz w:val="24"/>
          <w:szCs w:val="24"/>
        </w:rPr>
        <w:t xml:space="preserve"> </w:t>
      </w:r>
      <w:r w:rsidR="008E2039" w:rsidRPr="008E2039">
        <w:rPr>
          <w:rFonts w:ascii="Times New Roman" w:eastAsia="Calibri" w:hAnsi="Times New Roman" w:cs="Times New Roman"/>
          <w:i/>
          <w:color w:val="000000"/>
          <w:sz w:val="24"/>
          <w:szCs w:val="24"/>
        </w:rPr>
        <w:t>w tym miejscu należy zaznaczyć, że zgodnie z oceną skutków regulacji ubytek ten oszacowano dla 2020 r. i kolejnych lat w kwocie 1 138 mln zł rocznie,</w:t>
      </w:r>
      <w:r w:rsidR="00846E19">
        <w:rPr>
          <w:rFonts w:ascii="Times New Roman" w:eastAsia="Calibri" w:hAnsi="Times New Roman" w:cs="Times New Roman"/>
          <w:color w:val="000000"/>
          <w:sz w:val="24"/>
          <w:szCs w:val="24"/>
        </w:rPr>
        <w:t xml:space="preserve"> </w:t>
      </w:r>
    </w:p>
    <w:p w:rsidR="002A5128" w:rsidRPr="002A5128" w:rsidRDefault="002A5128" w:rsidP="00826B73">
      <w:pPr>
        <w:autoSpaceDE w:val="0"/>
        <w:autoSpaceDN w:val="0"/>
        <w:adjustRightInd w:val="0"/>
        <w:spacing w:after="0" w:line="276" w:lineRule="auto"/>
        <w:jc w:val="both"/>
        <w:rPr>
          <w:rFonts w:ascii="Times New Roman" w:eastAsia="Calibri" w:hAnsi="Times New Roman" w:cs="Times New Roman"/>
          <w:color w:val="000000"/>
          <w:sz w:val="24"/>
          <w:szCs w:val="24"/>
        </w:rPr>
      </w:pPr>
      <w:r w:rsidRPr="002A5128">
        <w:rPr>
          <w:rFonts w:ascii="Times New Roman" w:eastAsia="Calibri" w:hAnsi="Times New Roman" w:cs="Times New Roman"/>
          <w:color w:val="000000"/>
          <w:sz w:val="24"/>
          <w:szCs w:val="24"/>
        </w:rPr>
        <w:t>– w wysokoś</w:t>
      </w:r>
      <w:r w:rsidR="009476AD">
        <w:rPr>
          <w:rFonts w:ascii="Times New Roman" w:eastAsia="Calibri" w:hAnsi="Times New Roman" w:cs="Times New Roman"/>
          <w:color w:val="000000"/>
          <w:sz w:val="24"/>
          <w:szCs w:val="24"/>
        </w:rPr>
        <w:t>ci 4 812 mln zł na skutek zmian</w:t>
      </w:r>
      <w:r w:rsidRPr="002A5128">
        <w:rPr>
          <w:rFonts w:ascii="Times New Roman" w:eastAsia="Calibri" w:hAnsi="Times New Roman" w:cs="Times New Roman"/>
          <w:color w:val="000000"/>
          <w:sz w:val="24"/>
          <w:szCs w:val="24"/>
        </w:rPr>
        <w:t xml:space="preserve"> wprowadzonych ustawą z dnia 30 sierpnia 2019 r. o</w:t>
      </w:r>
      <w:r w:rsidR="00FF499C">
        <w:rPr>
          <w:rFonts w:ascii="Times New Roman" w:eastAsia="Calibri" w:hAnsi="Times New Roman" w:cs="Times New Roman"/>
          <w:color w:val="000000"/>
          <w:sz w:val="24"/>
          <w:szCs w:val="24"/>
        </w:rPr>
        <w:t> </w:t>
      </w:r>
      <w:r w:rsidRPr="002A5128">
        <w:rPr>
          <w:rFonts w:ascii="Times New Roman" w:eastAsia="Calibri" w:hAnsi="Times New Roman" w:cs="Times New Roman"/>
          <w:color w:val="000000"/>
          <w:sz w:val="24"/>
          <w:szCs w:val="24"/>
        </w:rPr>
        <w:t>zmianie ustawy o podatku dochodowym od osób fizycznych oraz ustawy o zmianie ustawy o</w:t>
      </w:r>
      <w:r w:rsidR="007C5794">
        <w:rPr>
          <w:rFonts w:ascii="Times New Roman" w:eastAsia="Calibri" w:hAnsi="Times New Roman" w:cs="Times New Roman"/>
          <w:color w:val="000000"/>
          <w:sz w:val="24"/>
          <w:szCs w:val="24"/>
        </w:rPr>
        <w:t> </w:t>
      </w:r>
      <w:r w:rsidRPr="002A5128">
        <w:rPr>
          <w:rFonts w:ascii="Times New Roman" w:eastAsia="Calibri" w:hAnsi="Times New Roman" w:cs="Times New Roman"/>
          <w:color w:val="000000"/>
          <w:sz w:val="24"/>
          <w:szCs w:val="24"/>
        </w:rPr>
        <w:t>podatku dochodowym od osób fizycznych oraz niektórych innych ustaw (Dz. U. poz. 1835).</w:t>
      </w:r>
    </w:p>
    <w:p w:rsidR="008E2039" w:rsidRDefault="008E2039" w:rsidP="008E2039">
      <w:pPr>
        <w:autoSpaceDE w:val="0"/>
        <w:autoSpaceDN w:val="0"/>
        <w:adjustRightInd w:val="0"/>
        <w:spacing w:after="0" w:line="276" w:lineRule="auto"/>
        <w:jc w:val="both"/>
        <w:rPr>
          <w:rFonts w:ascii="Times New Roman" w:eastAsia="Calibri" w:hAnsi="Times New Roman" w:cs="Times New Roman"/>
          <w:color w:val="000000"/>
          <w:sz w:val="24"/>
          <w:szCs w:val="24"/>
        </w:rPr>
      </w:pPr>
    </w:p>
    <w:p w:rsidR="002A5128" w:rsidRPr="002A5128" w:rsidRDefault="009476AD" w:rsidP="00826B73">
      <w:pPr>
        <w:autoSpaceDE w:val="0"/>
        <w:autoSpaceDN w:val="0"/>
        <w:adjustRightInd w:val="0"/>
        <w:spacing w:after="0" w:line="276"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 ocenie Projektodawców</w:t>
      </w:r>
      <w:r w:rsidR="002A5128" w:rsidRPr="002A5128">
        <w:rPr>
          <w:rFonts w:ascii="Times New Roman" w:eastAsia="Calibri" w:hAnsi="Times New Roman" w:cs="Times New Roman"/>
          <w:color w:val="000000"/>
          <w:sz w:val="24"/>
          <w:szCs w:val="24"/>
        </w:rPr>
        <w:t xml:space="preserve"> bez proponowanej rekompensaty nie będzie możliwe powstrzymanie spadku tempa rozwoju polski</w:t>
      </w:r>
      <w:r w:rsidR="0001194A">
        <w:rPr>
          <w:rFonts w:ascii="Times New Roman" w:eastAsia="Calibri" w:hAnsi="Times New Roman" w:cs="Times New Roman"/>
          <w:color w:val="000000"/>
          <w:sz w:val="24"/>
          <w:szCs w:val="24"/>
        </w:rPr>
        <w:t>ch gmin, powiatów i województw.</w:t>
      </w:r>
      <w:r w:rsidR="002A5128" w:rsidRPr="002A5128">
        <w:rPr>
          <w:rFonts w:ascii="Times New Roman" w:eastAsia="Calibri" w:hAnsi="Times New Roman" w:cs="Times New Roman"/>
          <w:color w:val="000000"/>
          <w:sz w:val="24"/>
          <w:szCs w:val="24"/>
        </w:rPr>
        <w:t xml:space="preserve"> Powstrzymanie spadku poziomu inwestycji lokalnych i regionalnych zapewni też większe wpływy do budżetu państwa z podatku VAT i podatków dochodowych.</w:t>
      </w:r>
    </w:p>
    <w:p w:rsidR="002A5128" w:rsidRPr="002A5128" w:rsidRDefault="002A5128" w:rsidP="00826B73">
      <w:pPr>
        <w:spacing w:after="0" w:line="276" w:lineRule="auto"/>
        <w:jc w:val="both"/>
        <w:rPr>
          <w:rFonts w:ascii="Times New Roman" w:eastAsia="Cambria" w:hAnsi="Times New Roman" w:cs="Times New Roman"/>
          <w:sz w:val="24"/>
          <w:szCs w:val="24"/>
        </w:rPr>
      </w:pPr>
    </w:p>
    <w:p w:rsidR="002A5128" w:rsidRDefault="002A5128" w:rsidP="00826B73">
      <w:pPr>
        <w:spacing w:after="0" w:line="276" w:lineRule="auto"/>
        <w:jc w:val="both"/>
        <w:rPr>
          <w:rFonts w:ascii="Times New Roman" w:eastAsia="Cambria" w:hAnsi="Times New Roman" w:cs="Times New Roman"/>
          <w:sz w:val="24"/>
          <w:szCs w:val="24"/>
        </w:rPr>
      </w:pPr>
      <w:r w:rsidRPr="002A5128">
        <w:rPr>
          <w:rFonts w:ascii="Times New Roman" w:eastAsia="Cambria" w:hAnsi="Times New Roman" w:cs="Times New Roman"/>
          <w:sz w:val="24"/>
          <w:szCs w:val="24"/>
        </w:rPr>
        <w:t xml:space="preserve">W </w:t>
      </w:r>
      <w:r w:rsidR="009476AD">
        <w:rPr>
          <w:rFonts w:ascii="Times New Roman" w:eastAsia="Cambria" w:hAnsi="Times New Roman" w:cs="Times New Roman"/>
          <w:sz w:val="24"/>
          <w:szCs w:val="24"/>
        </w:rPr>
        <w:t>uzasadnieniu do projektu ustawy</w:t>
      </w:r>
      <w:r w:rsidRPr="002A5128">
        <w:rPr>
          <w:rFonts w:ascii="Times New Roman" w:eastAsia="Cambria" w:hAnsi="Times New Roman" w:cs="Times New Roman"/>
          <w:sz w:val="24"/>
          <w:szCs w:val="24"/>
        </w:rPr>
        <w:t xml:space="preserve"> Projektodawcy przedstawiają analizę sytuacji finansowej jednostek samorządu terytorialnego, która stanowiła podstawę podjęcia inicjatywy ustawodawczej oraz proponowanych </w:t>
      </w:r>
      <w:r w:rsidR="00DC3265">
        <w:rPr>
          <w:rFonts w:ascii="Times New Roman" w:eastAsia="Cambria" w:hAnsi="Times New Roman" w:cs="Times New Roman"/>
          <w:sz w:val="24"/>
          <w:szCs w:val="24"/>
        </w:rPr>
        <w:t>przepisów</w:t>
      </w:r>
      <w:r w:rsidRPr="002A5128">
        <w:rPr>
          <w:rFonts w:ascii="Times New Roman" w:eastAsia="Cambria" w:hAnsi="Times New Roman" w:cs="Times New Roman"/>
          <w:sz w:val="24"/>
          <w:szCs w:val="24"/>
        </w:rPr>
        <w:t xml:space="preserve">. </w:t>
      </w:r>
    </w:p>
    <w:p w:rsidR="00921135" w:rsidRDefault="00921135" w:rsidP="00826B73">
      <w:pPr>
        <w:spacing w:after="0" w:line="276" w:lineRule="auto"/>
        <w:jc w:val="both"/>
        <w:rPr>
          <w:rFonts w:ascii="Times New Roman" w:eastAsia="Cambria" w:hAnsi="Times New Roman" w:cs="Times New Roman"/>
          <w:sz w:val="24"/>
          <w:szCs w:val="24"/>
        </w:rPr>
      </w:pPr>
    </w:p>
    <w:p w:rsidR="002A5128" w:rsidRDefault="002A5128" w:rsidP="00826B73">
      <w:pPr>
        <w:spacing w:after="0" w:line="276" w:lineRule="auto"/>
        <w:jc w:val="both"/>
        <w:rPr>
          <w:rFonts w:ascii="Times New Roman" w:eastAsia="Cambria" w:hAnsi="Times New Roman" w:cs="Times New Roman"/>
          <w:sz w:val="24"/>
          <w:szCs w:val="24"/>
        </w:rPr>
      </w:pPr>
      <w:r w:rsidRPr="002A5128">
        <w:rPr>
          <w:rFonts w:ascii="Times New Roman" w:eastAsia="Cambria" w:hAnsi="Times New Roman" w:cs="Times New Roman"/>
          <w:sz w:val="24"/>
          <w:szCs w:val="24"/>
        </w:rPr>
        <w:t xml:space="preserve">Odnosząc się do powyższego, </w:t>
      </w:r>
      <w:r w:rsidR="00E551A9">
        <w:rPr>
          <w:rFonts w:ascii="Times New Roman" w:eastAsia="Cambria" w:hAnsi="Times New Roman" w:cs="Times New Roman"/>
          <w:sz w:val="24"/>
          <w:szCs w:val="24"/>
        </w:rPr>
        <w:t>należy z</w:t>
      </w:r>
      <w:r w:rsidR="009476AD">
        <w:rPr>
          <w:rFonts w:ascii="Times New Roman" w:eastAsia="Cambria" w:hAnsi="Times New Roman" w:cs="Times New Roman"/>
          <w:sz w:val="24"/>
          <w:szCs w:val="24"/>
        </w:rPr>
        <w:t>au</w:t>
      </w:r>
      <w:r w:rsidR="00E551A9">
        <w:rPr>
          <w:rFonts w:ascii="Times New Roman" w:eastAsia="Cambria" w:hAnsi="Times New Roman" w:cs="Times New Roman"/>
          <w:sz w:val="24"/>
          <w:szCs w:val="24"/>
        </w:rPr>
        <w:t>ważyć</w:t>
      </w:r>
      <w:r w:rsidRPr="002A5128">
        <w:rPr>
          <w:rFonts w:ascii="Times New Roman" w:eastAsia="Cambria" w:hAnsi="Times New Roman" w:cs="Times New Roman"/>
          <w:sz w:val="24"/>
          <w:szCs w:val="24"/>
        </w:rPr>
        <w:t>, co następuje.</w:t>
      </w:r>
    </w:p>
    <w:p w:rsidR="00D33FD6" w:rsidRDefault="00D33FD6" w:rsidP="00826B73">
      <w:pPr>
        <w:spacing w:after="0" w:line="276" w:lineRule="auto"/>
        <w:jc w:val="both"/>
        <w:rPr>
          <w:rFonts w:ascii="Times New Roman" w:eastAsia="Cambria" w:hAnsi="Times New Roman" w:cs="Times New Roman"/>
          <w:sz w:val="24"/>
          <w:szCs w:val="24"/>
        </w:rPr>
      </w:pPr>
    </w:p>
    <w:p w:rsidR="00FF499C" w:rsidRDefault="00FF499C" w:rsidP="00826B73">
      <w:pPr>
        <w:spacing w:after="0" w:line="276" w:lineRule="auto"/>
        <w:jc w:val="both"/>
        <w:rPr>
          <w:rFonts w:ascii="Times New Roman" w:eastAsia="Cambria" w:hAnsi="Times New Roman" w:cs="Times New Roman"/>
          <w:sz w:val="24"/>
          <w:szCs w:val="24"/>
        </w:rPr>
      </w:pPr>
    </w:p>
    <w:p w:rsidR="00D33FD6" w:rsidRPr="002A5128" w:rsidRDefault="00D33FD6" w:rsidP="00826B73">
      <w:pPr>
        <w:spacing w:after="0" w:line="276" w:lineRule="auto"/>
        <w:jc w:val="both"/>
        <w:rPr>
          <w:rFonts w:ascii="Times New Roman" w:eastAsia="Cambria" w:hAnsi="Times New Roman" w:cs="Times New Roman"/>
          <w:sz w:val="24"/>
          <w:szCs w:val="24"/>
        </w:rPr>
      </w:pPr>
    </w:p>
    <w:p w:rsidR="002A5128" w:rsidRPr="00DC3265" w:rsidRDefault="00190B6E" w:rsidP="00190B6E">
      <w:pPr>
        <w:pStyle w:val="Akapitzlist"/>
        <w:numPr>
          <w:ilvl w:val="0"/>
          <w:numId w:val="13"/>
        </w:numPr>
        <w:autoSpaceDE w:val="0"/>
        <w:autoSpaceDN w:val="0"/>
        <w:adjustRightInd w:val="0"/>
        <w:spacing w:after="0" w:line="240" w:lineRule="auto"/>
        <w:jc w:val="both"/>
        <w:rPr>
          <w:rFonts w:ascii="Times New Roman" w:eastAsia="Cambria" w:hAnsi="Times New Roman" w:cs="Times New Roman"/>
          <w:b/>
          <w:sz w:val="24"/>
          <w:szCs w:val="24"/>
        </w:rPr>
      </w:pPr>
      <w:r w:rsidRPr="00DC3265">
        <w:rPr>
          <w:rFonts w:ascii="Times New Roman" w:eastAsia="Cambria" w:hAnsi="Times New Roman" w:cs="Times New Roman"/>
          <w:b/>
          <w:sz w:val="24"/>
          <w:szCs w:val="24"/>
        </w:rPr>
        <w:lastRenderedPageBreak/>
        <w:t xml:space="preserve">Analiza </w:t>
      </w:r>
      <w:r w:rsidR="00B408DE" w:rsidRPr="00DC3265">
        <w:rPr>
          <w:rFonts w:ascii="Times New Roman" w:eastAsia="Cambria" w:hAnsi="Times New Roman" w:cs="Times New Roman"/>
          <w:b/>
          <w:sz w:val="24"/>
          <w:szCs w:val="24"/>
        </w:rPr>
        <w:t>s</w:t>
      </w:r>
      <w:r w:rsidRPr="00DC3265">
        <w:rPr>
          <w:rFonts w:ascii="Times New Roman" w:eastAsia="Cambria" w:hAnsi="Times New Roman" w:cs="Times New Roman"/>
          <w:b/>
          <w:sz w:val="24"/>
          <w:szCs w:val="24"/>
        </w:rPr>
        <w:t>ytuacji finansowej JST w latach 2010-20</w:t>
      </w:r>
      <w:r w:rsidR="003202DA" w:rsidRPr="00DC3265">
        <w:rPr>
          <w:rFonts w:ascii="Times New Roman" w:eastAsia="Cambria" w:hAnsi="Times New Roman" w:cs="Times New Roman"/>
          <w:b/>
          <w:sz w:val="24"/>
          <w:szCs w:val="24"/>
        </w:rPr>
        <w:t>20</w:t>
      </w:r>
    </w:p>
    <w:p w:rsidR="000E48DC" w:rsidRPr="00DC3265" w:rsidRDefault="000E48DC" w:rsidP="00F6560A">
      <w:pPr>
        <w:spacing w:before="120" w:after="0" w:line="276" w:lineRule="auto"/>
        <w:jc w:val="both"/>
        <w:rPr>
          <w:rFonts w:ascii="Times New Roman" w:eastAsia="Cambria" w:hAnsi="Times New Roman" w:cs="Times New Roman"/>
          <w:sz w:val="24"/>
          <w:szCs w:val="24"/>
        </w:rPr>
      </w:pPr>
      <w:r w:rsidRPr="00DC3265">
        <w:rPr>
          <w:rFonts w:ascii="Times New Roman" w:eastAsia="Cambria" w:hAnsi="Times New Roman" w:cs="Times New Roman"/>
          <w:sz w:val="24"/>
          <w:szCs w:val="24"/>
        </w:rPr>
        <w:t xml:space="preserve">Analizy dokonano </w:t>
      </w:r>
      <w:r w:rsidRPr="00B07480">
        <w:rPr>
          <w:rFonts w:ascii="Times New Roman" w:eastAsia="Cambria" w:hAnsi="Times New Roman" w:cs="Times New Roman"/>
          <w:sz w:val="24"/>
          <w:szCs w:val="24"/>
        </w:rPr>
        <w:t>w oparciu o dane ze sprawozdań jednostek samorządu terytorialnego za lata 2010-2020. Dane za 2020 r. są danymi wstępnymi</w:t>
      </w:r>
      <w:r w:rsidR="00776EEE" w:rsidRPr="00B07480">
        <w:rPr>
          <w:rFonts w:ascii="Times New Roman" w:eastAsia="Cambria" w:hAnsi="Times New Roman" w:cs="Times New Roman"/>
          <w:sz w:val="24"/>
          <w:szCs w:val="24"/>
        </w:rPr>
        <w:t xml:space="preserve"> w</w:t>
      </w:r>
      <w:r w:rsidR="009D5E81">
        <w:rPr>
          <w:rFonts w:ascii="Times New Roman" w:eastAsia="Cambria" w:hAnsi="Times New Roman" w:cs="Times New Roman"/>
          <w:sz w:val="24"/>
          <w:szCs w:val="24"/>
        </w:rPr>
        <w:t>edłu</w:t>
      </w:r>
      <w:r w:rsidR="00776EEE" w:rsidRPr="00B07480">
        <w:rPr>
          <w:rFonts w:ascii="Times New Roman" w:eastAsia="Cambria" w:hAnsi="Times New Roman" w:cs="Times New Roman"/>
          <w:sz w:val="24"/>
          <w:szCs w:val="24"/>
        </w:rPr>
        <w:t xml:space="preserve">g stanu na 11 marca 2021 </w:t>
      </w:r>
      <w:r w:rsidRPr="00B07480">
        <w:rPr>
          <w:rFonts w:ascii="Times New Roman" w:eastAsia="Cambria" w:hAnsi="Times New Roman" w:cs="Times New Roman"/>
          <w:sz w:val="24"/>
          <w:szCs w:val="24"/>
        </w:rPr>
        <w:t>r.</w:t>
      </w:r>
    </w:p>
    <w:p w:rsidR="002A5128" w:rsidRPr="00435E3D" w:rsidRDefault="002A5128" w:rsidP="00F6560A">
      <w:pPr>
        <w:spacing w:before="120" w:after="0" w:line="276" w:lineRule="auto"/>
        <w:jc w:val="both"/>
        <w:rPr>
          <w:rFonts w:ascii="Times New Roman" w:eastAsia="Cambria" w:hAnsi="Times New Roman" w:cs="Times New Roman"/>
          <w:sz w:val="24"/>
          <w:szCs w:val="24"/>
        </w:rPr>
      </w:pPr>
      <w:r w:rsidRPr="00435E3D">
        <w:rPr>
          <w:rFonts w:ascii="Times New Roman" w:eastAsia="Cambria" w:hAnsi="Times New Roman" w:cs="Times New Roman"/>
          <w:sz w:val="24"/>
          <w:szCs w:val="24"/>
        </w:rPr>
        <w:t xml:space="preserve">Obowiązujący system finansowania samorządów, na który składają się dochody własne, subwencje ogólne i dotacje celowe z budżetu państwa, dostarcza samorządom rokrocznie wyższych dochodów. </w:t>
      </w:r>
    </w:p>
    <w:p w:rsidR="007C562F" w:rsidRDefault="00D55F9B" w:rsidP="00F6560A">
      <w:pPr>
        <w:spacing w:before="120" w:after="0" w:line="276" w:lineRule="auto"/>
        <w:jc w:val="both"/>
        <w:rPr>
          <w:rFonts w:ascii="Times New Roman" w:eastAsia="Cambria" w:hAnsi="Times New Roman" w:cs="Times New Roman"/>
          <w:sz w:val="24"/>
          <w:szCs w:val="24"/>
        </w:rPr>
      </w:pPr>
      <w:r w:rsidRPr="00DC3265">
        <w:rPr>
          <w:rFonts w:ascii="Times New Roman" w:eastAsia="Cambria" w:hAnsi="Times New Roman" w:cs="Times New Roman"/>
          <w:sz w:val="24"/>
          <w:szCs w:val="24"/>
        </w:rPr>
        <w:t>Analizując sytuację</w:t>
      </w:r>
      <w:r w:rsidR="0062631B" w:rsidRPr="00DC3265">
        <w:rPr>
          <w:rFonts w:ascii="Times New Roman" w:eastAsia="Cambria" w:hAnsi="Times New Roman" w:cs="Times New Roman"/>
          <w:sz w:val="24"/>
          <w:szCs w:val="24"/>
        </w:rPr>
        <w:t xml:space="preserve"> finansową jednostek samorządu terytorialnego </w:t>
      </w:r>
      <w:r w:rsidR="004E2194" w:rsidRPr="00DC3265">
        <w:rPr>
          <w:rFonts w:ascii="Times New Roman" w:eastAsia="Cambria" w:hAnsi="Times New Roman" w:cs="Times New Roman"/>
          <w:sz w:val="24"/>
          <w:szCs w:val="24"/>
        </w:rPr>
        <w:t>stwierdzić należy</w:t>
      </w:r>
      <w:r w:rsidR="00207053">
        <w:rPr>
          <w:rFonts w:ascii="Times New Roman" w:eastAsia="Cambria" w:hAnsi="Times New Roman" w:cs="Times New Roman"/>
          <w:sz w:val="24"/>
          <w:szCs w:val="24"/>
        </w:rPr>
        <w:t>, że w okresie 2010</w:t>
      </w:r>
      <w:r w:rsidR="00207053" w:rsidRPr="002A5128">
        <w:rPr>
          <w:rFonts w:ascii="Times New Roman" w:eastAsia="Calibri" w:hAnsi="Times New Roman" w:cs="Times New Roman"/>
          <w:color w:val="000000"/>
          <w:sz w:val="24"/>
          <w:szCs w:val="24"/>
        </w:rPr>
        <w:t>–</w:t>
      </w:r>
      <w:r w:rsidR="0062631B" w:rsidRPr="00DC3265">
        <w:rPr>
          <w:rFonts w:ascii="Times New Roman" w:eastAsia="Cambria" w:hAnsi="Times New Roman" w:cs="Times New Roman"/>
          <w:sz w:val="24"/>
          <w:szCs w:val="24"/>
        </w:rPr>
        <w:t>20</w:t>
      </w:r>
      <w:r w:rsidR="00A472DC" w:rsidRPr="00DC3265">
        <w:rPr>
          <w:rFonts w:ascii="Times New Roman" w:eastAsia="Cambria" w:hAnsi="Times New Roman" w:cs="Times New Roman"/>
          <w:sz w:val="24"/>
          <w:szCs w:val="24"/>
        </w:rPr>
        <w:t>20</w:t>
      </w:r>
      <w:r w:rsidR="0062631B" w:rsidRPr="00DC3265">
        <w:rPr>
          <w:rFonts w:ascii="Times New Roman" w:eastAsia="Cambria" w:hAnsi="Times New Roman" w:cs="Times New Roman"/>
          <w:sz w:val="24"/>
          <w:szCs w:val="24"/>
        </w:rPr>
        <w:t xml:space="preserve"> dochody ogółem jednostek samorządu terytorialnego wzrosły o </w:t>
      </w:r>
      <w:r w:rsidR="0074711C" w:rsidRPr="00DC3265">
        <w:rPr>
          <w:rFonts w:ascii="Times New Roman" w:eastAsia="Cambria" w:hAnsi="Times New Roman" w:cs="Times New Roman"/>
          <w:sz w:val="24"/>
          <w:szCs w:val="24"/>
        </w:rPr>
        <w:t>87,3</w:t>
      </w:r>
      <w:r w:rsidR="0062631B" w:rsidRPr="00DC3265">
        <w:rPr>
          <w:rFonts w:ascii="Times New Roman" w:eastAsia="Cambria" w:hAnsi="Times New Roman" w:cs="Times New Roman"/>
          <w:sz w:val="24"/>
          <w:szCs w:val="24"/>
        </w:rPr>
        <w:t xml:space="preserve">%, tj. o kwotę </w:t>
      </w:r>
      <w:r w:rsidR="0074711C" w:rsidRPr="00DC3265">
        <w:rPr>
          <w:rFonts w:ascii="Times New Roman" w:eastAsia="Cambria" w:hAnsi="Times New Roman" w:cs="Times New Roman"/>
          <w:sz w:val="24"/>
          <w:szCs w:val="24"/>
        </w:rPr>
        <w:t>142</w:t>
      </w:r>
      <w:r w:rsidR="00F62BAC" w:rsidRPr="00DC3265">
        <w:rPr>
          <w:rFonts w:ascii="Times New Roman" w:eastAsia="Cambria" w:hAnsi="Times New Roman" w:cs="Times New Roman"/>
          <w:sz w:val="24"/>
          <w:szCs w:val="24"/>
        </w:rPr>
        <w:t>,1</w:t>
      </w:r>
      <w:r w:rsidR="0062631B" w:rsidRPr="00DC3265">
        <w:rPr>
          <w:rFonts w:ascii="Times New Roman" w:eastAsia="Cambria" w:hAnsi="Times New Roman" w:cs="Times New Roman"/>
          <w:sz w:val="24"/>
          <w:szCs w:val="24"/>
        </w:rPr>
        <w:t xml:space="preserve"> mld zł.</w:t>
      </w:r>
      <w:r w:rsidR="007C562F" w:rsidRPr="00DC3265">
        <w:rPr>
          <w:rFonts w:ascii="Times New Roman" w:eastAsia="Cambria" w:hAnsi="Times New Roman" w:cs="Times New Roman"/>
          <w:sz w:val="24"/>
          <w:szCs w:val="24"/>
        </w:rPr>
        <w:t xml:space="preserve"> O ile w 2010 r. samorządy osiągnęły dochody w wysokości 162</w:t>
      </w:r>
      <w:r w:rsidR="00F62BAC" w:rsidRPr="00DC3265">
        <w:rPr>
          <w:rFonts w:ascii="Times New Roman" w:eastAsia="Cambria" w:hAnsi="Times New Roman" w:cs="Times New Roman"/>
          <w:sz w:val="24"/>
          <w:szCs w:val="24"/>
        </w:rPr>
        <w:t>,8</w:t>
      </w:r>
      <w:r w:rsidR="007C562F" w:rsidRPr="00DC3265">
        <w:rPr>
          <w:rFonts w:ascii="Times New Roman" w:eastAsia="Cambria" w:hAnsi="Times New Roman" w:cs="Times New Roman"/>
          <w:sz w:val="24"/>
          <w:szCs w:val="24"/>
        </w:rPr>
        <w:t xml:space="preserve"> mld zł, to w 20</w:t>
      </w:r>
      <w:r w:rsidR="00F62BAC" w:rsidRPr="00DC3265">
        <w:rPr>
          <w:rFonts w:ascii="Times New Roman" w:eastAsia="Cambria" w:hAnsi="Times New Roman" w:cs="Times New Roman"/>
          <w:sz w:val="24"/>
          <w:szCs w:val="24"/>
        </w:rPr>
        <w:t>20</w:t>
      </w:r>
      <w:r w:rsidR="00FF499C">
        <w:rPr>
          <w:rFonts w:ascii="Times New Roman" w:eastAsia="Cambria" w:hAnsi="Times New Roman" w:cs="Times New Roman"/>
          <w:sz w:val="24"/>
          <w:szCs w:val="24"/>
        </w:rPr>
        <w:t> </w:t>
      </w:r>
      <w:r w:rsidR="007C562F" w:rsidRPr="00DC3265">
        <w:rPr>
          <w:rFonts w:ascii="Times New Roman" w:eastAsia="Cambria" w:hAnsi="Times New Roman" w:cs="Times New Roman"/>
          <w:sz w:val="24"/>
          <w:szCs w:val="24"/>
        </w:rPr>
        <w:t xml:space="preserve">r. było to już </w:t>
      </w:r>
      <w:r w:rsidR="00F62BAC" w:rsidRPr="00DC3265">
        <w:rPr>
          <w:rFonts w:ascii="Times New Roman" w:eastAsia="Cambria" w:hAnsi="Times New Roman" w:cs="Times New Roman"/>
          <w:sz w:val="24"/>
          <w:szCs w:val="24"/>
        </w:rPr>
        <w:t>30</w:t>
      </w:r>
      <w:r w:rsidR="0074711C" w:rsidRPr="00DC3265">
        <w:rPr>
          <w:rFonts w:ascii="Times New Roman" w:eastAsia="Cambria" w:hAnsi="Times New Roman" w:cs="Times New Roman"/>
          <w:sz w:val="24"/>
          <w:szCs w:val="24"/>
        </w:rPr>
        <w:t>4</w:t>
      </w:r>
      <w:r w:rsidR="00F62BAC" w:rsidRPr="00DC3265">
        <w:rPr>
          <w:rFonts w:ascii="Times New Roman" w:eastAsia="Cambria" w:hAnsi="Times New Roman" w:cs="Times New Roman"/>
          <w:sz w:val="24"/>
          <w:szCs w:val="24"/>
        </w:rPr>
        <w:t>,9</w:t>
      </w:r>
      <w:r w:rsidR="00BA2F35" w:rsidRPr="00DC3265">
        <w:rPr>
          <w:rFonts w:ascii="Times New Roman" w:eastAsia="Cambria" w:hAnsi="Times New Roman" w:cs="Times New Roman"/>
          <w:sz w:val="24"/>
          <w:szCs w:val="24"/>
        </w:rPr>
        <w:t xml:space="preserve"> mld zł.</w:t>
      </w:r>
    </w:p>
    <w:p w:rsidR="00120AAF" w:rsidRPr="00120AAF" w:rsidRDefault="00120AAF" w:rsidP="00F6560A">
      <w:pPr>
        <w:spacing w:before="120" w:after="0" w:line="276" w:lineRule="auto"/>
        <w:jc w:val="both"/>
        <w:rPr>
          <w:rFonts w:ascii="Times New Roman" w:eastAsia="Cambria" w:hAnsi="Times New Roman" w:cs="Times New Roman"/>
          <w:sz w:val="16"/>
          <w:szCs w:val="16"/>
        </w:rPr>
      </w:pPr>
    </w:p>
    <w:p w:rsidR="00120AAF" w:rsidRDefault="00120AAF" w:rsidP="00A472DC">
      <w:pPr>
        <w:autoSpaceDE w:val="0"/>
        <w:autoSpaceDN w:val="0"/>
        <w:adjustRightInd w:val="0"/>
        <w:spacing w:after="0" w:line="276" w:lineRule="auto"/>
        <w:ind w:left="-426"/>
        <w:jc w:val="both"/>
        <w:rPr>
          <w:rFonts w:ascii="Times New Roman" w:eastAsia="Calibri" w:hAnsi="Times New Roman" w:cs="Times New Roman"/>
          <w:color w:val="000000"/>
          <w:sz w:val="24"/>
          <w:szCs w:val="24"/>
        </w:rPr>
      </w:pPr>
      <w:r>
        <w:rPr>
          <w:noProof/>
          <w:lang w:eastAsia="pl-PL"/>
        </w:rPr>
        <w:drawing>
          <wp:inline distT="0" distB="0" distL="0" distR="0" wp14:anchorId="2950D9D8" wp14:editId="2F998E6C">
            <wp:extent cx="6419850" cy="2076450"/>
            <wp:effectExtent l="0" t="0" r="0" b="0"/>
            <wp:docPr id="17" name="Wykres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35D4F" w:rsidRDefault="00435D4F" w:rsidP="00A472DC">
      <w:pPr>
        <w:autoSpaceDE w:val="0"/>
        <w:autoSpaceDN w:val="0"/>
        <w:adjustRightInd w:val="0"/>
        <w:spacing w:after="0" w:line="276" w:lineRule="auto"/>
        <w:ind w:left="-426"/>
        <w:jc w:val="both"/>
        <w:rPr>
          <w:rFonts w:ascii="Times New Roman" w:eastAsia="Calibri" w:hAnsi="Times New Roman" w:cs="Times New Roman"/>
          <w:color w:val="000000"/>
          <w:sz w:val="24"/>
          <w:szCs w:val="24"/>
        </w:rPr>
      </w:pPr>
    </w:p>
    <w:p w:rsidR="001E480D" w:rsidRDefault="001E480D" w:rsidP="00826B73">
      <w:pPr>
        <w:autoSpaceDE w:val="0"/>
        <w:autoSpaceDN w:val="0"/>
        <w:adjustRightInd w:val="0"/>
        <w:spacing w:after="0" w:line="276" w:lineRule="auto"/>
        <w:jc w:val="both"/>
        <w:rPr>
          <w:rFonts w:ascii="Times New Roman" w:eastAsia="Calibri" w:hAnsi="Times New Roman" w:cs="Times New Roman"/>
          <w:color w:val="000000"/>
          <w:sz w:val="24"/>
          <w:szCs w:val="24"/>
        </w:rPr>
      </w:pPr>
    </w:p>
    <w:p w:rsidR="002A5128" w:rsidRDefault="002A5128" w:rsidP="00826B73">
      <w:pPr>
        <w:autoSpaceDE w:val="0"/>
        <w:autoSpaceDN w:val="0"/>
        <w:adjustRightInd w:val="0"/>
        <w:spacing w:after="0" w:line="276" w:lineRule="auto"/>
        <w:jc w:val="both"/>
        <w:rPr>
          <w:rFonts w:ascii="Times New Roman" w:eastAsia="Calibri" w:hAnsi="Times New Roman" w:cs="Times New Roman"/>
          <w:color w:val="000000"/>
          <w:sz w:val="24"/>
          <w:szCs w:val="24"/>
        </w:rPr>
      </w:pPr>
      <w:r w:rsidRPr="00DC3265">
        <w:rPr>
          <w:rFonts w:ascii="Times New Roman" w:eastAsia="Calibri" w:hAnsi="Times New Roman" w:cs="Times New Roman"/>
          <w:color w:val="000000"/>
          <w:sz w:val="24"/>
          <w:szCs w:val="24"/>
        </w:rPr>
        <w:t xml:space="preserve">Porównując główne </w:t>
      </w:r>
      <w:r w:rsidR="00F6560A" w:rsidRPr="00DC3265">
        <w:rPr>
          <w:rFonts w:ascii="Times New Roman" w:eastAsia="Calibri" w:hAnsi="Times New Roman" w:cs="Times New Roman"/>
          <w:color w:val="000000"/>
          <w:sz w:val="24"/>
          <w:szCs w:val="24"/>
        </w:rPr>
        <w:t>kategorie</w:t>
      </w:r>
      <w:r w:rsidRPr="00DC3265">
        <w:rPr>
          <w:rFonts w:ascii="Times New Roman" w:eastAsia="Calibri" w:hAnsi="Times New Roman" w:cs="Times New Roman"/>
          <w:color w:val="000000"/>
          <w:sz w:val="24"/>
          <w:szCs w:val="24"/>
        </w:rPr>
        <w:t xml:space="preserve"> dochodów jednostek samorządu terytorialnego należ</w:t>
      </w:r>
      <w:r w:rsidR="002B06F7">
        <w:rPr>
          <w:rFonts w:ascii="Times New Roman" w:eastAsia="Calibri" w:hAnsi="Times New Roman" w:cs="Times New Roman"/>
          <w:color w:val="000000"/>
          <w:sz w:val="24"/>
          <w:szCs w:val="24"/>
        </w:rPr>
        <w:t>y stwierdzić, iż w okresie 2010</w:t>
      </w:r>
      <w:r w:rsidR="002B06F7" w:rsidRPr="002A5128">
        <w:rPr>
          <w:rFonts w:ascii="Times New Roman" w:eastAsia="Calibri" w:hAnsi="Times New Roman" w:cs="Times New Roman"/>
          <w:color w:val="000000"/>
          <w:sz w:val="24"/>
          <w:szCs w:val="24"/>
        </w:rPr>
        <w:t>–</w:t>
      </w:r>
      <w:r w:rsidRPr="00DC3265">
        <w:rPr>
          <w:rFonts w:ascii="Times New Roman" w:eastAsia="Calibri" w:hAnsi="Times New Roman" w:cs="Times New Roman"/>
          <w:color w:val="000000"/>
          <w:sz w:val="24"/>
          <w:szCs w:val="24"/>
        </w:rPr>
        <w:t>20</w:t>
      </w:r>
      <w:r w:rsidR="002063E6" w:rsidRPr="00DC3265">
        <w:rPr>
          <w:rFonts w:ascii="Times New Roman" w:eastAsia="Calibri" w:hAnsi="Times New Roman" w:cs="Times New Roman"/>
          <w:color w:val="000000"/>
          <w:sz w:val="24"/>
          <w:szCs w:val="24"/>
        </w:rPr>
        <w:t>20</w:t>
      </w:r>
      <w:r w:rsidRPr="00DC3265">
        <w:rPr>
          <w:rFonts w:ascii="Times New Roman" w:eastAsia="Calibri" w:hAnsi="Times New Roman" w:cs="Times New Roman"/>
          <w:color w:val="000000"/>
          <w:sz w:val="24"/>
          <w:szCs w:val="24"/>
        </w:rPr>
        <w:t xml:space="preserve"> dochody własne jednostek samorządu terytorialnego wzrosły o </w:t>
      </w:r>
      <w:r w:rsidR="005943BA" w:rsidRPr="00DC3265">
        <w:rPr>
          <w:rFonts w:ascii="Times New Roman" w:eastAsia="Calibri" w:hAnsi="Times New Roman" w:cs="Times New Roman"/>
          <w:color w:val="000000"/>
          <w:sz w:val="24"/>
          <w:szCs w:val="24"/>
        </w:rPr>
        <w:t>8</w:t>
      </w:r>
      <w:r w:rsidR="00D26304" w:rsidRPr="00DC3265">
        <w:rPr>
          <w:rFonts w:ascii="Times New Roman" w:eastAsia="Calibri" w:hAnsi="Times New Roman" w:cs="Times New Roman"/>
          <w:color w:val="000000"/>
          <w:sz w:val="24"/>
          <w:szCs w:val="24"/>
        </w:rPr>
        <w:t>6</w:t>
      </w:r>
      <w:r w:rsidR="005943BA" w:rsidRPr="00DC3265">
        <w:rPr>
          <w:rFonts w:ascii="Times New Roman" w:eastAsia="Calibri" w:hAnsi="Times New Roman" w:cs="Times New Roman"/>
          <w:color w:val="000000"/>
          <w:sz w:val="24"/>
          <w:szCs w:val="24"/>
        </w:rPr>
        <w:t>,2%</w:t>
      </w:r>
      <w:r w:rsidR="009D5E81">
        <w:rPr>
          <w:rFonts w:ascii="Times New Roman" w:eastAsia="Calibri" w:hAnsi="Times New Roman" w:cs="Times New Roman"/>
          <w:color w:val="000000"/>
          <w:sz w:val="24"/>
          <w:szCs w:val="24"/>
        </w:rPr>
        <w:t>,</w:t>
      </w:r>
      <w:r w:rsidRPr="00DC3265">
        <w:rPr>
          <w:rFonts w:ascii="Times New Roman" w:eastAsia="Calibri" w:hAnsi="Times New Roman" w:cs="Times New Roman"/>
          <w:color w:val="000000"/>
          <w:sz w:val="24"/>
          <w:szCs w:val="24"/>
        </w:rPr>
        <w:t xml:space="preserve"> dotacje o </w:t>
      </w:r>
      <w:r w:rsidR="00D26304" w:rsidRPr="00DC3265">
        <w:rPr>
          <w:rFonts w:ascii="Times New Roman" w:eastAsia="Calibri" w:hAnsi="Times New Roman" w:cs="Times New Roman"/>
          <w:color w:val="000000"/>
          <w:sz w:val="24"/>
          <w:szCs w:val="24"/>
        </w:rPr>
        <w:t>147,2</w:t>
      </w:r>
      <w:r w:rsidRPr="00DC3265">
        <w:rPr>
          <w:rFonts w:ascii="Times New Roman" w:eastAsia="Calibri" w:hAnsi="Times New Roman" w:cs="Times New Roman"/>
          <w:color w:val="000000"/>
          <w:sz w:val="24"/>
          <w:szCs w:val="24"/>
        </w:rPr>
        <w:t xml:space="preserve">%, a subwencje ogólne o </w:t>
      </w:r>
      <w:r w:rsidR="005943BA" w:rsidRPr="00DC3265">
        <w:rPr>
          <w:rFonts w:ascii="Times New Roman" w:eastAsia="Calibri" w:hAnsi="Times New Roman" w:cs="Times New Roman"/>
          <w:color w:val="000000"/>
          <w:sz w:val="24"/>
          <w:szCs w:val="24"/>
        </w:rPr>
        <w:t>4</w:t>
      </w:r>
      <w:r w:rsidR="00D26304" w:rsidRPr="00DC3265">
        <w:rPr>
          <w:rFonts w:ascii="Times New Roman" w:eastAsia="Calibri" w:hAnsi="Times New Roman" w:cs="Times New Roman"/>
          <w:color w:val="000000"/>
          <w:sz w:val="24"/>
          <w:szCs w:val="24"/>
        </w:rPr>
        <w:t>2</w:t>
      </w:r>
      <w:r w:rsidR="005943BA" w:rsidRPr="00DC3265">
        <w:rPr>
          <w:rFonts w:ascii="Times New Roman" w:eastAsia="Calibri" w:hAnsi="Times New Roman" w:cs="Times New Roman"/>
          <w:color w:val="000000"/>
          <w:sz w:val="24"/>
          <w:szCs w:val="24"/>
        </w:rPr>
        <w:t>,</w:t>
      </w:r>
      <w:r w:rsidR="00D26304" w:rsidRPr="00DC3265">
        <w:rPr>
          <w:rFonts w:ascii="Times New Roman" w:eastAsia="Calibri" w:hAnsi="Times New Roman" w:cs="Times New Roman"/>
          <w:color w:val="000000"/>
          <w:sz w:val="24"/>
          <w:szCs w:val="24"/>
        </w:rPr>
        <w:t>8</w:t>
      </w:r>
      <w:r w:rsidRPr="00DC3265">
        <w:rPr>
          <w:rFonts w:ascii="Times New Roman" w:eastAsia="Calibri" w:hAnsi="Times New Roman" w:cs="Times New Roman"/>
          <w:color w:val="000000"/>
          <w:sz w:val="24"/>
          <w:szCs w:val="24"/>
        </w:rPr>
        <w:t>%.</w:t>
      </w:r>
    </w:p>
    <w:p w:rsidR="001E480D" w:rsidRPr="00435E3D" w:rsidRDefault="001E480D" w:rsidP="00826B73">
      <w:pPr>
        <w:autoSpaceDE w:val="0"/>
        <w:autoSpaceDN w:val="0"/>
        <w:adjustRightInd w:val="0"/>
        <w:spacing w:after="0" w:line="276" w:lineRule="auto"/>
        <w:jc w:val="both"/>
        <w:rPr>
          <w:rFonts w:ascii="Times New Roman" w:eastAsia="Calibri" w:hAnsi="Times New Roman" w:cs="Times New Roman"/>
          <w:color w:val="000000"/>
          <w:sz w:val="24"/>
          <w:szCs w:val="24"/>
        </w:rPr>
      </w:pPr>
    </w:p>
    <w:p w:rsidR="007632A7" w:rsidRDefault="007632A7" w:rsidP="007632A7">
      <w:pPr>
        <w:autoSpaceDE w:val="0"/>
        <w:autoSpaceDN w:val="0"/>
        <w:adjustRightInd w:val="0"/>
        <w:spacing w:after="0" w:line="240" w:lineRule="auto"/>
        <w:ind w:left="-426"/>
        <w:jc w:val="both"/>
        <w:rPr>
          <w:noProof/>
          <w:lang w:eastAsia="pl-PL"/>
        </w:rPr>
      </w:pPr>
    </w:p>
    <w:p w:rsidR="00903078" w:rsidRDefault="00903078" w:rsidP="007632A7">
      <w:pPr>
        <w:autoSpaceDE w:val="0"/>
        <w:autoSpaceDN w:val="0"/>
        <w:adjustRightInd w:val="0"/>
        <w:spacing w:after="0" w:line="240" w:lineRule="auto"/>
        <w:ind w:left="-426"/>
        <w:jc w:val="both"/>
        <w:rPr>
          <w:noProof/>
          <w:lang w:eastAsia="pl-PL"/>
        </w:rPr>
      </w:pPr>
      <w:r>
        <w:rPr>
          <w:noProof/>
          <w:lang w:eastAsia="pl-PL"/>
        </w:rPr>
        <w:lastRenderedPageBreak/>
        <w:drawing>
          <wp:inline distT="0" distB="0" distL="0" distR="0" wp14:anchorId="27FAF15D" wp14:editId="18AAC362">
            <wp:extent cx="6457950" cy="3076575"/>
            <wp:effectExtent l="0" t="0" r="0" b="0"/>
            <wp:docPr id="19" name="Wykres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E480D" w:rsidRDefault="001E480D" w:rsidP="00826B73">
      <w:pPr>
        <w:spacing w:after="0" w:line="276" w:lineRule="auto"/>
        <w:jc w:val="both"/>
        <w:rPr>
          <w:rFonts w:ascii="Times New Roman" w:eastAsia="Cambria" w:hAnsi="Times New Roman" w:cs="Times New Roman"/>
          <w:sz w:val="24"/>
          <w:szCs w:val="24"/>
        </w:rPr>
      </w:pPr>
    </w:p>
    <w:p w:rsidR="002A5128" w:rsidRPr="00DC3265" w:rsidRDefault="002A5128" w:rsidP="00826B73">
      <w:pPr>
        <w:spacing w:after="0" w:line="276" w:lineRule="auto"/>
        <w:jc w:val="both"/>
        <w:rPr>
          <w:rFonts w:ascii="Times New Roman" w:eastAsia="Cambria" w:hAnsi="Times New Roman" w:cs="Times New Roman"/>
          <w:sz w:val="24"/>
          <w:szCs w:val="24"/>
        </w:rPr>
      </w:pPr>
      <w:r w:rsidRPr="00DC3265">
        <w:rPr>
          <w:rFonts w:ascii="Times New Roman" w:eastAsia="Cambria" w:hAnsi="Times New Roman" w:cs="Times New Roman"/>
          <w:sz w:val="24"/>
          <w:szCs w:val="24"/>
        </w:rPr>
        <w:t xml:space="preserve">Tempo wzrostu dochodów jednostek samorządu terytorialnego w ostatnich 10 latach było wyższe niż tempo </w:t>
      </w:r>
      <w:r w:rsidR="00F6560A" w:rsidRPr="00DC3265">
        <w:rPr>
          <w:rFonts w:ascii="Times New Roman" w:eastAsia="Cambria" w:hAnsi="Times New Roman" w:cs="Times New Roman"/>
          <w:sz w:val="24"/>
          <w:szCs w:val="24"/>
        </w:rPr>
        <w:t>w</w:t>
      </w:r>
      <w:r w:rsidRPr="00DC3265">
        <w:rPr>
          <w:rFonts w:ascii="Times New Roman" w:eastAsia="Cambria" w:hAnsi="Times New Roman" w:cs="Times New Roman"/>
          <w:sz w:val="24"/>
          <w:szCs w:val="24"/>
        </w:rPr>
        <w:t>zrostu PKB. Dochody ogółem jednostek samorządu terytorialnego zwiększyły się</w:t>
      </w:r>
      <w:r w:rsidR="00FF499C">
        <w:rPr>
          <w:rFonts w:ascii="Times New Roman" w:eastAsia="Cambria" w:hAnsi="Times New Roman" w:cs="Times New Roman"/>
          <w:sz w:val="24"/>
          <w:szCs w:val="24"/>
        </w:rPr>
        <w:t> </w:t>
      </w:r>
      <w:r w:rsidRPr="00DC3265">
        <w:rPr>
          <w:rFonts w:ascii="Times New Roman" w:eastAsia="Cambria" w:hAnsi="Times New Roman" w:cs="Times New Roman"/>
          <w:sz w:val="24"/>
          <w:szCs w:val="24"/>
        </w:rPr>
        <w:t>w</w:t>
      </w:r>
      <w:r w:rsidR="007C5794" w:rsidRPr="00DC3265">
        <w:rPr>
          <w:rFonts w:ascii="Times New Roman" w:eastAsia="Cambria" w:hAnsi="Times New Roman" w:cs="Times New Roman"/>
          <w:sz w:val="24"/>
          <w:szCs w:val="24"/>
        </w:rPr>
        <w:t> </w:t>
      </w:r>
      <w:r w:rsidRPr="00DC3265">
        <w:rPr>
          <w:rFonts w:ascii="Times New Roman" w:eastAsia="Cambria" w:hAnsi="Times New Roman" w:cs="Times New Roman"/>
          <w:sz w:val="24"/>
          <w:szCs w:val="24"/>
        </w:rPr>
        <w:t>mniejszym stopniu niż PKB tylko w 2011 r. o 3,</w:t>
      </w:r>
      <w:r w:rsidR="009D48D3" w:rsidRPr="00DC3265">
        <w:rPr>
          <w:rFonts w:ascii="Times New Roman" w:eastAsia="Cambria" w:hAnsi="Times New Roman" w:cs="Times New Roman"/>
          <w:sz w:val="24"/>
          <w:szCs w:val="24"/>
        </w:rPr>
        <w:t>0</w:t>
      </w:r>
      <w:r w:rsidRPr="00DC3265">
        <w:rPr>
          <w:rFonts w:ascii="Times New Roman" w:eastAsia="Cambria" w:hAnsi="Times New Roman" w:cs="Times New Roman"/>
          <w:sz w:val="24"/>
          <w:szCs w:val="24"/>
        </w:rPr>
        <w:t xml:space="preserve"> punktu procentowego, w 2012 r. o</w:t>
      </w:r>
      <w:r w:rsidR="00FF499C">
        <w:rPr>
          <w:rFonts w:ascii="Times New Roman" w:eastAsia="Cambria" w:hAnsi="Times New Roman" w:cs="Times New Roman"/>
          <w:sz w:val="24"/>
          <w:szCs w:val="24"/>
        </w:rPr>
        <w:t> </w:t>
      </w:r>
      <w:r w:rsidRPr="00DC3265">
        <w:rPr>
          <w:rFonts w:ascii="Times New Roman" w:eastAsia="Cambria" w:hAnsi="Times New Roman" w:cs="Times New Roman"/>
          <w:sz w:val="24"/>
          <w:szCs w:val="24"/>
        </w:rPr>
        <w:t>0,</w:t>
      </w:r>
      <w:r w:rsidR="009D48D3" w:rsidRPr="00DC3265">
        <w:rPr>
          <w:rFonts w:ascii="Times New Roman" w:eastAsia="Cambria" w:hAnsi="Times New Roman" w:cs="Times New Roman"/>
          <w:sz w:val="24"/>
          <w:szCs w:val="24"/>
        </w:rPr>
        <w:t>1</w:t>
      </w:r>
      <w:r w:rsidR="00FF499C">
        <w:rPr>
          <w:rFonts w:ascii="Times New Roman" w:eastAsia="Cambria" w:hAnsi="Times New Roman" w:cs="Times New Roman"/>
          <w:sz w:val="24"/>
          <w:szCs w:val="24"/>
        </w:rPr>
        <w:t> </w:t>
      </w:r>
      <w:r w:rsidRPr="00DC3265">
        <w:rPr>
          <w:rFonts w:ascii="Times New Roman" w:eastAsia="Cambria" w:hAnsi="Times New Roman" w:cs="Times New Roman"/>
          <w:sz w:val="24"/>
          <w:szCs w:val="24"/>
        </w:rPr>
        <w:t>punktu procentowego i</w:t>
      </w:r>
      <w:r w:rsidR="002B06F7">
        <w:rPr>
          <w:rFonts w:ascii="Times New Roman" w:eastAsia="Cambria" w:hAnsi="Times New Roman" w:cs="Times New Roman"/>
          <w:sz w:val="24"/>
          <w:szCs w:val="24"/>
        </w:rPr>
        <w:t xml:space="preserve"> w</w:t>
      </w:r>
      <w:r w:rsidRPr="00DC3265">
        <w:rPr>
          <w:rFonts w:ascii="Times New Roman" w:eastAsia="Cambria" w:hAnsi="Times New Roman" w:cs="Times New Roman"/>
          <w:sz w:val="24"/>
          <w:szCs w:val="24"/>
        </w:rPr>
        <w:t xml:space="preserve"> 2015 r. o 2,</w:t>
      </w:r>
      <w:r w:rsidR="009D48D3" w:rsidRPr="00DC3265">
        <w:rPr>
          <w:rFonts w:ascii="Times New Roman" w:eastAsia="Cambria" w:hAnsi="Times New Roman" w:cs="Times New Roman"/>
          <w:sz w:val="24"/>
          <w:szCs w:val="24"/>
        </w:rPr>
        <w:t>9</w:t>
      </w:r>
      <w:r w:rsidRPr="00DC3265">
        <w:rPr>
          <w:rFonts w:ascii="Times New Roman" w:eastAsia="Cambria" w:hAnsi="Times New Roman" w:cs="Times New Roman"/>
          <w:sz w:val="24"/>
          <w:szCs w:val="24"/>
        </w:rPr>
        <w:t xml:space="preserve"> punktu procentowego, co przedstawia poniższy wykres.</w:t>
      </w:r>
      <w:r w:rsidR="008278C0" w:rsidRPr="00DC3265">
        <w:rPr>
          <w:rFonts w:ascii="Times New Roman" w:eastAsia="Cambria" w:hAnsi="Times New Roman" w:cs="Times New Roman"/>
          <w:sz w:val="24"/>
          <w:szCs w:val="24"/>
        </w:rPr>
        <w:t xml:space="preserve"> W 2020 r. dochody ogółem </w:t>
      </w:r>
      <w:r w:rsidR="00761CC6" w:rsidRPr="00DC3265">
        <w:rPr>
          <w:rFonts w:ascii="Times New Roman" w:eastAsia="Cambria" w:hAnsi="Times New Roman" w:cs="Times New Roman"/>
          <w:sz w:val="24"/>
          <w:szCs w:val="24"/>
        </w:rPr>
        <w:t>jednostek samorządu terytorialnego, w porów</w:t>
      </w:r>
      <w:r w:rsidR="002B06F7">
        <w:rPr>
          <w:rFonts w:ascii="Times New Roman" w:eastAsia="Cambria" w:hAnsi="Times New Roman" w:cs="Times New Roman"/>
          <w:sz w:val="24"/>
          <w:szCs w:val="24"/>
        </w:rPr>
        <w:t>naniu do</w:t>
      </w:r>
      <w:r w:rsidR="00FF499C">
        <w:rPr>
          <w:rFonts w:ascii="Times New Roman" w:eastAsia="Cambria" w:hAnsi="Times New Roman" w:cs="Times New Roman"/>
          <w:sz w:val="24"/>
          <w:szCs w:val="24"/>
        </w:rPr>
        <w:t> </w:t>
      </w:r>
      <w:r w:rsidR="002B06F7">
        <w:rPr>
          <w:rFonts w:ascii="Times New Roman" w:eastAsia="Cambria" w:hAnsi="Times New Roman" w:cs="Times New Roman"/>
          <w:sz w:val="24"/>
          <w:szCs w:val="24"/>
        </w:rPr>
        <w:t>2019</w:t>
      </w:r>
      <w:r w:rsidR="00FF499C">
        <w:rPr>
          <w:rFonts w:ascii="Times New Roman" w:eastAsia="Cambria" w:hAnsi="Times New Roman" w:cs="Times New Roman"/>
          <w:sz w:val="24"/>
          <w:szCs w:val="24"/>
        </w:rPr>
        <w:t> </w:t>
      </w:r>
      <w:r w:rsidR="002B06F7">
        <w:rPr>
          <w:rFonts w:ascii="Times New Roman" w:eastAsia="Cambria" w:hAnsi="Times New Roman" w:cs="Times New Roman"/>
          <w:sz w:val="24"/>
          <w:szCs w:val="24"/>
        </w:rPr>
        <w:t>r., wzrosły o 9,5</w:t>
      </w:r>
      <w:r w:rsidR="00761CC6" w:rsidRPr="00DC3265">
        <w:rPr>
          <w:rFonts w:ascii="Times New Roman" w:eastAsia="Cambria" w:hAnsi="Times New Roman" w:cs="Times New Roman"/>
          <w:sz w:val="24"/>
          <w:szCs w:val="24"/>
        </w:rPr>
        <w:t xml:space="preserve">%, a PKB </w:t>
      </w:r>
      <w:r w:rsidR="00EF395B" w:rsidRPr="00DC3265">
        <w:rPr>
          <w:rFonts w:ascii="Times New Roman" w:eastAsia="Cambria" w:hAnsi="Times New Roman" w:cs="Times New Roman"/>
          <w:sz w:val="24"/>
          <w:szCs w:val="24"/>
        </w:rPr>
        <w:t xml:space="preserve">o </w:t>
      </w:r>
      <w:r w:rsidR="00761CC6" w:rsidRPr="00DC3265">
        <w:rPr>
          <w:rFonts w:ascii="Times New Roman" w:eastAsia="Cambria" w:hAnsi="Times New Roman" w:cs="Times New Roman"/>
          <w:sz w:val="24"/>
          <w:szCs w:val="24"/>
        </w:rPr>
        <w:t>1,</w:t>
      </w:r>
      <w:r w:rsidR="008278C0" w:rsidRPr="00DC3265">
        <w:rPr>
          <w:rFonts w:ascii="Times New Roman" w:eastAsia="Cambria" w:hAnsi="Times New Roman" w:cs="Times New Roman"/>
          <w:sz w:val="24"/>
          <w:szCs w:val="24"/>
        </w:rPr>
        <w:t>3</w:t>
      </w:r>
      <w:r w:rsidR="00761CC6" w:rsidRPr="00DC3265">
        <w:rPr>
          <w:rFonts w:ascii="Times New Roman" w:eastAsia="Cambria" w:hAnsi="Times New Roman" w:cs="Times New Roman"/>
          <w:sz w:val="24"/>
          <w:szCs w:val="24"/>
        </w:rPr>
        <w:t>%.</w:t>
      </w:r>
    </w:p>
    <w:p w:rsidR="00245045" w:rsidRDefault="00245045" w:rsidP="00DD30F0">
      <w:pPr>
        <w:autoSpaceDE w:val="0"/>
        <w:autoSpaceDN w:val="0"/>
        <w:adjustRightInd w:val="0"/>
        <w:spacing w:after="0" w:line="240" w:lineRule="auto"/>
        <w:ind w:left="-426"/>
        <w:jc w:val="both"/>
        <w:rPr>
          <w:rFonts w:ascii="Times New Roman" w:eastAsia="Calibri" w:hAnsi="Times New Roman" w:cs="Times New Roman"/>
          <w:color w:val="000000"/>
          <w:sz w:val="24"/>
          <w:szCs w:val="24"/>
        </w:rPr>
      </w:pPr>
    </w:p>
    <w:p w:rsidR="009D48D3" w:rsidRDefault="009D48D3" w:rsidP="00DD30F0">
      <w:pPr>
        <w:autoSpaceDE w:val="0"/>
        <w:autoSpaceDN w:val="0"/>
        <w:adjustRightInd w:val="0"/>
        <w:spacing w:after="0" w:line="240" w:lineRule="auto"/>
        <w:ind w:left="-426"/>
        <w:jc w:val="both"/>
        <w:rPr>
          <w:rFonts w:ascii="Times New Roman" w:eastAsia="Calibri" w:hAnsi="Times New Roman" w:cs="Times New Roman"/>
          <w:color w:val="000000"/>
          <w:sz w:val="24"/>
          <w:szCs w:val="24"/>
        </w:rPr>
      </w:pPr>
      <w:r w:rsidRPr="00EC703E">
        <w:rPr>
          <w:noProof/>
          <w:highlight w:val="cyan"/>
          <w:lang w:eastAsia="pl-PL"/>
        </w:rPr>
        <w:drawing>
          <wp:inline distT="0" distB="0" distL="0" distR="0" wp14:anchorId="266D76E6" wp14:editId="0EBB955E">
            <wp:extent cx="6557645" cy="2436125"/>
            <wp:effectExtent l="0" t="0" r="0" b="2540"/>
            <wp:docPr id="10" name="Wykres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70156" w:rsidRDefault="00B70156" w:rsidP="00DD30F0">
      <w:pPr>
        <w:autoSpaceDE w:val="0"/>
        <w:autoSpaceDN w:val="0"/>
        <w:adjustRightInd w:val="0"/>
        <w:spacing w:after="0" w:line="240" w:lineRule="auto"/>
        <w:ind w:left="-426"/>
        <w:jc w:val="both"/>
        <w:rPr>
          <w:rFonts w:ascii="Times New Roman" w:eastAsia="Calibri" w:hAnsi="Times New Roman" w:cs="Times New Roman"/>
          <w:color w:val="000000"/>
          <w:sz w:val="24"/>
          <w:szCs w:val="24"/>
        </w:rPr>
      </w:pPr>
    </w:p>
    <w:p w:rsidR="00A27939" w:rsidRPr="00DC3265" w:rsidRDefault="00D90A80" w:rsidP="00F6560A">
      <w:pPr>
        <w:spacing w:before="120" w:after="0" w:line="276" w:lineRule="auto"/>
        <w:jc w:val="both"/>
        <w:rPr>
          <w:rFonts w:ascii="Times New Roman" w:eastAsia="Cambria" w:hAnsi="Times New Roman" w:cs="Times New Roman"/>
          <w:sz w:val="24"/>
          <w:szCs w:val="24"/>
        </w:rPr>
      </w:pPr>
      <w:r w:rsidRPr="00DC3265">
        <w:rPr>
          <w:rFonts w:ascii="Times New Roman" w:eastAsia="Cambria" w:hAnsi="Times New Roman" w:cs="Times New Roman"/>
          <w:sz w:val="24"/>
          <w:szCs w:val="24"/>
        </w:rPr>
        <w:t xml:space="preserve">W omawianym okresie </w:t>
      </w:r>
      <w:r w:rsidR="00A27939" w:rsidRPr="00DC3265">
        <w:rPr>
          <w:rFonts w:ascii="Times New Roman" w:eastAsia="Cambria" w:hAnsi="Times New Roman" w:cs="Times New Roman"/>
          <w:sz w:val="24"/>
          <w:szCs w:val="24"/>
        </w:rPr>
        <w:t>odnotowano także istotny wzrost dochodów własnych (</w:t>
      </w:r>
      <w:r w:rsidRPr="00DC3265">
        <w:rPr>
          <w:rFonts w:ascii="Times New Roman" w:eastAsia="Cambria" w:hAnsi="Times New Roman" w:cs="Times New Roman"/>
          <w:sz w:val="24"/>
          <w:szCs w:val="24"/>
        </w:rPr>
        <w:t xml:space="preserve">o </w:t>
      </w:r>
      <w:r w:rsidR="00891091" w:rsidRPr="00DC3265">
        <w:rPr>
          <w:rFonts w:ascii="Times New Roman" w:eastAsia="Cambria" w:hAnsi="Times New Roman" w:cs="Times New Roman"/>
          <w:sz w:val="24"/>
          <w:szCs w:val="24"/>
        </w:rPr>
        <w:t>67,</w:t>
      </w:r>
      <w:r w:rsidR="00396280" w:rsidRPr="00DC3265">
        <w:rPr>
          <w:rFonts w:ascii="Times New Roman" w:eastAsia="Cambria" w:hAnsi="Times New Roman" w:cs="Times New Roman"/>
          <w:sz w:val="24"/>
          <w:szCs w:val="24"/>
        </w:rPr>
        <w:t>8</w:t>
      </w:r>
      <w:r w:rsidRPr="00DC3265">
        <w:rPr>
          <w:rFonts w:ascii="Times New Roman" w:eastAsia="Cambria" w:hAnsi="Times New Roman" w:cs="Times New Roman"/>
          <w:sz w:val="24"/>
          <w:szCs w:val="24"/>
        </w:rPr>
        <w:t xml:space="preserve"> mld zł</w:t>
      </w:r>
      <w:r w:rsidR="00A27939" w:rsidRPr="00DC3265">
        <w:rPr>
          <w:rFonts w:ascii="Times New Roman" w:eastAsia="Cambria" w:hAnsi="Times New Roman" w:cs="Times New Roman"/>
          <w:sz w:val="24"/>
          <w:szCs w:val="24"/>
        </w:rPr>
        <w:t>)</w:t>
      </w:r>
      <w:r w:rsidRPr="00DC3265">
        <w:rPr>
          <w:rFonts w:ascii="Times New Roman" w:eastAsia="Cambria" w:hAnsi="Times New Roman" w:cs="Times New Roman"/>
          <w:sz w:val="24"/>
          <w:szCs w:val="24"/>
        </w:rPr>
        <w:t xml:space="preserve">. </w:t>
      </w:r>
    </w:p>
    <w:p w:rsidR="002A5128" w:rsidRPr="00435E3D" w:rsidRDefault="002B06F7" w:rsidP="00F6560A">
      <w:pPr>
        <w:spacing w:before="120" w:after="0" w:line="276" w:lineRule="auto"/>
        <w:jc w:val="both"/>
        <w:rPr>
          <w:rFonts w:ascii="Times New Roman" w:eastAsia="Cambria" w:hAnsi="Times New Roman" w:cs="Times New Roman"/>
          <w:sz w:val="24"/>
          <w:szCs w:val="24"/>
        </w:rPr>
      </w:pPr>
      <w:r>
        <w:rPr>
          <w:rFonts w:ascii="Times New Roman" w:eastAsia="Cambria" w:hAnsi="Times New Roman" w:cs="Times New Roman"/>
          <w:sz w:val="24"/>
          <w:szCs w:val="24"/>
        </w:rPr>
        <w:t>Na przestrzeni lat 2010</w:t>
      </w:r>
      <w:r w:rsidRPr="002A5128">
        <w:rPr>
          <w:rFonts w:ascii="Times New Roman" w:eastAsia="Calibri" w:hAnsi="Times New Roman" w:cs="Times New Roman"/>
          <w:color w:val="000000"/>
          <w:sz w:val="24"/>
          <w:szCs w:val="24"/>
        </w:rPr>
        <w:t>–</w:t>
      </w:r>
      <w:r w:rsidR="002A5128" w:rsidRPr="00DC3265">
        <w:rPr>
          <w:rFonts w:ascii="Times New Roman" w:eastAsia="Cambria" w:hAnsi="Times New Roman" w:cs="Times New Roman"/>
          <w:sz w:val="24"/>
          <w:szCs w:val="24"/>
        </w:rPr>
        <w:t>20</w:t>
      </w:r>
      <w:r w:rsidR="009958A1" w:rsidRPr="00DC3265">
        <w:rPr>
          <w:rFonts w:ascii="Times New Roman" w:eastAsia="Cambria" w:hAnsi="Times New Roman" w:cs="Times New Roman"/>
          <w:sz w:val="24"/>
          <w:szCs w:val="24"/>
        </w:rPr>
        <w:t>20</w:t>
      </w:r>
      <w:r w:rsidR="002A5128" w:rsidRPr="00DC3265">
        <w:rPr>
          <w:rFonts w:ascii="Times New Roman" w:eastAsia="Cambria" w:hAnsi="Times New Roman" w:cs="Times New Roman"/>
          <w:sz w:val="24"/>
          <w:szCs w:val="24"/>
        </w:rPr>
        <w:t xml:space="preserve"> udział dochodów z PIT w dochodach ogółem i dochodach własnych jednostek samorządu terytorialnego zwiększył się. Łącznie dla wszystkich jednostek samorządu terytorialnego udział dochodów z PIT w dochodach ogółem wzrósł z 16,5% do </w:t>
      </w:r>
      <w:r w:rsidR="009958A1" w:rsidRPr="00DC3265">
        <w:rPr>
          <w:rFonts w:ascii="Times New Roman" w:eastAsia="Cambria" w:hAnsi="Times New Roman" w:cs="Times New Roman"/>
          <w:sz w:val="24"/>
          <w:szCs w:val="24"/>
        </w:rPr>
        <w:t>18,1</w:t>
      </w:r>
      <w:r w:rsidR="002A5128" w:rsidRPr="00DC3265">
        <w:rPr>
          <w:rFonts w:ascii="Times New Roman" w:eastAsia="Cambria" w:hAnsi="Times New Roman" w:cs="Times New Roman"/>
          <w:sz w:val="24"/>
          <w:szCs w:val="24"/>
        </w:rPr>
        <w:t>%, a</w:t>
      </w:r>
      <w:r w:rsidR="007C5794" w:rsidRPr="00DC3265">
        <w:rPr>
          <w:rFonts w:ascii="Times New Roman" w:eastAsia="Cambria" w:hAnsi="Times New Roman" w:cs="Times New Roman"/>
          <w:sz w:val="24"/>
          <w:szCs w:val="24"/>
        </w:rPr>
        <w:t> </w:t>
      </w:r>
      <w:r w:rsidR="002A5128" w:rsidRPr="00DC3265">
        <w:rPr>
          <w:rFonts w:ascii="Times New Roman" w:eastAsia="Cambria" w:hAnsi="Times New Roman" w:cs="Times New Roman"/>
          <w:sz w:val="24"/>
          <w:szCs w:val="24"/>
        </w:rPr>
        <w:t>w</w:t>
      </w:r>
      <w:r w:rsidR="007C5794" w:rsidRPr="00DC3265">
        <w:rPr>
          <w:rFonts w:ascii="Times New Roman" w:eastAsia="Cambria" w:hAnsi="Times New Roman" w:cs="Times New Roman"/>
          <w:sz w:val="24"/>
          <w:szCs w:val="24"/>
        </w:rPr>
        <w:t> </w:t>
      </w:r>
      <w:r w:rsidR="002A5128" w:rsidRPr="00DC3265">
        <w:rPr>
          <w:rFonts w:ascii="Times New Roman" w:eastAsia="Cambria" w:hAnsi="Times New Roman" w:cs="Times New Roman"/>
          <w:sz w:val="24"/>
          <w:szCs w:val="24"/>
        </w:rPr>
        <w:t xml:space="preserve">dochodach własnych z 34,2% do </w:t>
      </w:r>
      <w:r w:rsidR="009958A1" w:rsidRPr="00DC3265">
        <w:rPr>
          <w:rFonts w:ascii="Times New Roman" w:eastAsia="Cambria" w:hAnsi="Times New Roman" w:cs="Times New Roman"/>
          <w:sz w:val="24"/>
          <w:szCs w:val="24"/>
        </w:rPr>
        <w:t>37,</w:t>
      </w:r>
      <w:r w:rsidR="00CA2129" w:rsidRPr="00DC3265">
        <w:rPr>
          <w:rFonts w:ascii="Times New Roman" w:eastAsia="Cambria" w:hAnsi="Times New Roman" w:cs="Times New Roman"/>
          <w:sz w:val="24"/>
          <w:szCs w:val="24"/>
        </w:rPr>
        <w:t>6</w:t>
      </w:r>
      <w:r w:rsidR="002A5128" w:rsidRPr="00DC3265">
        <w:rPr>
          <w:rFonts w:ascii="Times New Roman" w:eastAsia="Cambria" w:hAnsi="Times New Roman" w:cs="Times New Roman"/>
          <w:sz w:val="24"/>
          <w:szCs w:val="24"/>
        </w:rPr>
        <w:t>%.</w:t>
      </w:r>
      <w:r w:rsidR="002A5128" w:rsidRPr="00435E3D">
        <w:rPr>
          <w:rFonts w:ascii="Times New Roman" w:eastAsia="Cambria" w:hAnsi="Times New Roman" w:cs="Times New Roman"/>
          <w:sz w:val="24"/>
          <w:szCs w:val="24"/>
        </w:rPr>
        <w:t xml:space="preserve"> </w:t>
      </w:r>
    </w:p>
    <w:p w:rsidR="00F6560A" w:rsidRPr="00435E3D" w:rsidRDefault="002A5128" w:rsidP="00F6560A">
      <w:pPr>
        <w:spacing w:before="120" w:after="0" w:line="276" w:lineRule="auto"/>
        <w:jc w:val="both"/>
        <w:rPr>
          <w:rFonts w:ascii="Times New Roman" w:eastAsia="Cambria" w:hAnsi="Times New Roman" w:cs="Times New Roman"/>
          <w:sz w:val="24"/>
          <w:szCs w:val="24"/>
        </w:rPr>
      </w:pPr>
      <w:r w:rsidRPr="00DC3265">
        <w:rPr>
          <w:rFonts w:ascii="Times New Roman" w:eastAsia="Cambria" w:hAnsi="Times New Roman" w:cs="Times New Roman"/>
          <w:sz w:val="24"/>
          <w:szCs w:val="24"/>
        </w:rPr>
        <w:lastRenderedPageBreak/>
        <w:t>Dochody jednostek samorządu terytorialnego z tytułu udziału we wpływach z PIT wzrosły w</w:t>
      </w:r>
      <w:r w:rsidR="007C5794" w:rsidRPr="00DC3265">
        <w:rPr>
          <w:rFonts w:ascii="Times New Roman" w:eastAsia="Cambria" w:hAnsi="Times New Roman" w:cs="Times New Roman"/>
          <w:sz w:val="24"/>
          <w:szCs w:val="24"/>
        </w:rPr>
        <w:t> </w:t>
      </w:r>
      <w:r w:rsidRPr="00DC3265">
        <w:rPr>
          <w:rFonts w:ascii="Times New Roman" w:eastAsia="Cambria" w:hAnsi="Times New Roman" w:cs="Times New Roman"/>
          <w:sz w:val="24"/>
          <w:szCs w:val="24"/>
        </w:rPr>
        <w:t>20</w:t>
      </w:r>
      <w:r w:rsidR="00925D86" w:rsidRPr="00DC3265">
        <w:rPr>
          <w:rFonts w:ascii="Times New Roman" w:eastAsia="Cambria" w:hAnsi="Times New Roman" w:cs="Times New Roman"/>
          <w:sz w:val="24"/>
          <w:szCs w:val="24"/>
        </w:rPr>
        <w:t>20</w:t>
      </w:r>
      <w:r w:rsidR="00FF499C">
        <w:rPr>
          <w:rFonts w:ascii="Times New Roman" w:eastAsia="Cambria" w:hAnsi="Times New Roman" w:cs="Times New Roman"/>
          <w:sz w:val="24"/>
          <w:szCs w:val="24"/>
        </w:rPr>
        <w:t> </w:t>
      </w:r>
      <w:r w:rsidRPr="00DC3265">
        <w:rPr>
          <w:rFonts w:ascii="Times New Roman" w:eastAsia="Cambria" w:hAnsi="Times New Roman" w:cs="Times New Roman"/>
          <w:sz w:val="24"/>
          <w:szCs w:val="24"/>
        </w:rPr>
        <w:t>r., w porównaniu do 2010 r., o 10</w:t>
      </w:r>
      <w:r w:rsidR="00175C5B" w:rsidRPr="00DC3265">
        <w:rPr>
          <w:rFonts w:ascii="Times New Roman" w:eastAsia="Cambria" w:hAnsi="Times New Roman" w:cs="Times New Roman"/>
          <w:sz w:val="24"/>
          <w:szCs w:val="24"/>
        </w:rPr>
        <w:t>4</w:t>
      </w:r>
      <w:r w:rsidRPr="00DC3265">
        <w:rPr>
          <w:rFonts w:ascii="Times New Roman" w:eastAsia="Cambria" w:hAnsi="Times New Roman" w:cs="Times New Roman"/>
          <w:sz w:val="24"/>
          <w:szCs w:val="24"/>
        </w:rPr>
        <w:t>,</w:t>
      </w:r>
      <w:r w:rsidR="00CD6331" w:rsidRPr="00DC3265">
        <w:rPr>
          <w:rFonts w:ascii="Times New Roman" w:eastAsia="Cambria" w:hAnsi="Times New Roman" w:cs="Times New Roman"/>
          <w:sz w:val="24"/>
          <w:szCs w:val="24"/>
        </w:rPr>
        <w:t>8</w:t>
      </w:r>
      <w:r w:rsidRPr="00DC3265">
        <w:rPr>
          <w:rFonts w:ascii="Times New Roman" w:eastAsia="Cambria" w:hAnsi="Times New Roman" w:cs="Times New Roman"/>
          <w:sz w:val="24"/>
          <w:szCs w:val="24"/>
        </w:rPr>
        <w:t xml:space="preserve">%. W tym samym okresie dochody z tytułu udziału we wpływach z podatku dochodowego od osób prawnych </w:t>
      </w:r>
      <w:r w:rsidR="00DC3265">
        <w:rPr>
          <w:rFonts w:ascii="Times New Roman" w:eastAsia="Cambria" w:hAnsi="Times New Roman" w:cs="Times New Roman"/>
          <w:sz w:val="24"/>
          <w:szCs w:val="24"/>
        </w:rPr>
        <w:t>(</w:t>
      </w:r>
      <w:r w:rsidR="00D90A80" w:rsidRPr="00DC3265">
        <w:rPr>
          <w:rFonts w:ascii="Times New Roman" w:eastAsia="Cambria" w:hAnsi="Times New Roman" w:cs="Times New Roman"/>
          <w:sz w:val="24"/>
          <w:szCs w:val="24"/>
        </w:rPr>
        <w:t>CIT</w:t>
      </w:r>
      <w:r w:rsidR="00DC3265">
        <w:rPr>
          <w:rFonts w:ascii="Times New Roman" w:eastAsia="Cambria" w:hAnsi="Times New Roman" w:cs="Times New Roman"/>
          <w:sz w:val="24"/>
          <w:szCs w:val="24"/>
        </w:rPr>
        <w:t>)</w:t>
      </w:r>
      <w:r w:rsidR="00D90A80" w:rsidRPr="00DC3265">
        <w:rPr>
          <w:rFonts w:ascii="Times New Roman" w:eastAsia="Cambria" w:hAnsi="Times New Roman" w:cs="Times New Roman"/>
          <w:sz w:val="24"/>
          <w:szCs w:val="24"/>
        </w:rPr>
        <w:t xml:space="preserve"> </w:t>
      </w:r>
      <w:r w:rsidRPr="00DC3265">
        <w:rPr>
          <w:rFonts w:ascii="Times New Roman" w:eastAsia="Cambria" w:hAnsi="Times New Roman" w:cs="Times New Roman"/>
          <w:sz w:val="24"/>
          <w:szCs w:val="24"/>
        </w:rPr>
        <w:t xml:space="preserve">zwiększyły się o </w:t>
      </w:r>
      <w:r w:rsidR="00CD6331" w:rsidRPr="00DC3265">
        <w:rPr>
          <w:rFonts w:ascii="Times New Roman" w:eastAsia="Cambria" w:hAnsi="Times New Roman" w:cs="Times New Roman"/>
          <w:sz w:val="24"/>
          <w:szCs w:val="24"/>
        </w:rPr>
        <w:t>85</w:t>
      </w:r>
      <w:r w:rsidR="00175C5B" w:rsidRPr="00DC3265">
        <w:rPr>
          <w:rFonts w:ascii="Times New Roman" w:eastAsia="Cambria" w:hAnsi="Times New Roman" w:cs="Times New Roman"/>
          <w:sz w:val="24"/>
          <w:szCs w:val="24"/>
        </w:rPr>
        <w:t>,0</w:t>
      </w:r>
      <w:r w:rsidRPr="00DC3265">
        <w:rPr>
          <w:rFonts w:ascii="Times New Roman" w:eastAsia="Cambria" w:hAnsi="Times New Roman" w:cs="Times New Roman"/>
          <w:sz w:val="24"/>
          <w:szCs w:val="24"/>
        </w:rPr>
        <w:t>%.</w:t>
      </w:r>
      <w:r w:rsidR="004E2194" w:rsidRPr="00DC3265">
        <w:rPr>
          <w:rFonts w:ascii="Times New Roman" w:eastAsia="Cambria" w:hAnsi="Times New Roman" w:cs="Times New Roman"/>
          <w:sz w:val="24"/>
          <w:szCs w:val="24"/>
        </w:rPr>
        <w:t xml:space="preserve"> </w:t>
      </w:r>
      <w:r w:rsidR="00D90A80" w:rsidRPr="00DC3265">
        <w:rPr>
          <w:rFonts w:ascii="Times New Roman" w:eastAsia="Cambria" w:hAnsi="Times New Roman" w:cs="Times New Roman"/>
          <w:sz w:val="24"/>
          <w:szCs w:val="24"/>
        </w:rPr>
        <w:t xml:space="preserve">Systematyczne wzrosty dochodów z tytułu PIT i CIT </w:t>
      </w:r>
      <w:r w:rsidR="00A27939" w:rsidRPr="00DC3265">
        <w:rPr>
          <w:rFonts w:ascii="Times New Roman" w:eastAsia="Cambria" w:hAnsi="Times New Roman" w:cs="Times New Roman"/>
          <w:sz w:val="24"/>
          <w:szCs w:val="24"/>
        </w:rPr>
        <w:t>s</w:t>
      </w:r>
      <w:r w:rsidR="00D90A80" w:rsidRPr="00DC3265">
        <w:rPr>
          <w:rFonts w:ascii="Times New Roman" w:eastAsia="Cambria" w:hAnsi="Times New Roman" w:cs="Times New Roman"/>
          <w:sz w:val="24"/>
          <w:szCs w:val="24"/>
        </w:rPr>
        <w:t xml:space="preserve">powodowane </w:t>
      </w:r>
      <w:r w:rsidR="00A27939" w:rsidRPr="00DC3265">
        <w:rPr>
          <w:rFonts w:ascii="Times New Roman" w:eastAsia="Cambria" w:hAnsi="Times New Roman" w:cs="Times New Roman"/>
          <w:sz w:val="24"/>
          <w:szCs w:val="24"/>
        </w:rPr>
        <w:t xml:space="preserve">były </w:t>
      </w:r>
      <w:r w:rsidR="003F6F31">
        <w:rPr>
          <w:rFonts w:ascii="Times New Roman" w:eastAsia="Cambria" w:hAnsi="Times New Roman" w:cs="Times New Roman"/>
          <w:sz w:val="24"/>
          <w:szCs w:val="24"/>
        </w:rPr>
        <w:t xml:space="preserve">wzrostem </w:t>
      </w:r>
      <w:r w:rsidR="00D90A80" w:rsidRPr="00DC3265">
        <w:rPr>
          <w:rFonts w:ascii="Times New Roman" w:eastAsia="Cambria" w:hAnsi="Times New Roman" w:cs="Times New Roman"/>
          <w:sz w:val="24"/>
          <w:szCs w:val="24"/>
        </w:rPr>
        <w:t>koniunktury i</w:t>
      </w:r>
      <w:r w:rsidR="00FF499C">
        <w:rPr>
          <w:rFonts w:ascii="Times New Roman" w:eastAsia="Cambria" w:hAnsi="Times New Roman" w:cs="Times New Roman"/>
          <w:sz w:val="24"/>
          <w:szCs w:val="24"/>
        </w:rPr>
        <w:t> </w:t>
      </w:r>
      <w:r w:rsidR="00D90A80" w:rsidRPr="00DC3265">
        <w:rPr>
          <w:rFonts w:ascii="Times New Roman" w:eastAsia="Cambria" w:hAnsi="Times New Roman" w:cs="Times New Roman"/>
          <w:sz w:val="24"/>
          <w:szCs w:val="24"/>
        </w:rPr>
        <w:t>– wprowadzan</w:t>
      </w:r>
      <w:r w:rsidR="00A27939" w:rsidRPr="00DC3265">
        <w:rPr>
          <w:rFonts w:ascii="Times New Roman" w:eastAsia="Cambria" w:hAnsi="Times New Roman" w:cs="Times New Roman"/>
          <w:sz w:val="24"/>
          <w:szCs w:val="24"/>
        </w:rPr>
        <w:t>ymi</w:t>
      </w:r>
      <w:r w:rsidR="00D90A80" w:rsidRPr="00DC3265">
        <w:rPr>
          <w:rFonts w:ascii="Times New Roman" w:eastAsia="Cambria" w:hAnsi="Times New Roman" w:cs="Times New Roman"/>
          <w:sz w:val="24"/>
          <w:szCs w:val="24"/>
        </w:rPr>
        <w:t xml:space="preserve"> przez Rząd </w:t>
      </w:r>
      <w:r w:rsidR="004E2194" w:rsidRPr="00DC3265">
        <w:rPr>
          <w:rFonts w:ascii="Times New Roman" w:eastAsia="Cambria" w:hAnsi="Times New Roman" w:cs="Times New Roman"/>
          <w:sz w:val="24"/>
          <w:szCs w:val="24"/>
        </w:rPr>
        <w:t xml:space="preserve">w ostatnich latach </w:t>
      </w:r>
      <w:r w:rsidR="002B06F7" w:rsidRPr="002A5128">
        <w:rPr>
          <w:rFonts w:ascii="Times New Roman" w:eastAsia="Calibri" w:hAnsi="Times New Roman" w:cs="Times New Roman"/>
          <w:color w:val="000000"/>
          <w:sz w:val="24"/>
          <w:szCs w:val="24"/>
        </w:rPr>
        <w:t>–</w:t>
      </w:r>
      <w:r w:rsidR="00D90A80" w:rsidRPr="00DC3265">
        <w:rPr>
          <w:rFonts w:ascii="Times New Roman" w:eastAsia="Cambria" w:hAnsi="Times New Roman" w:cs="Times New Roman"/>
          <w:sz w:val="24"/>
          <w:szCs w:val="24"/>
        </w:rPr>
        <w:t xml:space="preserve"> zmian</w:t>
      </w:r>
      <w:r w:rsidR="00A27939" w:rsidRPr="00DC3265">
        <w:rPr>
          <w:rFonts w:ascii="Times New Roman" w:eastAsia="Cambria" w:hAnsi="Times New Roman" w:cs="Times New Roman"/>
          <w:sz w:val="24"/>
          <w:szCs w:val="24"/>
        </w:rPr>
        <w:t>ami</w:t>
      </w:r>
      <w:r w:rsidR="0091291D" w:rsidRPr="00DC3265">
        <w:rPr>
          <w:rFonts w:ascii="Times New Roman" w:eastAsia="Cambria" w:hAnsi="Times New Roman" w:cs="Times New Roman"/>
          <w:sz w:val="24"/>
          <w:szCs w:val="24"/>
        </w:rPr>
        <w:t xml:space="preserve"> uszczelniającymi</w:t>
      </w:r>
      <w:r w:rsidR="00D90A80" w:rsidRPr="00DC3265">
        <w:rPr>
          <w:rFonts w:ascii="Times New Roman" w:eastAsia="Cambria" w:hAnsi="Times New Roman" w:cs="Times New Roman"/>
          <w:sz w:val="24"/>
          <w:szCs w:val="24"/>
        </w:rPr>
        <w:t xml:space="preserve"> system podatkowy.</w:t>
      </w:r>
    </w:p>
    <w:p w:rsidR="00CD6331" w:rsidRDefault="00CD6331" w:rsidP="00175C5B">
      <w:pPr>
        <w:autoSpaceDE w:val="0"/>
        <w:autoSpaceDN w:val="0"/>
        <w:adjustRightInd w:val="0"/>
        <w:spacing w:after="0" w:line="276" w:lineRule="auto"/>
        <w:ind w:left="-284"/>
        <w:jc w:val="both"/>
        <w:rPr>
          <w:rFonts w:ascii="Times New Roman" w:eastAsia="Calibri" w:hAnsi="Times New Roman" w:cs="Times New Roman"/>
          <w:sz w:val="24"/>
          <w:szCs w:val="24"/>
        </w:rPr>
      </w:pPr>
      <w:r>
        <w:rPr>
          <w:noProof/>
          <w:lang w:eastAsia="pl-PL"/>
        </w:rPr>
        <w:drawing>
          <wp:inline distT="0" distB="0" distL="0" distR="0" wp14:anchorId="05563EDB" wp14:editId="75B9054C">
            <wp:extent cx="6448425" cy="2867025"/>
            <wp:effectExtent l="0" t="0" r="0" b="0"/>
            <wp:docPr id="28" name="Wykres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55F9B" w:rsidRDefault="00D90A80" w:rsidP="00D55F9B">
      <w:pPr>
        <w:spacing w:before="120" w:after="0" w:line="276" w:lineRule="auto"/>
        <w:jc w:val="both"/>
        <w:rPr>
          <w:rFonts w:ascii="Times New Roman" w:eastAsia="Cambria" w:hAnsi="Times New Roman" w:cs="Times New Roman"/>
          <w:sz w:val="24"/>
          <w:szCs w:val="24"/>
        </w:rPr>
      </w:pPr>
      <w:r w:rsidRPr="00435E3D">
        <w:rPr>
          <w:rFonts w:ascii="Times New Roman" w:eastAsia="Cambria" w:hAnsi="Times New Roman" w:cs="Times New Roman"/>
          <w:sz w:val="24"/>
          <w:szCs w:val="24"/>
        </w:rPr>
        <w:t>Porównanie dynamiki wzrostu dochodów własnych z uw</w:t>
      </w:r>
      <w:r w:rsidR="00E551A9">
        <w:rPr>
          <w:rFonts w:ascii="Times New Roman" w:eastAsia="Cambria" w:hAnsi="Times New Roman" w:cs="Times New Roman"/>
          <w:sz w:val="24"/>
          <w:szCs w:val="24"/>
        </w:rPr>
        <w:t>zględnieniem PIT i CIT wskazuje</w:t>
      </w:r>
      <w:r w:rsidR="00CD6331">
        <w:rPr>
          <w:rFonts w:ascii="Times New Roman" w:eastAsia="Cambria" w:hAnsi="Times New Roman" w:cs="Times New Roman"/>
          <w:sz w:val="24"/>
          <w:szCs w:val="24"/>
        </w:rPr>
        <w:t>, że </w:t>
      </w:r>
      <w:r w:rsidRPr="00435E3D">
        <w:rPr>
          <w:rFonts w:ascii="Times New Roman" w:eastAsia="Cambria" w:hAnsi="Times New Roman" w:cs="Times New Roman"/>
          <w:sz w:val="24"/>
          <w:szCs w:val="24"/>
        </w:rPr>
        <w:t>wszystkie te dochody charakteryzują się wyższą dynamiką wzrostu niż PKB</w:t>
      </w:r>
      <w:r w:rsidR="00D55F9B" w:rsidRPr="00435E3D">
        <w:rPr>
          <w:rStyle w:val="Odwoanieprzypisudolnego"/>
          <w:rFonts w:ascii="Times New Roman" w:eastAsia="Cambria" w:hAnsi="Times New Roman" w:cs="Times New Roman"/>
          <w:sz w:val="24"/>
          <w:szCs w:val="24"/>
        </w:rPr>
        <w:footnoteReference w:id="1"/>
      </w:r>
      <w:r w:rsidRPr="00435E3D">
        <w:rPr>
          <w:rFonts w:ascii="Times New Roman" w:eastAsia="Cambria" w:hAnsi="Times New Roman" w:cs="Times New Roman"/>
          <w:sz w:val="24"/>
          <w:szCs w:val="24"/>
        </w:rPr>
        <w:t xml:space="preserve">. </w:t>
      </w:r>
    </w:p>
    <w:p w:rsidR="001E480D" w:rsidRPr="00435E3D" w:rsidRDefault="001E480D" w:rsidP="00D55F9B">
      <w:pPr>
        <w:spacing w:before="120" w:after="0" w:line="276" w:lineRule="auto"/>
        <w:jc w:val="both"/>
        <w:rPr>
          <w:rFonts w:ascii="Times New Roman" w:eastAsia="Cambria" w:hAnsi="Times New Roman" w:cs="Times New Roman"/>
          <w:sz w:val="24"/>
          <w:szCs w:val="24"/>
        </w:rPr>
      </w:pPr>
    </w:p>
    <w:p w:rsidR="00967220" w:rsidRPr="00967220" w:rsidRDefault="00F560BB" w:rsidP="00F560BB">
      <w:pPr>
        <w:autoSpaceDE w:val="0"/>
        <w:autoSpaceDN w:val="0"/>
        <w:adjustRightInd w:val="0"/>
        <w:spacing w:after="0" w:line="276" w:lineRule="auto"/>
        <w:ind w:left="-426"/>
        <w:jc w:val="both"/>
        <w:rPr>
          <w:rFonts w:ascii="Times New Roman" w:eastAsia="Calibri" w:hAnsi="Times New Roman" w:cs="Times New Roman"/>
          <w:b/>
          <w:sz w:val="24"/>
          <w:szCs w:val="24"/>
        </w:rPr>
      </w:pPr>
      <w:r>
        <w:rPr>
          <w:noProof/>
          <w:lang w:eastAsia="pl-PL"/>
        </w:rPr>
        <w:lastRenderedPageBreak/>
        <w:drawing>
          <wp:inline distT="0" distB="0" distL="0" distR="0" wp14:anchorId="50CF83FD" wp14:editId="151D173C">
            <wp:extent cx="6434920" cy="3206750"/>
            <wp:effectExtent l="0" t="0" r="4445" b="0"/>
            <wp:docPr id="12" name="Wykres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90A80" w:rsidRPr="00C33DAA" w:rsidRDefault="00D90A80" w:rsidP="002B0355">
      <w:pPr>
        <w:autoSpaceDE w:val="0"/>
        <w:autoSpaceDN w:val="0"/>
        <w:adjustRightInd w:val="0"/>
        <w:spacing w:after="0" w:line="276" w:lineRule="auto"/>
        <w:jc w:val="both"/>
        <w:rPr>
          <w:rFonts w:ascii="Times New Roman" w:eastAsia="Calibri" w:hAnsi="Times New Roman" w:cs="Times New Roman"/>
          <w:sz w:val="16"/>
          <w:szCs w:val="16"/>
        </w:rPr>
      </w:pPr>
    </w:p>
    <w:p w:rsidR="00D90A80" w:rsidRPr="00DC3265" w:rsidRDefault="00D90A80" w:rsidP="00F6560A">
      <w:pPr>
        <w:spacing w:before="120" w:after="0" w:line="276" w:lineRule="auto"/>
        <w:jc w:val="both"/>
        <w:rPr>
          <w:rFonts w:ascii="Times New Roman" w:eastAsia="Cambria" w:hAnsi="Times New Roman" w:cs="Times New Roman"/>
          <w:sz w:val="24"/>
          <w:szCs w:val="24"/>
        </w:rPr>
      </w:pPr>
      <w:r w:rsidRPr="00DC3265">
        <w:rPr>
          <w:rFonts w:ascii="Times New Roman" w:eastAsia="Cambria" w:hAnsi="Times New Roman" w:cs="Times New Roman"/>
          <w:sz w:val="24"/>
          <w:szCs w:val="24"/>
        </w:rPr>
        <w:t xml:space="preserve">Kolejnym, </w:t>
      </w:r>
      <w:r w:rsidR="004E2194" w:rsidRPr="00DC3265">
        <w:rPr>
          <w:rFonts w:ascii="Times New Roman" w:eastAsia="Cambria" w:hAnsi="Times New Roman" w:cs="Times New Roman"/>
          <w:sz w:val="24"/>
          <w:szCs w:val="24"/>
        </w:rPr>
        <w:t xml:space="preserve">kluczowym </w:t>
      </w:r>
      <w:r w:rsidRPr="00DC3265">
        <w:rPr>
          <w:rFonts w:ascii="Times New Roman" w:eastAsia="Cambria" w:hAnsi="Times New Roman" w:cs="Times New Roman"/>
          <w:sz w:val="24"/>
          <w:szCs w:val="24"/>
        </w:rPr>
        <w:t>źródłem dochodów dla jednostek samorządu terytorialnego, jest subwencja ogólna, która pochodzi ze środków budżetu państwa (poza częściami równoważącymi i częścią regionalną, które pochodzą z wpłat). W 20</w:t>
      </w:r>
      <w:r w:rsidR="00D36D77" w:rsidRPr="00DC3265">
        <w:rPr>
          <w:rFonts w:ascii="Times New Roman" w:eastAsia="Cambria" w:hAnsi="Times New Roman" w:cs="Times New Roman"/>
          <w:sz w:val="24"/>
          <w:szCs w:val="24"/>
        </w:rPr>
        <w:t xml:space="preserve">20 </w:t>
      </w:r>
      <w:r w:rsidRPr="00DC3265">
        <w:rPr>
          <w:rFonts w:ascii="Times New Roman" w:eastAsia="Cambria" w:hAnsi="Times New Roman" w:cs="Times New Roman"/>
          <w:sz w:val="24"/>
          <w:szCs w:val="24"/>
        </w:rPr>
        <w:t xml:space="preserve">r. subwencja ogólna wynosiła </w:t>
      </w:r>
      <w:r w:rsidR="00D36D77" w:rsidRPr="00DC3265">
        <w:rPr>
          <w:rFonts w:ascii="Times New Roman" w:eastAsia="Cambria" w:hAnsi="Times New Roman" w:cs="Times New Roman"/>
          <w:sz w:val="24"/>
          <w:szCs w:val="24"/>
        </w:rPr>
        <w:t>6</w:t>
      </w:r>
      <w:r w:rsidR="00ED33C0" w:rsidRPr="00DC3265">
        <w:rPr>
          <w:rFonts w:ascii="Times New Roman" w:eastAsia="Cambria" w:hAnsi="Times New Roman" w:cs="Times New Roman"/>
          <w:sz w:val="24"/>
          <w:szCs w:val="24"/>
        </w:rPr>
        <w:t>7,0</w:t>
      </w:r>
      <w:r w:rsidR="00D36D77" w:rsidRPr="00DC3265">
        <w:rPr>
          <w:rFonts w:ascii="Times New Roman" w:eastAsia="Cambria" w:hAnsi="Times New Roman" w:cs="Times New Roman"/>
          <w:sz w:val="24"/>
          <w:szCs w:val="24"/>
        </w:rPr>
        <w:t xml:space="preserve"> mld</w:t>
      </w:r>
      <w:r w:rsidRPr="00DC3265">
        <w:rPr>
          <w:rFonts w:ascii="Times New Roman" w:eastAsia="Cambria" w:hAnsi="Times New Roman" w:cs="Times New Roman"/>
          <w:sz w:val="24"/>
          <w:szCs w:val="24"/>
        </w:rPr>
        <w:t xml:space="preserve"> zł, tj. była wyższa o </w:t>
      </w:r>
      <w:r w:rsidR="00ED33C0" w:rsidRPr="00DC3265">
        <w:rPr>
          <w:rFonts w:ascii="Times New Roman" w:eastAsia="Cambria" w:hAnsi="Times New Roman" w:cs="Times New Roman"/>
          <w:sz w:val="24"/>
          <w:szCs w:val="24"/>
        </w:rPr>
        <w:t>42,1</w:t>
      </w:r>
      <w:r w:rsidRPr="00DC3265">
        <w:rPr>
          <w:rFonts w:ascii="Times New Roman" w:eastAsia="Cambria" w:hAnsi="Times New Roman" w:cs="Times New Roman"/>
          <w:sz w:val="24"/>
          <w:szCs w:val="24"/>
        </w:rPr>
        <w:t>% w odniesieniu do kwoty za 2010 r. w wysokości 47.</w:t>
      </w:r>
      <w:r w:rsidR="00D36D77" w:rsidRPr="00DC3265">
        <w:rPr>
          <w:rFonts w:ascii="Times New Roman" w:eastAsia="Cambria" w:hAnsi="Times New Roman" w:cs="Times New Roman"/>
          <w:sz w:val="24"/>
          <w:szCs w:val="24"/>
        </w:rPr>
        <w:t>2 mld</w:t>
      </w:r>
      <w:r w:rsidRPr="00DC3265">
        <w:rPr>
          <w:rFonts w:ascii="Times New Roman" w:eastAsia="Cambria" w:hAnsi="Times New Roman" w:cs="Times New Roman"/>
          <w:sz w:val="24"/>
          <w:szCs w:val="24"/>
        </w:rPr>
        <w:t xml:space="preserve"> zł.</w:t>
      </w:r>
    </w:p>
    <w:p w:rsidR="00D90A80" w:rsidRPr="00435E3D" w:rsidRDefault="00D90A80" w:rsidP="00F6560A">
      <w:pPr>
        <w:spacing w:before="120" w:after="0" w:line="276" w:lineRule="auto"/>
        <w:jc w:val="both"/>
        <w:rPr>
          <w:rFonts w:ascii="Times New Roman" w:eastAsia="Cambria" w:hAnsi="Times New Roman" w:cs="Times New Roman"/>
          <w:sz w:val="24"/>
          <w:szCs w:val="24"/>
        </w:rPr>
      </w:pPr>
      <w:r w:rsidRPr="00DC3265">
        <w:rPr>
          <w:rFonts w:ascii="Times New Roman" w:eastAsia="Cambria" w:hAnsi="Times New Roman" w:cs="Times New Roman"/>
          <w:sz w:val="24"/>
          <w:szCs w:val="24"/>
        </w:rPr>
        <w:t xml:space="preserve">Najwyższy wzrost dotyczył części oświatowej i wynosił </w:t>
      </w:r>
      <w:r w:rsidR="003C2301" w:rsidRPr="00DC3265">
        <w:rPr>
          <w:rFonts w:ascii="Times New Roman" w:eastAsia="Cambria" w:hAnsi="Times New Roman" w:cs="Times New Roman"/>
          <w:sz w:val="24"/>
          <w:szCs w:val="24"/>
        </w:rPr>
        <w:t>43,</w:t>
      </w:r>
      <w:r w:rsidR="00ED33C0" w:rsidRPr="00DC3265">
        <w:rPr>
          <w:rFonts w:ascii="Times New Roman" w:eastAsia="Cambria" w:hAnsi="Times New Roman" w:cs="Times New Roman"/>
          <w:sz w:val="24"/>
          <w:szCs w:val="24"/>
        </w:rPr>
        <w:t>3</w:t>
      </w:r>
      <w:r w:rsidR="00C22489">
        <w:rPr>
          <w:rFonts w:ascii="Times New Roman" w:eastAsia="Cambria" w:hAnsi="Times New Roman" w:cs="Times New Roman"/>
          <w:sz w:val="24"/>
          <w:szCs w:val="24"/>
        </w:rPr>
        <w:t>%. W latach 2010</w:t>
      </w:r>
      <w:r w:rsidR="00C22489" w:rsidRPr="002A5128">
        <w:rPr>
          <w:rFonts w:ascii="Times New Roman" w:eastAsia="Calibri" w:hAnsi="Times New Roman" w:cs="Times New Roman"/>
          <w:color w:val="000000"/>
          <w:sz w:val="24"/>
          <w:szCs w:val="24"/>
        </w:rPr>
        <w:t>–</w:t>
      </w:r>
      <w:r w:rsidRPr="00DC3265">
        <w:rPr>
          <w:rFonts w:ascii="Times New Roman" w:eastAsia="Cambria" w:hAnsi="Times New Roman" w:cs="Times New Roman"/>
          <w:sz w:val="24"/>
          <w:szCs w:val="24"/>
        </w:rPr>
        <w:t>20</w:t>
      </w:r>
      <w:r w:rsidR="003C2301" w:rsidRPr="00DC3265">
        <w:rPr>
          <w:rFonts w:ascii="Times New Roman" w:eastAsia="Cambria" w:hAnsi="Times New Roman" w:cs="Times New Roman"/>
          <w:sz w:val="24"/>
          <w:szCs w:val="24"/>
        </w:rPr>
        <w:t>20</w:t>
      </w:r>
      <w:r w:rsidRPr="00DC3265">
        <w:rPr>
          <w:rFonts w:ascii="Times New Roman" w:eastAsia="Cambria" w:hAnsi="Times New Roman" w:cs="Times New Roman"/>
          <w:sz w:val="24"/>
          <w:szCs w:val="24"/>
        </w:rPr>
        <w:t xml:space="preserve"> JST otrzymały z budżetu państwa subwencję oświatową w wysokości </w:t>
      </w:r>
      <w:r w:rsidR="008C2540" w:rsidRPr="00DC3265">
        <w:rPr>
          <w:rFonts w:ascii="Times New Roman" w:eastAsia="Cambria" w:hAnsi="Times New Roman" w:cs="Times New Roman"/>
          <w:sz w:val="24"/>
          <w:szCs w:val="24"/>
        </w:rPr>
        <w:t>454,0 mld</w:t>
      </w:r>
      <w:r w:rsidRPr="00DC3265">
        <w:rPr>
          <w:rFonts w:ascii="Times New Roman" w:eastAsia="Cambria" w:hAnsi="Times New Roman" w:cs="Times New Roman"/>
          <w:sz w:val="24"/>
          <w:szCs w:val="24"/>
        </w:rPr>
        <w:t xml:space="preserve"> zł.</w:t>
      </w:r>
      <w:r w:rsidRPr="00435E3D">
        <w:rPr>
          <w:rFonts w:ascii="Times New Roman" w:eastAsia="Cambria" w:hAnsi="Times New Roman" w:cs="Times New Roman"/>
          <w:sz w:val="24"/>
          <w:szCs w:val="24"/>
        </w:rPr>
        <w:t xml:space="preserve"> </w:t>
      </w:r>
    </w:p>
    <w:p w:rsidR="00ED33C0" w:rsidRDefault="00ED33C0" w:rsidP="00F6560A">
      <w:pPr>
        <w:spacing w:before="120" w:after="0" w:line="276" w:lineRule="auto"/>
        <w:jc w:val="both"/>
        <w:rPr>
          <w:rFonts w:ascii="Times New Roman" w:eastAsia="Cambria" w:hAnsi="Times New Roman" w:cs="Times New Roman"/>
          <w:sz w:val="24"/>
          <w:szCs w:val="24"/>
        </w:rPr>
      </w:pPr>
    </w:p>
    <w:p w:rsidR="00ED33C0" w:rsidRDefault="00ED33C0" w:rsidP="00ED33C0">
      <w:pPr>
        <w:spacing w:before="120" w:after="0" w:line="276" w:lineRule="auto"/>
        <w:ind w:left="-284"/>
        <w:jc w:val="both"/>
        <w:rPr>
          <w:rFonts w:ascii="Times New Roman" w:eastAsia="Cambria" w:hAnsi="Times New Roman" w:cs="Times New Roman"/>
          <w:sz w:val="24"/>
          <w:szCs w:val="24"/>
        </w:rPr>
      </w:pPr>
      <w:r>
        <w:rPr>
          <w:noProof/>
          <w:lang w:eastAsia="pl-PL"/>
        </w:rPr>
        <w:drawing>
          <wp:inline distT="0" distB="0" distL="0" distR="0" wp14:anchorId="79143D92" wp14:editId="07C7A99E">
            <wp:extent cx="6562725" cy="3076575"/>
            <wp:effectExtent l="0" t="0" r="0" b="0"/>
            <wp:docPr id="29" name="Wykres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C20FD" w:rsidRPr="00435E3D" w:rsidRDefault="00DC20FD" w:rsidP="00F6560A">
      <w:pPr>
        <w:spacing w:before="120" w:after="0" w:line="276" w:lineRule="auto"/>
        <w:jc w:val="both"/>
        <w:rPr>
          <w:rFonts w:ascii="Times New Roman" w:eastAsia="Cambria" w:hAnsi="Times New Roman" w:cs="Times New Roman"/>
          <w:sz w:val="24"/>
          <w:szCs w:val="24"/>
        </w:rPr>
      </w:pPr>
      <w:r w:rsidRPr="00435E3D">
        <w:rPr>
          <w:rFonts w:ascii="Times New Roman" w:eastAsia="Cambria" w:hAnsi="Times New Roman" w:cs="Times New Roman"/>
          <w:sz w:val="24"/>
          <w:szCs w:val="24"/>
        </w:rPr>
        <w:lastRenderedPageBreak/>
        <w:t>Z powyższego wynika, że budżet państwa istotnie wspiera samorządy poprzez gwarantowaną subwencję</w:t>
      </w:r>
      <w:r w:rsidR="0084341A">
        <w:rPr>
          <w:rFonts w:ascii="Times New Roman" w:eastAsia="Cambria" w:hAnsi="Times New Roman" w:cs="Times New Roman"/>
          <w:sz w:val="24"/>
          <w:szCs w:val="24"/>
        </w:rPr>
        <w:t>,</w:t>
      </w:r>
      <w:r w:rsidR="004E2194" w:rsidRPr="00435E3D">
        <w:rPr>
          <w:rFonts w:ascii="Times New Roman" w:eastAsia="Cambria" w:hAnsi="Times New Roman" w:cs="Times New Roman"/>
          <w:sz w:val="24"/>
          <w:szCs w:val="24"/>
        </w:rPr>
        <w:t xml:space="preserve"> która corocznie podlega wzrostowi</w:t>
      </w:r>
      <w:r w:rsidRPr="00435E3D">
        <w:rPr>
          <w:rFonts w:ascii="Times New Roman" w:eastAsia="Cambria" w:hAnsi="Times New Roman" w:cs="Times New Roman"/>
          <w:sz w:val="24"/>
          <w:szCs w:val="24"/>
        </w:rPr>
        <w:t>.</w:t>
      </w:r>
    </w:p>
    <w:p w:rsidR="00F6560A" w:rsidRPr="00435E3D" w:rsidRDefault="00F6560A" w:rsidP="00F6560A">
      <w:pPr>
        <w:spacing w:before="120" w:after="0" w:line="276" w:lineRule="auto"/>
        <w:jc w:val="both"/>
        <w:rPr>
          <w:rFonts w:ascii="Times New Roman" w:eastAsia="Cambria" w:hAnsi="Times New Roman" w:cs="Times New Roman"/>
          <w:sz w:val="24"/>
          <w:szCs w:val="24"/>
        </w:rPr>
      </w:pPr>
      <w:r w:rsidRPr="00435E3D">
        <w:rPr>
          <w:rFonts w:ascii="Times New Roman" w:eastAsia="Cambria" w:hAnsi="Times New Roman" w:cs="Times New Roman"/>
          <w:sz w:val="24"/>
          <w:szCs w:val="24"/>
        </w:rPr>
        <w:t>Poza przedstawionymi wyżej dochodami własnymi oraz docho</w:t>
      </w:r>
      <w:r w:rsidR="008421FA">
        <w:rPr>
          <w:rFonts w:ascii="Times New Roman" w:eastAsia="Cambria" w:hAnsi="Times New Roman" w:cs="Times New Roman"/>
          <w:sz w:val="24"/>
          <w:szCs w:val="24"/>
        </w:rPr>
        <w:t>dami z tytułu subwencji ogólnej</w:t>
      </w:r>
      <w:r w:rsidRPr="00435E3D">
        <w:rPr>
          <w:rFonts w:ascii="Times New Roman" w:eastAsia="Cambria" w:hAnsi="Times New Roman" w:cs="Times New Roman"/>
          <w:sz w:val="24"/>
          <w:szCs w:val="24"/>
        </w:rPr>
        <w:t xml:space="preserve"> jednostki samorządu terytorialnego otrzymują </w:t>
      </w:r>
      <w:r w:rsidR="00A27939" w:rsidRPr="00435E3D">
        <w:rPr>
          <w:rFonts w:ascii="Times New Roman" w:eastAsia="Cambria" w:hAnsi="Times New Roman" w:cs="Times New Roman"/>
          <w:sz w:val="24"/>
          <w:szCs w:val="24"/>
        </w:rPr>
        <w:t xml:space="preserve">również </w:t>
      </w:r>
      <w:r w:rsidRPr="00435E3D">
        <w:rPr>
          <w:rFonts w:ascii="Times New Roman" w:eastAsia="Cambria" w:hAnsi="Times New Roman" w:cs="Times New Roman"/>
          <w:sz w:val="24"/>
          <w:szCs w:val="24"/>
        </w:rPr>
        <w:t>z budżetu państwa środki w formie dotacji celowych.</w:t>
      </w:r>
    </w:p>
    <w:p w:rsidR="00F6560A" w:rsidRPr="00DC3265" w:rsidRDefault="008421FA" w:rsidP="00F6560A">
      <w:pPr>
        <w:spacing w:before="120" w:after="0" w:line="276" w:lineRule="auto"/>
        <w:jc w:val="both"/>
        <w:rPr>
          <w:rFonts w:ascii="Times New Roman" w:eastAsia="Cambria" w:hAnsi="Times New Roman" w:cs="Times New Roman"/>
          <w:sz w:val="24"/>
          <w:szCs w:val="24"/>
        </w:rPr>
      </w:pPr>
      <w:r>
        <w:rPr>
          <w:rFonts w:ascii="Times New Roman" w:eastAsia="Cambria" w:hAnsi="Times New Roman" w:cs="Times New Roman"/>
          <w:sz w:val="24"/>
          <w:szCs w:val="24"/>
        </w:rPr>
        <w:t>W latach 2010</w:t>
      </w:r>
      <w:r w:rsidRPr="002A5128">
        <w:rPr>
          <w:rFonts w:ascii="Times New Roman" w:eastAsia="Calibri" w:hAnsi="Times New Roman" w:cs="Times New Roman"/>
          <w:color w:val="000000"/>
          <w:sz w:val="24"/>
          <w:szCs w:val="24"/>
        </w:rPr>
        <w:t>–</w:t>
      </w:r>
      <w:r w:rsidR="00F6560A" w:rsidRPr="00DC3265">
        <w:rPr>
          <w:rFonts w:ascii="Times New Roman" w:eastAsia="Cambria" w:hAnsi="Times New Roman" w:cs="Times New Roman"/>
          <w:sz w:val="24"/>
          <w:szCs w:val="24"/>
        </w:rPr>
        <w:t xml:space="preserve">2020 Rząd wspierał realizację zadań własnych jednostek samorządu terytorialnego przekazując na te cele dotacje z budżetu państwa w łącznej wysokości </w:t>
      </w:r>
      <w:r w:rsidR="00E229DF" w:rsidRPr="00DC3265">
        <w:rPr>
          <w:rFonts w:ascii="Times New Roman" w:eastAsia="Cambria" w:hAnsi="Times New Roman" w:cs="Times New Roman"/>
          <w:sz w:val="24"/>
          <w:szCs w:val="24"/>
        </w:rPr>
        <w:t>78,8 mld</w:t>
      </w:r>
      <w:r w:rsidR="00F6560A" w:rsidRPr="00DC3265">
        <w:rPr>
          <w:rFonts w:ascii="Times New Roman" w:eastAsia="Cambria" w:hAnsi="Times New Roman" w:cs="Times New Roman"/>
          <w:sz w:val="24"/>
          <w:szCs w:val="24"/>
        </w:rPr>
        <w:t xml:space="preserve"> zł, w tym na zadania inwestycyjne 16</w:t>
      </w:r>
      <w:r w:rsidR="00E229DF" w:rsidRPr="00DC3265">
        <w:rPr>
          <w:rFonts w:ascii="Times New Roman" w:eastAsia="Cambria" w:hAnsi="Times New Roman" w:cs="Times New Roman"/>
          <w:sz w:val="24"/>
          <w:szCs w:val="24"/>
        </w:rPr>
        <w:t>,8 mld</w:t>
      </w:r>
      <w:r w:rsidR="00F6560A" w:rsidRPr="00DC3265">
        <w:rPr>
          <w:rFonts w:ascii="Times New Roman" w:eastAsia="Cambria" w:hAnsi="Times New Roman" w:cs="Times New Roman"/>
          <w:sz w:val="24"/>
          <w:szCs w:val="24"/>
        </w:rPr>
        <w:t xml:space="preserve"> zł. Dotacje na finansowanie zadań z zakresu administracji rządowej w analizowanym okresie wyniosły </w:t>
      </w:r>
      <w:r w:rsidR="00E229DF" w:rsidRPr="00DC3265">
        <w:rPr>
          <w:rFonts w:ascii="Times New Roman" w:eastAsia="Cambria" w:hAnsi="Times New Roman" w:cs="Times New Roman"/>
          <w:sz w:val="24"/>
          <w:szCs w:val="24"/>
        </w:rPr>
        <w:t>343,9</w:t>
      </w:r>
      <w:r w:rsidR="00F6560A" w:rsidRPr="00DC3265">
        <w:rPr>
          <w:rFonts w:ascii="Times New Roman" w:eastAsia="Cambria" w:hAnsi="Times New Roman" w:cs="Times New Roman"/>
          <w:sz w:val="24"/>
          <w:szCs w:val="24"/>
        </w:rPr>
        <w:t xml:space="preserve"> </w:t>
      </w:r>
      <w:r w:rsidR="00E229DF" w:rsidRPr="00DC3265">
        <w:rPr>
          <w:rFonts w:ascii="Times New Roman" w:eastAsia="Cambria" w:hAnsi="Times New Roman" w:cs="Times New Roman"/>
          <w:sz w:val="24"/>
          <w:szCs w:val="24"/>
        </w:rPr>
        <w:t>mld</w:t>
      </w:r>
      <w:r w:rsidR="00F6560A" w:rsidRPr="00DC3265">
        <w:rPr>
          <w:rFonts w:ascii="Times New Roman" w:eastAsia="Cambria" w:hAnsi="Times New Roman" w:cs="Times New Roman"/>
          <w:sz w:val="24"/>
          <w:szCs w:val="24"/>
        </w:rPr>
        <w:t xml:space="preserve"> zł. W 20</w:t>
      </w:r>
      <w:r w:rsidR="00E229DF" w:rsidRPr="00DC3265">
        <w:rPr>
          <w:rFonts w:ascii="Times New Roman" w:eastAsia="Cambria" w:hAnsi="Times New Roman" w:cs="Times New Roman"/>
          <w:sz w:val="24"/>
          <w:szCs w:val="24"/>
        </w:rPr>
        <w:t>20</w:t>
      </w:r>
      <w:r w:rsidR="00F6560A" w:rsidRPr="00DC3265">
        <w:rPr>
          <w:rFonts w:ascii="Times New Roman" w:eastAsia="Cambria" w:hAnsi="Times New Roman" w:cs="Times New Roman"/>
          <w:sz w:val="24"/>
          <w:szCs w:val="24"/>
        </w:rPr>
        <w:t xml:space="preserve"> r., w porównaniu do 2010 r., dotacje te wzrosły o </w:t>
      </w:r>
      <w:r w:rsidR="008443A1" w:rsidRPr="00DC3265">
        <w:rPr>
          <w:rFonts w:ascii="Times New Roman" w:eastAsia="Cambria" w:hAnsi="Times New Roman" w:cs="Times New Roman"/>
          <w:sz w:val="24"/>
          <w:szCs w:val="24"/>
        </w:rPr>
        <w:t>277,</w:t>
      </w:r>
      <w:r w:rsidR="00393D3B" w:rsidRPr="00DC3265">
        <w:rPr>
          <w:rFonts w:ascii="Times New Roman" w:eastAsia="Cambria" w:hAnsi="Times New Roman" w:cs="Times New Roman"/>
          <w:sz w:val="24"/>
          <w:szCs w:val="24"/>
        </w:rPr>
        <w:t>8</w:t>
      </w:r>
      <w:r w:rsidR="00F6560A" w:rsidRPr="00DC3265">
        <w:rPr>
          <w:rFonts w:ascii="Times New Roman" w:eastAsia="Cambria" w:hAnsi="Times New Roman" w:cs="Times New Roman"/>
          <w:sz w:val="24"/>
          <w:szCs w:val="24"/>
        </w:rPr>
        <w:t xml:space="preserve">%. </w:t>
      </w:r>
    </w:p>
    <w:p w:rsidR="00F6560A" w:rsidRPr="00DC3265" w:rsidRDefault="00F6560A" w:rsidP="00F6560A">
      <w:pPr>
        <w:spacing w:before="120" w:after="0" w:line="276" w:lineRule="auto"/>
        <w:jc w:val="both"/>
        <w:rPr>
          <w:rFonts w:ascii="Times New Roman" w:eastAsia="Cambria" w:hAnsi="Times New Roman" w:cs="Times New Roman"/>
          <w:sz w:val="24"/>
          <w:szCs w:val="24"/>
        </w:rPr>
      </w:pPr>
      <w:r w:rsidRPr="00DC3265">
        <w:rPr>
          <w:rFonts w:ascii="Times New Roman" w:eastAsia="Cambria" w:hAnsi="Times New Roman" w:cs="Times New Roman"/>
          <w:sz w:val="24"/>
          <w:szCs w:val="24"/>
        </w:rPr>
        <w:t xml:space="preserve">Należy podkreślić, że transfery z budżetu państwa, tj. subwencja ogólna i dotacje </w:t>
      </w:r>
      <w:r w:rsidR="0022422E">
        <w:rPr>
          <w:rFonts w:ascii="Times New Roman" w:eastAsia="Cambria" w:hAnsi="Times New Roman" w:cs="Times New Roman"/>
          <w:sz w:val="24"/>
          <w:szCs w:val="24"/>
        </w:rPr>
        <w:t>ogółem</w:t>
      </w:r>
      <w:r w:rsidR="00725562">
        <w:rPr>
          <w:rFonts w:ascii="Times New Roman" w:eastAsia="Cambria" w:hAnsi="Times New Roman" w:cs="Times New Roman"/>
          <w:sz w:val="24"/>
          <w:szCs w:val="24"/>
        </w:rPr>
        <w:t>,</w:t>
      </w:r>
      <w:r w:rsidRPr="00DC3265">
        <w:rPr>
          <w:rFonts w:ascii="Times New Roman" w:eastAsia="Cambria" w:hAnsi="Times New Roman" w:cs="Times New Roman"/>
          <w:sz w:val="24"/>
          <w:szCs w:val="24"/>
        </w:rPr>
        <w:t xml:space="preserve"> stanowiły w dochodach jednostkach samorzą</w:t>
      </w:r>
      <w:r w:rsidR="00725562">
        <w:rPr>
          <w:rFonts w:ascii="Times New Roman" w:eastAsia="Cambria" w:hAnsi="Times New Roman" w:cs="Times New Roman"/>
          <w:sz w:val="24"/>
          <w:szCs w:val="24"/>
        </w:rPr>
        <w:t>du terytorialnego w latach 2010</w:t>
      </w:r>
      <w:r w:rsidR="00725562" w:rsidRPr="002A5128">
        <w:rPr>
          <w:rFonts w:ascii="Times New Roman" w:eastAsia="Calibri" w:hAnsi="Times New Roman" w:cs="Times New Roman"/>
          <w:color w:val="000000"/>
          <w:sz w:val="24"/>
          <w:szCs w:val="24"/>
        </w:rPr>
        <w:t>–</w:t>
      </w:r>
      <w:r w:rsidRPr="00DC3265">
        <w:rPr>
          <w:rFonts w:ascii="Times New Roman" w:eastAsia="Cambria" w:hAnsi="Times New Roman" w:cs="Times New Roman"/>
          <w:sz w:val="24"/>
          <w:szCs w:val="24"/>
        </w:rPr>
        <w:t>20</w:t>
      </w:r>
      <w:r w:rsidR="00573F82" w:rsidRPr="00DC3265">
        <w:rPr>
          <w:rFonts w:ascii="Times New Roman" w:eastAsia="Cambria" w:hAnsi="Times New Roman" w:cs="Times New Roman"/>
          <w:sz w:val="24"/>
          <w:szCs w:val="24"/>
        </w:rPr>
        <w:t>20</w:t>
      </w:r>
      <w:r w:rsidRPr="00DC3265">
        <w:rPr>
          <w:rFonts w:ascii="Times New Roman" w:eastAsia="Cambria" w:hAnsi="Times New Roman" w:cs="Times New Roman"/>
          <w:sz w:val="24"/>
          <w:szCs w:val="24"/>
        </w:rPr>
        <w:t xml:space="preserve"> istotny udział, który zawierał się w przedziale od 48,0% do </w:t>
      </w:r>
      <w:r w:rsidR="009237F4" w:rsidRPr="00DC3265">
        <w:rPr>
          <w:rFonts w:ascii="Times New Roman" w:eastAsia="Cambria" w:hAnsi="Times New Roman" w:cs="Times New Roman"/>
          <w:sz w:val="24"/>
          <w:szCs w:val="24"/>
        </w:rPr>
        <w:t>52,0</w:t>
      </w:r>
      <w:r w:rsidRPr="00DC3265">
        <w:rPr>
          <w:rFonts w:ascii="Times New Roman" w:eastAsia="Cambria" w:hAnsi="Times New Roman" w:cs="Times New Roman"/>
          <w:sz w:val="24"/>
          <w:szCs w:val="24"/>
        </w:rPr>
        <w:t>%.</w:t>
      </w:r>
    </w:p>
    <w:p w:rsidR="002D1CA1" w:rsidRDefault="002D1CA1" w:rsidP="00F6560A">
      <w:pPr>
        <w:spacing w:before="120" w:after="0" w:line="276" w:lineRule="auto"/>
        <w:jc w:val="both"/>
        <w:rPr>
          <w:rFonts w:ascii="Times New Roman" w:eastAsia="Cambria" w:hAnsi="Times New Roman" w:cs="Times New Roman"/>
          <w:sz w:val="24"/>
          <w:szCs w:val="24"/>
        </w:rPr>
      </w:pPr>
      <w:r w:rsidRPr="00DC3265">
        <w:rPr>
          <w:rFonts w:ascii="Times New Roman" w:eastAsia="Cambria" w:hAnsi="Times New Roman" w:cs="Times New Roman"/>
          <w:sz w:val="24"/>
          <w:szCs w:val="24"/>
        </w:rPr>
        <w:t xml:space="preserve">Analizując </w:t>
      </w:r>
      <w:r w:rsidR="00E91E73" w:rsidRPr="00DC3265">
        <w:rPr>
          <w:rFonts w:ascii="Times New Roman" w:eastAsia="Cambria" w:hAnsi="Times New Roman" w:cs="Times New Roman"/>
          <w:sz w:val="24"/>
          <w:szCs w:val="24"/>
        </w:rPr>
        <w:t xml:space="preserve">natomiast </w:t>
      </w:r>
      <w:r w:rsidRPr="00DC3265">
        <w:rPr>
          <w:rFonts w:ascii="Times New Roman" w:eastAsia="Cambria" w:hAnsi="Times New Roman" w:cs="Times New Roman"/>
          <w:sz w:val="24"/>
          <w:szCs w:val="24"/>
        </w:rPr>
        <w:t>poziom wydatków jednostek samorządu terytorialneg</w:t>
      </w:r>
      <w:r w:rsidR="0014641B">
        <w:rPr>
          <w:rFonts w:ascii="Times New Roman" w:eastAsia="Cambria" w:hAnsi="Times New Roman" w:cs="Times New Roman"/>
          <w:sz w:val="24"/>
          <w:szCs w:val="24"/>
        </w:rPr>
        <w:t>o w latach 2010</w:t>
      </w:r>
      <w:r w:rsidR="0014641B" w:rsidRPr="002A5128">
        <w:rPr>
          <w:rFonts w:ascii="Times New Roman" w:eastAsia="Calibri" w:hAnsi="Times New Roman" w:cs="Times New Roman"/>
          <w:color w:val="000000"/>
          <w:sz w:val="24"/>
          <w:szCs w:val="24"/>
        </w:rPr>
        <w:t>–</w:t>
      </w:r>
      <w:r w:rsidR="00D55F9B" w:rsidRPr="00DC3265">
        <w:rPr>
          <w:rFonts w:ascii="Times New Roman" w:eastAsia="Cambria" w:hAnsi="Times New Roman" w:cs="Times New Roman"/>
          <w:sz w:val="24"/>
          <w:szCs w:val="24"/>
        </w:rPr>
        <w:t>20</w:t>
      </w:r>
      <w:r w:rsidR="00455CB8" w:rsidRPr="00DC3265">
        <w:rPr>
          <w:rFonts w:ascii="Times New Roman" w:eastAsia="Cambria" w:hAnsi="Times New Roman" w:cs="Times New Roman"/>
          <w:sz w:val="24"/>
          <w:szCs w:val="24"/>
        </w:rPr>
        <w:t>20</w:t>
      </w:r>
      <w:r w:rsidR="00D55F9B" w:rsidRPr="00DC3265">
        <w:rPr>
          <w:rFonts w:ascii="Times New Roman" w:eastAsia="Cambria" w:hAnsi="Times New Roman" w:cs="Times New Roman"/>
          <w:sz w:val="24"/>
          <w:szCs w:val="24"/>
        </w:rPr>
        <w:t xml:space="preserve"> stwierdzić należy</w:t>
      </w:r>
      <w:r w:rsidRPr="00DC3265">
        <w:rPr>
          <w:rFonts w:ascii="Times New Roman" w:eastAsia="Cambria" w:hAnsi="Times New Roman" w:cs="Times New Roman"/>
          <w:sz w:val="24"/>
          <w:szCs w:val="24"/>
        </w:rPr>
        <w:t xml:space="preserve"> </w:t>
      </w:r>
      <w:r w:rsidR="00E91E73" w:rsidRPr="00DC3265">
        <w:rPr>
          <w:rFonts w:ascii="Times New Roman" w:eastAsia="Cambria" w:hAnsi="Times New Roman" w:cs="Times New Roman"/>
          <w:sz w:val="24"/>
          <w:szCs w:val="24"/>
        </w:rPr>
        <w:t>również systematyczny</w:t>
      </w:r>
      <w:r w:rsidR="00D55F9B" w:rsidRPr="00DC3265">
        <w:rPr>
          <w:rFonts w:ascii="Times New Roman" w:eastAsia="Cambria" w:hAnsi="Times New Roman" w:cs="Times New Roman"/>
          <w:sz w:val="24"/>
          <w:szCs w:val="24"/>
        </w:rPr>
        <w:t xml:space="preserve"> ich</w:t>
      </w:r>
      <w:r w:rsidR="00E91E73" w:rsidRPr="00DC3265">
        <w:rPr>
          <w:rFonts w:ascii="Times New Roman" w:eastAsia="Cambria" w:hAnsi="Times New Roman" w:cs="Times New Roman"/>
          <w:sz w:val="24"/>
          <w:szCs w:val="24"/>
        </w:rPr>
        <w:t xml:space="preserve"> wzrost</w:t>
      </w:r>
      <w:r w:rsidRPr="00DC3265">
        <w:rPr>
          <w:rFonts w:ascii="Times New Roman" w:eastAsia="Cambria" w:hAnsi="Times New Roman" w:cs="Times New Roman"/>
          <w:sz w:val="24"/>
          <w:szCs w:val="24"/>
        </w:rPr>
        <w:t>. Porównując jednak dynamikę wzrostu wydatków ogółem pomiędzy rokiem 2010 a 20</w:t>
      </w:r>
      <w:r w:rsidR="00D3538E" w:rsidRPr="00DC3265">
        <w:rPr>
          <w:rFonts w:ascii="Times New Roman" w:eastAsia="Cambria" w:hAnsi="Times New Roman" w:cs="Times New Roman"/>
          <w:sz w:val="24"/>
          <w:szCs w:val="24"/>
        </w:rPr>
        <w:t>20</w:t>
      </w:r>
      <w:r w:rsidR="003F6F31">
        <w:rPr>
          <w:rFonts w:ascii="Times New Roman" w:eastAsia="Cambria" w:hAnsi="Times New Roman" w:cs="Times New Roman"/>
          <w:sz w:val="24"/>
          <w:szCs w:val="24"/>
        </w:rPr>
        <w:t xml:space="preserve"> do dynamiki wzrostu </w:t>
      </w:r>
      <w:r w:rsidRPr="00DC3265">
        <w:rPr>
          <w:rFonts w:ascii="Times New Roman" w:eastAsia="Cambria" w:hAnsi="Times New Roman" w:cs="Times New Roman"/>
          <w:sz w:val="24"/>
          <w:szCs w:val="24"/>
        </w:rPr>
        <w:t>dochodów ogółem w</w:t>
      </w:r>
      <w:r w:rsidR="00FF499C">
        <w:rPr>
          <w:rFonts w:ascii="Times New Roman" w:eastAsia="Cambria" w:hAnsi="Times New Roman" w:cs="Times New Roman"/>
          <w:sz w:val="24"/>
          <w:szCs w:val="24"/>
        </w:rPr>
        <w:t> </w:t>
      </w:r>
      <w:r w:rsidRPr="00DC3265">
        <w:rPr>
          <w:rFonts w:ascii="Times New Roman" w:eastAsia="Cambria" w:hAnsi="Times New Roman" w:cs="Times New Roman"/>
          <w:sz w:val="24"/>
          <w:szCs w:val="24"/>
        </w:rPr>
        <w:t xml:space="preserve">analogicznym okresie czasu </w:t>
      </w:r>
      <w:r w:rsidR="00E91E73" w:rsidRPr="00DC3265">
        <w:rPr>
          <w:rFonts w:ascii="Times New Roman" w:eastAsia="Cambria" w:hAnsi="Times New Roman" w:cs="Times New Roman"/>
          <w:sz w:val="24"/>
          <w:szCs w:val="24"/>
        </w:rPr>
        <w:t>widać</w:t>
      </w:r>
      <w:r w:rsidRPr="00DC3265">
        <w:rPr>
          <w:rFonts w:ascii="Times New Roman" w:eastAsia="Cambria" w:hAnsi="Times New Roman" w:cs="Times New Roman"/>
          <w:sz w:val="24"/>
          <w:szCs w:val="24"/>
        </w:rPr>
        <w:t>, że przyrost dochodów ogółem pomiędzy tymi latami jest</w:t>
      </w:r>
      <w:r w:rsidR="00FF499C">
        <w:rPr>
          <w:rFonts w:ascii="Times New Roman" w:eastAsia="Cambria" w:hAnsi="Times New Roman" w:cs="Times New Roman"/>
          <w:sz w:val="24"/>
          <w:szCs w:val="24"/>
        </w:rPr>
        <w:t> </w:t>
      </w:r>
      <w:r w:rsidRPr="00DC3265">
        <w:rPr>
          <w:rFonts w:ascii="Times New Roman" w:eastAsia="Cambria" w:hAnsi="Times New Roman" w:cs="Times New Roman"/>
          <w:sz w:val="24"/>
          <w:szCs w:val="24"/>
        </w:rPr>
        <w:t xml:space="preserve">wyższy i wyniósł </w:t>
      </w:r>
      <w:r w:rsidR="00E91E73" w:rsidRPr="00DC3265">
        <w:rPr>
          <w:rFonts w:ascii="Times New Roman" w:eastAsia="Cambria" w:hAnsi="Times New Roman" w:cs="Times New Roman"/>
          <w:sz w:val="24"/>
          <w:szCs w:val="24"/>
        </w:rPr>
        <w:t xml:space="preserve">aż </w:t>
      </w:r>
      <w:r w:rsidR="009D14FB" w:rsidRPr="00DC3265">
        <w:rPr>
          <w:rFonts w:ascii="Times New Roman" w:eastAsia="Cambria" w:hAnsi="Times New Roman" w:cs="Times New Roman"/>
          <w:sz w:val="24"/>
          <w:szCs w:val="24"/>
        </w:rPr>
        <w:t>87,3</w:t>
      </w:r>
      <w:r w:rsidRPr="00DC3265">
        <w:rPr>
          <w:rFonts w:ascii="Times New Roman" w:eastAsia="Cambria" w:hAnsi="Times New Roman" w:cs="Times New Roman"/>
          <w:sz w:val="24"/>
          <w:szCs w:val="24"/>
        </w:rPr>
        <w:t xml:space="preserve">%, </w:t>
      </w:r>
      <w:r w:rsidR="00E91E73" w:rsidRPr="00DC3265">
        <w:rPr>
          <w:rFonts w:ascii="Times New Roman" w:eastAsia="Cambria" w:hAnsi="Times New Roman" w:cs="Times New Roman"/>
          <w:sz w:val="24"/>
          <w:szCs w:val="24"/>
        </w:rPr>
        <w:t>(</w:t>
      </w:r>
      <w:r w:rsidRPr="00DC3265">
        <w:rPr>
          <w:rFonts w:ascii="Times New Roman" w:eastAsia="Cambria" w:hAnsi="Times New Roman" w:cs="Times New Roman"/>
          <w:sz w:val="24"/>
          <w:szCs w:val="24"/>
        </w:rPr>
        <w:t>kwot</w:t>
      </w:r>
      <w:r w:rsidR="00E91E73" w:rsidRPr="00DC3265">
        <w:rPr>
          <w:rFonts w:ascii="Times New Roman" w:eastAsia="Cambria" w:hAnsi="Times New Roman" w:cs="Times New Roman"/>
          <w:sz w:val="24"/>
          <w:szCs w:val="24"/>
        </w:rPr>
        <w:t>a</w:t>
      </w:r>
      <w:r w:rsidRPr="00DC3265">
        <w:rPr>
          <w:rFonts w:ascii="Times New Roman" w:eastAsia="Cambria" w:hAnsi="Times New Roman" w:cs="Times New Roman"/>
          <w:sz w:val="24"/>
          <w:szCs w:val="24"/>
        </w:rPr>
        <w:t xml:space="preserve"> </w:t>
      </w:r>
      <w:r w:rsidR="00D3538E" w:rsidRPr="00DC3265">
        <w:rPr>
          <w:rFonts w:ascii="Times New Roman" w:eastAsia="Cambria" w:hAnsi="Times New Roman" w:cs="Times New Roman"/>
          <w:sz w:val="24"/>
          <w:szCs w:val="24"/>
        </w:rPr>
        <w:t>14</w:t>
      </w:r>
      <w:r w:rsidR="009D14FB" w:rsidRPr="00DC3265">
        <w:rPr>
          <w:rFonts w:ascii="Times New Roman" w:eastAsia="Cambria" w:hAnsi="Times New Roman" w:cs="Times New Roman"/>
          <w:sz w:val="24"/>
          <w:szCs w:val="24"/>
        </w:rPr>
        <w:t>2</w:t>
      </w:r>
      <w:r w:rsidR="00D3538E" w:rsidRPr="00DC3265">
        <w:rPr>
          <w:rFonts w:ascii="Times New Roman" w:eastAsia="Cambria" w:hAnsi="Times New Roman" w:cs="Times New Roman"/>
          <w:sz w:val="24"/>
          <w:szCs w:val="24"/>
        </w:rPr>
        <w:t>,1</w:t>
      </w:r>
      <w:r w:rsidRPr="00DC3265">
        <w:rPr>
          <w:rFonts w:ascii="Times New Roman" w:eastAsia="Cambria" w:hAnsi="Times New Roman" w:cs="Times New Roman"/>
          <w:sz w:val="24"/>
          <w:szCs w:val="24"/>
        </w:rPr>
        <w:t xml:space="preserve"> mld zł</w:t>
      </w:r>
      <w:r w:rsidR="00E91E73" w:rsidRPr="00DC3265">
        <w:rPr>
          <w:rFonts w:ascii="Times New Roman" w:eastAsia="Cambria" w:hAnsi="Times New Roman" w:cs="Times New Roman"/>
          <w:sz w:val="24"/>
          <w:szCs w:val="24"/>
        </w:rPr>
        <w:t>)</w:t>
      </w:r>
      <w:r w:rsidRPr="00DC3265">
        <w:rPr>
          <w:rFonts w:ascii="Times New Roman" w:eastAsia="Cambria" w:hAnsi="Times New Roman" w:cs="Times New Roman"/>
          <w:sz w:val="24"/>
          <w:szCs w:val="24"/>
        </w:rPr>
        <w:t xml:space="preserve">, natomiast wzrost wydatków osiągnął poziom </w:t>
      </w:r>
      <w:r w:rsidR="00D3538E" w:rsidRPr="00DC3265">
        <w:rPr>
          <w:rFonts w:ascii="Times New Roman" w:eastAsia="Cambria" w:hAnsi="Times New Roman" w:cs="Times New Roman"/>
          <w:sz w:val="24"/>
          <w:szCs w:val="24"/>
        </w:rPr>
        <w:t>6</w:t>
      </w:r>
      <w:r w:rsidR="002F1E8C" w:rsidRPr="00DC3265">
        <w:rPr>
          <w:rFonts w:ascii="Times New Roman" w:eastAsia="Cambria" w:hAnsi="Times New Roman" w:cs="Times New Roman"/>
          <w:sz w:val="24"/>
          <w:szCs w:val="24"/>
        </w:rPr>
        <w:t>8</w:t>
      </w:r>
      <w:r w:rsidR="00D3538E" w:rsidRPr="00DC3265">
        <w:rPr>
          <w:rFonts w:ascii="Times New Roman" w:eastAsia="Cambria" w:hAnsi="Times New Roman" w:cs="Times New Roman"/>
          <w:sz w:val="24"/>
          <w:szCs w:val="24"/>
        </w:rPr>
        <w:t>,</w:t>
      </w:r>
      <w:r w:rsidR="002F1E8C" w:rsidRPr="00DC3265">
        <w:rPr>
          <w:rFonts w:ascii="Times New Roman" w:eastAsia="Cambria" w:hAnsi="Times New Roman" w:cs="Times New Roman"/>
          <w:sz w:val="24"/>
          <w:szCs w:val="24"/>
        </w:rPr>
        <w:t>3</w:t>
      </w:r>
      <w:r w:rsidRPr="00DC3265">
        <w:rPr>
          <w:rFonts w:ascii="Times New Roman" w:eastAsia="Cambria" w:hAnsi="Times New Roman" w:cs="Times New Roman"/>
          <w:sz w:val="24"/>
          <w:szCs w:val="24"/>
        </w:rPr>
        <w:t xml:space="preserve">% </w:t>
      </w:r>
      <w:r w:rsidR="00E91E73" w:rsidRPr="00DC3265">
        <w:rPr>
          <w:rFonts w:ascii="Times New Roman" w:eastAsia="Cambria" w:hAnsi="Times New Roman" w:cs="Times New Roman"/>
          <w:sz w:val="24"/>
          <w:szCs w:val="24"/>
        </w:rPr>
        <w:t>(</w:t>
      </w:r>
      <w:r w:rsidRPr="00DC3265">
        <w:rPr>
          <w:rFonts w:ascii="Times New Roman" w:eastAsia="Cambria" w:hAnsi="Times New Roman" w:cs="Times New Roman"/>
          <w:sz w:val="24"/>
          <w:szCs w:val="24"/>
        </w:rPr>
        <w:t xml:space="preserve">kwotę </w:t>
      </w:r>
      <w:r w:rsidR="002F1E8C" w:rsidRPr="00DC3265">
        <w:rPr>
          <w:rFonts w:ascii="Times New Roman" w:eastAsia="Cambria" w:hAnsi="Times New Roman" w:cs="Times New Roman"/>
          <w:sz w:val="24"/>
          <w:szCs w:val="24"/>
        </w:rPr>
        <w:t>121</w:t>
      </w:r>
      <w:r w:rsidR="00D3538E" w:rsidRPr="00DC3265">
        <w:rPr>
          <w:rFonts w:ascii="Times New Roman" w:eastAsia="Cambria" w:hAnsi="Times New Roman" w:cs="Times New Roman"/>
          <w:sz w:val="24"/>
          <w:szCs w:val="24"/>
        </w:rPr>
        <w:t>,5</w:t>
      </w:r>
      <w:r w:rsidRPr="00DC3265">
        <w:rPr>
          <w:rFonts w:ascii="Times New Roman" w:eastAsia="Cambria" w:hAnsi="Times New Roman" w:cs="Times New Roman"/>
          <w:sz w:val="24"/>
          <w:szCs w:val="24"/>
        </w:rPr>
        <w:t> mld zł</w:t>
      </w:r>
      <w:r w:rsidR="00E91E73" w:rsidRPr="00DC3265">
        <w:rPr>
          <w:rFonts w:ascii="Times New Roman" w:eastAsia="Cambria" w:hAnsi="Times New Roman" w:cs="Times New Roman"/>
          <w:sz w:val="24"/>
          <w:szCs w:val="24"/>
        </w:rPr>
        <w:t>)</w:t>
      </w:r>
      <w:r w:rsidRPr="00DC3265">
        <w:rPr>
          <w:rFonts w:ascii="Times New Roman" w:eastAsia="Cambria" w:hAnsi="Times New Roman" w:cs="Times New Roman"/>
          <w:sz w:val="24"/>
          <w:szCs w:val="24"/>
        </w:rPr>
        <w:t>.</w:t>
      </w:r>
    </w:p>
    <w:p w:rsidR="00D90A80" w:rsidRPr="00435E3D" w:rsidRDefault="00D90A80" w:rsidP="00D90A80">
      <w:pPr>
        <w:autoSpaceDE w:val="0"/>
        <w:autoSpaceDN w:val="0"/>
        <w:adjustRightInd w:val="0"/>
        <w:spacing w:after="0" w:line="276" w:lineRule="auto"/>
        <w:ind w:left="-284"/>
        <w:jc w:val="both"/>
        <w:rPr>
          <w:rFonts w:ascii="Times New Roman" w:eastAsia="Calibri" w:hAnsi="Times New Roman" w:cs="Times New Roman"/>
          <w:sz w:val="24"/>
          <w:szCs w:val="24"/>
        </w:rPr>
      </w:pPr>
    </w:p>
    <w:p w:rsidR="000653EF" w:rsidRPr="00435E3D" w:rsidRDefault="004A591D" w:rsidP="00D90A80">
      <w:pPr>
        <w:autoSpaceDE w:val="0"/>
        <w:autoSpaceDN w:val="0"/>
        <w:adjustRightInd w:val="0"/>
        <w:spacing w:after="0" w:line="276" w:lineRule="auto"/>
        <w:ind w:left="-284"/>
        <w:jc w:val="both"/>
        <w:rPr>
          <w:rFonts w:ascii="Times New Roman" w:eastAsia="Calibri" w:hAnsi="Times New Roman" w:cs="Times New Roman"/>
          <w:sz w:val="24"/>
          <w:szCs w:val="24"/>
        </w:rPr>
      </w:pPr>
      <w:r>
        <w:rPr>
          <w:noProof/>
          <w:lang w:eastAsia="pl-PL"/>
        </w:rPr>
        <w:drawing>
          <wp:inline distT="0" distB="0" distL="0" distR="0" wp14:anchorId="63358689" wp14:editId="17771B4D">
            <wp:extent cx="6267450" cy="2635885"/>
            <wp:effectExtent l="0" t="0" r="0" b="12065"/>
            <wp:docPr id="27" name="Wykres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B50E7" w:rsidRPr="00DC3265" w:rsidRDefault="00D55F9B" w:rsidP="00F6560A">
      <w:pPr>
        <w:spacing w:before="120" w:after="0" w:line="276" w:lineRule="auto"/>
        <w:jc w:val="both"/>
        <w:rPr>
          <w:rFonts w:ascii="Times New Roman" w:eastAsia="Cambria" w:hAnsi="Times New Roman" w:cs="Times New Roman"/>
          <w:sz w:val="24"/>
          <w:szCs w:val="24"/>
        </w:rPr>
      </w:pPr>
      <w:r w:rsidRPr="00DC3265">
        <w:rPr>
          <w:rFonts w:ascii="Times New Roman" w:eastAsia="Cambria" w:hAnsi="Times New Roman" w:cs="Times New Roman"/>
          <w:sz w:val="24"/>
          <w:szCs w:val="24"/>
        </w:rPr>
        <w:t xml:space="preserve">W </w:t>
      </w:r>
      <w:r w:rsidR="00B26CAC">
        <w:rPr>
          <w:rFonts w:ascii="Times New Roman" w:eastAsia="Cambria" w:hAnsi="Times New Roman" w:cs="Times New Roman"/>
          <w:sz w:val="24"/>
          <w:szCs w:val="24"/>
        </w:rPr>
        <w:t>latach 2011</w:t>
      </w:r>
      <w:r w:rsidR="00B26CAC" w:rsidRPr="002A5128">
        <w:rPr>
          <w:rFonts w:ascii="Times New Roman" w:eastAsia="Calibri" w:hAnsi="Times New Roman" w:cs="Times New Roman"/>
          <w:color w:val="000000"/>
          <w:sz w:val="24"/>
          <w:szCs w:val="24"/>
        </w:rPr>
        <w:t>–</w:t>
      </w:r>
      <w:r w:rsidR="002A5128" w:rsidRPr="00DC3265">
        <w:rPr>
          <w:rFonts w:ascii="Times New Roman" w:eastAsia="Cambria" w:hAnsi="Times New Roman" w:cs="Times New Roman"/>
          <w:sz w:val="24"/>
          <w:szCs w:val="24"/>
        </w:rPr>
        <w:t>20</w:t>
      </w:r>
      <w:r w:rsidR="001C0C45" w:rsidRPr="00DC3265">
        <w:rPr>
          <w:rFonts w:ascii="Times New Roman" w:eastAsia="Cambria" w:hAnsi="Times New Roman" w:cs="Times New Roman"/>
          <w:sz w:val="24"/>
          <w:szCs w:val="24"/>
        </w:rPr>
        <w:t>20</w:t>
      </w:r>
      <w:r w:rsidR="002A5128" w:rsidRPr="00DC3265">
        <w:rPr>
          <w:rFonts w:ascii="Times New Roman" w:eastAsia="Cambria" w:hAnsi="Times New Roman" w:cs="Times New Roman"/>
          <w:sz w:val="24"/>
          <w:szCs w:val="24"/>
        </w:rPr>
        <w:t xml:space="preserve"> łącznie we wszystkich jednostkach samorządu terytorialnego dochody bieżące były wyższe niż wydatki bieżące, a wypracowana nadwyżka operacyjna była nominalnie każdego roku wyższa</w:t>
      </w:r>
      <w:r w:rsidRPr="00DC3265">
        <w:rPr>
          <w:rFonts w:ascii="Times New Roman" w:eastAsia="Cambria" w:hAnsi="Times New Roman" w:cs="Times New Roman"/>
          <w:sz w:val="24"/>
          <w:szCs w:val="24"/>
        </w:rPr>
        <w:t xml:space="preserve"> </w:t>
      </w:r>
      <w:r w:rsidR="00A8766E">
        <w:rPr>
          <w:rFonts w:ascii="Times New Roman" w:eastAsia="Cambria" w:hAnsi="Times New Roman" w:cs="Times New Roman"/>
          <w:sz w:val="24"/>
          <w:szCs w:val="24"/>
        </w:rPr>
        <w:t>. W 2019 r</w:t>
      </w:r>
      <w:r w:rsidR="009D5E81">
        <w:rPr>
          <w:rFonts w:ascii="Times New Roman" w:eastAsia="Cambria" w:hAnsi="Times New Roman" w:cs="Times New Roman"/>
          <w:sz w:val="24"/>
          <w:szCs w:val="24"/>
        </w:rPr>
        <w:t>.</w:t>
      </w:r>
      <w:r w:rsidR="00A8766E">
        <w:rPr>
          <w:rFonts w:ascii="Times New Roman" w:eastAsia="Cambria" w:hAnsi="Times New Roman" w:cs="Times New Roman"/>
          <w:sz w:val="24"/>
          <w:szCs w:val="24"/>
        </w:rPr>
        <w:t xml:space="preserve"> ukształtowała się na poziomie</w:t>
      </w:r>
      <w:r w:rsidRPr="00DC3265">
        <w:rPr>
          <w:rFonts w:ascii="Times New Roman" w:eastAsia="Cambria" w:hAnsi="Times New Roman" w:cs="Times New Roman"/>
          <w:sz w:val="24"/>
          <w:szCs w:val="24"/>
        </w:rPr>
        <w:t xml:space="preserve"> </w:t>
      </w:r>
      <w:r w:rsidR="002D1CA1" w:rsidRPr="00DC3265">
        <w:rPr>
          <w:rFonts w:ascii="Times New Roman" w:eastAsia="Cambria" w:hAnsi="Times New Roman" w:cs="Times New Roman"/>
          <w:sz w:val="24"/>
          <w:szCs w:val="24"/>
        </w:rPr>
        <w:t>24,</w:t>
      </w:r>
      <w:r w:rsidRPr="00DC3265">
        <w:rPr>
          <w:rFonts w:ascii="Times New Roman" w:eastAsia="Cambria" w:hAnsi="Times New Roman" w:cs="Times New Roman"/>
          <w:sz w:val="24"/>
          <w:szCs w:val="24"/>
        </w:rPr>
        <w:t xml:space="preserve">2 </w:t>
      </w:r>
      <w:r w:rsidR="009D5E81">
        <w:rPr>
          <w:rFonts w:ascii="Times New Roman" w:eastAsia="Cambria" w:hAnsi="Times New Roman" w:cs="Times New Roman"/>
          <w:sz w:val="24"/>
          <w:szCs w:val="24"/>
        </w:rPr>
        <w:t>mld zł</w:t>
      </w:r>
      <w:r w:rsidR="002D1CA1" w:rsidRPr="00DC3265">
        <w:rPr>
          <w:rFonts w:ascii="Times New Roman" w:eastAsia="Cambria" w:hAnsi="Times New Roman" w:cs="Times New Roman"/>
          <w:sz w:val="24"/>
          <w:szCs w:val="24"/>
        </w:rPr>
        <w:t xml:space="preserve">. </w:t>
      </w:r>
      <w:r w:rsidR="004B50E7" w:rsidRPr="00DC3265">
        <w:rPr>
          <w:rFonts w:ascii="Times New Roman" w:eastAsia="Cambria" w:hAnsi="Times New Roman" w:cs="Times New Roman"/>
          <w:sz w:val="24"/>
          <w:szCs w:val="24"/>
        </w:rPr>
        <w:t>W 2020 r., w ro</w:t>
      </w:r>
      <w:r w:rsidR="00B914C2">
        <w:rPr>
          <w:rFonts w:ascii="Times New Roman" w:eastAsia="Cambria" w:hAnsi="Times New Roman" w:cs="Times New Roman"/>
          <w:sz w:val="24"/>
          <w:szCs w:val="24"/>
        </w:rPr>
        <w:t>ku walki z pandemią</w:t>
      </w:r>
      <w:r w:rsidR="004B50E7" w:rsidRPr="00DC3265">
        <w:rPr>
          <w:rFonts w:ascii="Times New Roman" w:eastAsia="Cambria" w:hAnsi="Times New Roman" w:cs="Times New Roman"/>
          <w:sz w:val="24"/>
          <w:szCs w:val="24"/>
        </w:rPr>
        <w:t xml:space="preserve">, nadwyżka operacyjna była niższa i wyniosła 21,4 mld zł. </w:t>
      </w:r>
    </w:p>
    <w:p w:rsidR="002A5128" w:rsidRPr="00435E3D" w:rsidRDefault="00D55F9B" w:rsidP="00F6560A">
      <w:pPr>
        <w:spacing w:before="120" w:after="0" w:line="276" w:lineRule="auto"/>
        <w:jc w:val="both"/>
        <w:rPr>
          <w:rFonts w:ascii="Times New Roman" w:eastAsia="Cambria" w:hAnsi="Times New Roman" w:cs="Times New Roman"/>
          <w:sz w:val="24"/>
          <w:szCs w:val="24"/>
        </w:rPr>
      </w:pPr>
      <w:r w:rsidRPr="00DC3265">
        <w:rPr>
          <w:rFonts w:ascii="Times New Roman" w:eastAsia="Cambria" w:hAnsi="Times New Roman" w:cs="Times New Roman"/>
          <w:sz w:val="24"/>
          <w:szCs w:val="24"/>
        </w:rPr>
        <w:t>Istnienie wysokiej nadwyżki operacyjnej ś</w:t>
      </w:r>
      <w:r w:rsidR="002A5128" w:rsidRPr="00DC3265">
        <w:rPr>
          <w:rFonts w:ascii="Times New Roman" w:eastAsia="Cambria" w:hAnsi="Times New Roman" w:cs="Times New Roman"/>
          <w:sz w:val="24"/>
          <w:szCs w:val="24"/>
        </w:rPr>
        <w:t xml:space="preserve">wiadczy pozytywnie o możliwościach inwestycyjnych jednostek samorządu terytorialnego oraz o ich zdolności do spłaty zadłużenia. Nadwyżka </w:t>
      </w:r>
      <w:r w:rsidR="002A5128" w:rsidRPr="00DC3265">
        <w:rPr>
          <w:rFonts w:ascii="Times New Roman" w:eastAsia="Cambria" w:hAnsi="Times New Roman" w:cs="Times New Roman"/>
          <w:sz w:val="24"/>
          <w:szCs w:val="24"/>
        </w:rPr>
        <w:lastRenderedPageBreak/>
        <w:t>operacyjna w</w:t>
      </w:r>
      <w:r w:rsidR="007C5794" w:rsidRPr="00DC3265">
        <w:rPr>
          <w:rFonts w:ascii="Times New Roman" w:eastAsia="Cambria" w:hAnsi="Times New Roman" w:cs="Times New Roman"/>
          <w:sz w:val="24"/>
          <w:szCs w:val="24"/>
        </w:rPr>
        <w:t> </w:t>
      </w:r>
      <w:r w:rsidR="003F6F31">
        <w:rPr>
          <w:rFonts w:ascii="Times New Roman" w:eastAsia="Cambria" w:hAnsi="Times New Roman" w:cs="Times New Roman"/>
          <w:sz w:val="24"/>
          <w:szCs w:val="24"/>
        </w:rPr>
        <w:t>2019 </w:t>
      </w:r>
      <w:r w:rsidR="002A5128" w:rsidRPr="00DC3265">
        <w:rPr>
          <w:rFonts w:ascii="Times New Roman" w:eastAsia="Cambria" w:hAnsi="Times New Roman" w:cs="Times New Roman"/>
          <w:sz w:val="24"/>
          <w:szCs w:val="24"/>
        </w:rPr>
        <w:t>r. była wyższa, w odniesieniu do 201</w:t>
      </w:r>
      <w:r w:rsidR="00CC2B1D">
        <w:rPr>
          <w:rFonts w:ascii="Times New Roman" w:eastAsia="Cambria" w:hAnsi="Times New Roman" w:cs="Times New Roman"/>
          <w:sz w:val="24"/>
          <w:szCs w:val="24"/>
        </w:rPr>
        <w:t>1 r.</w:t>
      </w:r>
      <w:r w:rsidR="00B26CAC">
        <w:rPr>
          <w:rFonts w:ascii="Times New Roman" w:eastAsia="Cambria" w:hAnsi="Times New Roman" w:cs="Times New Roman"/>
          <w:sz w:val="24"/>
          <w:szCs w:val="24"/>
        </w:rPr>
        <w:t>,</w:t>
      </w:r>
      <w:r w:rsidR="004B50E7" w:rsidRPr="00DC3265">
        <w:rPr>
          <w:rFonts w:ascii="Times New Roman" w:eastAsia="Cambria" w:hAnsi="Times New Roman" w:cs="Times New Roman"/>
          <w:sz w:val="24"/>
          <w:szCs w:val="24"/>
        </w:rPr>
        <w:t xml:space="preserve"> o 119,7%, a w 2020 r. w porównaniu z 2011 r.</w:t>
      </w:r>
      <w:r w:rsidR="00B26CAC">
        <w:rPr>
          <w:rFonts w:ascii="Times New Roman" w:eastAsia="Cambria" w:hAnsi="Times New Roman" w:cs="Times New Roman"/>
          <w:sz w:val="24"/>
          <w:szCs w:val="24"/>
        </w:rPr>
        <w:t>,</w:t>
      </w:r>
      <w:r w:rsidR="004B50E7" w:rsidRPr="00DC3265">
        <w:rPr>
          <w:rFonts w:ascii="Times New Roman" w:eastAsia="Cambria" w:hAnsi="Times New Roman" w:cs="Times New Roman"/>
          <w:sz w:val="24"/>
          <w:szCs w:val="24"/>
        </w:rPr>
        <w:t xml:space="preserve"> wzrosła o 94,5%.</w:t>
      </w:r>
      <w:r w:rsidR="002A5128" w:rsidRPr="00435E3D">
        <w:rPr>
          <w:rFonts w:ascii="Times New Roman" w:eastAsia="Cambria" w:hAnsi="Times New Roman" w:cs="Times New Roman"/>
          <w:sz w:val="24"/>
          <w:szCs w:val="24"/>
        </w:rPr>
        <w:t xml:space="preserve"> </w:t>
      </w:r>
    </w:p>
    <w:p w:rsidR="002A5128" w:rsidRPr="00435E3D" w:rsidRDefault="002A5128" w:rsidP="002A5128">
      <w:pPr>
        <w:autoSpaceDE w:val="0"/>
        <w:autoSpaceDN w:val="0"/>
        <w:adjustRightInd w:val="0"/>
        <w:spacing w:after="0" w:line="240" w:lineRule="auto"/>
        <w:jc w:val="both"/>
        <w:rPr>
          <w:rFonts w:ascii="Times New Roman" w:eastAsia="Calibri" w:hAnsi="Times New Roman" w:cs="Times New Roman"/>
          <w:color w:val="000000"/>
          <w:sz w:val="23"/>
          <w:szCs w:val="23"/>
        </w:rPr>
      </w:pPr>
    </w:p>
    <w:p w:rsidR="00982815" w:rsidRDefault="001C0C45" w:rsidP="001C0C45">
      <w:pPr>
        <w:spacing w:before="120" w:after="0" w:line="276" w:lineRule="auto"/>
        <w:ind w:left="-284"/>
        <w:jc w:val="both"/>
        <w:rPr>
          <w:rFonts w:ascii="Times New Roman" w:eastAsia="Cambria" w:hAnsi="Times New Roman" w:cs="Times New Roman"/>
          <w:sz w:val="24"/>
          <w:szCs w:val="24"/>
        </w:rPr>
      </w:pPr>
      <w:r>
        <w:rPr>
          <w:noProof/>
          <w:lang w:eastAsia="pl-PL"/>
        </w:rPr>
        <w:drawing>
          <wp:inline distT="0" distB="0" distL="0" distR="0" wp14:anchorId="619CD2F3" wp14:editId="753088F8">
            <wp:extent cx="6276975" cy="3000375"/>
            <wp:effectExtent l="0" t="0" r="0" b="0"/>
            <wp:docPr id="15" name="Wykres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C0C45" w:rsidRPr="00435E3D" w:rsidRDefault="001C0C45" w:rsidP="001C0C45">
      <w:pPr>
        <w:spacing w:after="0" w:line="276" w:lineRule="auto"/>
        <w:jc w:val="both"/>
        <w:rPr>
          <w:rFonts w:ascii="Times New Roman" w:eastAsia="Cambria" w:hAnsi="Times New Roman" w:cs="Times New Roman"/>
          <w:sz w:val="24"/>
          <w:szCs w:val="24"/>
        </w:rPr>
      </w:pPr>
      <w:r w:rsidRPr="00435E3D">
        <w:rPr>
          <w:rFonts w:ascii="Times New Roman" w:eastAsia="Cambria" w:hAnsi="Times New Roman" w:cs="Times New Roman"/>
          <w:sz w:val="24"/>
          <w:szCs w:val="24"/>
        </w:rPr>
        <w:t>Wypracowana nadwyżka operacyjna daje możliwości zwiększania zadłużenia. W związku z tym dokonano analizy, która pokaz</w:t>
      </w:r>
      <w:r w:rsidR="00B26CAC">
        <w:rPr>
          <w:rFonts w:ascii="Times New Roman" w:eastAsia="Cambria" w:hAnsi="Times New Roman" w:cs="Times New Roman"/>
          <w:sz w:val="24"/>
          <w:szCs w:val="24"/>
        </w:rPr>
        <w:t>uje jak na przełomie lat 2010</w:t>
      </w:r>
      <w:r w:rsidR="00B26CAC" w:rsidRPr="002A5128">
        <w:rPr>
          <w:rFonts w:ascii="Times New Roman" w:eastAsia="Calibri" w:hAnsi="Times New Roman" w:cs="Times New Roman"/>
          <w:color w:val="000000"/>
          <w:sz w:val="24"/>
          <w:szCs w:val="24"/>
        </w:rPr>
        <w:t>–</w:t>
      </w:r>
      <w:r w:rsidRPr="00435E3D">
        <w:rPr>
          <w:rFonts w:ascii="Times New Roman" w:eastAsia="Cambria" w:hAnsi="Times New Roman" w:cs="Times New Roman"/>
          <w:sz w:val="24"/>
          <w:szCs w:val="24"/>
        </w:rPr>
        <w:t>20</w:t>
      </w:r>
      <w:r>
        <w:rPr>
          <w:rFonts w:ascii="Times New Roman" w:eastAsia="Cambria" w:hAnsi="Times New Roman" w:cs="Times New Roman"/>
          <w:sz w:val="24"/>
          <w:szCs w:val="24"/>
        </w:rPr>
        <w:t>20</w:t>
      </w:r>
      <w:r w:rsidRPr="00435E3D">
        <w:rPr>
          <w:rFonts w:ascii="Times New Roman" w:eastAsia="Cambria" w:hAnsi="Times New Roman" w:cs="Times New Roman"/>
          <w:sz w:val="24"/>
          <w:szCs w:val="24"/>
        </w:rPr>
        <w:t xml:space="preserve"> zmieniły się możliwości spłaty zaciągniętych przez samorządy zobowiązań za pomocą wypracowanej nadwyżki operacyjnej w</w:t>
      </w:r>
      <w:r w:rsidR="00FF499C">
        <w:rPr>
          <w:rFonts w:ascii="Times New Roman" w:eastAsia="Cambria" w:hAnsi="Times New Roman" w:cs="Times New Roman"/>
          <w:sz w:val="24"/>
          <w:szCs w:val="24"/>
        </w:rPr>
        <w:t> </w:t>
      </w:r>
      <w:r w:rsidRPr="00435E3D">
        <w:rPr>
          <w:rFonts w:ascii="Times New Roman" w:eastAsia="Cambria" w:hAnsi="Times New Roman" w:cs="Times New Roman"/>
          <w:sz w:val="24"/>
          <w:szCs w:val="24"/>
        </w:rPr>
        <w:t>latach.</w:t>
      </w:r>
    </w:p>
    <w:p w:rsidR="001C0C45" w:rsidRDefault="001C0C45" w:rsidP="001C0C45">
      <w:pPr>
        <w:spacing w:before="120" w:after="0" w:line="276" w:lineRule="auto"/>
        <w:ind w:left="-284"/>
        <w:jc w:val="both"/>
        <w:rPr>
          <w:rFonts w:ascii="Times New Roman" w:eastAsia="Cambria" w:hAnsi="Times New Roman" w:cs="Times New Roman"/>
          <w:sz w:val="24"/>
          <w:szCs w:val="24"/>
        </w:rPr>
      </w:pPr>
    </w:p>
    <w:p w:rsidR="009B6037" w:rsidRDefault="001C0C45" w:rsidP="00F6560A">
      <w:pPr>
        <w:spacing w:before="120" w:after="0" w:line="276" w:lineRule="auto"/>
        <w:jc w:val="both"/>
        <w:rPr>
          <w:rFonts w:ascii="Times New Roman" w:eastAsia="Cambria" w:hAnsi="Times New Roman" w:cs="Times New Roman"/>
          <w:sz w:val="24"/>
          <w:szCs w:val="24"/>
        </w:rPr>
      </w:pPr>
      <w:r>
        <w:rPr>
          <w:noProof/>
          <w:lang w:eastAsia="pl-PL"/>
        </w:rPr>
        <w:drawing>
          <wp:inline distT="0" distB="0" distL="0" distR="0" wp14:anchorId="5C805BF7" wp14:editId="3302C86D">
            <wp:extent cx="5935980" cy="2362200"/>
            <wp:effectExtent l="0" t="0" r="7620" b="0"/>
            <wp:docPr id="14" name="Wykres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A2A18" w:rsidRPr="00435E3D" w:rsidRDefault="00E91E73" w:rsidP="00F6560A">
      <w:pPr>
        <w:spacing w:before="120" w:after="0" w:line="276" w:lineRule="auto"/>
        <w:jc w:val="both"/>
        <w:rPr>
          <w:rFonts w:ascii="Times New Roman" w:eastAsia="Cambria" w:hAnsi="Times New Roman" w:cs="Times New Roman"/>
          <w:sz w:val="24"/>
          <w:szCs w:val="24"/>
        </w:rPr>
      </w:pPr>
      <w:r w:rsidRPr="00435E3D">
        <w:rPr>
          <w:rFonts w:ascii="Times New Roman" w:eastAsia="Cambria" w:hAnsi="Times New Roman" w:cs="Times New Roman"/>
          <w:sz w:val="24"/>
          <w:szCs w:val="24"/>
        </w:rPr>
        <w:t>Na wykresie widać znaczny spadek ilości lat niezbędnych do</w:t>
      </w:r>
      <w:r w:rsidR="007A2A18" w:rsidRPr="00435E3D">
        <w:rPr>
          <w:rFonts w:ascii="Times New Roman" w:eastAsia="Cambria" w:hAnsi="Times New Roman" w:cs="Times New Roman"/>
          <w:sz w:val="24"/>
          <w:szCs w:val="24"/>
        </w:rPr>
        <w:t xml:space="preserve"> spłaty zaciągniętych przez</w:t>
      </w:r>
      <w:r w:rsidR="004B3953">
        <w:rPr>
          <w:rFonts w:ascii="Times New Roman" w:eastAsia="Cambria" w:hAnsi="Times New Roman" w:cs="Times New Roman"/>
          <w:sz w:val="24"/>
          <w:szCs w:val="24"/>
        </w:rPr>
        <w:t> </w:t>
      </w:r>
      <w:r w:rsidR="007A2A18" w:rsidRPr="00435E3D">
        <w:rPr>
          <w:rFonts w:ascii="Times New Roman" w:eastAsia="Cambria" w:hAnsi="Times New Roman" w:cs="Times New Roman"/>
          <w:sz w:val="24"/>
          <w:szCs w:val="24"/>
        </w:rPr>
        <w:t>samorządy zobowiązań wypracowaną nadwyżką operacyjną. Początkowo</w:t>
      </w:r>
      <w:r w:rsidR="00B26CAC">
        <w:rPr>
          <w:rFonts w:ascii="Times New Roman" w:eastAsia="Cambria" w:hAnsi="Times New Roman" w:cs="Times New Roman"/>
          <w:sz w:val="24"/>
          <w:szCs w:val="24"/>
        </w:rPr>
        <w:t>,</w:t>
      </w:r>
      <w:r w:rsidR="007A2A18" w:rsidRPr="00435E3D">
        <w:rPr>
          <w:rFonts w:ascii="Times New Roman" w:eastAsia="Cambria" w:hAnsi="Times New Roman" w:cs="Times New Roman"/>
          <w:sz w:val="24"/>
          <w:szCs w:val="24"/>
        </w:rPr>
        <w:t xml:space="preserve"> w roku 2010</w:t>
      </w:r>
      <w:r w:rsidR="00B26CAC">
        <w:rPr>
          <w:rFonts w:ascii="Times New Roman" w:eastAsia="Cambria" w:hAnsi="Times New Roman" w:cs="Times New Roman"/>
          <w:sz w:val="24"/>
          <w:szCs w:val="24"/>
        </w:rPr>
        <w:t>,</w:t>
      </w:r>
      <w:r w:rsidR="004B3953">
        <w:rPr>
          <w:rFonts w:ascii="Times New Roman" w:eastAsia="Cambria" w:hAnsi="Times New Roman" w:cs="Times New Roman"/>
          <w:sz w:val="24"/>
          <w:szCs w:val="24"/>
        </w:rPr>
        <w:t> </w:t>
      </w:r>
      <w:r w:rsidR="007A2A18" w:rsidRPr="00435E3D">
        <w:rPr>
          <w:rFonts w:ascii="Times New Roman" w:eastAsia="Cambria" w:hAnsi="Times New Roman" w:cs="Times New Roman"/>
          <w:sz w:val="24"/>
          <w:szCs w:val="24"/>
        </w:rPr>
        <w:t>potrzeba było blisko 6 lat do spłaty zadłużenia a na koniec 2019 okres spłaty wynosił już</w:t>
      </w:r>
      <w:r w:rsidR="004B3953">
        <w:rPr>
          <w:rFonts w:ascii="Times New Roman" w:eastAsia="Cambria" w:hAnsi="Times New Roman" w:cs="Times New Roman"/>
          <w:sz w:val="24"/>
          <w:szCs w:val="24"/>
        </w:rPr>
        <w:t> </w:t>
      </w:r>
      <w:r w:rsidR="007A2A18" w:rsidRPr="00435E3D">
        <w:rPr>
          <w:rFonts w:ascii="Times New Roman" w:eastAsia="Cambria" w:hAnsi="Times New Roman" w:cs="Times New Roman"/>
          <w:sz w:val="24"/>
          <w:szCs w:val="24"/>
        </w:rPr>
        <w:t xml:space="preserve">mniej </w:t>
      </w:r>
      <w:r w:rsidR="007A2A18" w:rsidRPr="00DC3265">
        <w:rPr>
          <w:rFonts w:ascii="Times New Roman" w:eastAsia="Cambria" w:hAnsi="Times New Roman" w:cs="Times New Roman"/>
          <w:sz w:val="24"/>
          <w:szCs w:val="24"/>
        </w:rPr>
        <w:t>niż 3,5 roku.</w:t>
      </w:r>
      <w:r w:rsidR="007A2A18" w:rsidRPr="00435E3D">
        <w:rPr>
          <w:rFonts w:ascii="Times New Roman" w:eastAsia="Cambria" w:hAnsi="Times New Roman" w:cs="Times New Roman"/>
          <w:sz w:val="24"/>
          <w:szCs w:val="24"/>
        </w:rPr>
        <w:t xml:space="preserve"> </w:t>
      </w:r>
      <w:r w:rsidR="003A5A0A">
        <w:rPr>
          <w:rFonts w:ascii="Times New Roman" w:eastAsia="Cambria" w:hAnsi="Times New Roman" w:cs="Times New Roman"/>
          <w:sz w:val="24"/>
          <w:szCs w:val="24"/>
        </w:rPr>
        <w:t xml:space="preserve">W 2020 r. samorządy terytorialne potrzebowały na spłatę zobowiązań </w:t>
      </w:r>
      <w:r w:rsidR="003A5A0A" w:rsidRPr="00435E3D">
        <w:rPr>
          <w:rFonts w:ascii="Times New Roman" w:eastAsia="Cambria" w:hAnsi="Times New Roman" w:cs="Times New Roman"/>
          <w:sz w:val="24"/>
          <w:szCs w:val="24"/>
        </w:rPr>
        <w:t>wypracowaną nadwyżką operacyjną</w:t>
      </w:r>
      <w:r w:rsidR="003A5A0A">
        <w:rPr>
          <w:rFonts w:ascii="Times New Roman" w:eastAsia="Cambria" w:hAnsi="Times New Roman" w:cs="Times New Roman"/>
          <w:sz w:val="24"/>
          <w:szCs w:val="24"/>
        </w:rPr>
        <w:t xml:space="preserve"> </w:t>
      </w:r>
      <w:r w:rsidR="00EC6568">
        <w:rPr>
          <w:rFonts w:ascii="Times New Roman" w:eastAsia="Cambria" w:hAnsi="Times New Roman" w:cs="Times New Roman"/>
          <w:sz w:val="24"/>
          <w:szCs w:val="24"/>
        </w:rPr>
        <w:t>4</w:t>
      </w:r>
      <w:r w:rsidR="003A5A0A">
        <w:rPr>
          <w:rFonts w:ascii="Times New Roman" w:eastAsia="Cambria" w:hAnsi="Times New Roman" w:cs="Times New Roman"/>
          <w:sz w:val="24"/>
          <w:szCs w:val="24"/>
        </w:rPr>
        <w:t xml:space="preserve"> lata i 2 miesiące.</w:t>
      </w:r>
    </w:p>
    <w:p w:rsidR="007A2A18" w:rsidRPr="00435E3D" w:rsidRDefault="00EC6568" w:rsidP="00F6560A">
      <w:pPr>
        <w:spacing w:before="120" w:after="0" w:line="276" w:lineRule="auto"/>
        <w:jc w:val="both"/>
        <w:rPr>
          <w:rFonts w:ascii="Times New Roman" w:eastAsia="Cambria" w:hAnsi="Times New Roman" w:cs="Times New Roman"/>
          <w:sz w:val="24"/>
          <w:szCs w:val="24"/>
        </w:rPr>
      </w:pPr>
      <w:r w:rsidRPr="00DC3265">
        <w:rPr>
          <w:rFonts w:ascii="Times New Roman" w:hAnsi="Times New Roman" w:cs="Times New Roman"/>
          <w:sz w:val="24"/>
          <w:szCs w:val="24"/>
        </w:rPr>
        <w:lastRenderedPageBreak/>
        <w:t>Zadłużenie w JST w 2020 r. wyniosło 89,8 mld zł i stanowiło 29,5% planowanych dochodów ogółem.</w:t>
      </w:r>
    </w:p>
    <w:p w:rsidR="002A5128" w:rsidRPr="00435E3D" w:rsidRDefault="007A2A18" w:rsidP="00F6560A">
      <w:pPr>
        <w:spacing w:before="120" w:after="0" w:line="276" w:lineRule="auto"/>
        <w:jc w:val="both"/>
        <w:rPr>
          <w:rFonts w:ascii="Times New Roman" w:eastAsia="Cambria" w:hAnsi="Times New Roman" w:cs="Times New Roman"/>
          <w:sz w:val="24"/>
          <w:szCs w:val="24"/>
        </w:rPr>
      </w:pPr>
      <w:r w:rsidRPr="00435E3D">
        <w:rPr>
          <w:rFonts w:ascii="Times New Roman" w:eastAsia="Cambria" w:hAnsi="Times New Roman" w:cs="Times New Roman"/>
          <w:sz w:val="24"/>
          <w:szCs w:val="24"/>
        </w:rPr>
        <w:t>Z powyższych</w:t>
      </w:r>
      <w:r w:rsidR="002A5128" w:rsidRPr="00435E3D">
        <w:rPr>
          <w:rFonts w:ascii="Times New Roman" w:eastAsia="Cambria" w:hAnsi="Times New Roman" w:cs="Times New Roman"/>
          <w:sz w:val="24"/>
          <w:szCs w:val="24"/>
        </w:rPr>
        <w:t xml:space="preserve"> analiz wynika</w:t>
      </w:r>
      <w:r w:rsidRPr="00435E3D">
        <w:rPr>
          <w:rFonts w:ascii="Times New Roman" w:eastAsia="Cambria" w:hAnsi="Times New Roman" w:cs="Times New Roman"/>
          <w:sz w:val="24"/>
          <w:szCs w:val="24"/>
        </w:rPr>
        <w:t>, że</w:t>
      </w:r>
      <w:r w:rsidR="002A5128" w:rsidRPr="00435E3D">
        <w:rPr>
          <w:rFonts w:ascii="Times New Roman" w:eastAsia="Cambria" w:hAnsi="Times New Roman" w:cs="Times New Roman"/>
          <w:sz w:val="24"/>
          <w:szCs w:val="24"/>
        </w:rPr>
        <w:t xml:space="preserve"> na przestrzeni ostatnich lat sytuacja finansowa jednostek samorządu terytorialnego uległa znacznej poprawie. Wpływ na to miała zarówno dobra sytuacja makroekonomiczna, jak również szereg podjętych działań mających na celu zwiększenie stopnia przestrzegania przepisów podatkowych. </w:t>
      </w:r>
      <w:r w:rsidR="002A5128" w:rsidRPr="00DC3265">
        <w:rPr>
          <w:rFonts w:ascii="Times New Roman" w:eastAsia="Cambria" w:hAnsi="Times New Roman" w:cs="Times New Roman"/>
          <w:sz w:val="24"/>
          <w:szCs w:val="24"/>
        </w:rPr>
        <w:t>Efektem tych działań był systematyczny wzrost dochodów podatkowych, w tym dochodów jednostek samorządu terytorialnego z tytułu udziałów w PIT</w:t>
      </w:r>
      <w:r w:rsidR="00EC6568" w:rsidRPr="00DC3265">
        <w:rPr>
          <w:rFonts w:ascii="Times New Roman" w:eastAsia="Cambria" w:hAnsi="Times New Roman" w:cs="Times New Roman"/>
          <w:sz w:val="24"/>
          <w:szCs w:val="24"/>
        </w:rPr>
        <w:t>, z wyjątkiem 2020 r., w którym koniunktura była zachwiana na skutek pandemii.</w:t>
      </w:r>
      <w:r w:rsidR="00EC6568">
        <w:rPr>
          <w:rFonts w:ascii="Times New Roman" w:eastAsia="Cambria" w:hAnsi="Times New Roman" w:cs="Times New Roman"/>
          <w:sz w:val="24"/>
          <w:szCs w:val="24"/>
        </w:rPr>
        <w:t xml:space="preserve"> </w:t>
      </w:r>
    </w:p>
    <w:p w:rsidR="00741DD2" w:rsidRPr="00435E3D" w:rsidRDefault="00741DD2" w:rsidP="00F6560A">
      <w:pPr>
        <w:spacing w:before="120" w:after="0" w:line="276" w:lineRule="auto"/>
        <w:jc w:val="both"/>
        <w:rPr>
          <w:rFonts w:ascii="Times New Roman" w:eastAsia="Cambria" w:hAnsi="Times New Roman" w:cs="Times New Roman"/>
          <w:b/>
          <w:sz w:val="24"/>
          <w:szCs w:val="24"/>
        </w:rPr>
      </w:pPr>
    </w:p>
    <w:p w:rsidR="002A5128" w:rsidRPr="00C2103F" w:rsidRDefault="00190B6E" w:rsidP="00190B6E">
      <w:pPr>
        <w:pStyle w:val="Akapitzlist"/>
        <w:numPr>
          <w:ilvl w:val="0"/>
          <w:numId w:val="13"/>
        </w:numPr>
        <w:spacing w:before="120" w:after="0" w:line="276" w:lineRule="auto"/>
        <w:jc w:val="both"/>
        <w:rPr>
          <w:rFonts w:ascii="Times New Roman" w:eastAsia="Cambria" w:hAnsi="Times New Roman" w:cs="Times New Roman"/>
          <w:b/>
          <w:sz w:val="24"/>
          <w:szCs w:val="24"/>
        </w:rPr>
      </w:pPr>
      <w:r w:rsidRPr="00190B6E">
        <w:rPr>
          <w:rFonts w:ascii="Times New Roman" w:eastAsia="Cambria" w:hAnsi="Times New Roman" w:cs="Times New Roman"/>
          <w:b/>
          <w:bCs/>
          <w:iCs/>
          <w:sz w:val="24"/>
          <w:szCs w:val="24"/>
        </w:rPr>
        <w:t>Działania legislacyjne mające wpływ na dochody JST</w:t>
      </w:r>
    </w:p>
    <w:p w:rsidR="00C2103F" w:rsidRPr="00190B6E" w:rsidRDefault="00C2103F" w:rsidP="00C2103F">
      <w:pPr>
        <w:pStyle w:val="Akapitzlist"/>
        <w:spacing w:before="120" w:after="0" w:line="276" w:lineRule="auto"/>
        <w:ind w:left="1080"/>
        <w:jc w:val="both"/>
        <w:rPr>
          <w:rFonts w:ascii="Times New Roman" w:eastAsia="Cambria" w:hAnsi="Times New Roman" w:cs="Times New Roman"/>
          <w:b/>
          <w:sz w:val="24"/>
          <w:szCs w:val="24"/>
        </w:rPr>
      </w:pPr>
    </w:p>
    <w:p w:rsidR="002A5128" w:rsidRPr="00C2103F" w:rsidRDefault="00C2103F" w:rsidP="00C2103F">
      <w:pPr>
        <w:pStyle w:val="Akapitzlist"/>
        <w:numPr>
          <w:ilvl w:val="0"/>
          <w:numId w:val="14"/>
        </w:numPr>
        <w:spacing w:before="120" w:after="0" w:line="276" w:lineRule="auto"/>
        <w:jc w:val="both"/>
        <w:rPr>
          <w:rFonts w:ascii="Times New Roman" w:eastAsia="Cambria" w:hAnsi="Times New Roman" w:cs="Times New Roman"/>
          <w:b/>
          <w:sz w:val="24"/>
          <w:szCs w:val="24"/>
        </w:rPr>
      </w:pPr>
      <w:r>
        <w:rPr>
          <w:rFonts w:ascii="Times New Roman" w:eastAsia="Cambria" w:hAnsi="Times New Roman" w:cs="Times New Roman"/>
          <w:b/>
          <w:bCs/>
          <w:iCs/>
          <w:sz w:val="24"/>
          <w:szCs w:val="24"/>
        </w:rPr>
        <w:t>Zmiany w</w:t>
      </w:r>
      <w:r w:rsidRPr="00C2103F">
        <w:rPr>
          <w:rFonts w:ascii="Times New Roman" w:eastAsia="Cambria" w:hAnsi="Times New Roman" w:cs="Times New Roman"/>
          <w:b/>
          <w:bCs/>
          <w:iCs/>
          <w:sz w:val="24"/>
          <w:szCs w:val="24"/>
        </w:rPr>
        <w:t xml:space="preserve"> obszarze podatków dochodowych</w:t>
      </w:r>
    </w:p>
    <w:p w:rsidR="002A5128" w:rsidRPr="00AA3257" w:rsidRDefault="002A5128" w:rsidP="00F6560A">
      <w:pPr>
        <w:spacing w:before="120" w:after="0" w:line="276" w:lineRule="auto"/>
        <w:jc w:val="both"/>
        <w:rPr>
          <w:rFonts w:ascii="Times New Roman" w:eastAsia="Cambria" w:hAnsi="Times New Roman" w:cs="Times New Roman"/>
          <w:sz w:val="24"/>
          <w:szCs w:val="24"/>
        </w:rPr>
      </w:pPr>
      <w:r w:rsidRPr="002A5128">
        <w:rPr>
          <w:rFonts w:ascii="Times New Roman" w:eastAsia="Cambria" w:hAnsi="Times New Roman" w:cs="Times New Roman"/>
          <w:sz w:val="24"/>
          <w:szCs w:val="24"/>
        </w:rPr>
        <w:t>Projektodawcy w uzasadnie</w:t>
      </w:r>
      <w:r w:rsidR="008C10DD">
        <w:rPr>
          <w:rFonts w:ascii="Times New Roman" w:eastAsia="Cambria" w:hAnsi="Times New Roman" w:cs="Times New Roman"/>
          <w:sz w:val="24"/>
          <w:szCs w:val="24"/>
        </w:rPr>
        <w:t>niu do projektu ustawy wskazują</w:t>
      </w:r>
      <w:r w:rsidRPr="002A5128">
        <w:rPr>
          <w:rFonts w:ascii="Times New Roman" w:eastAsia="Cambria" w:hAnsi="Times New Roman" w:cs="Times New Roman"/>
          <w:sz w:val="24"/>
          <w:szCs w:val="24"/>
        </w:rPr>
        <w:t xml:space="preserve"> jako główną przyczynę ubytku dochodów jednostek samorządu terytorialnego, a tym samym konieczność opracowania niniejszego projektu ustawy, wejście w życie dwóch, wskazanych na wstępie</w:t>
      </w:r>
      <w:r w:rsidR="008C10DD">
        <w:rPr>
          <w:rFonts w:ascii="Times New Roman" w:eastAsia="Cambria" w:hAnsi="Times New Roman" w:cs="Times New Roman"/>
          <w:sz w:val="24"/>
          <w:szCs w:val="24"/>
        </w:rPr>
        <w:t>,</w:t>
      </w:r>
      <w:r w:rsidRPr="002A5128">
        <w:rPr>
          <w:rFonts w:ascii="Times New Roman" w:eastAsia="Cambria" w:hAnsi="Times New Roman" w:cs="Times New Roman"/>
          <w:sz w:val="24"/>
          <w:szCs w:val="24"/>
        </w:rPr>
        <w:t xml:space="preserve"> projektów ustaw (ustawy z dnia 4 lipca 2019 r. i z dnia 30 sierpnia 2019 r.), na mocy których nastąpił, zdaniem Projektodawców</w:t>
      </w:r>
      <w:r w:rsidR="009D5E81">
        <w:rPr>
          <w:rFonts w:ascii="Times New Roman" w:eastAsia="Cambria" w:hAnsi="Times New Roman" w:cs="Times New Roman"/>
          <w:sz w:val="24"/>
          <w:szCs w:val="24"/>
        </w:rPr>
        <w:t>,</w:t>
      </w:r>
      <w:r w:rsidRPr="002A5128">
        <w:rPr>
          <w:rFonts w:ascii="Times New Roman" w:eastAsia="Cambria" w:hAnsi="Times New Roman" w:cs="Times New Roman"/>
          <w:sz w:val="24"/>
          <w:szCs w:val="24"/>
        </w:rPr>
        <w:t xml:space="preserve"> spadek dochodów z tytułu PIT.</w:t>
      </w:r>
    </w:p>
    <w:p w:rsidR="00AA3257" w:rsidRPr="00AA3257" w:rsidRDefault="00AA3257" w:rsidP="00F6560A">
      <w:pPr>
        <w:spacing w:before="120" w:after="0" w:line="276" w:lineRule="auto"/>
        <w:jc w:val="both"/>
        <w:rPr>
          <w:rFonts w:ascii="Times New Roman" w:eastAsia="Cambria" w:hAnsi="Times New Roman" w:cs="Times New Roman"/>
          <w:sz w:val="24"/>
          <w:szCs w:val="24"/>
        </w:rPr>
      </w:pPr>
      <w:r w:rsidRPr="00DB6241">
        <w:rPr>
          <w:rFonts w:ascii="Times New Roman" w:eastAsia="Cambria" w:hAnsi="Times New Roman" w:cs="Times New Roman"/>
          <w:sz w:val="24"/>
          <w:szCs w:val="24"/>
        </w:rPr>
        <w:t>Odnosząc się do informacji zawartych w uzasadnieniu, iż „teza o trwałym zwiększeniu dochodów JST z podatków dochodowych jest błędna”, należy zauważyć, iż była ona postawiona w 2019 r. w trakcie prac nad:</w:t>
      </w:r>
    </w:p>
    <w:p w:rsidR="00AA3257" w:rsidRPr="00AA3257" w:rsidRDefault="00AA3257" w:rsidP="00AA3257">
      <w:pPr>
        <w:numPr>
          <w:ilvl w:val="0"/>
          <w:numId w:val="3"/>
        </w:numPr>
        <w:autoSpaceDE w:val="0"/>
        <w:autoSpaceDN w:val="0"/>
        <w:adjustRightInd w:val="0"/>
        <w:spacing w:after="120" w:line="276" w:lineRule="auto"/>
        <w:ind w:left="284"/>
        <w:jc w:val="both"/>
        <w:rPr>
          <w:rFonts w:ascii="Times New Roman" w:eastAsia="Cambria" w:hAnsi="Times New Roman" w:cs="Times New Roman"/>
          <w:b/>
          <w:bCs/>
          <w:sz w:val="24"/>
          <w:szCs w:val="24"/>
          <w:lang w:eastAsia="pl-PL"/>
        </w:rPr>
      </w:pPr>
      <w:r w:rsidRPr="00AA3257">
        <w:rPr>
          <w:rFonts w:ascii="Times New Roman" w:eastAsia="Cambria" w:hAnsi="Times New Roman" w:cs="Times New Roman"/>
          <w:sz w:val="24"/>
          <w:szCs w:val="24"/>
          <w:lang w:eastAsia="pl-PL"/>
        </w:rPr>
        <w:t>ustawą z dnia 4 lipca 2019 r. o zmianie ustawy o podatku dochodowym od osób fizycznych, ustawy o świadczeniach rodzinnych oraz ustawy o świadczeniach opieki zdrowotnej finansowanych ze środków publicznych</w:t>
      </w:r>
      <w:r w:rsidRPr="00AA3257">
        <w:rPr>
          <w:rFonts w:ascii="Times New Roman" w:eastAsia="Cambria" w:hAnsi="Times New Roman" w:cs="Times New Roman"/>
          <w:i/>
          <w:sz w:val="24"/>
          <w:szCs w:val="24"/>
          <w:lang w:eastAsia="pl-PL"/>
        </w:rPr>
        <w:t xml:space="preserve"> </w:t>
      </w:r>
      <w:r w:rsidRPr="00AA3257">
        <w:rPr>
          <w:rFonts w:ascii="Times New Roman" w:eastAsia="Cambria" w:hAnsi="Times New Roman" w:cs="Times New Roman"/>
          <w:sz w:val="24"/>
          <w:szCs w:val="24"/>
          <w:lang w:eastAsia="pl-PL"/>
        </w:rPr>
        <w:t>(</w:t>
      </w:r>
      <w:r w:rsidRPr="00AA3257">
        <w:rPr>
          <w:rFonts w:ascii="Times New Roman" w:eastAsia="Cambria" w:hAnsi="Times New Roman" w:cs="Times New Roman"/>
          <w:bCs/>
          <w:sz w:val="24"/>
          <w:szCs w:val="24"/>
          <w:lang w:eastAsia="pl-PL"/>
        </w:rPr>
        <w:t>Dz. U. poz. 1394)</w:t>
      </w:r>
      <w:r w:rsidR="00317E7A">
        <w:rPr>
          <w:rFonts w:ascii="Times New Roman" w:eastAsia="Cambria" w:hAnsi="Times New Roman" w:cs="Times New Roman"/>
          <w:bCs/>
          <w:sz w:val="24"/>
          <w:szCs w:val="24"/>
          <w:lang w:eastAsia="pl-PL"/>
        </w:rPr>
        <w:t>,</w:t>
      </w:r>
      <w:r w:rsidRPr="00AA3257">
        <w:rPr>
          <w:rFonts w:ascii="Times New Roman" w:eastAsia="Cambria" w:hAnsi="Times New Roman" w:cs="Times New Roman"/>
          <w:bCs/>
          <w:sz w:val="24"/>
          <w:szCs w:val="24"/>
          <w:lang w:eastAsia="pl-PL"/>
        </w:rPr>
        <w:t xml:space="preserve"> którą </w:t>
      </w:r>
      <w:r w:rsidRPr="00AA3257">
        <w:rPr>
          <w:rFonts w:ascii="Times New Roman" w:eastAsia="Cambria" w:hAnsi="Times New Roman" w:cs="Times New Roman"/>
          <w:sz w:val="24"/>
          <w:szCs w:val="24"/>
          <w:lang w:eastAsia="pl-PL"/>
        </w:rPr>
        <w:t xml:space="preserve">wprowadzono, </w:t>
      </w:r>
      <w:r w:rsidRPr="00AA3257">
        <w:rPr>
          <w:rFonts w:ascii="Times New Roman" w:eastAsia="Cambria" w:hAnsi="Times New Roman" w:cs="Times New Roman"/>
          <w:bCs/>
          <w:sz w:val="24"/>
          <w:szCs w:val="24"/>
          <w:lang w:eastAsia="pl-PL"/>
        </w:rPr>
        <w:t xml:space="preserve">z dniem 1 sierpnia 2019 r., </w:t>
      </w:r>
      <w:r w:rsidRPr="00AA3257">
        <w:rPr>
          <w:rFonts w:ascii="Times New Roman" w:eastAsia="Cambria" w:hAnsi="Times New Roman" w:cs="Times New Roman"/>
          <w:sz w:val="24"/>
          <w:szCs w:val="24"/>
          <w:lang w:eastAsia="pl-PL"/>
        </w:rPr>
        <w:t>zwolnienie od podatku dochodowego dla podatników, do ukończenia przez</w:t>
      </w:r>
      <w:r w:rsidR="00FF499C">
        <w:rPr>
          <w:rFonts w:ascii="Times New Roman" w:eastAsia="Cambria" w:hAnsi="Times New Roman" w:cs="Times New Roman"/>
          <w:sz w:val="24"/>
          <w:szCs w:val="24"/>
          <w:lang w:eastAsia="pl-PL"/>
        </w:rPr>
        <w:t> </w:t>
      </w:r>
      <w:r w:rsidRPr="00AA3257">
        <w:rPr>
          <w:rFonts w:ascii="Times New Roman" w:eastAsia="Cambria" w:hAnsi="Times New Roman" w:cs="Times New Roman"/>
          <w:sz w:val="24"/>
          <w:szCs w:val="24"/>
          <w:lang w:eastAsia="pl-PL"/>
        </w:rPr>
        <w:t>nich 26. roku życia, uzyskujących przychody ze stosunku służbowego, stosunku pracy, pracy nakładczej, spółdzielczego st</w:t>
      </w:r>
      <w:r w:rsidR="00317E7A">
        <w:rPr>
          <w:rFonts w:ascii="Times New Roman" w:eastAsia="Cambria" w:hAnsi="Times New Roman" w:cs="Times New Roman"/>
          <w:sz w:val="24"/>
          <w:szCs w:val="24"/>
          <w:lang w:eastAsia="pl-PL"/>
        </w:rPr>
        <w:t>osunku pracy oraz umów zlecenia;</w:t>
      </w:r>
      <w:r w:rsidRPr="00AA3257">
        <w:rPr>
          <w:rFonts w:ascii="Times New Roman" w:eastAsia="Cambria" w:hAnsi="Times New Roman" w:cs="Times New Roman"/>
          <w:sz w:val="24"/>
          <w:szCs w:val="24"/>
          <w:lang w:eastAsia="pl-PL"/>
        </w:rPr>
        <w:t xml:space="preserve"> </w:t>
      </w:r>
    </w:p>
    <w:p w:rsidR="00AA3257" w:rsidRPr="00190B6E" w:rsidRDefault="00AA3257" w:rsidP="00AA3257">
      <w:pPr>
        <w:numPr>
          <w:ilvl w:val="0"/>
          <w:numId w:val="3"/>
        </w:numPr>
        <w:autoSpaceDE w:val="0"/>
        <w:autoSpaceDN w:val="0"/>
        <w:adjustRightInd w:val="0"/>
        <w:spacing w:after="120" w:line="276" w:lineRule="auto"/>
        <w:ind w:left="284" w:hanging="357"/>
        <w:jc w:val="both"/>
        <w:rPr>
          <w:rFonts w:ascii="Times New Roman" w:eastAsia="Cambria" w:hAnsi="Times New Roman" w:cs="Times New Roman"/>
          <w:color w:val="000000" w:themeColor="text1"/>
          <w:sz w:val="24"/>
          <w:szCs w:val="24"/>
          <w:u w:val="single"/>
          <w:lang w:eastAsia="pl-PL"/>
        </w:rPr>
      </w:pPr>
      <w:r w:rsidRPr="00AA3257">
        <w:rPr>
          <w:rFonts w:ascii="Times New Roman" w:eastAsia="Cambria" w:hAnsi="Times New Roman" w:cs="Times New Roman"/>
          <w:color w:val="000000"/>
          <w:sz w:val="24"/>
          <w:szCs w:val="24"/>
        </w:rPr>
        <w:t>ustawą z dnia 30 sierpnia 2019 r. o zmianie ustawy o podatku dochodowym od osób fizycznych oraz ustawy o zmianie ustawy o podatku dochodowym od osób fizycznych oraz niektórych innych ustaw (</w:t>
      </w:r>
      <w:r w:rsidRPr="00AA3257">
        <w:rPr>
          <w:rFonts w:ascii="Times New Roman" w:eastAsia="Cambria" w:hAnsi="Times New Roman" w:cs="Times New Roman"/>
          <w:bCs/>
          <w:sz w:val="24"/>
          <w:szCs w:val="24"/>
          <w:lang w:eastAsia="pl-PL"/>
        </w:rPr>
        <w:t xml:space="preserve">Dz. U. </w:t>
      </w:r>
      <w:r w:rsidRPr="00AA3257">
        <w:rPr>
          <w:rFonts w:ascii="Times New Roman" w:eastAsia="Cambria" w:hAnsi="Times New Roman" w:cs="Times New Roman"/>
          <w:color w:val="000000"/>
          <w:sz w:val="24"/>
          <w:szCs w:val="24"/>
        </w:rPr>
        <w:t>poz. 1835)</w:t>
      </w:r>
      <w:r w:rsidR="00317E7A">
        <w:rPr>
          <w:rFonts w:ascii="Times New Roman" w:eastAsia="Cambria" w:hAnsi="Times New Roman" w:cs="Times New Roman"/>
          <w:color w:val="000000"/>
          <w:sz w:val="24"/>
          <w:szCs w:val="24"/>
        </w:rPr>
        <w:t>,</w:t>
      </w:r>
      <w:r w:rsidRPr="00AA3257">
        <w:rPr>
          <w:rFonts w:ascii="Times New Roman" w:eastAsia="Cambria" w:hAnsi="Times New Roman" w:cs="Times New Roman"/>
          <w:color w:val="000000"/>
          <w:sz w:val="24"/>
          <w:szCs w:val="24"/>
        </w:rPr>
        <w:t xml:space="preserve"> którą wprowadzono, od 1 października 2019 r., zmiany polegające na:</w:t>
      </w:r>
    </w:p>
    <w:p w:rsidR="00AA3257" w:rsidRPr="00AA3257" w:rsidRDefault="00AA3257" w:rsidP="00AA3257">
      <w:pPr>
        <w:numPr>
          <w:ilvl w:val="0"/>
          <w:numId w:val="4"/>
        </w:numPr>
        <w:spacing w:after="120" w:line="276" w:lineRule="auto"/>
        <w:ind w:left="709" w:hanging="357"/>
        <w:jc w:val="both"/>
        <w:rPr>
          <w:rFonts w:ascii="Times New Roman" w:eastAsia="Cambria" w:hAnsi="Times New Roman" w:cs="Times New Roman"/>
          <w:sz w:val="24"/>
          <w:szCs w:val="24"/>
        </w:rPr>
      </w:pPr>
      <w:r w:rsidRPr="00AA3257">
        <w:rPr>
          <w:rFonts w:ascii="Times New Roman" w:eastAsia="Cambria" w:hAnsi="Times New Roman" w:cs="Times New Roman"/>
          <w:sz w:val="24"/>
          <w:szCs w:val="24"/>
        </w:rPr>
        <w:t>obniżeniu kosztów pracy przez ponad dwukrotne podniesienie kosztów uzyskania przychodów dla pracowników</w:t>
      </w:r>
      <w:r w:rsidRPr="00AA3257">
        <w:rPr>
          <w:rFonts w:ascii="Times New Roman" w:eastAsia="Cambria" w:hAnsi="Times New Roman" w:cs="Times New Roman"/>
          <w:color w:val="000000"/>
          <w:sz w:val="24"/>
          <w:szCs w:val="24"/>
        </w:rPr>
        <w:t>,</w:t>
      </w:r>
    </w:p>
    <w:p w:rsidR="00AA3257" w:rsidRPr="00AA3257" w:rsidRDefault="00AA3257" w:rsidP="00AA3257">
      <w:pPr>
        <w:numPr>
          <w:ilvl w:val="0"/>
          <w:numId w:val="4"/>
        </w:numPr>
        <w:spacing w:after="120" w:line="276" w:lineRule="auto"/>
        <w:ind w:left="709" w:hanging="357"/>
        <w:jc w:val="both"/>
        <w:rPr>
          <w:rFonts w:ascii="Times New Roman" w:eastAsia="Cambria" w:hAnsi="Times New Roman" w:cs="Times New Roman"/>
          <w:sz w:val="24"/>
          <w:szCs w:val="24"/>
        </w:rPr>
      </w:pPr>
      <w:r w:rsidRPr="00AA3257">
        <w:rPr>
          <w:rFonts w:ascii="Times New Roman" w:eastAsia="Cambria" w:hAnsi="Times New Roman" w:cs="Times New Roman"/>
          <w:sz w:val="24"/>
          <w:szCs w:val="24"/>
        </w:rPr>
        <w:t>obniżeniu z 18% do 17% stawki podatku określonej w pierwszym przedziale skali podatkowej</w:t>
      </w:r>
      <w:r w:rsidR="00317E7A">
        <w:rPr>
          <w:rFonts w:ascii="Times New Roman" w:eastAsia="Cambria" w:hAnsi="Times New Roman" w:cs="Times New Roman"/>
          <w:sz w:val="24"/>
          <w:szCs w:val="24"/>
        </w:rPr>
        <w:t>.</w:t>
      </w:r>
    </w:p>
    <w:p w:rsidR="00DB6241" w:rsidRDefault="00DB6241" w:rsidP="00AA3257">
      <w:pPr>
        <w:spacing w:after="120" w:line="276" w:lineRule="auto"/>
        <w:jc w:val="both"/>
        <w:rPr>
          <w:rFonts w:ascii="Times New Roman" w:eastAsia="Cambria" w:hAnsi="Times New Roman" w:cs="Times New Roman"/>
          <w:sz w:val="24"/>
          <w:szCs w:val="24"/>
        </w:rPr>
      </w:pPr>
    </w:p>
    <w:p w:rsidR="00AA3257" w:rsidRDefault="00AA3257" w:rsidP="00AA3257">
      <w:pPr>
        <w:spacing w:after="120" w:line="276" w:lineRule="auto"/>
        <w:jc w:val="both"/>
        <w:rPr>
          <w:rFonts w:ascii="Times New Roman" w:eastAsia="Cambria" w:hAnsi="Times New Roman" w:cs="Times New Roman"/>
          <w:sz w:val="24"/>
          <w:szCs w:val="24"/>
        </w:rPr>
      </w:pPr>
      <w:r w:rsidRPr="00AA3257">
        <w:rPr>
          <w:rFonts w:ascii="Times New Roman" w:eastAsia="Cambria" w:hAnsi="Times New Roman" w:cs="Times New Roman"/>
          <w:sz w:val="24"/>
          <w:szCs w:val="24"/>
        </w:rPr>
        <w:t>Do 2019 r. obserwowany był bowiem znaczny wzrost wpływów z tytułu PIT jak i CIT, mimo stosowania przez podatników dwustopniowej skali podatkowej oraz odliczeń, w tym tzw. ulgi na</w:t>
      </w:r>
      <w:r w:rsidR="00D33FD6">
        <w:rPr>
          <w:rFonts w:ascii="Times New Roman" w:eastAsia="Cambria" w:hAnsi="Times New Roman" w:cs="Times New Roman"/>
          <w:sz w:val="24"/>
          <w:szCs w:val="24"/>
        </w:rPr>
        <w:t> </w:t>
      </w:r>
      <w:r w:rsidRPr="00AA3257">
        <w:rPr>
          <w:rFonts w:ascii="Times New Roman" w:eastAsia="Cambria" w:hAnsi="Times New Roman" w:cs="Times New Roman"/>
          <w:sz w:val="24"/>
          <w:szCs w:val="24"/>
        </w:rPr>
        <w:t>wychowanie dzieci.</w:t>
      </w:r>
    </w:p>
    <w:p w:rsidR="00AA3257" w:rsidRPr="00AA3257" w:rsidRDefault="00AA3257" w:rsidP="00AA3257">
      <w:pPr>
        <w:spacing w:after="120" w:line="276" w:lineRule="auto"/>
        <w:jc w:val="both"/>
        <w:rPr>
          <w:rFonts w:ascii="Times New Roman" w:eastAsia="Cambria" w:hAnsi="Times New Roman" w:cs="Times New Roman"/>
          <w:sz w:val="24"/>
          <w:szCs w:val="24"/>
        </w:rPr>
      </w:pPr>
    </w:p>
    <w:p w:rsidR="00AA3257" w:rsidRPr="00AA3257" w:rsidRDefault="00AA3257" w:rsidP="00AA3257">
      <w:pPr>
        <w:spacing w:after="120" w:line="240" w:lineRule="auto"/>
        <w:jc w:val="center"/>
        <w:rPr>
          <w:rFonts w:ascii="Times New Roman" w:eastAsia="Cambria" w:hAnsi="Times New Roman" w:cs="Times New Roman"/>
          <w:sz w:val="24"/>
          <w:szCs w:val="24"/>
        </w:rPr>
      </w:pPr>
      <w:r w:rsidRPr="00AA3257">
        <w:rPr>
          <w:rFonts w:ascii="Cambria" w:eastAsia="Cambria" w:hAnsi="Cambria" w:cs="Times New Roman"/>
          <w:noProof/>
          <w:sz w:val="24"/>
          <w:szCs w:val="24"/>
          <w:lang w:eastAsia="pl-PL"/>
        </w:rPr>
        <w:drawing>
          <wp:inline distT="0" distB="0" distL="0" distR="0" wp14:anchorId="3006BA44" wp14:editId="0D249C65">
            <wp:extent cx="2257425" cy="1971675"/>
            <wp:effectExtent l="0" t="0" r="9525" b="9525"/>
            <wp:docPr id="7" name="Wykres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Pr="00AA3257">
        <w:rPr>
          <w:rFonts w:ascii="Cambria" w:eastAsia="Cambria" w:hAnsi="Cambria" w:cs="Times New Roman"/>
          <w:noProof/>
          <w:sz w:val="24"/>
          <w:szCs w:val="24"/>
          <w:lang w:eastAsia="pl-PL"/>
        </w:rPr>
        <w:drawing>
          <wp:inline distT="0" distB="0" distL="0" distR="0" wp14:anchorId="5090926D" wp14:editId="554E413A">
            <wp:extent cx="2209800" cy="1971675"/>
            <wp:effectExtent l="0" t="0" r="0" b="9525"/>
            <wp:docPr id="8" name="Wykres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A3257" w:rsidRDefault="00AA3257" w:rsidP="00AA3257">
      <w:pPr>
        <w:spacing w:after="120" w:line="240" w:lineRule="auto"/>
        <w:jc w:val="both"/>
        <w:rPr>
          <w:rFonts w:ascii="Times New Roman" w:eastAsia="Cambria" w:hAnsi="Times New Roman" w:cs="Times New Roman"/>
          <w:iCs/>
          <w:sz w:val="24"/>
          <w:szCs w:val="24"/>
        </w:rPr>
      </w:pPr>
    </w:p>
    <w:p w:rsidR="00AA3257" w:rsidRPr="00AA3257" w:rsidRDefault="00AA3257" w:rsidP="00AA3257">
      <w:pPr>
        <w:spacing w:after="120" w:line="276" w:lineRule="auto"/>
        <w:jc w:val="both"/>
        <w:rPr>
          <w:rFonts w:ascii="Cambria" w:eastAsia="Cambria" w:hAnsi="Cambria" w:cs="Times New Roman"/>
          <w:bCs/>
          <w:sz w:val="24"/>
          <w:szCs w:val="24"/>
        </w:rPr>
      </w:pPr>
      <w:r w:rsidRPr="00AA3257">
        <w:rPr>
          <w:rFonts w:ascii="Times New Roman" w:eastAsia="Cambria" w:hAnsi="Times New Roman" w:cs="Times New Roman"/>
          <w:iCs/>
          <w:sz w:val="24"/>
          <w:szCs w:val="24"/>
        </w:rPr>
        <w:t>Wzrost wpływów z tych podatków był wynikiem zarówno dobrej sytuacji makroekonomicznej, jak również szeregu działań mających na celu zwiększenie stopnia przestrzegania przepisów podatkowych, ograniczających straty z tytułu oszustw oraz unikania opodatkowania. Do działań tych zaliczyć należy między innymi: publikowanie ostrzeżeń przed optymalizacją podatkową, wdrożenie dla wszystkich przedsiębiorców s</w:t>
      </w:r>
      <w:r w:rsidRPr="00AA3257">
        <w:rPr>
          <w:rFonts w:ascii="Times New Roman" w:eastAsia="Cambria" w:hAnsi="Times New Roman" w:cs="Times New Roman"/>
          <w:bCs/>
          <w:iCs/>
          <w:sz w:val="24"/>
          <w:szCs w:val="24"/>
        </w:rPr>
        <w:t>ystemu miesięcznego raportowania sprzedaży i</w:t>
      </w:r>
      <w:r>
        <w:rPr>
          <w:rFonts w:ascii="Times New Roman" w:eastAsia="Cambria" w:hAnsi="Times New Roman" w:cs="Times New Roman"/>
          <w:bCs/>
          <w:iCs/>
          <w:sz w:val="24"/>
          <w:szCs w:val="24"/>
        </w:rPr>
        <w:t> </w:t>
      </w:r>
      <w:r w:rsidRPr="00AA3257">
        <w:rPr>
          <w:rFonts w:ascii="Times New Roman" w:eastAsia="Cambria" w:hAnsi="Times New Roman" w:cs="Times New Roman"/>
          <w:bCs/>
          <w:iCs/>
          <w:sz w:val="24"/>
          <w:szCs w:val="24"/>
        </w:rPr>
        <w:t>zakupów (JPK), czy też wprowadzenie klauzuli przeciwko unikaniu opodatkowania. Podjęto również szereg działań legislacyjnych w obszarze podatków dochodowych mających na celu uszczelnienie systemu podatkowego, polegających w szczególności na</w:t>
      </w:r>
      <w:r w:rsidRPr="00AA3257">
        <w:rPr>
          <w:rFonts w:ascii="Cambria" w:eastAsia="Cambria" w:hAnsi="Cambria" w:cs="Times New Roman"/>
          <w:bCs/>
          <w:sz w:val="24"/>
          <w:szCs w:val="24"/>
        </w:rPr>
        <w:t>:</w:t>
      </w:r>
    </w:p>
    <w:p w:rsidR="00AA3257" w:rsidRPr="00AA3257" w:rsidRDefault="00AA3257" w:rsidP="00AA3257">
      <w:pPr>
        <w:numPr>
          <w:ilvl w:val="0"/>
          <w:numId w:val="5"/>
        </w:numPr>
        <w:spacing w:after="120" w:line="276" w:lineRule="auto"/>
        <w:contextualSpacing/>
        <w:jc w:val="both"/>
        <w:rPr>
          <w:rFonts w:ascii="Times New Roman" w:eastAsia="Cambria" w:hAnsi="Times New Roman" w:cs="Times New Roman"/>
          <w:sz w:val="24"/>
          <w:szCs w:val="24"/>
        </w:rPr>
      </w:pPr>
      <w:r w:rsidRPr="00AA3257">
        <w:rPr>
          <w:rFonts w:ascii="Times New Roman" w:eastAsia="Cambria" w:hAnsi="Times New Roman" w:cs="Times New Roman"/>
          <w:bCs/>
          <w:sz w:val="24"/>
          <w:szCs w:val="24"/>
        </w:rPr>
        <w:t>limitowaniu wysokości kosztów uzyskania przychodów,</w:t>
      </w:r>
    </w:p>
    <w:p w:rsidR="00AA3257" w:rsidRPr="00AA3257" w:rsidRDefault="00AA3257" w:rsidP="00AA3257">
      <w:pPr>
        <w:numPr>
          <w:ilvl w:val="0"/>
          <w:numId w:val="5"/>
        </w:numPr>
        <w:spacing w:after="120" w:line="276" w:lineRule="auto"/>
        <w:contextualSpacing/>
        <w:jc w:val="both"/>
        <w:rPr>
          <w:rFonts w:ascii="Times New Roman" w:eastAsia="Cambria" w:hAnsi="Times New Roman" w:cs="Times New Roman"/>
          <w:sz w:val="24"/>
          <w:szCs w:val="24"/>
        </w:rPr>
      </w:pPr>
      <w:r w:rsidRPr="00AA3257">
        <w:rPr>
          <w:rFonts w:ascii="Times New Roman" w:eastAsia="Cambria" w:hAnsi="Times New Roman" w:cs="Times New Roman"/>
          <w:bCs/>
          <w:sz w:val="24"/>
          <w:szCs w:val="24"/>
        </w:rPr>
        <w:t>ro</w:t>
      </w:r>
      <w:r w:rsidR="003F6F31">
        <w:rPr>
          <w:rFonts w:ascii="Times New Roman" w:eastAsia="Cambria" w:hAnsi="Times New Roman" w:cs="Times New Roman"/>
          <w:bCs/>
          <w:sz w:val="24"/>
          <w:szCs w:val="24"/>
        </w:rPr>
        <w:t xml:space="preserve">zdzieleniu źródeł przychodów w </w:t>
      </w:r>
      <w:r w:rsidRPr="00AA3257">
        <w:rPr>
          <w:rFonts w:ascii="Times New Roman" w:eastAsia="Cambria" w:hAnsi="Times New Roman" w:cs="Times New Roman"/>
          <w:bCs/>
          <w:sz w:val="24"/>
          <w:szCs w:val="24"/>
        </w:rPr>
        <w:t>CIT,</w:t>
      </w:r>
    </w:p>
    <w:p w:rsidR="00AA3257" w:rsidRPr="00AA3257" w:rsidRDefault="00AA3257" w:rsidP="00AA3257">
      <w:pPr>
        <w:numPr>
          <w:ilvl w:val="0"/>
          <w:numId w:val="5"/>
        </w:numPr>
        <w:spacing w:after="120" w:line="276" w:lineRule="auto"/>
        <w:contextualSpacing/>
        <w:jc w:val="both"/>
        <w:rPr>
          <w:rFonts w:ascii="Times New Roman" w:eastAsia="Calibri" w:hAnsi="Times New Roman" w:cs="Times New Roman"/>
          <w:sz w:val="24"/>
          <w:szCs w:val="24"/>
        </w:rPr>
      </w:pPr>
      <w:r w:rsidRPr="008C10DD">
        <w:rPr>
          <w:rFonts w:ascii="Times New Roman" w:eastAsia="Cambria" w:hAnsi="Times New Roman" w:cs="Times New Roman"/>
          <w:bCs/>
          <w:iCs/>
          <w:sz w:val="24"/>
          <w:szCs w:val="24"/>
        </w:rPr>
        <w:t>wprowadzeniu</w:t>
      </w:r>
      <w:r w:rsidRPr="008C10DD">
        <w:rPr>
          <w:rFonts w:ascii="Times New Roman" w:eastAsia="Cambria" w:hAnsi="Times New Roman" w:cs="Times New Roman"/>
          <w:color w:val="000000"/>
          <w:sz w:val="24"/>
          <w:szCs w:val="24"/>
          <w:shd w:val="clear" w:color="auto" w:fill="FFFFFF"/>
        </w:rPr>
        <w:t xml:space="preserve"> nowych przepisów dotyczących</w:t>
      </w:r>
      <w:r w:rsidRPr="00AA3257">
        <w:rPr>
          <w:rFonts w:ascii="Times New Roman" w:eastAsia="Cambria" w:hAnsi="Times New Roman" w:cs="Times New Roman"/>
          <w:color w:val="000000"/>
          <w:sz w:val="24"/>
          <w:szCs w:val="24"/>
          <w:shd w:val="clear" w:color="auto" w:fill="FFFFFF"/>
        </w:rPr>
        <w:t xml:space="preserve"> leasingu samochodów osobowych,</w:t>
      </w:r>
    </w:p>
    <w:p w:rsidR="00AA3257" w:rsidRPr="00AA3257" w:rsidRDefault="00AA3257" w:rsidP="00AA3257">
      <w:pPr>
        <w:numPr>
          <w:ilvl w:val="0"/>
          <w:numId w:val="5"/>
        </w:numPr>
        <w:spacing w:after="120" w:line="276" w:lineRule="auto"/>
        <w:contextualSpacing/>
        <w:jc w:val="both"/>
        <w:rPr>
          <w:rFonts w:ascii="Times New Roman" w:eastAsia="Cambria" w:hAnsi="Times New Roman" w:cs="Times New Roman"/>
          <w:sz w:val="24"/>
          <w:szCs w:val="24"/>
        </w:rPr>
      </w:pPr>
      <w:r w:rsidRPr="00AA3257">
        <w:rPr>
          <w:rFonts w:ascii="Times New Roman" w:eastAsia="Cambria" w:hAnsi="Times New Roman" w:cs="Times New Roman"/>
          <w:bCs/>
          <w:sz w:val="24"/>
          <w:szCs w:val="24"/>
        </w:rPr>
        <w:t xml:space="preserve">ograniczeniu cienkiej kapitalizacji, </w:t>
      </w:r>
    </w:p>
    <w:p w:rsidR="00AA3257" w:rsidRPr="00AA3257" w:rsidRDefault="00AA3257" w:rsidP="00AA3257">
      <w:pPr>
        <w:numPr>
          <w:ilvl w:val="0"/>
          <w:numId w:val="5"/>
        </w:numPr>
        <w:spacing w:after="120" w:line="276" w:lineRule="auto"/>
        <w:contextualSpacing/>
        <w:jc w:val="both"/>
        <w:rPr>
          <w:rFonts w:ascii="Times New Roman" w:eastAsia="Cambria" w:hAnsi="Times New Roman" w:cs="Times New Roman"/>
          <w:sz w:val="24"/>
          <w:szCs w:val="24"/>
        </w:rPr>
      </w:pPr>
      <w:r w:rsidRPr="00AA3257">
        <w:rPr>
          <w:rFonts w:ascii="Times New Roman" w:eastAsia="Cambria" w:hAnsi="Times New Roman" w:cs="Times New Roman"/>
          <w:bCs/>
          <w:sz w:val="24"/>
          <w:szCs w:val="24"/>
        </w:rPr>
        <w:t xml:space="preserve">modyfikacji przepisów dotyczących zagranicznej jednostki kontrolowanej, </w:t>
      </w:r>
    </w:p>
    <w:p w:rsidR="00AA3257" w:rsidRPr="00AA3257" w:rsidRDefault="00AA3257" w:rsidP="00AA3257">
      <w:pPr>
        <w:numPr>
          <w:ilvl w:val="0"/>
          <w:numId w:val="5"/>
        </w:numPr>
        <w:spacing w:after="120" w:line="276" w:lineRule="auto"/>
        <w:contextualSpacing/>
        <w:jc w:val="both"/>
        <w:rPr>
          <w:rFonts w:ascii="Times New Roman" w:eastAsia="Cambria" w:hAnsi="Times New Roman" w:cs="Times New Roman"/>
          <w:sz w:val="24"/>
          <w:szCs w:val="24"/>
        </w:rPr>
      </w:pPr>
      <w:r w:rsidRPr="00AA3257">
        <w:rPr>
          <w:rFonts w:ascii="Times New Roman" w:eastAsia="Cambria" w:hAnsi="Times New Roman" w:cs="Times New Roman"/>
          <w:bCs/>
          <w:sz w:val="24"/>
          <w:szCs w:val="24"/>
        </w:rPr>
        <w:t>modyfikacji przepisów dotyczących podatkowej grupy kapitałowej.</w:t>
      </w:r>
    </w:p>
    <w:p w:rsidR="00AA3257" w:rsidRPr="00DC3265" w:rsidRDefault="00AA3257" w:rsidP="00DC3265">
      <w:pPr>
        <w:spacing w:after="0" w:line="276" w:lineRule="auto"/>
        <w:jc w:val="both"/>
        <w:rPr>
          <w:rFonts w:ascii="Times New Roman" w:eastAsia="Cambria" w:hAnsi="Times New Roman" w:cs="Times New Roman"/>
          <w:color w:val="000000" w:themeColor="text1"/>
          <w:sz w:val="24"/>
          <w:szCs w:val="24"/>
        </w:rPr>
      </w:pPr>
      <w:r w:rsidRPr="00DC3265">
        <w:rPr>
          <w:rFonts w:ascii="Times New Roman" w:eastAsia="Cambria" w:hAnsi="Times New Roman" w:cs="Times New Roman"/>
          <w:color w:val="000000" w:themeColor="text1"/>
          <w:sz w:val="24"/>
          <w:szCs w:val="24"/>
        </w:rPr>
        <w:t>Wskazane działania w sposób trwały wpływają na wzrost dochodów z tytułu podatków dochodowych.</w:t>
      </w:r>
    </w:p>
    <w:p w:rsidR="00AA3257" w:rsidRPr="00AA3257" w:rsidRDefault="00AA3257" w:rsidP="00AA3257">
      <w:pPr>
        <w:spacing w:after="120" w:line="276" w:lineRule="auto"/>
        <w:jc w:val="both"/>
        <w:rPr>
          <w:rFonts w:ascii="Times New Roman" w:eastAsia="Cambria" w:hAnsi="Times New Roman" w:cs="Times New Roman"/>
          <w:sz w:val="24"/>
          <w:szCs w:val="24"/>
          <w:lang w:eastAsia="pl-PL"/>
        </w:rPr>
      </w:pPr>
      <w:r w:rsidRPr="00AA3257">
        <w:rPr>
          <w:rFonts w:ascii="Times New Roman" w:eastAsia="Cambria" w:hAnsi="Times New Roman" w:cs="Times New Roman"/>
          <w:sz w:val="24"/>
        </w:rPr>
        <w:t>Zwiększenie wpływów z tytułu podatków dochodowych umożliwiło podjęcie działań</w:t>
      </w:r>
      <w:r w:rsidRPr="00AA3257">
        <w:rPr>
          <w:rFonts w:ascii="Times New Roman" w:eastAsia="Cambria" w:hAnsi="Times New Roman" w:cs="Times New Roman"/>
          <w:sz w:val="24"/>
          <w:szCs w:val="24"/>
          <w:lang w:eastAsia="pl-PL"/>
        </w:rPr>
        <w:t xml:space="preserve"> w celu obniżenia obciążeń podatkowych podatników podatku dochodowego od osób fizycznych, stąd zmiany wprowadzone powołanymi wyżej ustawami już w trakcie 2019 r.</w:t>
      </w:r>
    </w:p>
    <w:p w:rsidR="00AA3257" w:rsidRPr="00AA3257" w:rsidRDefault="00AA3257" w:rsidP="00AA3257">
      <w:pPr>
        <w:autoSpaceDE w:val="0"/>
        <w:autoSpaceDN w:val="0"/>
        <w:adjustRightInd w:val="0"/>
        <w:spacing w:after="120" w:line="276" w:lineRule="auto"/>
        <w:jc w:val="both"/>
        <w:rPr>
          <w:rFonts w:ascii="Times New Roman" w:eastAsia="Cambria" w:hAnsi="Times New Roman" w:cs="Times New Roman"/>
          <w:sz w:val="24"/>
          <w:szCs w:val="24"/>
          <w:lang w:eastAsia="pl-PL"/>
        </w:rPr>
      </w:pPr>
      <w:r w:rsidRPr="00AA3257">
        <w:rPr>
          <w:rFonts w:ascii="Times New Roman" w:eastAsia="Cambria" w:hAnsi="Times New Roman" w:cs="Times New Roman"/>
          <w:sz w:val="24"/>
          <w:szCs w:val="24"/>
          <w:lang w:eastAsia="pl-PL"/>
        </w:rPr>
        <w:t xml:space="preserve">Należy jednak zauważyć, że mimo wprowadzonych w 2019 r. rozwiązań, wpływy </w:t>
      </w:r>
      <w:r w:rsidRPr="00AA3257">
        <w:rPr>
          <w:rFonts w:ascii="Times New Roman" w:eastAsia="Cambria" w:hAnsi="Times New Roman" w:cs="Times New Roman"/>
          <w:sz w:val="24"/>
          <w:szCs w:val="24"/>
        </w:rPr>
        <w:t xml:space="preserve">(budżetu państwa i jednostek samorządu terytorialnego) </w:t>
      </w:r>
      <w:r w:rsidRPr="00AA3257">
        <w:rPr>
          <w:rFonts w:ascii="Times New Roman" w:eastAsia="Cambria" w:hAnsi="Times New Roman" w:cs="Times New Roman"/>
          <w:sz w:val="24"/>
          <w:szCs w:val="24"/>
          <w:lang w:eastAsia="pl-PL"/>
        </w:rPr>
        <w:t>w 2019 r. z tytułu podatku dochodowego od osób fizycznych wyniosły 122,0 mld zł i były o 1,4% wyższe od wielkości planowanej na 2019 r. (o 10,1% wyższe niż wpływy w 2018 r.).</w:t>
      </w:r>
    </w:p>
    <w:p w:rsidR="00AA3257" w:rsidRPr="00AA3257" w:rsidRDefault="00AA3257" w:rsidP="00AA3257">
      <w:pPr>
        <w:autoSpaceDE w:val="0"/>
        <w:autoSpaceDN w:val="0"/>
        <w:adjustRightInd w:val="0"/>
        <w:spacing w:after="120" w:line="276" w:lineRule="auto"/>
        <w:jc w:val="both"/>
        <w:rPr>
          <w:rFonts w:ascii="Times New Roman" w:eastAsia="Cambria" w:hAnsi="Times New Roman" w:cs="Times New Roman"/>
          <w:sz w:val="24"/>
          <w:szCs w:val="24"/>
          <w:lang w:eastAsia="pl-PL"/>
        </w:rPr>
      </w:pPr>
      <w:r w:rsidRPr="00AA3257">
        <w:rPr>
          <w:rFonts w:ascii="Times New Roman" w:eastAsia="Cambria" w:hAnsi="Times New Roman" w:cs="Times New Roman"/>
          <w:sz w:val="24"/>
          <w:szCs w:val="24"/>
          <w:lang w:eastAsia="pl-PL"/>
        </w:rPr>
        <w:t>Wysokość wpływów z tytułu podatków dochodowych jest na bieżąco monitorowana. Jednakże wykonanie dochodów z tytułu podatku dochodowego od osób fizycznych w poszczególnych miesiącach 2020 r. przebiega</w:t>
      </w:r>
      <w:r w:rsidR="005B5FC7">
        <w:rPr>
          <w:rFonts w:ascii="Times New Roman" w:eastAsia="Cambria" w:hAnsi="Times New Roman" w:cs="Times New Roman"/>
          <w:sz w:val="24"/>
          <w:szCs w:val="24"/>
          <w:lang w:eastAsia="pl-PL"/>
        </w:rPr>
        <w:t>ło</w:t>
      </w:r>
      <w:r w:rsidRPr="00AA3257">
        <w:rPr>
          <w:rFonts w:ascii="Times New Roman" w:eastAsia="Cambria" w:hAnsi="Times New Roman" w:cs="Times New Roman"/>
          <w:sz w:val="24"/>
          <w:szCs w:val="24"/>
          <w:lang w:eastAsia="pl-PL"/>
        </w:rPr>
        <w:t xml:space="preserve"> inaczej niż w latach poprzednich. Jest to wynik zmian wprowadzonych w 2019 r., sytuacji gospodarczej oraz działań legislacyjnych mających na celu wspieranie firm i ich ochronę przed negatywnymi skutk</w:t>
      </w:r>
      <w:r w:rsidR="00B914C2">
        <w:rPr>
          <w:rFonts w:ascii="Times New Roman" w:eastAsia="Cambria" w:hAnsi="Times New Roman" w:cs="Times New Roman"/>
          <w:sz w:val="24"/>
          <w:szCs w:val="24"/>
          <w:lang w:eastAsia="pl-PL"/>
        </w:rPr>
        <w:t>ami wywołanymi pandemią</w:t>
      </w:r>
      <w:r w:rsidRPr="00AA3257">
        <w:rPr>
          <w:rFonts w:ascii="Times New Roman" w:eastAsia="Cambria" w:hAnsi="Times New Roman" w:cs="Times New Roman"/>
          <w:sz w:val="24"/>
          <w:szCs w:val="24"/>
          <w:lang w:eastAsia="pl-PL"/>
        </w:rPr>
        <w:t>.</w:t>
      </w:r>
    </w:p>
    <w:p w:rsidR="00AA3257" w:rsidRPr="00AA3257" w:rsidRDefault="00AA3257" w:rsidP="00AA3257">
      <w:pPr>
        <w:widowControl w:val="0"/>
        <w:autoSpaceDE w:val="0"/>
        <w:autoSpaceDN w:val="0"/>
        <w:adjustRightInd w:val="0"/>
        <w:spacing w:after="120" w:line="276" w:lineRule="auto"/>
        <w:jc w:val="both"/>
        <w:rPr>
          <w:rFonts w:ascii="Times New Roman" w:eastAsia="Cambria" w:hAnsi="Times New Roman" w:cs="Times New Roman"/>
          <w:sz w:val="24"/>
          <w:szCs w:val="24"/>
        </w:rPr>
      </w:pPr>
      <w:r w:rsidRPr="00AA3257">
        <w:rPr>
          <w:rFonts w:ascii="Times New Roman" w:eastAsia="Cambria" w:hAnsi="Times New Roman" w:cs="Times New Roman"/>
          <w:sz w:val="24"/>
          <w:szCs w:val="24"/>
        </w:rPr>
        <w:lastRenderedPageBreak/>
        <w:t>Do rozwiązań tych zaliczyć należy m. in. przesunięcie terminów przekazania zaliczek na podatek dochodowy od osób fizycznych. Zgodnie z rozporządzeniem Ministra Finansów z dnia 1 czerwca 2020 r. w sprawie przedłużenia terminów przekazania przez niektórych płatników zaliczek na</w:t>
      </w:r>
      <w:r w:rsidR="00FF499C">
        <w:rPr>
          <w:rFonts w:ascii="Times New Roman" w:eastAsia="Cambria" w:hAnsi="Times New Roman" w:cs="Times New Roman"/>
          <w:sz w:val="24"/>
          <w:szCs w:val="24"/>
        </w:rPr>
        <w:t> </w:t>
      </w:r>
      <w:r w:rsidRPr="00AA3257">
        <w:rPr>
          <w:rFonts w:ascii="Times New Roman" w:eastAsia="Cambria" w:hAnsi="Times New Roman" w:cs="Times New Roman"/>
          <w:sz w:val="24"/>
          <w:szCs w:val="24"/>
        </w:rPr>
        <w:t>podatek dochodowy i zryczałtowanego podatku dochodowego (Dz. U. poz. 972) został przedłużony m.in.:</w:t>
      </w:r>
    </w:p>
    <w:p w:rsidR="00AA3257" w:rsidRPr="0083732E" w:rsidRDefault="00AA3257" w:rsidP="0083732E">
      <w:pPr>
        <w:numPr>
          <w:ilvl w:val="0"/>
          <w:numId w:val="6"/>
        </w:numPr>
        <w:autoSpaceDE w:val="0"/>
        <w:autoSpaceDN w:val="0"/>
        <w:spacing w:after="120" w:line="276" w:lineRule="auto"/>
        <w:contextualSpacing/>
        <w:jc w:val="both"/>
        <w:rPr>
          <w:rFonts w:ascii="Times New Roman" w:eastAsia="Cambria" w:hAnsi="Times New Roman" w:cs="Times New Roman"/>
          <w:sz w:val="24"/>
          <w:szCs w:val="24"/>
        </w:rPr>
      </w:pPr>
      <w:r w:rsidRPr="00AA3257">
        <w:rPr>
          <w:rFonts w:ascii="Times New Roman" w:eastAsia="Cambria" w:hAnsi="Times New Roman" w:cs="Times New Roman"/>
          <w:sz w:val="24"/>
          <w:szCs w:val="24"/>
        </w:rPr>
        <w:t>termin przekazania kwoty pobranych zaliczek na podatek i zryczałtowanego podatku dochodowego do dnia 20 października 2020 r. – w przypadku zaliczek na podatek i</w:t>
      </w:r>
      <w:r>
        <w:rPr>
          <w:rFonts w:ascii="Times New Roman" w:eastAsia="Cambria" w:hAnsi="Times New Roman" w:cs="Times New Roman"/>
          <w:sz w:val="24"/>
          <w:szCs w:val="24"/>
        </w:rPr>
        <w:t> </w:t>
      </w:r>
      <w:r w:rsidRPr="00AA3257">
        <w:rPr>
          <w:rFonts w:ascii="Times New Roman" w:eastAsia="Cambria" w:hAnsi="Times New Roman" w:cs="Times New Roman"/>
          <w:sz w:val="24"/>
          <w:szCs w:val="24"/>
        </w:rPr>
        <w:t>zryczałtowanego podatku dochodowego pobranych od podatników przez płatników w</w:t>
      </w:r>
      <w:r>
        <w:rPr>
          <w:rFonts w:ascii="Times New Roman" w:eastAsia="Cambria" w:hAnsi="Times New Roman" w:cs="Times New Roman"/>
          <w:sz w:val="24"/>
          <w:szCs w:val="24"/>
        </w:rPr>
        <w:t> </w:t>
      </w:r>
      <w:r w:rsidRPr="00AA3257">
        <w:rPr>
          <w:rFonts w:ascii="Times New Roman" w:eastAsia="Cambria" w:hAnsi="Times New Roman" w:cs="Times New Roman"/>
          <w:sz w:val="24"/>
          <w:szCs w:val="24"/>
        </w:rPr>
        <w:t>kwietniu 2020 r.</w:t>
      </w:r>
      <w:r w:rsidR="0083732E">
        <w:rPr>
          <w:rFonts w:ascii="Times New Roman" w:eastAsia="Cambria" w:hAnsi="Times New Roman" w:cs="Times New Roman"/>
          <w:sz w:val="24"/>
          <w:szCs w:val="24"/>
        </w:rPr>
        <w:t xml:space="preserve"> </w:t>
      </w:r>
      <w:r w:rsidRPr="0083732E">
        <w:rPr>
          <w:rFonts w:ascii="Times New Roman" w:eastAsia="Cambria" w:hAnsi="Times New Roman" w:cs="Times New Roman"/>
          <w:sz w:val="24"/>
          <w:szCs w:val="24"/>
        </w:rPr>
        <w:t>przewidziany w art. 52o ust. 1 ustawy z dnia 26 lipca 1991 r. o podatku dochodowym od osób fizycznych (Dz. U. z 20</w:t>
      </w:r>
      <w:r w:rsidR="006067AD">
        <w:rPr>
          <w:rFonts w:ascii="Times New Roman" w:eastAsia="Cambria" w:hAnsi="Times New Roman" w:cs="Times New Roman"/>
          <w:sz w:val="24"/>
          <w:szCs w:val="24"/>
        </w:rPr>
        <w:t>20</w:t>
      </w:r>
      <w:r w:rsidRPr="0083732E">
        <w:rPr>
          <w:rFonts w:ascii="Times New Roman" w:eastAsia="Cambria" w:hAnsi="Times New Roman" w:cs="Times New Roman"/>
          <w:sz w:val="24"/>
          <w:szCs w:val="24"/>
        </w:rPr>
        <w:t xml:space="preserve"> r. poz. 1</w:t>
      </w:r>
      <w:r w:rsidR="00DF44A7">
        <w:rPr>
          <w:rFonts w:ascii="Times New Roman" w:eastAsia="Cambria" w:hAnsi="Times New Roman" w:cs="Times New Roman"/>
          <w:sz w:val="24"/>
          <w:szCs w:val="24"/>
        </w:rPr>
        <w:t>426</w:t>
      </w:r>
      <w:r w:rsidRPr="0083732E">
        <w:rPr>
          <w:rFonts w:ascii="Times New Roman" w:eastAsia="Cambria" w:hAnsi="Times New Roman" w:cs="Times New Roman"/>
          <w:sz w:val="24"/>
          <w:szCs w:val="24"/>
        </w:rPr>
        <w:t>, z późn. zm.), zwanej dalej „ustawą”;</w:t>
      </w:r>
    </w:p>
    <w:p w:rsidR="00AA3257" w:rsidRPr="00AA3257" w:rsidRDefault="00AA3257" w:rsidP="00AA3257">
      <w:pPr>
        <w:numPr>
          <w:ilvl w:val="0"/>
          <w:numId w:val="6"/>
        </w:numPr>
        <w:autoSpaceDE w:val="0"/>
        <w:autoSpaceDN w:val="0"/>
        <w:spacing w:after="120" w:line="276" w:lineRule="auto"/>
        <w:contextualSpacing/>
        <w:jc w:val="both"/>
        <w:rPr>
          <w:rFonts w:ascii="Times New Roman" w:eastAsia="Cambria" w:hAnsi="Times New Roman" w:cs="Times New Roman"/>
          <w:sz w:val="24"/>
          <w:szCs w:val="24"/>
        </w:rPr>
      </w:pPr>
      <w:r w:rsidRPr="00AA3257">
        <w:rPr>
          <w:rFonts w:ascii="Times New Roman" w:eastAsia="Cambria" w:hAnsi="Times New Roman" w:cs="Times New Roman"/>
          <w:sz w:val="24"/>
          <w:szCs w:val="24"/>
        </w:rPr>
        <w:t xml:space="preserve">do dnia 20 grudnia 2020 r. terminy przewidziane w: </w:t>
      </w:r>
    </w:p>
    <w:p w:rsidR="00AA3257" w:rsidRPr="00AA3257" w:rsidRDefault="00AA3257" w:rsidP="00AA3257">
      <w:pPr>
        <w:numPr>
          <w:ilvl w:val="0"/>
          <w:numId w:val="7"/>
        </w:numPr>
        <w:autoSpaceDE w:val="0"/>
        <w:autoSpaceDN w:val="0"/>
        <w:spacing w:after="120" w:line="276" w:lineRule="auto"/>
        <w:ind w:left="993"/>
        <w:contextualSpacing/>
        <w:jc w:val="both"/>
        <w:rPr>
          <w:rFonts w:ascii="Times New Roman" w:eastAsia="Cambria" w:hAnsi="Times New Roman" w:cs="Times New Roman"/>
          <w:sz w:val="24"/>
          <w:szCs w:val="24"/>
        </w:rPr>
      </w:pPr>
      <w:r w:rsidRPr="00AA3257">
        <w:rPr>
          <w:rFonts w:ascii="Times New Roman" w:eastAsia="Cambria" w:hAnsi="Times New Roman" w:cs="Times New Roman"/>
          <w:sz w:val="24"/>
          <w:szCs w:val="24"/>
        </w:rPr>
        <w:t xml:space="preserve">art. 38 ust. 1 ustawy – w przypadku zaliczek na podatek dochodowy, o których mowa w art. 31 ustawy, pobranych od podatników w maju 2020 r., </w:t>
      </w:r>
    </w:p>
    <w:p w:rsidR="00AA3257" w:rsidRPr="00AA3257" w:rsidRDefault="00AA3257" w:rsidP="00AA3257">
      <w:pPr>
        <w:numPr>
          <w:ilvl w:val="0"/>
          <w:numId w:val="7"/>
        </w:numPr>
        <w:autoSpaceDE w:val="0"/>
        <w:autoSpaceDN w:val="0"/>
        <w:spacing w:after="120" w:line="276" w:lineRule="auto"/>
        <w:ind w:left="993"/>
        <w:contextualSpacing/>
        <w:jc w:val="both"/>
        <w:rPr>
          <w:rFonts w:ascii="Times New Roman" w:eastAsia="Cambria" w:hAnsi="Times New Roman" w:cs="Times New Roman"/>
          <w:sz w:val="24"/>
          <w:szCs w:val="24"/>
        </w:rPr>
      </w:pPr>
      <w:r w:rsidRPr="00AA3257">
        <w:rPr>
          <w:rFonts w:ascii="Times New Roman" w:eastAsia="Cambria" w:hAnsi="Times New Roman" w:cs="Times New Roman"/>
          <w:sz w:val="24"/>
          <w:szCs w:val="24"/>
        </w:rPr>
        <w:t>art. 42 ust. 1 ustawy – w przypadku zaliczek na podatek dochodowy i zryczałtowanego podatku dochodowego, o których mowa odpowiednio w art. 41 ust. 1 i 4 ustawy, od</w:t>
      </w:r>
      <w:r w:rsidR="004B3953">
        <w:rPr>
          <w:rFonts w:ascii="Times New Roman" w:eastAsia="Cambria" w:hAnsi="Times New Roman" w:cs="Times New Roman"/>
          <w:sz w:val="24"/>
          <w:szCs w:val="24"/>
        </w:rPr>
        <w:t> </w:t>
      </w:r>
      <w:r w:rsidRPr="00AA3257">
        <w:rPr>
          <w:rFonts w:ascii="Times New Roman" w:eastAsia="Cambria" w:hAnsi="Times New Roman" w:cs="Times New Roman"/>
          <w:sz w:val="24"/>
          <w:szCs w:val="24"/>
        </w:rPr>
        <w:t>dokonanych świadczeń z tytułu działalności wykonywanej osobiście, o której mowa w</w:t>
      </w:r>
      <w:r>
        <w:rPr>
          <w:rFonts w:ascii="Times New Roman" w:eastAsia="Cambria" w:hAnsi="Times New Roman" w:cs="Times New Roman"/>
          <w:sz w:val="24"/>
          <w:szCs w:val="24"/>
        </w:rPr>
        <w:t> </w:t>
      </w:r>
      <w:r w:rsidRPr="00AA3257">
        <w:rPr>
          <w:rFonts w:ascii="Times New Roman" w:eastAsia="Cambria" w:hAnsi="Times New Roman" w:cs="Times New Roman"/>
          <w:sz w:val="24"/>
          <w:szCs w:val="24"/>
        </w:rPr>
        <w:t>art. 13 pkt 8 ustawy oraz z tytułu praw autorskich i praw pokrewnych, pobranych od</w:t>
      </w:r>
      <w:r w:rsidR="00FF499C">
        <w:rPr>
          <w:rFonts w:ascii="Times New Roman" w:eastAsia="Cambria" w:hAnsi="Times New Roman" w:cs="Times New Roman"/>
          <w:sz w:val="24"/>
          <w:szCs w:val="24"/>
        </w:rPr>
        <w:t> </w:t>
      </w:r>
      <w:r w:rsidRPr="00AA3257">
        <w:rPr>
          <w:rFonts w:ascii="Times New Roman" w:eastAsia="Cambria" w:hAnsi="Times New Roman" w:cs="Times New Roman"/>
          <w:sz w:val="24"/>
          <w:szCs w:val="24"/>
        </w:rPr>
        <w:t xml:space="preserve">podatników w maju 2020 r. </w:t>
      </w:r>
    </w:p>
    <w:p w:rsidR="00AA3257" w:rsidRPr="00AA3257" w:rsidRDefault="0052074B" w:rsidP="00AA3257">
      <w:pPr>
        <w:autoSpaceDE w:val="0"/>
        <w:autoSpaceDN w:val="0"/>
        <w:spacing w:after="120" w:line="276" w:lineRule="auto"/>
        <w:ind w:left="567"/>
        <w:contextualSpacing/>
        <w:jc w:val="both"/>
        <w:rPr>
          <w:rFonts w:ascii="Times New Roman" w:eastAsia="Cambria" w:hAnsi="Times New Roman" w:cs="Times New Roman"/>
          <w:sz w:val="24"/>
          <w:szCs w:val="24"/>
        </w:rPr>
      </w:pPr>
      <w:r w:rsidRPr="002A5128">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w:t>
      </w:r>
      <w:r w:rsidR="00AA3257" w:rsidRPr="00AA3257">
        <w:rPr>
          <w:rFonts w:ascii="Times New Roman" w:eastAsia="Cambria" w:hAnsi="Times New Roman" w:cs="Times New Roman"/>
          <w:sz w:val="24"/>
          <w:szCs w:val="24"/>
        </w:rPr>
        <w:t>płatnikom, którzy ponieśli negatywne konsekwencje z powodu COVID-19, o którym mowa w ustawie z dnia 2 marca 2020 r. o szczególnych rozwiązaniach związanych z</w:t>
      </w:r>
      <w:r w:rsidR="00AA3257">
        <w:rPr>
          <w:rFonts w:ascii="Times New Roman" w:eastAsia="Cambria" w:hAnsi="Times New Roman" w:cs="Times New Roman"/>
          <w:sz w:val="24"/>
          <w:szCs w:val="24"/>
        </w:rPr>
        <w:t> </w:t>
      </w:r>
      <w:r w:rsidR="00AA3257" w:rsidRPr="00AA3257">
        <w:rPr>
          <w:rFonts w:ascii="Times New Roman" w:eastAsia="Cambria" w:hAnsi="Times New Roman" w:cs="Times New Roman"/>
          <w:sz w:val="24"/>
          <w:szCs w:val="24"/>
        </w:rPr>
        <w:t xml:space="preserve">zapobieganiem, przeciwdziałaniem i zwalczaniem COVID-19, innych chorób zakaźnych oraz wywołanych nimi sytuacji kryzysowych (Dz. U. poz. </w:t>
      </w:r>
      <w:r w:rsidR="00317E7A">
        <w:rPr>
          <w:rFonts w:ascii="Times New Roman" w:eastAsia="Cambria" w:hAnsi="Times New Roman" w:cs="Times New Roman"/>
          <w:sz w:val="24"/>
          <w:szCs w:val="24"/>
        </w:rPr>
        <w:t>1842, z późn. zm.).</w:t>
      </w:r>
      <w:r w:rsidR="00AA3257" w:rsidRPr="00AA3257">
        <w:rPr>
          <w:rFonts w:ascii="Times New Roman" w:eastAsia="Cambria" w:hAnsi="Times New Roman" w:cs="Times New Roman"/>
          <w:sz w:val="24"/>
          <w:szCs w:val="24"/>
        </w:rPr>
        <w:t xml:space="preserve"> </w:t>
      </w:r>
    </w:p>
    <w:p w:rsidR="0066343F" w:rsidRDefault="0066343F" w:rsidP="00AA3257">
      <w:pPr>
        <w:autoSpaceDE w:val="0"/>
        <w:autoSpaceDN w:val="0"/>
        <w:spacing w:after="120" w:line="276" w:lineRule="auto"/>
        <w:jc w:val="both"/>
        <w:rPr>
          <w:rFonts w:ascii="Times New Roman" w:eastAsia="Cambria" w:hAnsi="Times New Roman" w:cs="Times New Roman"/>
          <w:sz w:val="24"/>
          <w:szCs w:val="24"/>
          <w:lang w:eastAsia="pl-PL"/>
        </w:rPr>
      </w:pPr>
    </w:p>
    <w:p w:rsidR="00AA3257" w:rsidRPr="00AA3257" w:rsidRDefault="00AA3257" w:rsidP="00AA3257">
      <w:pPr>
        <w:autoSpaceDE w:val="0"/>
        <w:autoSpaceDN w:val="0"/>
        <w:spacing w:after="120" w:line="276" w:lineRule="auto"/>
        <w:jc w:val="both"/>
        <w:rPr>
          <w:rFonts w:ascii="Times New Roman" w:eastAsia="Cambria" w:hAnsi="Times New Roman" w:cs="Times New Roman"/>
          <w:sz w:val="24"/>
          <w:szCs w:val="24"/>
          <w:lang w:eastAsia="pl-PL"/>
        </w:rPr>
      </w:pPr>
      <w:r w:rsidRPr="00AA3257">
        <w:rPr>
          <w:rFonts w:ascii="Times New Roman" w:eastAsia="Cambria" w:hAnsi="Times New Roman" w:cs="Times New Roman"/>
          <w:sz w:val="24"/>
          <w:szCs w:val="24"/>
          <w:lang w:eastAsia="pl-PL"/>
        </w:rPr>
        <w:t xml:space="preserve">Powyższe skutkuje obniżeniem wpływów z tytułu podatku dochodowego od osób fizycznych </w:t>
      </w:r>
      <w:r w:rsidRPr="00AA3257">
        <w:rPr>
          <w:rFonts w:ascii="Times New Roman" w:eastAsia="Cambria" w:hAnsi="Times New Roman" w:cs="Times New Roman"/>
          <w:sz w:val="24"/>
          <w:szCs w:val="24"/>
        </w:rPr>
        <w:t>(budżetu państwa i jednostek samorządu terytorialnego)</w:t>
      </w:r>
      <w:r w:rsidR="003F6F31">
        <w:rPr>
          <w:rFonts w:ascii="Times New Roman" w:eastAsia="Cambria" w:hAnsi="Times New Roman" w:cs="Times New Roman"/>
          <w:sz w:val="24"/>
          <w:szCs w:val="24"/>
          <w:lang w:eastAsia="pl-PL"/>
        </w:rPr>
        <w:t xml:space="preserve">, które w okresie </w:t>
      </w:r>
      <w:r w:rsidR="0052074B">
        <w:rPr>
          <w:rFonts w:ascii="Times New Roman" w:eastAsia="Cambria" w:hAnsi="Times New Roman" w:cs="Times New Roman"/>
          <w:sz w:val="24"/>
          <w:szCs w:val="24"/>
          <w:lang w:eastAsia="pl-PL"/>
        </w:rPr>
        <w:t>I</w:t>
      </w:r>
      <w:r w:rsidR="0052074B" w:rsidRPr="002A5128">
        <w:rPr>
          <w:rFonts w:ascii="Times New Roman" w:eastAsia="Calibri" w:hAnsi="Times New Roman" w:cs="Times New Roman"/>
          <w:color w:val="000000"/>
          <w:sz w:val="24"/>
          <w:szCs w:val="24"/>
        </w:rPr>
        <w:t>–</w:t>
      </w:r>
      <w:r w:rsidRPr="00AA3257">
        <w:rPr>
          <w:rFonts w:ascii="Times New Roman" w:eastAsia="Cambria" w:hAnsi="Times New Roman" w:cs="Times New Roman"/>
          <w:sz w:val="24"/>
          <w:szCs w:val="24"/>
          <w:lang w:eastAsia="pl-PL"/>
        </w:rPr>
        <w:t>IX 2020 r. wyniosły 83,8 mld zł i były o 5,7% niższe niż w analogicznym okresie 2019 r.</w:t>
      </w:r>
    </w:p>
    <w:p w:rsidR="00F41CE5" w:rsidRPr="00190B6E" w:rsidRDefault="00AA3257" w:rsidP="00F41CE5">
      <w:pPr>
        <w:autoSpaceDE w:val="0"/>
        <w:autoSpaceDN w:val="0"/>
        <w:spacing w:after="120" w:line="276" w:lineRule="auto"/>
        <w:jc w:val="both"/>
        <w:rPr>
          <w:rFonts w:ascii="Times New Roman" w:eastAsia="Cambria" w:hAnsi="Times New Roman" w:cs="Times New Roman"/>
          <w:sz w:val="24"/>
          <w:szCs w:val="24"/>
          <w:lang w:eastAsia="pl-PL"/>
        </w:rPr>
      </w:pPr>
      <w:r w:rsidRPr="00190B6E">
        <w:rPr>
          <w:rFonts w:ascii="Times New Roman" w:eastAsia="Cambria" w:hAnsi="Times New Roman" w:cs="Times New Roman"/>
          <w:sz w:val="24"/>
          <w:szCs w:val="24"/>
          <w:lang w:eastAsia="pl-PL"/>
        </w:rPr>
        <w:t xml:space="preserve">Dodatkowo zauważa się, że w celu wsparcia firm w trudnym okresie wywołanym COVID-19 </w:t>
      </w:r>
      <w:r w:rsidRPr="00190B6E">
        <w:rPr>
          <w:rFonts w:ascii="Times New Roman" w:eastAsia="Cambria" w:hAnsi="Times New Roman" w:cs="Times New Roman"/>
          <w:sz w:val="24"/>
          <w:szCs w:val="24"/>
        </w:rPr>
        <w:t>oraz</w:t>
      </w:r>
      <w:r w:rsidR="00FF499C">
        <w:rPr>
          <w:rFonts w:ascii="Times New Roman" w:eastAsia="Cambria" w:hAnsi="Times New Roman" w:cs="Times New Roman"/>
          <w:sz w:val="24"/>
          <w:szCs w:val="24"/>
        </w:rPr>
        <w:t> </w:t>
      </w:r>
      <w:r w:rsidRPr="00190B6E">
        <w:rPr>
          <w:rFonts w:ascii="Times New Roman" w:eastAsia="Cambria" w:hAnsi="Times New Roman" w:cs="Times New Roman"/>
          <w:sz w:val="24"/>
          <w:szCs w:val="24"/>
        </w:rPr>
        <w:t>wprowadzonymi ograniczeniami w wykonywaniu niektórych rodzajów działalności gospodarczej powodującymi negatywne konsekwencje ekonomiczne dla przedsiębiorców będących płatnikami podatku</w:t>
      </w:r>
      <w:r w:rsidR="002C67C2">
        <w:rPr>
          <w:rFonts w:ascii="Times New Roman" w:eastAsia="Cambria" w:hAnsi="Times New Roman" w:cs="Times New Roman"/>
          <w:sz w:val="24"/>
          <w:szCs w:val="24"/>
        </w:rPr>
        <w:t xml:space="preserve"> dochodowego od osób fizycznych</w:t>
      </w:r>
      <w:r w:rsidRPr="00190B6E">
        <w:rPr>
          <w:rFonts w:ascii="Times New Roman" w:eastAsia="Cambria" w:hAnsi="Times New Roman" w:cs="Times New Roman"/>
          <w:sz w:val="24"/>
          <w:szCs w:val="24"/>
          <w:lang w:eastAsia="pl-PL"/>
        </w:rPr>
        <w:t xml:space="preserve"> </w:t>
      </w:r>
      <w:r w:rsidR="00F41CE5" w:rsidRPr="00190B6E">
        <w:rPr>
          <w:rFonts w:ascii="Times New Roman" w:eastAsia="Cambria" w:hAnsi="Times New Roman" w:cs="Times New Roman"/>
          <w:sz w:val="24"/>
          <w:szCs w:val="24"/>
          <w:lang w:eastAsia="pl-PL"/>
        </w:rPr>
        <w:t>rozporządzeniem Ministra Finansów, Funduszy i</w:t>
      </w:r>
      <w:r w:rsidR="00D33FD6">
        <w:rPr>
          <w:rFonts w:ascii="Times New Roman" w:eastAsia="Cambria" w:hAnsi="Times New Roman" w:cs="Times New Roman"/>
          <w:sz w:val="24"/>
          <w:szCs w:val="24"/>
          <w:lang w:eastAsia="pl-PL"/>
        </w:rPr>
        <w:t> </w:t>
      </w:r>
      <w:r w:rsidR="00F41CE5" w:rsidRPr="00190B6E">
        <w:rPr>
          <w:rFonts w:ascii="Times New Roman" w:eastAsia="Cambria" w:hAnsi="Times New Roman" w:cs="Times New Roman"/>
          <w:sz w:val="24"/>
          <w:szCs w:val="24"/>
          <w:lang w:eastAsia="pl-PL"/>
        </w:rPr>
        <w:t xml:space="preserve">Polityki Regionalnej z dnia 19 listopada 2020 r. (Dz. U. </w:t>
      </w:r>
      <w:r w:rsidR="00846E19">
        <w:rPr>
          <w:rFonts w:ascii="Times New Roman" w:eastAsia="Cambria" w:hAnsi="Times New Roman" w:cs="Times New Roman"/>
          <w:sz w:val="24"/>
          <w:szCs w:val="24"/>
          <w:lang w:eastAsia="pl-PL"/>
        </w:rPr>
        <w:t xml:space="preserve">poz. 2054) przedłużono terminy </w:t>
      </w:r>
      <w:r w:rsidR="00F41CE5" w:rsidRPr="00190B6E">
        <w:rPr>
          <w:rFonts w:ascii="Times New Roman" w:eastAsia="Cambria" w:hAnsi="Times New Roman" w:cs="Times New Roman"/>
          <w:sz w:val="24"/>
          <w:szCs w:val="24"/>
          <w:lang w:eastAsia="pl-PL"/>
        </w:rPr>
        <w:t>przekazania przez</w:t>
      </w:r>
      <w:r w:rsidR="0098159C">
        <w:rPr>
          <w:rFonts w:ascii="Times New Roman" w:eastAsia="Cambria" w:hAnsi="Times New Roman" w:cs="Times New Roman"/>
          <w:sz w:val="24"/>
          <w:szCs w:val="24"/>
          <w:lang w:eastAsia="pl-PL"/>
        </w:rPr>
        <w:t xml:space="preserve"> niektórych płatników zaliczek </w:t>
      </w:r>
      <w:r w:rsidR="00F41CE5" w:rsidRPr="00190B6E">
        <w:rPr>
          <w:rFonts w:ascii="Times New Roman" w:eastAsia="Cambria" w:hAnsi="Times New Roman" w:cs="Times New Roman"/>
          <w:sz w:val="24"/>
          <w:szCs w:val="24"/>
          <w:lang w:eastAsia="pl-PL"/>
        </w:rPr>
        <w:t>na podatek dochodowy i</w:t>
      </w:r>
      <w:r w:rsidR="00FF499C">
        <w:rPr>
          <w:rFonts w:ascii="Times New Roman" w:eastAsia="Cambria" w:hAnsi="Times New Roman" w:cs="Times New Roman"/>
          <w:sz w:val="24"/>
          <w:szCs w:val="24"/>
          <w:lang w:eastAsia="pl-PL"/>
        </w:rPr>
        <w:t> </w:t>
      </w:r>
      <w:r w:rsidR="00F41CE5" w:rsidRPr="00190B6E">
        <w:rPr>
          <w:rFonts w:ascii="Times New Roman" w:eastAsia="Cambria" w:hAnsi="Times New Roman" w:cs="Times New Roman"/>
          <w:sz w:val="24"/>
          <w:szCs w:val="24"/>
          <w:lang w:eastAsia="pl-PL"/>
        </w:rPr>
        <w:t>zryczałtowanego podatku dochodowego pobranych od podatników przez płatników w</w:t>
      </w:r>
      <w:r w:rsidR="00FF499C">
        <w:rPr>
          <w:rFonts w:ascii="Times New Roman" w:eastAsia="Cambria" w:hAnsi="Times New Roman" w:cs="Times New Roman"/>
          <w:sz w:val="24"/>
          <w:szCs w:val="24"/>
          <w:lang w:eastAsia="pl-PL"/>
        </w:rPr>
        <w:t> </w:t>
      </w:r>
      <w:r w:rsidR="00F41CE5" w:rsidRPr="00190B6E">
        <w:rPr>
          <w:rFonts w:ascii="Times New Roman" w:eastAsia="Cambria" w:hAnsi="Times New Roman" w:cs="Times New Roman"/>
          <w:sz w:val="24"/>
          <w:szCs w:val="24"/>
          <w:lang w:eastAsia="pl-PL"/>
        </w:rPr>
        <w:t xml:space="preserve">październiku, listopadzie lub grudniu 2020 r. Zgodnie z rozporządzeniem </w:t>
      </w:r>
      <w:r w:rsidR="00D7414F">
        <w:rPr>
          <w:rFonts w:ascii="Times New Roman" w:eastAsia="Cambria" w:hAnsi="Times New Roman" w:cs="Times New Roman"/>
          <w:sz w:val="24"/>
          <w:szCs w:val="24"/>
          <w:lang w:eastAsia="pl-PL"/>
        </w:rPr>
        <w:t xml:space="preserve">terminy </w:t>
      </w:r>
      <w:r w:rsidR="00F41CE5" w:rsidRPr="00190B6E">
        <w:rPr>
          <w:rFonts w:ascii="Times New Roman" w:eastAsia="Cambria" w:hAnsi="Times New Roman" w:cs="Times New Roman"/>
          <w:sz w:val="24"/>
          <w:szCs w:val="24"/>
          <w:lang w:eastAsia="pl-PL"/>
        </w:rPr>
        <w:t>przedłuża się</w:t>
      </w:r>
      <w:r w:rsidR="00FF499C">
        <w:rPr>
          <w:rFonts w:ascii="Times New Roman" w:eastAsia="Cambria" w:hAnsi="Times New Roman" w:cs="Times New Roman"/>
          <w:sz w:val="24"/>
          <w:szCs w:val="24"/>
          <w:lang w:eastAsia="pl-PL"/>
        </w:rPr>
        <w:t> </w:t>
      </w:r>
      <w:r w:rsidR="00F41CE5" w:rsidRPr="00190B6E">
        <w:rPr>
          <w:rFonts w:ascii="Times New Roman" w:eastAsia="Cambria" w:hAnsi="Times New Roman" w:cs="Times New Roman"/>
          <w:sz w:val="24"/>
          <w:szCs w:val="24"/>
          <w:lang w:eastAsia="pl-PL"/>
        </w:rPr>
        <w:t>do:</w:t>
      </w:r>
    </w:p>
    <w:p w:rsidR="00F41CE5" w:rsidRPr="00487B07" w:rsidRDefault="0052074B" w:rsidP="00EF0259">
      <w:pPr>
        <w:autoSpaceDE w:val="0"/>
        <w:autoSpaceDN w:val="0"/>
        <w:spacing w:after="120" w:line="276" w:lineRule="auto"/>
        <w:ind w:left="1068" w:firstLine="348"/>
        <w:jc w:val="both"/>
        <w:rPr>
          <w:rFonts w:ascii="Times New Roman" w:eastAsia="Cambria" w:hAnsi="Times New Roman" w:cs="Times New Roman"/>
          <w:sz w:val="24"/>
          <w:szCs w:val="24"/>
          <w:lang w:eastAsia="pl-PL"/>
        </w:rPr>
      </w:pPr>
      <w:r w:rsidRPr="002A5128">
        <w:rPr>
          <w:rFonts w:ascii="Times New Roman" w:eastAsia="Calibri" w:hAnsi="Times New Roman" w:cs="Times New Roman"/>
          <w:color w:val="000000"/>
          <w:sz w:val="24"/>
          <w:szCs w:val="24"/>
        </w:rPr>
        <w:t>–</w:t>
      </w:r>
      <w:r w:rsidR="00487B07">
        <w:rPr>
          <w:rFonts w:ascii="Times New Roman" w:eastAsia="Cambria" w:hAnsi="Times New Roman" w:cs="Times New Roman"/>
          <w:sz w:val="24"/>
          <w:szCs w:val="24"/>
          <w:lang w:eastAsia="pl-PL"/>
        </w:rPr>
        <w:t xml:space="preserve"> </w:t>
      </w:r>
      <w:r w:rsidR="003F6F31">
        <w:rPr>
          <w:rFonts w:ascii="Times New Roman" w:eastAsia="Cambria" w:hAnsi="Times New Roman" w:cs="Times New Roman"/>
          <w:sz w:val="24"/>
          <w:szCs w:val="24"/>
          <w:lang w:eastAsia="pl-PL"/>
        </w:rPr>
        <w:t>20 maja 2021 r.</w:t>
      </w:r>
      <w:r w:rsidR="00F41CE5" w:rsidRPr="00487B07">
        <w:rPr>
          <w:rFonts w:ascii="Times New Roman" w:eastAsia="Cambria" w:hAnsi="Times New Roman" w:cs="Times New Roman"/>
          <w:sz w:val="24"/>
          <w:szCs w:val="24"/>
          <w:lang w:eastAsia="pl-PL"/>
        </w:rPr>
        <w:t xml:space="preserve"> podatku pobranego przez płatników w październiku 2020 r.,</w:t>
      </w:r>
    </w:p>
    <w:p w:rsidR="00F41CE5" w:rsidRPr="00487B07" w:rsidRDefault="0052074B" w:rsidP="00EF0259">
      <w:pPr>
        <w:autoSpaceDE w:val="0"/>
        <w:autoSpaceDN w:val="0"/>
        <w:spacing w:after="120" w:line="276" w:lineRule="auto"/>
        <w:ind w:left="720" w:firstLine="696"/>
        <w:jc w:val="both"/>
        <w:rPr>
          <w:rFonts w:ascii="Times New Roman" w:eastAsia="Cambria" w:hAnsi="Times New Roman" w:cs="Times New Roman"/>
          <w:sz w:val="24"/>
          <w:szCs w:val="24"/>
          <w:lang w:eastAsia="pl-PL"/>
        </w:rPr>
      </w:pPr>
      <w:r w:rsidRPr="002A5128">
        <w:rPr>
          <w:rFonts w:ascii="Times New Roman" w:eastAsia="Calibri" w:hAnsi="Times New Roman" w:cs="Times New Roman"/>
          <w:color w:val="000000"/>
          <w:sz w:val="24"/>
          <w:szCs w:val="24"/>
        </w:rPr>
        <w:t>–</w:t>
      </w:r>
      <w:r w:rsidR="00487B07">
        <w:rPr>
          <w:rFonts w:ascii="Times New Roman" w:eastAsia="Cambria" w:hAnsi="Times New Roman" w:cs="Times New Roman"/>
          <w:sz w:val="24"/>
          <w:szCs w:val="24"/>
          <w:lang w:eastAsia="pl-PL"/>
        </w:rPr>
        <w:t xml:space="preserve"> </w:t>
      </w:r>
      <w:r w:rsidR="00F41CE5" w:rsidRPr="00487B07">
        <w:rPr>
          <w:rFonts w:ascii="Times New Roman" w:eastAsia="Cambria" w:hAnsi="Times New Roman" w:cs="Times New Roman"/>
          <w:sz w:val="24"/>
          <w:szCs w:val="24"/>
          <w:lang w:eastAsia="pl-PL"/>
        </w:rPr>
        <w:t>20 czerwca 2021 r. podatku pobranego przez płatników w listopadzie 2020 r.,</w:t>
      </w:r>
    </w:p>
    <w:p w:rsidR="00F41CE5" w:rsidRPr="00487B07" w:rsidRDefault="0052074B" w:rsidP="00EF0259">
      <w:pPr>
        <w:autoSpaceDE w:val="0"/>
        <w:autoSpaceDN w:val="0"/>
        <w:spacing w:after="120" w:line="276" w:lineRule="auto"/>
        <w:ind w:left="1068" w:firstLine="348"/>
        <w:jc w:val="both"/>
        <w:rPr>
          <w:rFonts w:ascii="Times New Roman" w:eastAsia="Cambria" w:hAnsi="Times New Roman" w:cs="Times New Roman"/>
          <w:sz w:val="24"/>
          <w:szCs w:val="24"/>
          <w:lang w:eastAsia="pl-PL"/>
        </w:rPr>
      </w:pPr>
      <w:r w:rsidRPr="002A5128">
        <w:rPr>
          <w:rFonts w:ascii="Times New Roman" w:eastAsia="Calibri" w:hAnsi="Times New Roman" w:cs="Times New Roman"/>
          <w:color w:val="000000"/>
          <w:sz w:val="24"/>
          <w:szCs w:val="24"/>
        </w:rPr>
        <w:t>–</w:t>
      </w:r>
      <w:r w:rsidR="00487B07">
        <w:rPr>
          <w:rFonts w:ascii="Times New Roman" w:eastAsia="Cambria" w:hAnsi="Times New Roman" w:cs="Times New Roman"/>
          <w:sz w:val="24"/>
          <w:szCs w:val="24"/>
          <w:lang w:eastAsia="pl-PL"/>
        </w:rPr>
        <w:t xml:space="preserve"> </w:t>
      </w:r>
      <w:r w:rsidR="00F41CE5" w:rsidRPr="00487B07">
        <w:rPr>
          <w:rFonts w:ascii="Times New Roman" w:eastAsia="Cambria" w:hAnsi="Times New Roman" w:cs="Times New Roman"/>
          <w:sz w:val="24"/>
          <w:szCs w:val="24"/>
          <w:lang w:eastAsia="pl-PL"/>
        </w:rPr>
        <w:t xml:space="preserve">20 lipca 2021 r. podatku pobranego przez płatników w grudniu 2020 r. </w:t>
      </w:r>
    </w:p>
    <w:p w:rsidR="00F41CE5" w:rsidRDefault="00F41CE5" w:rsidP="00826B73">
      <w:pPr>
        <w:tabs>
          <w:tab w:val="left" w:pos="3647"/>
        </w:tabs>
        <w:spacing w:line="276" w:lineRule="auto"/>
        <w:jc w:val="both"/>
        <w:rPr>
          <w:rFonts w:ascii="Times New Roman" w:eastAsia="Cambria" w:hAnsi="Times New Roman" w:cs="Times New Roman"/>
          <w:sz w:val="24"/>
          <w:szCs w:val="24"/>
        </w:rPr>
      </w:pPr>
    </w:p>
    <w:p w:rsidR="00F41CE5" w:rsidRPr="00C2103F" w:rsidRDefault="003F6F31" w:rsidP="00C2103F">
      <w:pPr>
        <w:pStyle w:val="Akapitzlist"/>
        <w:numPr>
          <w:ilvl w:val="0"/>
          <w:numId w:val="14"/>
        </w:numPr>
        <w:tabs>
          <w:tab w:val="left" w:pos="3647"/>
        </w:tabs>
        <w:spacing w:line="276" w:lineRule="auto"/>
        <w:jc w:val="both"/>
        <w:rPr>
          <w:rFonts w:ascii="Times New Roman" w:eastAsia="Cambria" w:hAnsi="Times New Roman" w:cs="Times New Roman"/>
          <w:b/>
          <w:sz w:val="24"/>
          <w:szCs w:val="24"/>
        </w:rPr>
      </w:pPr>
      <w:r>
        <w:rPr>
          <w:rFonts w:ascii="Times New Roman" w:eastAsia="Cambria" w:hAnsi="Times New Roman" w:cs="Times New Roman"/>
          <w:b/>
          <w:sz w:val="24"/>
          <w:szCs w:val="24"/>
        </w:rPr>
        <w:t xml:space="preserve">Zmiany w </w:t>
      </w:r>
      <w:r w:rsidR="00C2103F" w:rsidRPr="00C2103F">
        <w:rPr>
          <w:rFonts w:ascii="Times New Roman" w:eastAsia="Cambria" w:hAnsi="Times New Roman" w:cs="Times New Roman"/>
          <w:b/>
          <w:sz w:val="24"/>
          <w:szCs w:val="24"/>
        </w:rPr>
        <w:t>innych przepisach</w:t>
      </w:r>
      <w:r w:rsidR="00F506D8">
        <w:rPr>
          <w:rFonts w:ascii="Times New Roman" w:eastAsia="Cambria" w:hAnsi="Times New Roman" w:cs="Times New Roman"/>
          <w:b/>
          <w:sz w:val="24"/>
          <w:szCs w:val="24"/>
        </w:rPr>
        <w:t xml:space="preserve"> prawnych, które mają </w:t>
      </w:r>
      <w:r w:rsidR="00564F1F">
        <w:rPr>
          <w:rFonts w:ascii="Times New Roman" w:eastAsia="Cambria" w:hAnsi="Times New Roman" w:cs="Times New Roman"/>
          <w:b/>
          <w:sz w:val="24"/>
          <w:szCs w:val="24"/>
        </w:rPr>
        <w:t>wpływ na sytuację finansową JST</w:t>
      </w:r>
    </w:p>
    <w:p w:rsidR="002A5128" w:rsidRPr="002A5128" w:rsidRDefault="002A5128" w:rsidP="00826B73">
      <w:pPr>
        <w:tabs>
          <w:tab w:val="left" w:pos="3647"/>
        </w:tabs>
        <w:spacing w:line="276" w:lineRule="auto"/>
        <w:jc w:val="both"/>
        <w:rPr>
          <w:rFonts w:ascii="Times New Roman" w:eastAsia="Calibri" w:hAnsi="Times New Roman" w:cs="Times New Roman"/>
          <w:color w:val="000000"/>
          <w:sz w:val="24"/>
          <w:szCs w:val="24"/>
        </w:rPr>
      </w:pPr>
      <w:r w:rsidRPr="002A5128">
        <w:rPr>
          <w:rFonts w:ascii="Times New Roman" w:eastAsia="Calibri" w:hAnsi="Times New Roman" w:cs="Times New Roman"/>
          <w:color w:val="000000"/>
          <w:sz w:val="24"/>
          <w:szCs w:val="24"/>
        </w:rPr>
        <w:t>Na tym tle należy także zauważyć, że zasadniczo w każdym roku budżetowym wchodzą w życie zmiany w przepisach prawnych, które mają określony wpływ na sytuację budżetową jednostek samorządu terytorialnego, zarówno po stronie dochodowej, jak i po stronie wydatko</w:t>
      </w:r>
      <w:r w:rsidR="00610B88">
        <w:rPr>
          <w:rFonts w:ascii="Times New Roman" w:eastAsia="Calibri" w:hAnsi="Times New Roman" w:cs="Times New Roman"/>
          <w:color w:val="000000"/>
          <w:sz w:val="24"/>
          <w:szCs w:val="24"/>
        </w:rPr>
        <w:t>wej. Poza tego rodzaju zmianami</w:t>
      </w:r>
      <w:r w:rsidRPr="002A5128">
        <w:rPr>
          <w:rFonts w:ascii="Times New Roman" w:eastAsia="Calibri" w:hAnsi="Times New Roman" w:cs="Times New Roman"/>
          <w:color w:val="000000"/>
          <w:sz w:val="24"/>
          <w:szCs w:val="24"/>
        </w:rPr>
        <w:t xml:space="preserve"> w ostatnich latach miały również miejsce zmiany w prawie finansów publicznych wprowadzające istotne nowe narzędzia z punktu widzenia zarządzania finansami samorządowymi. Całkowite skutki wszystkich takich zmian na sytuację dochodową i wydatkową jednostek samorządu terytorialnego jest bardzo trudno wskazać</w:t>
      </w:r>
      <w:r w:rsidR="00610B88">
        <w:rPr>
          <w:rFonts w:ascii="Times New Roman" w:eastAsia="Calibri" w:hAnsi="Times New Roman" w:cs="Times New Roman"/>
          <w:color w:val="000000"/>
          <w:sz w:val="24"/>
          <w:szCs w:val="24"/>
        </w:rPr>
        <w:t>,</w:t>
      </w:r>
      <w:r w:rsidRPr="002A5128">
        <w:rPr>
          <w:rFonts w:ascii="Times New Roman" w:eastAsia="Calibri" w:hAnsi="Times New Roman" w:cs="Times New Roman"/>
          <w:color w:val="000000"/>
          <w:sz w:val="24"/>
          <w:szCs w:val="24"/>
        </w:rPr>
        <w:t xml:space="preserve"> ale jednocześnie nie powinno się</w:t>
      </w:r>
      <w:r w:rsidR="004B3953">
        <w:rPr>
          <w:rFonts w:ascii="Times New Roman" w:eastAsia="Calibri" w:hAnsi="Times New Roman" w:cs="Times New Roman"/>
          <w:color w:val="000000"/>
          <w:sz w:val="24"/>
          <w:szCs w:val="24"/>
        </w:rPr>
        <w:t> </w:t>
      </w:r>
      <w:r w:rsidRPr="002A5128">
        <w:rPr>
          <w:rFonts w:ascii="Times New Roman" w:eastAsia="Calibri" w:hAnsi="Times New Roman" w:cs="Times New Roman"/>
          <w:color w:val="000000"/>
          <w:sz w:val="24"/>
          <w:szCs w:val="24"/>
        </w:rPr>
        <w:t xml:space="preserve">pomijać żadnej zmiany przy okazji oceny ich wpływu na stan finansów samorządowych. </w:t>
      </w:r>
    </w:p>
    <w:p w:rsidR="002A5128" w:rsidRPr="002A5128" w:rsidRDefault="001774FD" w:rsidP="00826B73">
      <w:pPr>
        <w:tabs>
          <w:tab w:val="left" w:pos="3647"/>
        </w:tabs>
        <w:spacing w:line="276"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w:t>
      </w:r>
      <w:r w:rsidR="002A5128" w:rsidRPr="002A5128">
        <w:rPr>
          <w:rFonts w:ascii="Times New Roman" w:eastAsia="Calibri" w:hAnsi="Times New Roman" w:cs="Times New Roman"/>
          <w:color w:val="000000"/>
          <w:sz w:val="24"/>
          <w:szCs w:val="24"/>
        </w:rPr>
        <w:t>skazane w uzasadnieniu do projektu zmiany zostały dobrane w sposób dość selektywny. W</w:t>
      </w:r>
      <w:r w:rsidR="00D33FD6">
        <w:rPr>
          <w:rFonts w:ascii="Times New Roman" w:eastAsia="Calibri" w:hAnsi="Times New Roman" w:cs="Times New Roman"/>
          <w:color w:val="000000"/>
          <w:sz w:val="24"/>
          <w:szCs w:val="24"/>
        </w:rPr>
        <w:t> </w:t>
      </w:r>
      <w:r w:rsidR="002A5128" w:rsidRPr="002A5128">
        <w:rPr>
          <w:rFonts w:ascii="Times New Roman" w:eastAsia="Calibri" w:hAnsi="Times New Roman" w:cs="Times New Roman"/>
          <w:color w:val="000000"/>
          <w:sz w:val="24"/>
          <w:szCs w:val="24"/>
        </w:rPr>
        <w:t xml:space="preserve">ogóle nie poruszono kwestii zmian prawnych </w:t>
      </w:r>
      <w:r w:rsidR="0001194A" w:rsidRPr="0001194A">
        <w:rPr>
          <w:rFonts w:ascii="Times New Roman" w:eastAsia="Calibri" w:hAnsi="Times New Roman" w:cs="Times New Roman"/>
          <w:color w:val="000000"/>
          <w:sz w:val="24"/>
          <w:szCs w:val="24"/>
        </w:rPr>
        <w:t>odnoszących się pozytywnie</w:t>
      </w:r>
      <w:r w:rsidR="002A5128" w:rsidRPr="002A5128">
        <w:rPr>
          <w:rFonts w:ascii="Times New Roman" w:eastAsia="Calibri" w:hAnsi="Times New Roman" w:cs="Times New Roman"/>
          <w:color w:val="000000"/>
          <w:sz w:val="24"/>
          <w:szCs w:val="24"/>
        </w:rPr>
        <w:t xml:space="preserve"> do sposobu prowadzenia gospodarki finansowej samorządów. Projekt ustawy oraz uzasadnienie do tego projektu odnoszą się wyłącznie do jednej strony skutków rozwiązań prawnych, a nie przedstawiają bilansu rozwiązań, tj. zarówno skutkujących ubytkiem, jak i wzrostem dochodów.</w:t>
      </w:r>
    </w:p>
    <w:p w:rsidR="002A5128" w:rsidRPr="002A5128" w:rsidRDefault="002A5128" w:rsidP="00826B73">
      <w:pPr>
        <w:spacing w:after="0" w:line="276" w:lineRule="auto"/>
        <w:jc w:val="both"/>
        <w:rPr>
          <w:rFonts w:ascii="Times New Roman" w:eastAsia="Cambria" w:hAnsi="Times New Roman" w:cs="Times New Roman"/>
          <w:sz w:val="24"/>
          <w:szCs w:val="24"/>
        </w:rPr>
      </w:pPr>
      <w:r w:rsidRPr="002A5128">
        <w:rPr>
          <w:rFonts w:ascii="Times New Roman" w:eastAsia="Cambria" w:hAnsi="Times New Roman" w:cs="Times New Roman"/>
          <w:sz w:val="24"/>
          <w:szCs w:val="24"/>
        </w:rPr>
        <w:t>Trzeba zatem wskazać również na te regulacje, które pozytywnie wpłynęły na finanse samorządowe.</w:t>
      </w:r>
      <w:r w:rsidR="005263F4">
        <w:rPr>
          <w:rFonts w:ascii="Times New Roman" w:eastAsia="Cambria" w:hAnsi="Times New Roman" w:cs="Times New Roman"/>
          <w:sz w:val="24"/>
          <w:szCs w:val="24"/>
        </w:rPr>
        <w:t xml:space="preserve"> </w:t>
      </w:r>
      <w:r w:rsidRPr="002A5128">
        <w:rPr>
          <w:rFonts w:ascii="Times New Roman" w:eastAsia="Cambria" w:hAnsi="Times New Roman" w:cs="Times New Roman"/>
          <w:sz w:val="24"/>
          <w:szCs w:val="24"/>
        </w:rPr>
        <w:t xml:space="preserve">Argumentując bowiem potrzebę i cel zmiany ustawy </w:t>
      </w:r>
      <w:r w:rsidR="00EC486C">
        <w:rPr>
          <w:rFonts w:ascii="Times New Roman" w:eastAsia="Cambria" w:hAnsi="Times New Roman" w:cs="Times New Roman"/>
          <w:sz w:val="24"/>
          <w:szCs w:val="24"/>
        </w:rPr>
        <w:t xml:space="preserve">z dnia 13 listopada 2003 r. </w:t>
      </w:r>
      <w:r w:rsidR="003F6F31">
        <w:rPr>
          <w:rFonts w:ascii="Times New Roman" w:eastAsia="Cambria" w:hAnsi="Times New Roman" w:cs="Times New Roman"/>
          <w:sz w:val="24"/>
          <w:szCs w:val="24"/>
        </w:rPr>
        <w:t>o</w:t>
      </w:r>
      <w:r w:rsidR="004B3953">
        <w:rPr>
          <w:rFonts w:ascii="Times New Roman" w:eastAsia="Cambria" w:hAnsi="Times New Roman" w:cs="Times New Roman"/>
          <w:sz w:val="24"/>
          <w:szCs w:val="24"/>
        </w:rPr>
        <w:t> </w:t>
      </w:r>
      <w:r w:rsidRPr="002A5128">
        <w:rPr>
          <w:rFonts w:ascii="Times New Roman" w:eastAsia="Cambria" w:hAnsi="Times New Roman" w:cs="Times New Roman"/>
          <w:sz w:val="24"/>
          <w:szCs w:val="24"/>
        </w:rPr>
        <w:t>dochodach jednostek samorządu terytorialnego</w:t>
      </w:r>
      <w:r w:rsidR="00EC486C">
        <w:rPr>
          <w:rFonts w:ascii="Times New Roman" w:eastAsia="Cambria" w:hAnsi="Times New Roman" w:cs="Times New Roman"/>
          <w:sz w:val="24"/>
          <w:szCs w:val="24"/>
        </w:rPr>
        <w:t xml:space="preserve"> (Dz. U z 2021 r. poz.</w:t>
      </w:r>
      <w:r w:rsidR="009C4413">
        <w:rPr>
          <w:rFonts w:ascii="Times New Roman" w:eastAsia="Cambria" w:hAnsi="Times New Roman" w:cs="Times New Roman"/>
          <w:sz w:val="24"/>
          <w:szCs w:val="24"/>
        </w:rPr>
        <w:t>38)</w:t>
      </w:r>
      <w:r w:rsidRPr="002A5128">
        <w:rPr>
          <w:rFonts w:ascii="Times New Roman" w:eastAsia="Cambria" w:hAnsi="Times New Roman" w:cs="Times New Roman"/>
          <w:sz w:val="24"/>
          <w:szCs w:val="24"/>
        </w:rPr>
        <w:t>, Projektodawcy uwypuklili wyłącznie regulacje, które ich zdaniem negatywnie oddziaływały na poziom dochodów samorządowych. Nie wzięto natomiast pod uwagę rozwiązań, które miały pozytywny wpływ na gospodarkę finansową jednostek samorządu terytorialnego, do których zaliczyć należy, między innymi:</w:t>
      </w:r>
    </w:p>
    <w:p w:rsidR="002A5128" w:rsidRPr="002A5128" w:rsidRDefault="002A5128" w:rsidP="00826B73">
      <w:pPr>
        <w:spacing w:after="0" w:line="276" w:lineRule="auto"/>
        <w:jc w:val="both"/>
        <w:rPr>
          <w:rFonts w:ascii="Times New Roman" w:eastAsia="Cambria" w:hAnsi="Times New Roman" w:cs="Times New Roman"/>
          <w:sz w:val="24"/>
          <w:szCs w:val="24"/>
        </w:rPr>
      </w:pPr>
    </w:p>
    <w:p w:rsidR="002A5128" w:rsidRPr="00DC3265" w:rsidRDefault="00610B88" w:rsidP="00DC3265">
      <w:pPr>
        <w:spacing w:after="0" w:line="276" w:lineRule="auto"/>
        <w:jc w:val="both"/>
        <w:rPr>
          <w:rFonts w:ascii="Times New Roman" w:eastAsia="Cambria" w:hAnsi="Times New Roman" w:cs="Times New Roman"/>
          <w:sz w:val="24"/>
          <w:szCs w:val="24"/>
        </w:rPr>
      </w:pPr>
      <w:r w:rsidRPr="002A5128">
        <w:rPr>
          <w:rFonts w:ascii="Times New Roman" w:eastAsia="Calibri" w:hAnsi="Times New Roman" w:cs="Times New Roman"/>
          <w:color w:val="000000"/>
          <w:sz w:val="24"/>
          <w:szCs w:val="24"/>
        </w:rPr>
        <w:t>–</w:t>
      </w:r>
      <w:r w:rsidR="002A5128" w:rsidRPr="002A5128">
        <w:rPr>
          <w:rFonts w:ascii="Times New Roman" w:eastAsia="Cambria" w:hAnsi="Times New Roman" w:cs="Times New Roman"/>
          <w:sz w:val="24"/>
          <w:szCs w:val="24"/>
        </w:rPr>
        <w:t xml:space="preserve"> ustawę z dnia 23 października 2018 r. o </w:t>
      </w:r>
      <w:r w:rsidR="00DC3265">
        <w:rPr>
          <w:rFonts w:ascii="Times New Roman" w:eastAsia="Cambria" w:hAnsi="Times New Roman" w:cs="Times New Roman"/>
          <w:sz w:val="24"/>
          <w:szCs w:val="24"/>
        </w:rPr>
        <w:t xml:space="preserve">Rządowym </w:t>
      </w:r>
      <w:r w:rsidR="002A5128" w:rsidRPr="002A5128">
        <w:rPr>
          <w:rFonts w:ascii="Times New Roman" w:eastAsia="Cambria" w:hAnsi="Times New Roman" w:cs="Times New Roman"/>
          <w:sz w:val="24"/>
          <w:szCs w:val="24"/>
        </w:rPr>
        <w:t>Funduszu</w:t>
      </w:r>
      <w:r w:rsidR="00DC3265">
        <w:rPr>
          <w:rFonts w:ascii="Times New Roman" w:eastAsia="Cambria" w:hAnsi="Times New Roman" w:cs="Times New Roman"/>
          <w:sz w:val="24"/>
          <w:szCs w:val="24"/>
        </w:rPr>
        <w:t xml:space="preserve"> Rozwoju </w:t>
      </w:r>
      <w:r w:rsidR="003F6F31">
        <w:rPr>
          <w:rFonts w:ascii="Times New Roman" w:eastAsia="Cambria" w:hAnsi="Times New Roman" w:cs="Times New Roman"/>
          <w:sz w:val="24"/>
          <w:szCs w:val="24"/>
        </w:rPr>
        <w:t>Dróg</w:t>
      </w:r>
      <w:r w:rsidR="002A5128" w:rsidRPr="002A5128">
        <w:rPr>
          <w:rFonts w:ascii="Times New Roman" w:eastAsia="Cambria" w:hAnsi="Times New Roman" w:cs="Times New Roman"/>
          <w:sz w:val="24"/>
          <w:szCs w:val="24"/>
        </w:rPr>
        <w:t xml:space="preserve"> (Dz. U. z 2020 r. poz. 1430</w:t>
      </w:r>
      <w:r w:rsidR="0098159C">
        <w:rPr>
          <w:rFonts w:ascii="Times New Roman" w:eastAsia="Cambria" w:hAnsi="Times New Roman" w:cs="Times New Roman"/>
          <w:sz w:val="24"/>
          <w:szCs w:val="24"/>
        </w:rPr>
        <w:t>,</w:t>
      </w:r>
      <w:r w:rsidR="002A5128" w:rsidRPr="002A5128">
        <w:rPr>
          <w:rFonts w:ascii="Times New Roman" w:eastAsia="Cambria" w:hAnsi="Times New Roman" w:cs="Times New Roman"/>
          <w:sz w:val="24"/>
          <w:szCs w:val="24"/>
        </w:rPr>
        <w:t xml:space="preserve"> z późn. zm.), która </w:t>
      </w:r>
      <w:r w:rsidR="00DC3265">
        <w:rPr>
          <w:rFonts w:ascii="Times New Roman" w:eastAsia="Cambria" w:hAnsi="Times New Roman" w:cs="Times New Roman"/>
          <w:sz w:val="24"/>
          <w:szCs w:val="24"/>
        </w:rPr>
        <w:t>przewiduje dofinansowanie w wysoko</w:t>
      </w:r>
      <w:r w:rsidR="003F6F31">
        <w:rPr>
          <w:rFonts w:ascii="Times New Roman" w:eastAsia="Cambria" w:hAnsi="Times New Roman" w:cs="Times New Roman"/>
          <w:sz w:val="24"/>
          <w:szCs w:val="24"/>
        </w:rPr>
        <w:t xml:space="preserve">ści do 80% wartości inwestycji </w:t>
      </w:r>
      <w:r w:rsidR="002A5128" w:rsidRPr="002A5128">
        <w:rPr>
          <w:rFonts w:ascii="Times New Roman" w:eastAsia="Cambria" w:hAnsi="Times New Roman" w:cs="Times New Roman"/>
          <w:sz w:val="24"/>
          <w:szCs w:val="24"/>
        </w:rPr>
        <w:t>(przy czym nie może ono przekroczyć</w:t>
      </w:r>
      <w:r w:rsidR="00DC3265">
        <w:rPr>
          <w:rFonts w:ascii="Times New Roman" w:eastAsia="Cambria" w:hAnsi="Times New Roman" w:cs="Times New Roman"/>
          <w:sz w:val="24"/>
          <w:szCs w:val="24"/>
        </w:rPr>
        <w:t xml:space="preserve"> </w:t>
      </w:r>
      <w:r w:rsidR="002A5128" w:rsidRPr="002A5128">
        <w:rPr>
          <w:rFonts w:ascii="Times New Roman" w:eastAsia="Cambria" w:hAnsi="Times New Roman" w:cs="Times New Roman"/>
          <w:sz w:val="24"/>
          <w:szCs w:val="24"/>
        </w:rPr>
        <w:t>kwoty 30 mln zł na zadanie), polegających</w:t>
      </w:r>
      <w:r w:rsidR="003F6F31">
        <w:rPr>
          <w:rFonts w:ascii="Times New Roman" w:eastAsia="Cambria" w:hAnsi="Times New Roman" w:cs="Times New Roman"/>
          <w:sz w:val="24"/>
          <w:szCs w:val="24"/>
        </w:rPr>
        <w:t xml:space="preserve"> na m.in. budowie, przebudowie </w:t>
      </w:r>
      <w:r w:rsidR="002A5128" w:rsidRPr="002A5128">
        <w:rPr>
          <w:rFonts w:ascii="Times New Roman" w:eastAsia="Cambria" w:hAnsi="Times New Roman" w:cs="Times New Roman"/>
          <w:sz w:val="24"/>
          <w:szCs w:val="24"/>
        </w:rPr>
        <w:t>lub remoncie dróg samorządowych (również o charakterze obronnym), podczas gdy poprzednio</w:t>
      </w:r>
      <w:r w:rsidR="00BE4F5C">
        <w:rPr>
          <w:rFonts w:ascii="Times New Roman" w:eastAsia="Cambria" w:hAnsi="Times New Roman" w:cs="Times New Roman"/>
          <w:sz w:val="24"/>
          <w:szCs w:val="24"/>
        </w:rPr>
        <w:t xml:space="preserve"> </w:t>
      </w:r>
      <w:r w:rsidR="002A5128" w:rsidRPr="002A5128">
        <w:rPr>
          <w:rFonts w:ascii="Times New Roman" w:eastAsia="Cambria" w:hAnsi="Times New Roman" w:cs="Times New Roman"/>
          <w:sz w:val="24"/>
          <w:szCs w:val="24"/>
        </w:rPr>
        <w:t>wsparcie finansowe zostało określone na poziomie do</w:t>
      </w:r>
      <w:r w:rsidR="00D33FD6">
        <w:rPr>
          <w:rFonts w:ascii="Times New Roman" w:eastAsia="Cambria" w:hAnsi="Times New Roman" w:cs="Times New Roman"/>
          <w:sz w:val="24"/>
          <w:szCs w:val="24"/>
        </w:rPr>
        <w:t> 50</w:t>
      </w:r>
      <w:r w:rsidR="002A5128" w:rsidRPr="002A5128">
        <w:rPr>
          <w:rFonts w:ascii="Times New Roman" w:eastAsia="Cambria" w:hAnsi="Times New Roman" w:cs="Times New Roman"/>
          <w:sz w:val="24"/>
          <w:szCs w:val="24"/>
        </w:rPr>
        <w:t>%</w:t>
      </w:r>
      <w:r w:rsidR="00D33FD6">
        <w:rPr>
          <w:rFonts w:ascii="Times New Roman" w:eastAsia="Cambria" w:hAnsi="Times New Roman" w:cs="Times New Roman"/>
          <w:sz w:val="24"/>
          <w:szCs w:val="24"/>
        </w:rPr>
        <w:t> </w:t>
      </w:r>
      <w:r w:rsidR="002A5128" w:rsidRPr="002A5128">
        <w:rPr>
          <w:rFonts w:ascii="Times New Roman" w:eastAsia="Cambria" w:hAnsi="Times New Roman" w:cs="Times New Roman"/>
          <w:sz w:val="24"/>
          <w:szCs w:val="24"/>
        </w:rPr>
        <w:t>kosztów realizacji przedsięwzięcia. Niższa wysokość dofinansowania wymagała większego nakładu środków własnych, uniemożliwiając udział mniej zamożnych gmin i powiatów w</w:t>
      </w:r>
      <w:r w:rsidR="00F21469">
        <w:rPr>
          <w:rFonts w:ascii="Times New Roman" w:eastAsia="Cambria" w:hAnsi="Times New Roman" w:cs="Times New Roman"/>
          <w:sz w:val="24"/>
          <w:szCs w:val="24"/>
        </w:rPr>
        <w:t> </w:t>
      </w:r>
      <w:r w:rsidR="002A5128" w:rsidRPr="002A5128">
        <w:rPr>
          <w:rFonts w:ascii="Times New Roman" w:eastAsia="Cambria" w:hAnsi="Times New Roman" w:cs="Times New Roman"/>
          <w:sz w:val="24"/>
          <w:szCs w:val="24"/>
        </w:rPr>
        <w:t>realizacji inwestycji. Określone w po</w:t>
      </w:r>
      <w:r w:rsidR="00DC3265">
        <w:rPr>
          <w:rFonts w:ascii="Times New Roman" w:eastAsia="Cambria" w:hAnsi="Times New Roman" w:cs="Times New Roman"/>
          <w:sz w:val="24"/>
          <w:szCs w:val="24"/>
        </w:rPr>
        <w:t xml:space="preserve">przednim stanie prawnym </w:t>
      </w:r>
      <w:r w:rsidR="002A5128" w:rsidRPr="002A5128">
        <w:rPr>
          <w:rFonts w:ascii="Times New Roman" w:eastAsia="Cambria" w:hAnsi="Times New Roman" w:cs="Times New Roman"/>
          <w:sz w:val="24"/>
          <w:szCs w:val="24"/>
        </w:rPr>
        <w:t>wsparcie finansowe z budżetu państwa wynoszące 800 000 tys. zł rocznie umożliwiło zaspokojenie zgłoszonych potrzeb inwestycyjnych jednostek samorządu terytorialnego na poziomie ok</w:t>
      </w:r>
      <w:r w:rsidR="00BE4F5C">
        <w:rPr>
          <w:rFonts w:ascii="Times New Roman" w:eastAsia="Cambria" w:hAnsi="Times New Roman" w:cs="Times New Roman"/>
          <w:sz w:val="24"/>
          <w:szCs w:val="24"/>
        </w:rPr>
        <w:t>.</w:t>
      </w:r>
      <w:r w:rsidR="002A5128" w:rsidRPr="002A5128">
        <w:rPr>
          <w:rFonts w:ascii="Times New Roman" w:eastAsia="Cambria" w:hAnsi="Times New Roman" w:cs="Times New Roman"/>
          <w:sz w:val="24"/>
          <w:szCs w:val="24"/>
        </w:rPr>
        <w:t xml:space="preserve"> 46,5% (w roku 2016 i 2017) przy wykorzystaniu środków na poziomie ok. 98,55 %. Ustawa o </w:t>
      </w:r>
      <w:r w:rsidR="00DC3265">
        <w:rPr>
          <w:rFonts w:ascii="Times New Roman" w:eastAsia="Cambria" w:hAnsi="Times New Roman" w:cs="Times New Roman"/>
          <w:sz w:val="24"/>
          <w:szCs w:val="24"/>
        </w:rPr>
        <w:t xml:space="preserve">Rządowym </w:t>
      </w:r>
      <w:r w:rsidR="002A5128" w:rsidRPr="002A5128">
        <w:rPr>
          <w:rFonts w:ascii="Times New Roman" w:eastAsia="Cambria" w:hAnsi="Times New Roman" w:cs="Times New Roman"/>
          <w:sz w:val="24"/>
          <w:szCs w:val="24"/>
        </w:rPr>
        <w:t xml:space="preserve">Funduszu </w:t>
      </w:r>
      <w:r w:rsidR="00DC3265">
        <w:rPr>
          <w:rFonts w:ascii="Times New Roman" w:eastAsia="Cambria" w:hAnsi="Times New Roman" w:cs="Times New Roman"/>
          <w:sz w:val="24"/>
          <w:szCs w:val="24"/>
        </w:rPr>
        <w:t>Rozwoju Dróg</w:t>
      </w:r>
      <w:r w:rsidR="002A5128" w:rsidRPr="002A5128">
        <w:rPr>
          <w:rFonts w:ascii="Times New Roman" w:eastAsia="Cambria" w:hAnsi="Times New Roman" w:cs="Times New Roman"/>
          <w:sz w:val="24"/>
          <w:szCs w:val="24"/>
        </w:rPr>
        <w:t>, poprzez zmianę systemu finansowania zadań i wprowadzenie możliwości realizacji inwestycji wieloletnich, oferuje znacznie wyższą pulę środków finansowych wynoszących ponad</w:t>
      </w:r>
      <w:r w:rsidR="00FF499C">
        <w:rPr>
          <w:rFonts w:ascii="Times New Roman" w:eastAsia="Cambria" w:hAnsi="Times New Roman" w:cs="Times New Roman"/>
          <w:sz w:val="24"/>
          <w:szCs w:val="24"/>
        </w:rPr>
        <w:t> </w:t>
      </w:r>
      <w:r w:rsidR="002A5128" w:rsidRPr="002A5128">
        <w:rPr>
          <w:rFonts w:ascii="Times New Roman" w:eastAsia="Cambria" w:hAnsi="Times New Roman" w:cs="Times New Roman"/>
          <w:sz w:val="24"/>
          <w:szCs w:val="24"/>
        </w:rPr>
        <w:t>3 mld zł.</w:t>
      </w:r>
      <w:r w:rsidR="002A5128" w:rsidRPr="002A5128">
        <w:rPr>
          <w:rFonts w:ascii="TimesNewRomanPSMT" w:eastAsia="Calibri" w:hAnsi="TimesNewRomanPSMT" w:cs="TimesNewRomanPSMT"/>
          <w:color w:val="000000"/>
          <w:sz w:val="24"/>
          <w:szCs w:val="24"/>
        </w:rPr>
        <w:t xml:space="preserve"> </w:t>
      </w:r>
    </w:p>
    <w:p w:rsidR="002A5128" w:rsidRPr="002A5128" w:rsidRDefault="00846E19" w:rsidP="00826B73">
      <w:pPr>
        <w:autoSpaceDE w:val="0"/>
        <w:autoSpaceDN w:val="0"/>
        <w:adjustRightInd w:val="0"/>
        <w:spacing w:after="0" w:line="276" w:lineRule="auto"/>
        <w:jc w:val="both"/>
        <w:rPr>
          <w:rFonts w:ascii="Times New Roman" w:eastAsia="Cambria" w:hAnsi="Times New Roman" w:cs="Times New Roman"/>
          <w:sz w:val="24"/>
          <w:szCs w:val="24"/>
        </w:rPr>
      </w:pPr>
      <w:r>
        <w:rPr>
          <w:rFonts w:ascii="Times New Roman" w:eastAsia="Cambria" w:hAnsi="Times New Roman" w:cs="Times New Roman"/>
          <w:sz w:val="24"/>
          <w:szCs w:val="24"/>
        </w:rPr>
        <w:t xml:space="preserve">W 2020 r. do budżetu </w:t>
      </w:r>
      <w:r w:rsidR="002A5128" w:rsidRPr="002A5128">
        <w:rPr>
          <w:rFonts w:ascii="Times New Roman" w:eastAsia="Cambria" w:hAnsi="Times New Roman" w:cs="Times New Roman"/>
          <w:sz w:val="24"/>
          <w:szCs w:val="24"/>
        </w:rPr>
        <w:t>Ministra Infrastruktury</w:t>
      </w:r>
      <w:r w:rsidR="00B37BD8" w:rsidRPr="00B37BD8">
        <w:t xml:space="preserve"> </w:t>
      </w:r>
      <w:r w:rsidR="00610B88" w:rsidRPr="002A5128">
        <w:rPr>
          <w:rFonts w:ascii="Times New Roman" w:eastAsia="Calibri" w:hAnsi="Times New Roman" w:cs="Times New Roman"/>
          <w:color w:val="000000"/>
          <w:sz w:val="24"/>
          <w:szCs w:val="24"/>
        </w:rPr>
        <w:t>–</w:t>
      </w:r>
      <w:r w:rsidR="00B37BD8">
        <w:t xml:space="preserve"> </w:t>
      </w:r>
      <w:r w:rsidR="00B37BD8" w:rsidRPr="00B37BD8">
        <w:rPr>
          <w:rFonts w:ascii="Times New Roman" w:eastAsia="Cambria" w:hAnsi="Times New Roman" w:cs="Times New Roman"/>
          <w:sz w:val="24"/>
          <w:szCs w:val="24"/>
        </w:rPr>
        <w:t>dysponenta Rządowego Funduszu Rozwoju Dróg</w:t>
      </w:r>
      <w:r w:rsidR="002A5128" w:rsidRPr="002A5128">
        <w:rPr>
          <w:rFonts w:ascii="Times New Roman" w:eastAsia="Cambria" w:hAnsi="Times New Roman" w:cs="Times New Roman"/>
          <w:sz w:val="24"/>
          <w:szCs w:val="24"/>
        </w:rPr>
        <w:t xml:space="preserve"> z</w:t>
      </w:r>
      <w:r w:rsidR="007C5794">
        <w:rPr>
          <w:rFonts w:ascii="Times New Roman" w:eastAsia="Cambria" w:hAnsi="Times New Roman" w:cs="Times New Roman"/>
          <w:sz w:val="24"/>
          <w:szCs w:val="24"/>
        </w:rPr>
        <w:t> </w:t>
      </w:r>
      <w:r w:rsidR="002A5128" w:rsidRPr="002A5128">
        <w:rPr>
          <w:rFonts w:ascii="Times New Roman" w:eastAsia="Cambria" w:hAnsi="Times New Roman" w:cs="Times New Roman"/>
          <w:sz w:val="24"/>
          <w:szCs w:val="24"/>
        </w:rPr>
        <w:t xml:space="preserve">budżetu państwa zostały </w:t>
      </w:r>
      <w:r w:rsidR="003F6F31">
        <w:rPr>
          <w:rFonts w:ascii="Times New Roman" w:eastAsia="Cambria" w:hAnsi="Times New Roman" w:cs="Times New Roman"/>
          <w:sz w:val="24"/>
          <w:szCs w:val="24"/>
        </w:rPr>
        <w:t>przekazane</w:t>
      </w:r>
      <w:r w:rsidR="002A5128" w:rsidRPr="002A5128">
        <w:rPr>
          <w:rFonts w:ascii="Times New Roman" w:eastAsia="Cambria" w:hAnsi="Times New Roman" w:cs="Times New Roman"/>
          <w:sz w:val="24"/>
          <w:szCs w:val="24"/>
        </w:rPr>
        <w:t xml:space="preserve"> środki w kwocie 1,1 mld zł z prze</w:t>
      </w:r>
      <w:r w:rsidR="0098159C">
        <w:rPr>
          <w:rFonts w:ascii="Times New Roman" w:eastAsia="Cambria" w:hAnsi="Times New Roman" w:cs="Times New Roman"/>
          <w:sz w:val="24"/>
          <w:szCs w:val="24"/>
        </w:rPr>
        <w:t xml:space="preserve">znaczeniem na zasilenie </w:t>
      </w:r>
      <w:r w:rsidR="0098159C">
        <w:rPr>
          <w:rFonts w:ascii="Times New Roman" w:eastAsia="Cambria" w:hAnsi="Times New Roman" w:cs="Times New Roman"/>
          <w:sz w:val="24"/>
          <w:szCs w:val="24"/>
        </w:rPr>
        <w:lastRenderedPageBreak/>
        <w:t>F</w:t>
      </w:r>
      <w:r w:rsidR="002A5128" w:rsidRPr="002A5128">
        <w:rPr>
          <w:rFonts w:ascii="Times New Roman" w:eastAsia="Cambria" w:hAnsi="Times New Roman" w:cs="Times New Roman"/>
          <w:sz w:val="24"/>
          <w:szCs w:val="24"/>
        </w:rPr>
        <w:t>unduszu. Dodatkowo w ramach nowelizacji</w:t>
      </w:r>
      <w:r w:rsidR="00826B73">
        <w:rPr>
          <w:rFonts w:ascii="Times New Roman" w:eastAsia="Cambria" w:hAnsi="Times New Roman" w:cs="Times New Roman"/>
          <w:sz w:val="24"/>
          <w:szCs w:val="24"/>
        </w:rPr>
        <w:t xml:space="preserve"> środki</w:t>
      </w:r>
      <w:r w:rsidR="002A5128" w:rsidRPr="002A5128">
        <w:rPr>
          <w:rFonts w:ascii="Times New Roman" w:eastAsia="Cambria" w:hAnsi="Times New Roman" w:cs="Times New Roman"/>
          <w:sz w:val="24"/>
          <w:szCs w:val="24"/>
        </w:rPr>
        <w:t xml:space="preserve"> został</w:t>
      </w:r>
      <w:r w:rsidR="00826B73">
        <w:rPr>
          <w:rFonts w:ascii="Times New Roman" w:eastAsia="Cambria" w:hAnsi="Times New Roman" w:cs="Times New Roman"/>
          <w:sz w:val="24"/>
          <w:szCs w:val="24"/>
        </w:rPr>
        <w:t>y zwiększone</w:t>
      </w:r>
      <w:r w:rsidR="0098159C">
        <w:rPr>
          <w:rFonts w:ascii="Times New Roman" w:eastAsia="Cambria" w:hAnsi="Times New Roman" w:cs="Times New Roman"/>
          <w:sz w:val="24"/>
          <w:szCs w:val="24"/>
        </w:rPr>
        <w:t xml:space="preserve"> o kwotę</w:t>
      </w:r>
      <w:r w:rsidR="002A5128" w:rsidRPr="002A5128">
        <w:rPr>
          <w:rFonts w:ascii="Times New Roman" w:eastAsia="Cambria" w:hAnsi="Times New Roman" w:cs="Times New Roman"/>
          <w:sz w:val="24"/>
          <w:szCs w:val="24"/>
        </w:rPr>
        <w:t xml:space="preserve"> 3,8</w:t>
      </w:r>
      <w:r w:rsidR="007C5794">
        <w:rPr>
          <w:rFonts w:ascii="Times New Roman" w:eastAsia="Cambria" w:hAnsi="Times New Roman" w:cs="Times New Roman"/>
          <w:sz w:val="24"/>
          <w:szCs w:val="24"/>
        </w:rPr>
        <w:t> </w:t>
      </w:r>
      <w:r w:rsidR="002A5128" w:rsidRPr="002A5128">
        <w:rPr>
          <w:rFonts w:ascii="Times New Roman" w:eastAsia="Cambria" w:hAnsi="Times New Roman" w:cs="Times New Roman"/>
          <w:sz w:val="24"/>
          <w:szCs w:val="24"/>
        </w:rPr>
        <w:t>mld zł z</w:t>
      </w:r>
      <w:r w:rsidR="00D33FD6">
        <w:rPr>
          <w:rFonts w:ascii="Times New Roman" w:eastAsia="Cambria" w:hAnsi="Times New Roman" w:cs="Times New Roman"/>
          <w:sz w:val="24"/>
          <w:szCs w:val="24"/>
        </w:rPr>
        <w:t> </w:t>
      </w:r>
      <w:r w:rsidR="002A5128" w:rsidRPr="002A5128">
        <w:rPr>
          <w:rFonts w:ascii="Times New Roman" w:eastAsia="Cambria" w:hAnsi="Times New Roman" w:cs="Times New Roman"/>
          <w:sz w:val="24"/>
          <w:szCs w:val="24"/>
        </w:rPr>
        <w:t xml:space="preserve">przeznaczeniem na zasilenie </w:t>
      </w:r>
      <w:r w:rsidR="00DC3265">
        <w:rPr>
          <w:rFonts w:ascii="Times New Roman" w:eastAsia="Cambria" w:hAnsi="Times New Roman" w:cs="Times New Roman"/>
          <w:sz w:val="24"/>
          <w:szCs w:val="24"/>
        </w:rPr>
        <w:t xml:space="preserve">Rządowego </w:t>
      </w:r>
      <w:r w:rsidR="002A5128" w:rsidRPr="002A5128">
        <w:rPr>
          <w:rFonts w:ascii="Times New Roman" w:eastAsia="Cambria" w:hAnsi="Times New Roman" w:cs="Times New Roman"/>
          <w:sz w:val="24"/>
          <w:szCs w:val="24"/>
        </w:rPr>
        <w:t xml:space="preserve">Funduszu </w:t>
      </w:r>
      <w:r w:rsidR="00DC3265">
        <w:rPr>
          <w:rFonts w:ascii="Times New Roman" w:eastAsia="Cambria" w:hAnsi="Times New Roman" w:cs="Times New Roman"/>
          <w:sz w:val="24"/>
          <w:szCs w:val="24"/>
        </w:rPr>
        <w:t xml:space="preserve">Rozwoju </w:t>
      </w:r>
      <w:r w:rsidR="002A5128" w:rsidRPr="002A5128">
        <w:rPr>
          <w:rFonts w:ascii="Times New Roman" w:eastAsia="Cambria" w:hAnsi="Times New Roman" w:cs="Times New Roman"/>
          <w:sz w:val="24"/>
          <w:szCs w:val="24"/>
        </w:rPr>
        <w:t>Dróg , w tym 1,1 mld zł w ramach przesunięcia środków z roku 2021 na rok 2020 i 2,7 mld zł jako dodatkowe zwiększenie.</w:t>
      </w:r>
    </w:p>
    <w:p w:rsidR="002A5128" w:rsidRPr="002A5128" w:rsidRDefault="002A5128" w:rsidP="00826B73">
      <w:pPr>
        <w:autoSpaceDE w:val="0"/>
        <w:autoSpaceDN w:val="0"/>
        <w:adjustRightInd w:val="0"/>
        <w:spacing w:after="0" w:line="276" w:lineRule="auto"/>
        <w:jc w:val="both"/>
        <w:rPr>
          <w:rFonts w:ascii="Times New Roman" w:eastAsia="Cambria" w:hAnsi="Times New Roman" w:cs="Times New Roman"/>
          <w:sz w:val="24"/>
          <w:szCs w:val="24"/>
        </w:rPr>
      </w:pPr>
      <w:r w:rsidRPr="002A5128">
        <w:rPr>
          <w:rFonts w:ascii="Times New Roman" w:eastAsia="Cambria" w:hAnsi="Times New Roman" w:cs="Times New Roman"/>
          <w:sz w:val="24"/>
          <w:szCs w:val="24"/>
        </w:rPr>
        <w:t xml:space="preserve">Ze środków </w:t>
      </w:r>
      <w:r w:rsidR="00DC3265">
        <w:rPr>
          <w:rFonts w:ascii="Times New Roman" w:eastAsia="Cambria" w:hAnsi="Times New Roman" w:cs="Times New Roman"/>
          <w:sz w:val="24"/>
          <w:szCs w:val="24"/>
        </w:rPr>
        <w:t xml:space="preserve">Rządowego </w:t>
      </w:r>
      <w:r w:rsidRPr="002A5128">
        <w:rPr>
          <w:rFonts w:ascii="Times New Roman" w:eastAsia="Cambria" w:hAnsi="Times New Roman" w:cs="Times New Roman"/>
          <w:sz w:val="24"/>
          <w:szCs w:val="24"/>
        </w:rPr>
        <w:t xml:space="preserve">Funduszu </w:t>
      </w:r>
      <w:r w:rsidR="00DC3265">
        <w:rPr>
          <w:rFonts w:ascii="Times New Roman" w:eastAsia="Cambria" w:hAnsi="Times New Roman" w:cs="Times New Roman"/>
          <w:sz w:val="24"/>
          <w:szCs w:val="24"/>
        </w:rPr>
        <w:t xml:space="preserve">Rozwoju </w:t>
      </w:r>
      <w:r w:rsidRPr="002A5128">
        <w:rPr>
          <w:rFonts w:ascii="Times New Roman" w:eastAsia="Cambria" w:hAnsi="Times New Roman" w:cs="Times New Roman"/>
          <w:sz w:val="24"/>
          <w:szCs w:val="24"/>
        </w:rPr>
        <w:t>Dróg finansowane mogą być również zadania mostowe, na które udzielono dofinansowania kosztów przygotowania inwestycji na podstawie programu uchwalonego przez Radę Ministrów na podstawie przepisów ustawy z dnia 6 grudnia 2006 r. o</w:t>
      </w:r>
      <w:r w:rsidR="007C5794">
        <w:rPr>
          <w:rFonts w:ascii="Times New Roman" w:eastAsia="Cambria" w:hAnsi="Times New Roman" w:cs="Times New Roman"/>
          <w:sz w:val="24"/>
          <w:szCs w:val="24"/>
        </w:rPr>
        <w:t> </w:t>
      </w:r>
      <w:r w:rsidRPr="002A5128">
        <w:rPr>
          <w:rFonts w:ascii="Times New Roman" w:eastAsia="Cambria" w:hAnsi="Times New Roman" w:cs="Times New Roman"/>
          <w:sz w:val="24"/>
          <w:szCs w:val="24"/>
        </w:rPr>
        <w:t>zasadach prowadzenia polityki rozwoju. Ustanowiony uchwałą nr 93/2018 z dnia 9 lipca 2018</w:t>
      </w:r>
      <w:r w:rsidR="007C5794">
        <w:rPr>
          <w:rFonts w:ascii="Times New Roman" w:eastAsia="Cambria" w:hAnsi="Times New Roman" w:cs="Times New Roman"/>
          <w:sz w:val="24"/>
          <w:szCs w:val="24"/>
        </w:rPr>
        <w:t> </w:t>
      </w:r>
      <w:r w:rsidRPr="002A5128">
        <w:rPr>
          <w:rFonts w:ascii="Times New Roman" w:eastAsia="Cambria" w:hAnsi="Times New Roman" w:cs="Times New Roman"/>
          <w:sz w:val="24"/>
          <w:szCs w:val="24"/>
        </w:rPr>
        <w:t>r., zmienioną uchwałą nr 64/2020 z dnia 27 maja 2020 r. Rządowy Program Uzupełniania Lokalnej i Regionalnej Infrastruktury Drogowej – Mosty dla Regionów przewiduje wsparcie dla</w:t>
      </w:r>
      <w:r w:rsidR="00FF499C">
        <w:rPr>
          <w:rFonts w:ascii="Times New Roman" w:eastAsia="Cambria" w:hAnsi="Times New Roman" w:cs="Times New Roman"/>
          <w:sz w:val="24"/>
          <w:szCs w:val="24"/>
        </w:rPr>
        <w:t> </w:t>
      </w:r>
      <w:r w:rsidRPr="002A5128">
        <w:rPr>
          <w:rFonts w:ascii="Times New Roman" w:eastAsia="Cambria" w:hAnsi="Times New Roman" w:cs="Times New Roman"/>
          <w:sz w:val="24"/>
          <w:szCs w:val="24"/>
        </w:rPr>
        <w:t>jednostek samorzą</w:t>
      </w:r>
      <w:r w:rsidR="00610B88">
        <w:rPr>
          <w:rFonts w:ascii="Times New Roman" w:eastAsia="Cambria" w:hAnsi="Times New Roman" w:cs="Times New Roman"/>
          <w:sz w:val="24"/>
          <w:szCs w:val="24"/>
        </w:rPr>
        <w:t>du terytorialnego w latach 2019</w:t>
      </w:r>
      <w:r w:rsidR="00610B88" w:rsidRPr="002A5128">
        <w:rPr>
          <w:rFonts w:ascii="Times New Roman" w:eastAsia="Calibri" w:hAnsi="Times New Roman" w:cs="Times New Roman"/>
          <w:color w:val="000000"/>
          <w:sz w:val="24"/>
          <w:szCs w:val="24"/>
        </w:rPr>
        <w:t>–</w:t>
      </w:r>
      <w:r w:rsidRPr="002A5128">
        <w:rPr>
          <w:rFonts w:ascii="Times New Roman" w:eastAsia="Cambria" w:hAnsi="Times New Roman" w:cs="Times New Roman"/>
          <w:sz w:val="24"/>
          <w:szCs w:val="24"/>
        </w:rPr>
        <w:t>2028 w łącznej wysokości 2,300 mln zł, w</w:t>
      </w:r>
      <w:r w:rsidR="00FF499C">
        <w:rPr>
          <w:rFonts w:ascii="Times New Roman" w:eastAsia="Cambria" w:hAnsi="Times New Roman" w:cs="Times New Roman"/>
          <w:sz w:val="24"/>
          <w:szCs w:val="24"/>
        </w:rPr>
        <w:t> </w:t>
      </w:r>
      <w:r w:rsidRPr="002A5128">
        <w:rPr>
          <w:rFonts w:ascii="Times New Roman" w:eastAsia="Cambria" w:hAnsi="Times New Roman" w:cs="Times New Roman"/>
          <w:sz w:val="24"/>
          <w:szCs w:val="24"/>
        </w:rPr>
        <w:t xml:space="preserve">tym z budżetu państwa 90 mln zł oraz ze środków </w:t>
      </w:r>
      <w:r w:rsidR="00B37BD8">
        <w:rPr>
          <w:rFonts w:ascii="Times New Roman" w:eastAsia="Cambria" w:hAnsi="Times New Roman" w:cs="Times New Roman"/>
          <w:sz w:val="24"/>
          <w:szCs w:val="24"/>
        </w:rPr>
        <w:t>Rządowego Funduszu Rozwoju Dróg</w:t>
      </w:r>
      <w:r w:rsidRPr="002A5128">
        <w:rPr>
          <w:rFonts w:ascii="Times New Roman" w:eastAsia="Cambria" w:hAnsi="Times New Roman" w:cs="Times New Roman"/>
          <w:sz w:val="24"/>
          <w:szCs w:val="24"/>
        </w:rPr>
        <w:t xml:space="preserve"> w</w:t>
      </w:r>
      <w:r w:rsidR="00FF499C">
        <w:rPr>
          <w:rFonts w:ascii="Times New Roman" w:eastAsia="Cambria" w:hAnsi="Times New Roman" w:cs="Times New Roman"/>
          <w:sz w:val="24"/>
          <w:szCs w:val="24"/>
        </w:rPr>
        <w:t> </w:t>
      </w:r>
      <w:r w:rsidRPr="002A5128">
        <w:rPr>
          <w:rFonts w:ascii="Times New Roman" w:eastAsia="Cambria" w:hAnsi="Times New Roman" w:cs="Times New Roman"/>
          <w:sz w:val="24"/>
          <w:szCs w:val="24"/>
        </w:rPr>
        <w:t>wysokości 2,210 mln zł.</w:t>
      </w:r>
    </w:p>
    <w:p w:rsidR="002A5128" w:rsidRPr="002A5128" w:rsidRDefault="007C1573" w:rsidP="00826B73">
      <w:pPr>
        <w:spacing w:after="0" w:line="276" w:lineRule="auto"/>
        <w:jc w:val="both"/>
        <w:rPr>
          <w:rFonts w:ascii="Times New Roman" w:eastAsia="Cambria" w:hAnsi="Times New Roman" w:cs="Times New Roman"/>
          <w:sz w:val="24"/>
          <w:szCs w:val="24"/>
        </w:rPr>
      </w:pPr>
      <w:r>
        <w:rPr>
          <w:rFonts w:ascii="Times New Roman" w:eastAsia="Cambria" w:hAnsi="Times New Roman" w:cs="Times New Roman"/>
          <w:sz w:val="24"/>
          <w:szCs w:val="24"/>
        </w:rPr>
        <w:t>Ponadto</w:t>
      </w:r>
      <w:r w:rsidR="002A5128" w:rsidRPr="002A5128">
        <w:rPr>
          <w:rFonts w:ascii="Times New Roman" w:eastAsia="Cambria" w:hAnsi="Times New Roman" w:cs="Times New Roman"/>
          <w:sz w:val="24"/>
          <w:szCs w:val="24"/>
        </w:rPr>
        <w:t xml:space="preserve"> ustaw</w:t>
      </w:r>
      <w:r w:rsidR="0086214A">
        <w:rPr>
          <w:rFonts w:ascii="Times New Roman" w:eastAsia="Cambria" w:hAnsi="Times New Roman" w:cs="Times New Roman"/>
          <w:sz w:val="24"/>
          <w:szCs w:val="24"/>
        </w:rPr>
        <w:t>a</w:t>
      </w:r>
      <w:r w:rsidR="002A5128" w:rsidRPr="002A5128">
        <w:rPr>
          <w:rFonts w:ascii="Times New Roman" w:eastAsia="Cambria" w:hAnsi="Times New Roman" w:cs="Times New Roman"/>
          <w:sz w:val="24"/>
          <w:szCs w:val="24"/>
        </w:rPr>
        <w:t xml:space="preserve"> o </w:t>
      </w:r>
      <w:r w:rsidR="00DC3265">
        <w:rPr>
          <w:rFonts w:ascii="Times New Roman" w:eastAsia="Cambria" w:hAnsi="Times New Roman" w:cs="Times New Roman"/>
          <w:sz w:val="24"/>
          <w:szCs w:val="24"/>
        </w:rPr>
        <w:t xml:space="preserve">Rządowym </w:t>
      </w:r>
      <w:r w:rsidR="002A5128" w:rsidRPr="002A5128">
        <w:rPr>
          <w:rFonts w:ascii="Times New Roman" w:eastAsia="Cambria" w:hAnsi="Times New Roman" w:cs="Times New Roman"/>
          <w:sz w:val="24"/>
          <w:szCs w:val="24"/>
        </w:rPr>
        <w:t xml:space="preserve">Funduszu </w:t>
      </w:r>
      <w:r w:rsidR="00DC3265">
        <w:rPr>
          <w:rFonts w:ascii="Times New Roman" w:eastAsia="Cambria" w:hAnsi="Times New Roman" w:cs="Times New Roman"/>
          <w:sz w:val="24"/>
          <w:szCs w:val="24"/>
        </w:rPr>
        <w:t xml:space="preserve">Rozwoju </w:t>
      </w:r>
      <w:r w:rsidR="002A5128" w:rsidRPr="002A5128">
        <w:rPr>
          <w:rFonts w:ascii="Times New Roman" w:eastAsia="Cambria" w:hAnsi="Times New Roman" w:cs="Times New Roman"/>
          <w:sz w:val="24"/>
          <w:szCs w:val="24"/>
        </w:rPr>
        <w:t xml:space="preserve">Dróg </w:t>
      </w:r>
      <w:r w:rsidR="00DC3265">
        <w:rPr>
          <w:rFonts w:ascii="Times New Roman" w:eastAsia="Cambria" w:hAnsi="Times New Roman" w:cs="Times New Roman"/>
          <w:sz w:val="24"/>
          <w:szCs w:val="24"/>
        </w:rPr>
        <w:t xml:space="preserve">poszerzyła katalog zadań </w:t>
      </w:r>
      <w:r w:rsidR="002A5128" w:rsidRPr="002A5128">
        <w:rPr>
          <w:rFonts w:ascii="Times New Roman" w:eastAsia="Cambria" w:hAnsi="Times New Roman" w:cs="Times New Roman"/>
          <w:sz w:val="24"/>
          <w:szCs w:val="24"/>
        </w:rPr>
        <w:t>objętych dofinansowaniem o</w:t>
      </w:r>
      <w:r w:rsidR="007C5794">
        <w:rPr>
          <w:rFonts w:ascii="Times New Roman" w:eastAsia="Cambria" w:hAnsi="Times New Roman" w:cs="Times New Roman"/>
          <w:sz w:val="24"/>
          <w:szCs w:val="24"/>
        </w:rPr>
        <w:t> </w:t>
      </w:r>
      <w:r w:rsidR="002A5128" w:rsidRPr="002A5128">
        <w:rPr>
          <w:rFonts w:ascii="Times New Roman" w:eastAsia="Cambria" w:hAnsi="Times New Roman" w:cs="Times New Roman"/>
          <w:sz w:val="24"/>
          <w:szCs w:val="24"/>
        </w:rPr>
        <w:t>zadania obwodnicowe (budowa obwodnic w ciągach dróg wojewódzkich) oraz zadania miejskie (budowa, przebudowa lub remont dróg wojewódzkich, powiatowych i</w:t>
      </w:r>
      <w:r w:rsidR="00FF499C">
        <w:rPr>
          <w:rFonts w:ascii="Times New Roman" w:eastAsia="Cambria" w:hAnsi="Times New Roman" w:cs="Times New Roman"/>
          <w:sz w:val="24"/>
          <w:szCs w:val="24"/>
        </w:rPr>
        <w:t> </w:t>
      </w:r>
      <w:r w:rsidR="002A5128" w:rsidRPr="002A5128">
        <w:rPr>
          <w:rFonts w:ascii="Times New Roman" w:eastAsia="Cambria" w:hAnsi="Times New Roman" w:cs="Times New Roman"/>
          <w:sz w:val="24"/>
          <w:szCs w:val="24"/>
        </w:rPr>
        <w:t>gminnych zarządzanych przez prezydenta miast na prawach powiatu będącego siedzibą wojewody lub sejmiku województwa).</w:t>
      </w:r>
    </w:p>
    <w:p w:rsidR="002A5128" w:rsidRPr="002A5128" w:rsidRDefault="002A5128" w:rsidP="00826B73">
      <w:pPr>
        <w:spacing w:after="0" w:line="276" w:lineRule="auto"/>
        <w:jc w:val="both"/>
        <w:rPr>
          <w:rFonts w:ascii="Times New Roman" w:eastAsia="Cambria" w:hAnsi="Times New Roman" w:cs="Times New Roman"/>
          <w:sz w:val="24"/>
          <w:szCs w:val="24"/>
        </w:rPr>
      </w:pPr>
      <w:r w:rsidRPr="002A5128">
        <w:rPr>
          <w:rFonts w:ascii="Times New Roman" w:eastAsia="Cambria" w:hAnsi="Times New Roman" w:cs="Times New Roman"/>
          <w:sz w:val="24"/>
          <w:szCs w:val="24"/>
        </w:rPr>
        <w:t>Podsumowując, powyższa regulacja umożliwia samorządom dysponowanie większym portfelem środków finansowych na realizację pozostałych zadań własnych. Istniejący mechanizm wsparcia ustanowiony na</w:t>
      </w:r>
      <w:r w:rsidR="007C1573">
        <w:rPr>
          <w:rFonts w:ascii="Times New Roman" w:eastAsia="Cambria" w:hAnsi="Times New Roman" w:cs="Times New Roman"/>
          <w:sz w:val="24"/>
          <w:szCs w:val="24"/>
        </w:rPr>
        <w:t xml:space="preserve"> szczeblu krajowym</w:t>
      </w:r>
      <w:r w:rsidRPr="002A5128">
        <w:rPr>
          <w:rFonts w:ascii="Times New Roman" w:eastAsia="Cambria" w:hAnsi="Times New Roman" w:cs="Times New Roman"/>
          <w:sz w:val="24"/>
          <w:szCs w:val="24"/>
        </w:rPr>
        <w:t xml:space="preserve"> umożliwia otrzymanie dofinansowania z </w:t>
      </w:r>
      <w:r w:rsidR="00DC3265">
        <w:rPr>
          <w:rFonts w:ascii="Times New Roman" w:eastAsia="Cambria" w:hAnsi="Times New Roman" w:cs="Times New Roman"/>
          <w:sz w:val="24"/>
          <w:szCs w:val="24"/>
        </w:rPr>
        <w:t xml:space="preserve">Rządowego </w:t>
      </w:r>
      <w:r w:rsidRPr="002A5128">
        <w:rPr>
          <w:rFonts w:ascii="Times New Roman" w:eastAsia="Cambria" w:hAnsi="Times New Roman" w:cs="Times New Roman"/>
          <w:sz w:val="24"/>
          <w:szCs w:val="24"/>
        </w:rPr>
        <w:t xml:space="preserve">Funduszu </w:t>
      </w:r>
      <w:r w:rsidR="00DC3265">
        <w:rPr>
          <w:rFonts w:ascii="Times New Roman" w:eastAsia="Cambria" w:hAnsi="Times New Roman" w:cs="Times New Roman"/>
          <w:sz w:val="24"/>
          <w:szCs w:val="24"/>
        </w:rPr>
        <w:t>Rozwoju Dróg</w:t>
      </w:r>
      <w:r w:rsidRPr="002A5128">
        <w:rPr>
          <w:rFonts w:ascii="Times New Roman" w:eastAsia="Cambria" w:hAnsi="Times New Roman" w:cs="Times New Roman"/>
          <w:sz w:val="24"/>
          <w:szCs w:val="24"/>
        </w:rPr>
        <w:t>, którego wysokość jest uzależniona od dochodów własnych danej jednostki samorządu terytorialnego, ułatwiając mniej zamożnym samorządom otrzymanie większego dofinansowania na realizację zadań inwestycyjnych. Tym samym, z punktu widzenia ograniczonych możliwości finansowych jednostek samorządu terytorialnego, wygospodarowanie odpowiedniej sumy środków finansowych na realizację zadań in</w:t>
      </w:r>
      <w:r w:rsidR="00E76CCA">
        <w:rPr>
          <w:rFonts w:ascii="Times New Roman" w:eastAsia="Cambria" w:hAnsi="Times New Roman" w:cs="Times New Roman"/>
          <w:sz w:val="24"/>
          <w:szCs w:val="24"/>
        </w:rPr>
        <w:t>westycyjnych z własnych środków</w:t>
      </w:r>
      <w:r w:rsidRPr="002A5128">
        <w:rPr>
          <w:rFonts w:ascii="Times New Roman" w:eastAsia="Cambria" w:hAnsi="Times New Roman" w:cs="Times New Roman"/>
          <w:sz w:val="24"/>
          <w:szCs w:val="24"/>
        </w:rPr>
        <w:t xml:space="preserve"> może być </w:t>
      </w:r>
      <w:r w:rsidR="003F6F31">
        <w:rPr>
          <w:rFonts w:ascii="Times New Roman" w:eastAsia="Cambria" w:hAnsi="Times New Roman" w:cs="Times New Roman"/>
          <w:sz w:val="24"/>
          <w:szCs w:val="24"/>
        </w:rPr>
        <w:t>znacznie utrudnione, natomiast </w:t>
      </w:r>
      <w:r w:rsidR="00DC3265">
        <w:rPr>
          <w:rFonts w:ascii="Times New Roman" w:eastAsia="Cambria" w:hAnsi="Times New Roman" w:cs="Times New Roman"/>
          <w:sz w:val="24"/>
          <w:szCs w:val="24"/>
        </w:rPr>
        <w:t xml:space="preserve">Rządowy </w:t>
      </w:r>
      <w:r w:rsidRPr="002A5128">
        <w:rPr>
          <w:rFonts w:ascii="Times New Roman" w:eastAsia="Cambria" w:hAnsi="Times New Roman" w:cs="Times New Roman"/>
          <w:sz w:val="24"/>
          <w:szCs w:val="24"/>
        </w:rPr>
        <w:t xml:space="preserve">Fundusz </w:t>
      </w:r>
      <w:r w:rsidR="00DC3265">
        <w:rPr>
          <w:rFonts w:ascii="Times New Roman" w:eastAsia="Cambria" w:hAnsi="Times New Roman" w:cs="Times New Roman"/>
          <w:sz w:val="24"/>
          <w:szCs w:val="24"/>
        </w:rPr>
        <w:t>Rozwoju Dróg</w:t>
      </w:r>
      <w:r w:rsidRPr="002A5128">
        <w:rPr>
          <w:rFonts w:ascii="Times New Roman" w:eastAsia="Cambria" w:hAnsi="Times New Roman" w:cs="Times New Roman"/>
          <w:sz w:val="24"/>
          <w:szCs w:val="24"/>
        </w:rPr>
        <w:t xml:space="preserve"> jest</w:t>
      </w:r>
      <w:r w:rsidR="00FF499C">
        <w:rPr>
          <w:rFonts w:ascii="Times New Roman" w:eastAsia="Cambria" w:hAnsi="Times New Roman" w:cs="Times New Roman"/>
          <w:sz w:val="24"/>
          <w:szCs w:val="24"/>
        </w:rPr>
        <w:t> </w:t>
      </w:r>
      <w:r w:rsidRPr="002A5128">
        <w:rPr>
          <w:rFonts w:ascii="Times New Roman" w:eastAsia="Cambria" w:hAnsi="Times New Roman" w:cs="Times New Roman"/>
          <w:sz w:val="24"/>
          <w:szCs w:val="24"/>
        </w:rPr>
        <w:t xml:space="preserve">narzędziem, które uzupełnia i realizuje potrzeby </w:t>
      </w:r>
      <w:r w:rsidR="0098159C">
        <w:rPr>
          <w:rFonts w:ascii="Times New Roman" w:eastAsia="Cambria" w:hAnsi="Times New Roman" w:cs="Times New Roman"/>
          <w:sz w:val="24"/>
          <w:szCs w:val="24"/>
        </w:rPr>
        <w:t>samorządów w powyższym zakresie,</w:t>
      </w:r>
    </w:p>
    <w:p w:rsidR="002A5128" w:rsidRPr="002A5128" w:rsidRDefault="002A5128" w:rsidP="00826B73">
      <w:pPr>
        <w:autoSpaceDE w:val="0"/>
        <w:autoSpaceDN w:val="0"/>
        <w:adjustRightInd w:val="0"/>
        <w:spacing w:after="0" w:line="276" w:lineRule="auto"/>
        <w:rPr>
          <w:rFonts w:ascii="Times New Roman" w:eastAsia="Cambria" w:hAnsi="Times New Roman" w:cs="Times New Roman"/>
          <w:sz w:val="24"/>
          <w:szCs w:val="24"/>
        </w:rPr>
      </w:pPr>
    </w:p>
    <w:p w:rsidR="002A5128" w:rsidRPr="002A5128" w:rsidRDefault="00E76CCA" w:rsidP="00826B73">
      <w:pPr>
        <w:spacing w:after="0" w:line="276" w:lineRule="auto"/>
        <w:jc w:val="both"/>
        <w:rPr>
          <w:rFonts w:ascii="Times New Roman" w:eastAsia="Cambria" w:hAnsi="Times New Roman" w:cs="Times New Roman"/>
          <w:sz w:val="24"/>
          <w:szCs w:val="24"/>
        </w:rPr>
      </w:pPr>
      <w:r w:rsidRPr="002A5128">
        <w:rPr>
          <w:rFonts w:ascii="Times New Roman" w:eastAsia="Calibri" w:hAnsi="Times New Roman" w:cs="Times New Roman"/>
          <w:color w:val="000000"/>
          <w:sz w:val="24"/>
          <w:szCs w:val="24"/>
        </w:rPr>
        <w:t>–</w:t>
      </w:r>
      <w:r w:rsidR="00DC3265">
        <w:rPr>
          <w:rFonts w:ascii="Times New Roman" w:eastAsia="Cambria" w:hAnsi="Times New Roman" w:cs="Times New Roman"/>
          <w:sz w:val="24"/>
          <w:szCs w:val="24"/>
        </w:rPr>
        <w:t xml:space="preserve"> ustawę </w:t>
      </w:r>
      <w:r w:rsidR="002A5128" w:rsidRPr="002A5128">
        <w:rPr>
          <w:rFonts w:ascii="Times New Roman" w:eastAsia="Cambria" w:hAnsi="Times New Roman" w:cs="Times New Roman"/>
          <w:sz w:val="24"/>
          <w:szCs w:val="24"/>
        </w:rPr>
        <w:t>z dnia 16 maja 2019 r. o Funduszu rozwoju przewozów autobusowych o</w:t>
      </w:r>
      <w:r w:rsidR="007C5794">
        <w:rPr>
          <w:rFonts w:ascii="Times New Roman" w:eastAsia="Cambria" w:hAnsi="Times New Roman" w:cs="Times New Roman"/>
          <w:sz w:val="24"/>
          <w:szCs w:val="24"/>
        </w:rPr>
        <w:t> </w:t>
      </w:r>
      <w:r w:rsidR="002A5128" w:rsidRPr="002A5128">
        <w:rPr>
          <w:rFonts w:ascii="Times New Roman" w:eastAsia="Cambria" w:hAnsi="Times New Roman" w:cs="Times New Roman"/>
          <w:sz w:val="24"/>
          <w:szCs w:val="24"/>
        </w:rPr>
        <w:t>charakterze użyteczności publicznej (Dz.</w:t>
      </w:r>
      <w:r w:rsidR="00C744CB">
        <w:rPr>
          <w:rFonts w:ascii="Times New Roman" w:eastAsia="Cambria" w:hAnsi="Times New Roman" w:cs="Times New Roman"/>
          <w:sz w:val="24"/>
          <w:szCs w:val="24"/>
        </w:rPr>
        <w:t xml:space="preserve"> </w:t>
      </w:r>
      <w:r w:rsidR="002A5128" w:rsidRPr="002A5128">
        <w:rPr>
          <w:rFonts w:ascii="Times New Roman" w:eastAsia="Cambria" w:hAnsi="Times New Roman" w:cs="Times New Roman"/>
          <w:sz w:val="24"/>
          <w:szCs w:val="24"/>
        </w:rPr>
        <w:t>U. z 2019 r. poz</w:t>
      </w:r>
      <w:r w:rsidR="003C2255">
        <w:rPr>
          <w:rFonts w:ascii="Times New Roman" w:eastAsia="Cambria" w:hAnsi="Times New Roman" w:cs="Times New Roman"/>
          <w:sz w:val="24"/>
          <w:szCs w:val="24"/>
        </w:rPr>
        <w:t>. 1123 z późn. zm.), określającą</w:t>
      </w:r>
      <w:r w:rsidR="002A5128" w:rsidRPr="002A5128">
        <w:rPr>
          <w:rFonts w:ascii="Times New Roman" w:eastAsia="Cambria" w:hAnsi="Times New Roman" w:cs="Times New Roman"/>
          <w:sz w:val="24"/>
          <w:szCs w:val="24"/>
        </w:rPr>
        <w:t xml:space="preserve"> zasady dofinansowania ze środków Funduszu (państwowy fundusz celowy) realizacji zadań własnych organizatorów dotyczących zapewnienia funkcjonowania publicznego transportu zbiorowego w</w:t>
      </w:r>
      <w:r w:rsidR="007C5794">
        <w:rPr>
          <w:rFonts w:ascii="Times New Roman" w:eastAsia="Cambria" w:hAnsi="Times New Roman" w:cs="Times New Roman"/>
          <w:sz w:val="24"/>
          <w:szCs w:val="24"/>
        </w:rPr>
        <w:t> </w:t>
      </w:r>
      <w:r w:rsidR="002A5128" w:rsidRPr="002A5128">
        <w:rPr>
          <w:rFonts w:ascii="Times New Roman" w:eastAsia="Cambria" w:hAnsi="Times New Roman" w:cs="Times New Roman"/>
          <w:sz w:val="24"/>
          <w:szCs w:val="24"/>
        </w:rPr>
        <w:t>zakresie przewozów autobusowych o charakterze użyteczności publicznej.</w:t>
      </w:r>
    </w:p>
    <w:p w:rsidR="002A5128" w:rsidRPr="002A5128" w:rsidRDefault="002A5128" w:rsidP="00826B73">
      <w:pPr>
        <w:spacing w:after="0" w:line="276" w:lineRule="auto"/>
        <w:jc w:val="both"/>
        <w:rPr>
          <w:rFonts w:ascii="Times New Roman" w:eastAsia="Cambria" w:hAnsi="Times New Roman" w:cs="Times New Roman"/>
          <w:sz w:val="24"/>
          <w:szCs w:val="24"/>
        </w:rPr>
      </w:pPr>
      <w:r w:rsidRPr="002A5128">
        <w:rPr>
          <w:rFonts w:ascii="Times New Roman" w:eastAsia="Cambria" w:hAnsi="Times New Roman" w:cs="Times New Roman"/>
          <w:sz w:val="24"/>
          <w:szCs w:val="24"/>
        </w:rPr>
        <w:t xml:space="preserve">Podobnie jak </w:t>
      </w:r>
      <w:r w:rsidR="00005A10">
        <w:rPr>
          <w:rFonts w:ascii="Times New Roman" w:eastAsia="Cambria" w:hAnsi="Times New Roman" w:cs="Times New Roman"/>
          <w:sz w:val="24"/>
          <w:szCs w:val="24"/>
        </w:rPr>
        <w:t xml:space="preserve">Rządowy </w:t>
      </w:r>
      <w:r w:rsidRPr="002A5128">
        <w:rPr>
          <w:rFonts w:ascii="Times New Roman" w:eastAsia="Cambria" w:hAnsi="Times New Roman" w:cs="Times New Roman"/>
          <w:sz w:val="24"/>
          <w:szCs w:val="24"/>
        </w:rPr>
        <w:t xml:space="preserve">Fundusz </w:t>
      </w:r>
      <w:r w:rsidR="00005A10">
        <w:rPr>
          <w:rFonts w:ascii="Times New Roman" w:eastAsia="Cambria" w:hAnsi="Times New Roman" w:cs="Times New Roman"/>
          <w:sz w:val="24"/>
          <w:szCs w:val="24"/>
        </w:rPr>
        <w:t>Rozwoju Dróg</w:t>
      </w:r>
      <w:r w:rsidRPr="002A5128">
        <w:rPr>
          <w:rFonts w:ascii="Times New Roman" w:eastAsia="Cambria" w:hAnsi="Times New Roman" w:cs="Times New Roman"/>
          <w:sz w:val="24"/>
          <w:szCs w:val="24"/>
        </w:rPr>
        <w:t xml:space="preserve"> Fundusz Autobusowy ma różne źródła zasilania, a</w:t>
      </w:r>
      <w:r w:rsidR="007C5794">
        <w:t> </w:t>
      </w:r>
      <w:r w:rsidRPr="002A5128">
        <w:rPr>
          <w:rFonts w:ascii="Times New Roman" w:eastAsia="Cambria" w:hAnsi="Times New Roman" w:cs="Times New Roman"/>
          <w:sz w:val="24"/>
          <w:szCs w:val="24"/>
        </w:rPr>
        <w:t>jednym z nich jest budżet państwa.</w:t>
      </w:r>
    </w:p>
    <w:p w:rsidR="002A5128" w:rsidRPr="002A5128" w:rsidRDefault="002A5128" w:rsidP="00826B73">
      <w:pPr>
        <w:spacing w:after="0" w:line="276" w:lineRule="auto"/>
        <w:jc w:val="both"/>
        <w:rPr>
          <w:rFonts w:ascii="Times New Roman" w:eastAsia="Cambria" w:hAnsi="Times New Roman" w:cs="Times New Roman"/>
          <w:sz w:val="24"/>
          <w:szCs w:val="24"/>
        </w:rPr>
      </w:pPr>
      <w:r w:rsidRPr="002A5128">
        <w:rPr>
          <w:rFonts w:ascii="Times New Roman" w:eastAsia="Cambria" w:hAnsi="Times New Roman" w:cs="Times New Roman"/>
          <w:sz w:val="24"/>
          <w:szCs w:val="24"/>
        </w:rPr>
        <w:t>W 2020 r.</w:t>
      </w:r>
      <w:r w:rsidR="00E76CCA">
        <w:rPr>
          <w:rFonts w:ascii="Times New Roman" w:eastAsia="Cambria" w:hAnsi="Times New Roman" w:cs="Times New Roman"/>
          <w:sz w:val="24"/>
          <w:szCs w:val="24"/>
        </w:rPr>
        <w:t>,</w:t>
      </w:r>
      <w:r w:rsidRPr="002A5128">
        <w:rPr>
          <w:rFonts w:ascii="Times New Roman" w:eastAsia="Cambria" w:hAnsi="Times New Roman" w:cs="Times New Roman"/>
          <w:sz w:val="24"/>
          <w:szCs w:val="24"/>
        </w:rPr>
        <w:t xml:space="preserve"> </w:t>
      </w:r>
      <w:r w:rsidR="00BE5491">
        <w:rPr>
          <w:rFonts w:ascii="Times New Roman" w:eastAsia="Cambria" w:hAnsi="Times New Roman" w:cs="Times New Roman"/>
          <w:sz w:val="24"/>
          <w:szCs w:val="24"/>
        </w:rPr>
        <w:t>jak i w 2021 r.</w:t>
      </w:r>
      <w:r w:rsidR="00E76CCA">
        <w:rPr>
          <w:rFonts w:ascii="Times New Roman" w:eastAsia="Cambria" w:hAnsi="Times New Roman" w:cs="Times New Roman"/>
          <w:sz w:val="24"/>
          <w:szCs w:val="24"/>
        </w:rPr>
        <w:t>,</w:t>
      </w:r>
      <w:r w:rsidR="00BE5491">
        <w:rPr>
          <w:rFonts w:ascii="Times New Roman" w:eastAsia="Cambria" w:hAnsi="Times New Roman" w:cs="Times New Roman"/>
          <w:sz w:val="24"/>
          <w:szCs w:val="24"/>
        </w:rPr>
        <w:t xml:space="preserve"> </w:t>
      </w:r>
      <w:r w:rsidRPr="002A5128">
        <w:rPr>
          <w:rFonts w:ascii="Times New Roman" w:eastAsia="Cambria" w:hAnsi="Times New Roman" w:cs="Times New Roman"/>
          <w:sz w:val="24"/>
          <w:szCs w:val="24"/>
        </w:rPr>
        <w:t>na zasilenie Funduszu Autobusowego zostały zabezpieczone środki budżetu państwa w</w:t>
      </w:r>
      <w:r w:rsidR="007C5794">
        <w:rPr>
          <w:rFonts w:ascii="Times New Roman" w:eastAsia="Cambria" w:hAnsi="Times New Roman" w:cs="Times New Roman"/>
          <w:sz w:val="24"/>
          <w:szCs w:val="24"/>
        </w:rPr>
        <w:t> </w:t>
      </w:r>
      <w:r w:rsidRPr="002A5128">
        <w:rPr>
          <w:rFonts w:ascii="Times New Roman" w:eastAsia="Cambria" w:hAnsi="Times New Roman" w:cs="Times New Roman"/>
          <w:sz w:val="24"/>
          <w:szCs w:val="24"/>
        </w:rPr>
        <w:t>wysokości 200 mln zł</w:t>
      </w:r>
      <w:r w:rsidR="00BE5491">
        <w:rPr>
          <w:rFonts w:ascii="Times New Roman" w:eastAsia="Cambria" w:hAnsi="Times New Roman" w:cs="Times New Roman"/>
          <w:sz w:val="24"/>
          <w:szCs w:val="24"/>
        </w:rPr>
        <w:t xml:space="preserve"> , w każdym ze wskazan</w:t>
      </w:r>
      <w:r w:rsidR="0098159C">
        <w:rPr>
          <w:rFonts w:ascii="Times New Roman" w:eastAsia="Cambria" w:hAnsi="Times New Roman" w:cs="Times New Roman"/>
          <w:sz w:val="24"/>
          <w:szCs w:val="24"/>
        </w:rPr>
        <w:t>ych lat,</w:t>
      </w:r>
    </w:p>
    <w:p w:rsidR="002A5128" w:rsidRPr="002A5128" w:rsidRDefault="002A5128" w:rsidP="00826B73">
      <w:pPr>
        <w:autoSpaceDE w:val="0"/>
        <w:autoSpaceDN w:val="0"/>
        <w:adjustRightInd w:val="0"/>
        <w:spacing w:after="0" w:line="276" w:lineRule="auto"/>
        <w:jc w:val="both"/>
        <w:rPr>
          <w:rFonts w:ascii="Times New Roman" w:eastAsia="Cambria" w:hAnsi="Times New Roman" w:cs="Times New Roman"/>
          <w:sz w:val="24"/>
          <w:szCs w:val="24"/>
        </w:rPr>
      </w:pPr>
    </w:p>
    <w:p w:rsidR="002A5128" w:rsidRPr="002A5128" w:rsidRDefault="00E76CCA" w:rsidP="00826B73">
      <w:pPr>
        <w:spacing w:after="0" w:line="276" w:lineRule="auto"/>
        <w:jc w:val="both"/>
        <w:rPr>
          <w:rFonts w:ascii="Times New Roman" w:eastAsia="Cambria" w:hAnsi="Times New Roman" w:cs="Times New Roman"/>
          <w:sz w:val="24"/>
          <w:szCs w:val="24"/>
        </w:rPr>
      </w:pPr>
      <w:r w:rsidRPr="002A5128">
        <w:rPr>
          <w:rFonts w:ascii="Times New Roman" w:eastAsia="Calibri" w:hAnsi="Times New Roman" w:cs="Times New Roman"/>
          <w:color w:val="000000"/>
          <w:sz w:val="24"/>
          <w:szCs w:val="24"/>
        </w:rPr>
        <w:t>–</w:t>
      </w:r>
      <w:r w:rsidR="002A5128" w:rsidRPr="002A5128">
        <w:rPr>
          <w:rFonts w:ascii="Times New Roman" w:eastAsia="Cambria" w:hAnsi="Times New Roman" w:cs="Times New Roman"/>
          <w:sz w:val="24"/>
          <w:szCs w:val="24"/>
        </w:rPr>
        <w:t xml:space="preserve"> ustawę z dnia </w:t>
      </w:r>
      <w:r w:rsidR="00225A03">
        <w:rPr>
          <w:rFonts w:ascii="Times New Roman" w:eastAsia="Cambria" w:hAnsi="Times New Roman" w:cs="Times New Roman"/>
          <w:sz w:val="24"/>
          <w:szCs w:val="24"/>
        </w:rPr>
        <w:t xml:space="preserve">10 grudnia </w:t>
      </w:r>
      <w:r w:rsidR="002A5128" w:rsidRPr="002A5128">
        <w:rPr>
          <w:rFonts w:ascii="Times New Roman" w:eastAsia="Cambria" w:hAnsi="Times New Roman" w:cs="Times New Roman"/>
          <w:sz w:val="24"/>
          <w:szCs w:val="24"/>
        </w:rPr>
        <w:t>2020 r. o zmianie niektórych ustaw wspierających rozwój mieszkalnictwa (</w:t>
      </w:r>
      <w:r w:rsidR="0098159C">
        <w:rPr>
          <w:rFonts w:ascii="Times New Roman" w:eastAsia="Cambria" w:hAnsi="Times New Roman" w:cs="Times New Roman"/>
          <w:sz w:val="24"/>
          <w:szCs w:val="24"/>
        </w:rPr>
        <w:t xml:space="preserve">Dz. U. </w:t>
      </w:r>
      <w:r w:rsidR="00BE4052">
        <w:rPr>
          <w:rFonts w:ascii="Times New Roman" w:eastAsia="Cambria" w:hAnsi="Times New Roman" w:cs="Times New Roman"/>
          <w:sz w:val="24"/>
          <w:szCs w:val="24"/>
        </w:rPr>
        <w:t>z 2021 r. poz. 11)</w:t>
      </w:r>
      <w:r w:rsidR="002A5128" w:rsidRPr="002A5128">
        <w:rPr>
          <w:rFonts w:ascii="Times New Roman" w:eastAsia="Cambria" w:hAnsi="Times New Roman" w:cs="Times New Roman"/>
          <w:sz w:val="24"/>
          <w:szCs w:val="24"/>
        </w:rPr>
        <w:t>,</w:t>
      </w:r>
      <w:r w:rsidR="00E72A37">
        <w:rPr>
          <w:rFonts w:ascii="Times New Roman" w:eastAsia="Cambria" w:hAnsi="Times New Roman" w:cs="Times New Roman"/>
          <w:sz w:val="24"/>
          <w:szCs w:val="24"/>
        </w:rPr>
        <w:t xml:space="preserve"> która przewiduje w</w:t>
      </w:r>
      <w:r w:rsidR="002A5128" w:rsidRPr="002A5128">
        <w:rPr>
          <w:rFonts w:ascii="Times New Roman" w:eastAsia="Cambria" w:hAnsi="Times New Roman" w:cs="Times New Roman"/>
          <w:sz w:val="24"/>
          <w:szCs w:val="24"/>
        </w:rPr>
        <w:t>sparci</w:t>
      </w:r>
      <w:r w:rsidR="00E72A37">
        <w:rPr>
          <w:rFonts w:ascii="Times New Roman" w:eastAsia="Cambria" w:hAnsi="Times New Roman" w:cs="Times New Roman"/>
          <w:sz w:val="24"/>
          <w:szCs w:val="24"/>
        </w:rPr>
        <w:t>e</w:t>
      </w:r>
      <w:r w:rsidR="002A5128" w:rsidRPr="002A5128">
        <w:rPr>
          <w:rFonts w:ascii="Times New Roman" w:eastAsia="Cambria" w:hAnsi="Times New Roman" w:cs="Times New Roman"/>
          <w:sz w:val="24"/>
          <w:szCs w:val="24"/>
        </w:rPr>
        <w:t xml:space="preserve"> dla gmin ze środków Rządowego Funduszu Rozwoju Mieszkalnictwa poprzez jednorazowe zasilenie utworzonego Funduszu w całości środkami Funduszu Przeciwdziałania COVID-19 w wysoko</w:t>
      </w:r>
      <w:r>
        <w:rPr>
          <w:rFonts w:ascii="Times New Roman" w:eastAsia="Cambria" w:hAnsi="Times New Roman" w:cs="Times New Roman"/>
          <w:sz w:val="24"/>
          <w:szCs w:val="24"/>
        </w:rPr>
        <w:t xml:space="preserve">ści 1.500 mln zł. </w:t>
      </w:r>
      <w:r>
        <w:rPr>
          <w:rFonts w:ascii="Times New Roman" w:eastAsia="Cambria" w:hAnsi="Times New Roman" w:cs="Times New Roman"/>
          <w:sz w:val="24"/>
          <w:szCs w:val="24"/>
        </w:rPr>
        <w:lastRenderedPageBreak/>
        <w:t>Zgodnie z OSR</w:t>
      </w:r>
      <w:r w:rsidR="002A5128" w:rsidRPr="002A5128">
        <w:rPr>
          <w:rFonts w:ascii="Times New Roman" w:eastAsia="Cambria" w:hAnsi="Times New Roman" w:cs="Times New Roman"/>
          <w:sz w:val="24"/>
          <w:szCs w:val="24"/>
        </w:rPr>
        <w:t xml:space="preserve"> środki Rządowego Funduszu Rozwoju Mieszkalnictwa będą służyły sfinansowaniu części lub całości wydatków gminy na objęcie udziałów lub akcji w tworzonej lub</w:t>
      </w:r>
      <w:r w:rsidR="00FF499C">
        <w:rPr>
          <w:rFonts w:ascii="Times New Roman" w:eastAsia="Cambria" w:hAnsi="Times New Roman" w:cs="Times New Roman"/>
          <w:sz w:val="24"/>
          <w:szCs w:val="24"/>
        </w:rPr>
        <w:t> </w:t>
      </w:r>
      <w:r w:rsidR="002A5128" w:rsidRPr="002A5128">
        <w:rPr>
          <w:rFonts w:ascii="Times New Roman" w:eastAsia="Cambria" w:hAnsi="Times New Roman" w:cs="Times New Roman"/>
          <w:sz w:val="24"/>
          <w:szCs w:val="24"/>
        </w:rPr>
        <w:t>działającej spółce społecznego budownictwa czynszowego (Społe</w:t>
      </w:r>
      <w:r w:rsidR="00406888">
        <w:rPr>
          <w:rFonts w:ascii="Times New Roman" w:eastAsia="Cambria" w:hAnsi="Times New Roman" w:cs="Times New Roman"/>
          <w:sz w:val="24"/>
          <w:szCs w:val="24"/>
        </w:rPr>
        <w:t>czna Inicjatywa Mieszkaniowa</w:t>
      </w:r>
      <w:r w:rsidR="002A5128" w:rsidRPr="002A5128">
        <w:rPr>
          <w:rFonts w:ascii="Times New Roman" w:eastAsia="Cambria" w:hAnsi="Times New Roman" w:cs="Times New Roman"/>
          <w:sz w:val="24"/>
          <w:szCs w:val="24"/>
        </w:rPr>
        <w:t>).</w:t>
      </w:r>
    </w:p>
    <w:p w:rsidR="002A5128" w:rsidRPr="002A5128" w:rsidRDefault="002A5128" w:rsidP="00826B73">
      <w:pPr>
        <w:spacing w:after="0" w:line="276" w:lineRule="auto"/>
        <w:jc w:val="both"/>
        <w:rPr>
          <w:rFonts w:ascii="Times New Roman" w:eastAsia="Cambria" w:hAnsi="Times New Roman" w:cs="Times New Roman"/>
          <w:sz w:val="24"/>
          <w:szCs w:val="24"/>
        </w:rPr>
      </w:pPr>
      <w:r w:rsidRPr="002A5128">
        <w:rPr>
          <w:rFonts w:ascii="Times New Roman" w:eastAsia="Cambria" w:hAnsi="Times New Roman" w:cs="Times New Roman"/>
          <w:sz w:val="24"/>
          <w:szCs w:val="24"/>
        </w:rPr>
        <w:t>Uruchomione wsparcie ma mieć charakter interwencyjny związany z przeciwdziałaniem</w:t>
      </w:r>
      <w:r w:rsidR="0098159C">
        <w:rPr>
          <w:rFonts w:ascii="Times New Roman" w:eastAsia="Cambria" w:hAnsi="Times New Roman" w:cs="Times New Roman"/>
          <w:sz w:val="24"/>
          <w:szCs w:val="24"/>
        </w:rPr>
        <w:t xml:space="preserve"> negatywnym skutkom COVID-19,</w:t>
      </w:r>
    </w:p>
    <w:p w:rsidR="002A5128" w:rsidRDefault="002A5128" w:rsidP="00826B73">
      <w:pPr>
        <w:autoSpaceDE w:val="0"/>
        <w:autoSpaceDN w:val="0"/>
        <w:adjustRightInd w:val="0"/>
        <w:spacing w:after="0" w:line="276" w:lineRule="auto"/>
        <w:jc w:val="both"/>
        <w:rPr>
          <w:rFonts w:ascii="Times New Roman" w:eastAsia="Cambria" w:hAnsi="Times New Roman" w:cs="Times New Roman"/>
          <w:sz w:val="24"/>
          <w:szCs w:val="24"/>
        </w:rPr>
      </w:pPr>
    </w:p>
    <w:p w:rsidR="00BF3488" w:rsidRPr="00BF3488" w:rsidRDefault="00E76CCA" w:rsidP="00826B73">
      <w:pPr>
        <w:autoSpaceDE w:val="0"/>
        <w:autoSpaceDN w:val="0"/>
        <w:adjustRightInd w:val="0"/>
        <w:spacing w:after="0" w:line="276" w:lineRule="auto"/>
        <w:jc w:val="both"/>
        <w:rPr>
          <w:rFonts w:ascii="Times New Roman" w:eastAsia="Cambria" w:hAnsi="Times New Roman" w:cs="Times New Roman"/>
          <w:sz w:val="24"/>
          <w:szCs w:val="24"/>
        </w:rPr>
      </w:pPr>
      <w:r w:rsidRPr="002A5128">
        <w:rPr>
          <w:rFonts w:ascii="Times New Roman" w:eastAsia="Calibri" w:hAnsi="Times New Roman" w:cs="Times New Roman"/>
          <w:color w:val="000000"/>
          <w:sz w:val="24"/>
          <w:szCs w:val="24"/>
        </w:rPr>
        <w:t>–</w:t>
      </w:r>
      <w:r w:rsidR="000A4B0D">
        <w:rPr>
          <w:rFonts w:ascii="Times New Roman" w:eastAsia="Cambria" w:hAnsi="Times New Roman" w:cs="Times New Roman"/>
          <w:sz w:val="24"/>
          <w:szCs w:val="24"/>
        </w:rPr>
        <w:t xml:space="preserve"> ustawę z dnia 15 lipca 2020 r. o </w:t>
      </w:r>
      <w:r w:rsidR="000A4B0D" w:rsidRPr="000A4B0D">
        <w:rPr>
          <w:rFonts w:ascii="Times New Roman" w:eastAsia="Cambria" w:hAnsi="Times New Roman" w:cs="Times New Roman"/>
          <w:sz w:val="24"/>
          <w:szCs w:val="24"/>
        </w:rPr>
        <w:t>Polskim Bonie Turystycznym (Dz.</w:t>
      </w:r>
      <w:r w:rsidR="00C744CB">
        <w:rPr>
          <w:rFonts w:ascii="Times New Roman" w:eastAsia="Cambria" w:hAnsi="Times New Roman" w:cs="Times New Roman"/>
          <w:sz w:val="24"/>
          <w:szCs w:val="24"/>
        </w:rPr>
        <w:t xml:space="preserve"> </w:t>
      </w:r>
      <w:r w:rsidR="000A4B0D" w:rsidRPr="000A4B0D">
        <w:rPr>
          <w:rFonts w:ascii="Times New Roman" w:eastAsia="Cambria" w:hAnsi="Times New Roman" w:cs="Times New Roman"/>
          <w:sz w:val="24"/>
          <w:szCs w:val="24"/>
        </w:rPr>
        <w:t>U. poz. 1262</w:t>
      </w:r>
      <w:r w:rsidR="0098159C">
        <w:rPr>
          <w:rFonts w:ascii="Times New Roman" w:eastAsia="Cambria" w:hAnsi="Times New Roman" w:cs="Times New Roman"/>
          <w:sz w:val="24"/>
          <w:szCs w:val="24"/>
        </w:rPr>
        <w:t>,</w:t>
      </w:r>
      <w:r w:rsidR="000A4B0D" w:rsidRPr="000A4B0D">
        <w:rPr>
          <w:rFonts w:ascii="Times New Roman" w:eastAsia="Cambria" w:hAnsi="Times New Roman" w:cs="Times New Roman"/>
          <w:sz w:val="24"/>
          <w:szCs w:val="24"/>
        </w:rPr>
        <w:t xml:space="preserve"> </w:t>
      </w:r>
      <w:r w:rsidR="000A4B0D">
        <w:rPr>
          <w:rFonts w:ascii="Times New Roman" w:eastAsia="Cambria" w:hAnsi="Times New Roman" w:cs="Times New Roman"/>
          <w:sz w:val="24"/>
          <w:szCs w:val="24"/>
        </w:rPr>
        <w:t xml:space="preserve">z </w:t>
      </w:r>
      <w:r w:rsidR="000A4B0D" w:rsidRPr="000A4B0D">
        <w:rPr>
          <w:rFonts w:ascii="Times New Roman" w:eastAsia="Cambria" w:hAnsi="Times New Roman" w:cs="Times New Roman"/>
          <w:sz w:val="24"/>
          <w:szCs w:val="24"/>
        </w:rPr>
        <w:t>późn.zm.)</w:t>
      </w:r>
      <w:r w:rsidR="000A4B0D">
        <w:rPr>
          <w:rFonts w:ascii="Times New Roman" w:eastAsia="Cambria" w:hAnsi="Times New Roman" w:cs="Times New Roman"/>
          <w:sz w:val="24"/>
          <w:szCs w:val="24"/>
        </w:rPr>
        <w:t>, w</w:t>
      </w:r>
      <w:r w:rsidR="007C5794">
        <w:rPr>
          <w:rFonts w:ascii="Times New Roman" w:eastAsia="Cambria" w:hAnsi="Times New Roman" w:cs="Times New Roman"/>
          <w:sz w:val="24"/>
          <w:szCs w:val="24"/>
        </w:rPr>
        <w:t> </w:t>
      </w:r>
      <w:r w:rsidR="000A4B0D">
        <w:rPr>
          <w:rFonts w:ascii="Times New Roman" w:eastAsia="Cambria" w:hAnsi="Times New Roman" w:cs="Times New Roman"/>
          <w:sz w:val="24"/>
          <w:szCs w:val="24"/>
        </w:rPr>
        <w:t>której</w:t>
      </w:r>
      <w:r w:rsidR="000A4B0D" w:rsidRPr="000A4B0D">
        <w:rPr>
          <w:rFonts w:ascii="Times New Roman" w:eastAsia="Cambria" w:hAnsi="Times New Roman" w:cs="Times New Roman"/>
          <w:sz w:val="24"/>
          <w:szCs w:val="24"/>
        </w:rPr>
        <w:t xml:space="preserve"> wprowadzono w art. 43 rozwiązanie</w:t>
      </w:r>
      <w:r w:rsidR="000A4B0D">
        <w:rPr>
          <w:rFonts w:ascii="Times New Roman" w:eastAsia="Cambria" w:hAnsi="Times New Roman" w:cs="Times New Roman"/>
          <w:sz w:val="24"/>
          <w:szCs w:val="24"/>
        </w:rPr>
        <w:t>,</w:t>
      </w:r>
      <w:r w:rsidR="000A4B0D" w:rsidRPr="000A4B0D">
        <w:rPr>
          <w:rFonts w:ascii="Times New Roman" w:eastAsia="Cambria" w:hAnsi="Times New Roman" w:cs="Times New Roman"/>
          <w:sz w:val="24"/>
          <w:szCs w:val="24"/>
        </w:rPr>
        <w:t xml:space="preserve"> umożliwiają</w:t>
      </w:r>
      <w:r w:rsidR="000A4B0D">
        <w:rPr>
          <w:rFonts w:ascii="Times New Roman" w:eastAsia="Cambria" w:hAnsi="Times New Roman" w:cs="Times New Roman"/>
          <w:sz w:val="24"/>
          <w:szCs w:val="24"/>
        </w:rPr>
        <w:t>ce wsparcie finansowe jednostek</w:t>
      </w:r>
      <w:r w:rsidR="00BF3488">
        <w:rPr>
          <w:rFonts w:ascii="Times New Roman" w:eastAsia="Cambria" w:hAnsi="Times New Roman" w:cs="Times New Roman"/>
          <w:sz w:val="24"/>
          <w:szCs w:val="24"/>
        </w:rPr>
        <w:t xml:space="preserve"> </w:t>
      </w:r>
      <w:r w:rsidR="000A4B0D" w:rsidRPr="000A4B0D">
        <w:rPr>
          <w:rFonts w:ascii="Times New Roman" w:eastAsia="Cambria" w:hAnsi="Times New Roman" w:cs="Times New Roman"/>
          <w:sz w:val="24"/>
          <w:szCs w:val="24"/>
        </w:rPr>
        <w:t>samorządu terytorialnego w realizacji ich zadań inwestycyjnych</w:t>
      </w:r>
      <w:r w:rsidR="000A4B0D">
        <w:rPr>
          <w:rFonts w:ascii="Times New Roman" w:eastAsia="Cambria" w:hAnsi="Times New Roman" w:cs="Times New Roman"/>
          <w:sz w:val="24"/>
          <w:szCs w:val="24"/>
        </w:rPr>
        <w:t xml:space="preserve">. </w:t>
      </w:r>
      <w:r w:rsidR="00BF3488" w:rsidRPr="00BF3488">
        <w:rPr>
          <w:rFonts w:ascii="Times New Roman" w:eastAsia="Cambria" w:hAnsi="Times New Roman" w:cs="Times New Roman"/>
          <w:sz w:val="24"/>
          <w:szCs w:val="24"/>
        </w:rPr>
        <w:t>Rozwiązanie to ma na celu</w:t>
      </w:r>
      <w:r w:rsidR="00BF3488">
        <w:rPr>
          <w:rFonts w:ascii="Times New Roman" w:eastAsia="Cambria" w:hAnsi="Times New Roman" w:cs="Times New Roman"/>
          <w:sz w:val="24"/>
          <w:szCs w:val="24"/>
        </w:rPr>
        <w:t xml:space="preserve"> </w:t>
      </w:r>
      <w:r w:rsidR="00BF3488" w:rsidRPr="00BF3488">
        <w:rPr>
          <w:rFonts w:ascii="Times New Roman" w:eastAsia="Cambria" w:hAnsi="Times New Roman" w:cs="Times New Roman"/>
          <w:sz w:val="24"/>
          <w:szCs w:val="24"/>
        </w:rPr>
        <w:t>przeciwdziałanie skutkom społeczno-gospodarczym COVID</w:t>
      </w:r>
      <w:r w:rsidR="00BF3488">
        <w:rPr>
          <w:rFonts w:ascii="Times New Roman" w:eastAsia="Cambria" w:hAnsi="Times New Roman" w:cs="Times New Roman"/>
          <w:sz w:val="24"/>
          <w:szCs w:val="24"/>
        </w:rPr>
        <w:t xml:space="preserve">-19 oraz wzmocnienie potencjału </w:t>
      </w:r>
      <w:r w:rsidR="00BF3488" w:rsidRPr="00BF3488">
        <w:rPr>
          <w:rFonts w:ascii="Times New Roman" w:eastAsia="Cambria" w:hAnsi="Times New Roman" w:cs="Times New Roman"/>
          <w:sz w:val="24"/>
          <w:szCs w:val="24"/>
        </w:rPr>
        <w:t>finansowego samorządów, których w okresie epidemii dotyka ubytek dochodów własnych.</w:t>
      </w:r>
    </w:p>
    <w:p w:rsidR="00BF3488" w:rsidRPr="00BF3488" w:rsidRDefault="00BF3488" w:rsidP="00826B73">
      <w:pPr>
        <w:autoSpaceDE w:val="0"/>
        <w:autoSpaceDN w:val="0"/>
        <w:adjustRightInd w:val="0"/>
        <w:spacing w:after="0" w:line="276" w:lineRule="auto"/>
        <w:jc w:val="both"/>
        <w:rPr>
          <w:rFonts w:ascii="Times New Roman" w:eastAsia="Cambria" w:hAnsi="Times New Roman" w:cs="Times New Roman"/>
          <w:sz w:val="24"/>
          <w:szCs w:val="24"/>
        </w:rPr>
      </w:pPr>
      <w:r w:rsidRPr="00BF3488">
        <w:rPr>
          <w:rFonts w:ascii="Times New Roman" w:eastAsia="Cambria" w:hAnsi="Times New Roman" w:cs="Times New Roman"/>
          <w:sz w:val="24"/>
          <w:szCs w:val="24"/>
        </w:rPr>
        <w:t>Ww. dodatkowe środki dla jednostek samorządu terytorialnego podlegają przekazaniu z Funduszu</w:t>
      </w:r>
    </w:p>
    <w:p w:rsidR="00BF3488" w:rsidRDefault="00BF3488" w:rsidP="00826B73">
      <w:pPr>
        <w:autoSpaceDE w:val="0"/>
        <w:autoSpaceDN w:val="0"/>
        <w:adjustRightInd w:val="0"/>
        <w:spacing w:after="0" w:line="276" w:lineRule="auto"/>
        <w:jc w:val="both"/>
        <w:rPr>
          <w:rFonts w:ascii="Times New Roman" w:eastAsia="Cambria" w:hAnsi="Times New Roman" w:cs="Times New Roman"/>
          <w:sz w:val="24"/>
          <w:szCs w:val="24"/>
        </w:rPr>
      </w:pPr>
      <w:r w:rsidRPr="00BF3488">
        <w:rPr>
          <w:rFonts w:ascii="Times New Roman" w:eastAsia="Cambria" w:hAnsi="Times New Roman" w:cs="Times New Roman"/>
          <w:sz w:val="24"/>
          <w:szCs w:val="24"/>
        </w:rPr>
        <w:t>Przeciwdziałania COVID-19, zwanym Rządowym Funduszem Inwestycji Lokalnych.</w:t>
      </w:r>
    </w:p>
    <w:p w:rsidR="00074C89" w:rsidRDefault="000A4B0D" w:rsidP="00074C89">
      <w:pPr>
        <w:autoSpaceDE w:val="0"/>
        <w:autoSpaceDN w:val="0"/>
        <w:adjustRightInd w:val="0"/>
        <w:spacing w:after="0" w:line="276" w:lineRule="auto"/>
        <w:jc w:val="both"/>
      </w:pPr>
      <w:r>
        <w:rPr>
          <w:rFonts w:ascii="Times New Roman" w:eastAsia="Cambria" w:hAnsi="Times New Roman" w:cs="Times New Roman"/>
          <w:sz w:val="24"/>
          <w:szCs w:val="24"/>
        </w:rPr>
        <w:t xml:space="preserve">Przekazywane środki finansowe </w:t>
      </w:r>
      <w:r w:rsidRPr="000A4B0D">
        <w:rPr>
          <w:rFonts w:ascii="Times New Roman" w:eastAsia="Cambria" w:hAnsi="Times New Roman" w:cs="Times New Roman"/>
          <w:sz w:val="24"/>
          <w:szCs w:val="24"/>
        </w:rPr>
        <w:t>mogą być wykorzystane przez jednostki samorządu terytorialnego na inwesty</w:t>
      </w:r>
      <w:r>
        <w:rPr>
          <w:rFonts w:ascii="Times New Roman" w:eastAsia="Cambria" w:hAnsi="Times New Roman" w:cs="Times New Roman"/>
          <w:sz w:val="24"/>
          <w:szCs w:val="24"/>
        </w:rPr>
        <w:t xml:space="preserve">cje, w tym jako </w:t>
      </w:r>
      <w:r w:rsidRPr="000A4B0D">
        <w:rPr>
          <w:rFonts w:ascii="Times New Roman" w:eastAsia="Cambria" w:hAnsi="Times New Roman" w:cs="Times New Roman"/>
          <w:sz w:val="24"/>
          <w:szCs w:val="24"/>
        </w:rPr>
        <w:t>wkład własny do projektów finansowanych z udziałem środ</w:t>
      </w:r>
      <w:r>
        <w:rPr>
          <w:rFonts w:ascii="Times New Roman" w:eastAsia="Cambria" w:hAnsi="Times New Roman" w:cs="Times New Roman"/>
          <w:sz w:val="24"/>
          <w:szCs w:val="24"/>
        </w:rPr>
        <w:t xml:space="preserve">ków pochodzących z budżetu Unii </w:t>
      </w:r>
      <w:r w:rsidRPr="000A4B0D">
        <w:rPr>
          <w:rFonts w:ascii="Times New Roman" w:eastAsia="Cambria" w:hAnsi="Times New Roman" w:cs="Times New Roman"/>
          <w:sz w:val="24"/>
          <w:szCs w:val="24"/>
        </w:rPr>
        <w:t>Europejskiej. Kwota środków została ustalona na poziomie 12 mld zł.</w:t>
      </w:r>
      <w:r w:rsidR="00074C89" w:rsidRPr="00074C89">
        <w:t xml:space="preserve"> </w:t>
      </w:r>
    </w:p>
    <w:p w:rsidR="00C22877" w:rsidRDefault="00C22877" w:rsidP="00074C89">
      <w:pPr>
        <w:autoSpaceDE w:val="0"/>
        <w:autoSpaceDN w:val="0"/>
        <w:adjustRightInd w:val="0"/>
        <w:spacing w:after="0" w:line="276" w:lineRule="auto"/>
        <w:jc w:val="both"/>
        <w:rPr>
          <w:rFonts w:ascii="Times New Roman" w:eastAsia="Cambria" w:hAnsi="Times New Roman" w:cs="Times New Roman"/>
          <w:sz w:val="24"/>
          <w:szCs w:val="24"/>
        </w:rPr>
      </w:pPr>
    </w:p>
    <w:p w:rsidR="00074C89" w:rsidRPr="0083732E" w:rsidRDefault="00074C89" w:rsidP="00074C89">
      <w:pPr>
        <w:autoSpaceDE w:val="0"/>
        <w:autoSpaceDN w:val="0"/>
        <w:adjustRightInd w:val="0"/>
        <w:spacing w:after="0" w:line="276" w:lineRule="auto"/>
        <w:jc w:val="both"/>
        <w:rPr>
          <w:rFonts w:ascii="Times New Roman" w:eastAsia="Cambria" w:hAnsi="Times New Roman" w:cs="Times New Roman"/>
          <w:sz w:val="24"/>
          <w:szCs w:val="24"/>
        </w:rPr>
      </w:pPr>
      <w:r w:rsidRPr="0083732E">
        <w:rPr>
          <w:rFonts w:ascii="Times New Roman" w:eastAsia="Cambria" w:hAnsi="Times New Roman" w:cs="Times New Roman"/>
          <w:sz w:val="24"/>
          <w:szCs w:val="24"/>
        </w:rPr>
        <w:t>Z Funduszu Przeciwdziałania COVID-19 zostaną również skierowane do gmin środki w</w:t>
      </w:r>
      <w:r w:rsidR="00F21469">
        <w:rPr>
          <w:rFonts w:ascii="Times New Roman" w:eastAsia="Cambria" w:hAnsi="Times New Roman" w:cs="Times New Roman"/>
          <w:sz w:val="24"/>
          <w:szCs w:val="24"/>
        </w:rPr>
        <w:t> </w:t>
      </w:r>
      <w:r w:rsidRPr="0083732E">
        <w:rPr>
          <w:rFonts w:ascii="Times New Roman" w:eastAsia="Cambria" w:hAnsi="Times New Roman" w:cs="Times New Roman"/>
          <w:sz w:val="24"/>
          <w:szCs w:val="24"/>
        </w:rPr>
        <w:t>wysokości 250 mln zł z przeznaczeniem na inwestycje realizowane w miejscowościach, w</w:t>
      </w:r>
      <w:r w:rsidR="00F21469">
        <w:rPr>
          <w:rFonts w:ascii="Times New Roman" w:eastAsia="Cambria" w:hAnsi="Times New Roman" w:cs="Times New Roman"/>
          <w:sz w:val="24"/>
          <w:szCs w:val="24"/>
        </w:rPr>
        <w:t> </w:t>
      </w:r>
      <w:r w:rsidRPr="0083732E">
        <w:rPr>
          <w:rFonts w:ascii="Times New Roman" w:eastAsia="Cambria" w:hAnsi="Times New Roman" w:cs="Times New Roman"/>
          <w:sz w:val="24"/>
          <w:szCs w:val="24"/>
        </w:rPr>
        <w:t xml:space="preserve">których funkcjonowały zlikwidowane państwowe przedsiębiorstwa gospodarki rolnej. </w:t>
      </w:r>
    </w:p>
    <w:p w:rsidR="00667CC4" w:rsidRDefault="00667CC4" w:rsidP="00667CC4">
      <w:pPr>
        <w:autoSpaceDE w:val="0"/>
        <w:autoSpaceDN w:val="0"/>
        <w:adjustRightInd w:val="0"/>
        <w:spacing w:after="0" w:line="276" w:lineRule="auto"/>
        <w:jc w:val="both"/>
        <w:rPr>
          <w:rFonts w:ascii="Times New Roman" w:eastAsia="Cambria" w:hAnsi="Times New Roman" w:cs="Times New Roman"/>
          <w:sz w:val="24"/>
          <w:szCs w:val="24"/>
        </w:rPr>
      </w:pPr>
    </w:p>
    <w:p w:rsidR="00C22877" w:rsidRDefault="00667CC4" w:rsidP="00667CC4">
      <w:pPr>
        <w:autoSpaceDE w:val="0"/>
        <w:autoSpaceDN w:val="0"/>
        <w:adjustRightInd w:val="0"/>
        <w:spacing w:after="0" w:line="276" w:lineRule="auto"/>
        <w:jc w:val="both"/>
        <w:rPr>
          <w:rFonts w:ascii="Times New Roman" w:eastAsia="Cambria" w:hAnsi="Times New Roman" w:cs="Times New Roman"/>
          <w:sz w:val="24"/>
          <w:szCs w:val="24"/>
        </w:rPr>
      </w:pPr>
      <w:r w:rsidRPr="00667CC4">
        <w:rPr>
          <w:rFonts w:ascii="Times New Roman" w:eastAsia="Cambria" w:hAnsi="Times New Roman" w:cs="Times New Roman"/>
          <w:sz w:val="24"/>
          <w:szCs w:val="24"/>
        </w:rPr>
        <w:t xml:space="preserve">Ponadto wprowadzono rozwiązania, które pozwolą na udzielenie dodatkowego wsparcia jednostkom położonym na obszarach górskich. Regulacje w tym zakresie zawarte są w uchwale nr </w:t>
      </w:r>
      <w:r w:rsidR="00D55EBE" w:rsidRPr="00D55EBE">
        <w:rPr>
          <w:rFonts w:ascii="Times New Roman" w:eastAsia="Cambria" w:hAnsi="Times New Roman" w:cs="Times New Roman"/>
          <w:sz w:val="24"/>
          <w:szCs w:val="24"/>
        </w:rPr>
        <w:t xml:space="preserve">102 Rady Ministrów z dnia 23 lipca 2020 r. w sprawie wsparcia na realizację zadań inwestycyjnych przez jednostki samorządu terytorialnego </w:t>
      </w:r>
      <w:r w:rsidR="00D55EBE">
        <w:rPr>
          <w:rFonts w:ascii="Times New Roman" w:eastAsia="Cambria" w:hAnsi="Times New Roman" w:cs="Times New Roman"/>
          <w:sz w:val="24"/>
          <w:szCs w:val="24"/>
        </w:rPr>
        <w:t xml:space="preserve">(zmiana </w:t>
      </w:r>
      <w:r w:rsidRPr="00667CC4">
        <w:rPr>
          <w:rFonts w:ascii="Times New Roman" w:eastAsia="Cambria" w:hAnsi="Times New Roman" w:cs="Times New Roman"/>
          <w:sz w:val="24"/>
          <w:szCs w:val="24"/>
        </w:rPr>
        <w:t xml:space="preserve">z dnia 12 stycznia 2021 r. </w:t>
      </w:r>
      <w:r w:rsidR="0098159C">
        <w:rPr>
          <w:rFonts w:ascii="Times New Roman" w:eastAsia="Cambria" w:hAnsi="Times New Roman" w:cs="Times New Roman"/>
          <w:sz w:val="24"/>
          <w:szCs w:val="24"/>
        </w:rPr>
        <w:t>MP z 2021 r.</w:t>
      </w:r>
      <w:r w:rsidR="00D55EBE">
        <w:rPr>
          <w:rFonts w:ascii="Times New Roman" w:eastAsia="Cambria" w:hAnsi="Times New Roman" w:cs="Times New Roman"/>
          <w:sz w:val="24"/>
          <w:szCs w:val="24"/>
        </w:rPr>
        <w:t xml:space="preserve"> poz.26). P</w:t>
      </w:r>
      <w:r w:rsidRPr="00667CC4">
        <w:rPr>
          <w:rFonts w:ascii="Times New Roman" w:eastAsia="Cambria" w:hAnsi="Times New Roman" w:cs="Times New Roman"/>
          <w:sz w:val="24"/>
          <w:szCs w:val="24"/>
        </w:rPr>
        <w:t>rzewiduje</w:t>
      </w:r>
      <w:r w:rsidR="00D55EBE">
        <w:rPr>
          <w:rFonts w:ascii="Times New Roman" w:eastAsia="Cambria" w:hAnsi="Times New Roman" w:cs="Times New Roman"/>
          <w:sz w:val="24"/>
          <w:szCs w:val="24"/>
        </w:rPr>
        <w:t xml:space="preserve"> się</w:t>
      </w:r>
      <w:r w:rsidRPr="00667CC4">
        <w:rPr>
          <w:rFonts w:ascii="Times New Roman" w:eastAsia="Cambria" w:hAnsi="Times New Roman" w:cs="Times New Roman"/>
          <w:sz w:val="24"/>
          <w:szCs w:val="24"/>
        </w:rPr>
        <w:t xml:space="preserve"> wsparcie inwestycyjne dla gmin</w:t>
      </w:r>
      <w:r w:rsidR="00846E19">
        <w:rPr>
          <w:rFonts w:ascii="Times New Roman" w:eastAsia="Cambria" w:hAnsi="Times New Roman" w:cs="Times New Roman"/>
          <w:sz w:val="24"/>
          <w:szCs w:val="24"/>
        </w:rPr>
        <w:t xml:space="preserve"> górskich, w kwocie całkowitej</w:t>
      </w:r>
      <w:r w:rsidR="00F21469">
        <w:rPr>
          <w:rFonts w:ascii="Times New Roman" w:eastAsia="Cambria" w:hAnsi="Times New Roman" w:cs="Times New Roman"/>
          <w:sz w:val="24"/>
          <w:szCs w:val="24"/>
        </w:rPr>
        <w:t xml:space="preserve"> </w:t>
      </w:r>
      <w:r w:rsidRPr="00667CC4">
        <w:rPr>
          <w:rFonts w:ascii="Times New Roman" w:eastAsia="Cambria" w:hAnsi="Times New Roman" w:cs="Times New Roman"/>
          <w:sz w:val="24"/>
          <w:szCs w:val="24"/>
        </w:rPr>
        <w:t>1 000 000 tys. zł, z przeznaczeniem na zakupy inwestycyjne lub inwestycje w ogólnodostępną infrastrukturę turystyczną oraz w infrastrukturę komunalną zw</w:t>
      </w:r>
      <w:r w:rsidR="0098159C">
        <w:rPr>
          <w:rFonts w:ascii="Times New Roman" w:eastAsia="Cambria" w:hAnsi="Times New Roman" w:cs="Times New Roman"/>
          <w:sz w:val="24"/>
          <w:szCs w:val="24"/>
        </w:rPr>
        <w:t>iązaną z usługami turystycznymi</w:t>
      </w:r>
      <w:r w:rsidRPr="00667CC4">
        <w:rPr>
          <w:rFonts w:ascii="Times New Roman" w:eastAsia="Cambria" w:hAnsi="Times New Roman" w:cs="Times New Roman"/>
          <w:sz w:val="24"/>
          <w:szCs w:val="24"/>
        </w:rPr>
        <w:t>.</w:t>
      </w:r>
    </w:p>
    <w:p w:rsidR="00D55EBE" w:rsidRDefault="00D55EBE" w:rsidP="00074C89">
      <w:pPr>
        <w:autoSpaceDE w:val="0"/>
        <w:autoSpaceDN w:val="0"/>
        <w:adjustRightInd w:val="0"/>
        <w:spacing w:after="0" w:line="276" w:lineRule="auto"/>
        <w:jc w:val="both"/>
        <w:rPr>
          <w:rFonts w:ascii="Times New Roman" w:eastAsia="Cambria" w:hAnsi="Times New Roman" w:cs="Times New Roman"/>
          <w:sz w:val="24"/>
          <w:szCs w:val="24"/>
        </w:rPr>
      </w:pPr>
    </w:p>
    <w:p w:rsidR="000A4B0D" w:rsidRDefault="00074C89" w:rsidP="00074C89">
      <w:pPr>
        <w:autoSpaceDE w:val="0"/>
        <w:autoSpaceDN w:val="0"/>
        <w:adjustRightInd w:val="0"/>
        <w:spacing w:after="0" w:line="276" w:lineRule="auto"/>
        <w:jc w:val="both"/>
        <w:rPr>
          <w:rFonts w:ascii="Times New Roman" w:eastAsia="Cambria" w:hAnsi="Times New Roman" w:cs="Times New Roman"/>
          <w:sz w:val="24"/>
          <w:szCs w:val="24"/>
        </w:rPr>
      </w:pPr>
      <w:r w:rsidRPr="0083732E">
        <w:rPr>
          <w:rFonts w:ascii="Times New Roman" w:eastAsia="Cambria" w:hAnsi="Times New Roman" w:cs="Times New Roman"/>
          <w:sz w:val="24"/>
          <w:szCs w:val="24"/>
        </w:rPr>
        <w:t xml:space="preserve">Sukcesywnie przyznawane są </w:t>
      </w:r>
      <w:r w:rsidR="00D55EBE">
        <w:rPr>
          <w:rFonts w:ascii="Times New Roman" w:eastAsia="Cambria" w:hAnsi="Times New Roman" w:cs="Times New Roman"/>
          <w:sz w:val="24"/>
          <w:szCs w:val="24"/>
        </w:rPr>
        <w:t xml:space="preserve">też </w:t>
      </w:r>
      <w:r w:rsidRPr="0083732E">
        <w:rPr>
          <w:rFonts w:ascii="Times New Roman" w:eastAsia="Cambria" w:hAnsi="Times New Roman" w:cs="Times New Roman"/>
          <w:sz w:val="24"/>
          <w:szCs w:val="24"/>
        </w:rPr>
        <w:t>środki na wnioski dysponentów z poszczególnych rezerw celowych na finansowanie zadań związanych ze zwalczaniem zakażenia, zapobieganiem rozprzestrzenianiu się, profilaktyką oraz zwalczaniem skutków choroby zakaźnej wywołanej wirusem SARS-CoV-2, w tym m.in. dla jednostek samorządu terytorialn</w:t>
      </w:r>
      <w:r w:rsidR="0098159C">
        <w:rPr>
          <w:rFonts w:ascii="Times New Roman" w:eastAsia="Cambria" w:hAnsi="Times New Roman" w:cs="Times New Roman"/>
          <w:sz w:val="24"/>
          <w:szCs w:val="24"/>
        </w:rPr>
        <w:t>ego na zakup sprzętu medycznego,</w:t>
      </w:r>
    </w:p>
    <w:p w:rsidR="002A5128" w:rsidRPr="002A5128" w:rsidRDefault="002A5128" w:rsidP="00826B73">
      <w:pPr>
        <w:autoSpaceDE w:val="0"/>
        <w:autoSpaceDN w:val="0"/>
        <w:adjustRightInd w:val="0"/>
        <w:spacing w:after="0" w:line="276" w:lineRule="auto"/>
        <w:jc w:val="both"/>
        <w:rPr>
          <w:rFonts w:ascii="TimesNewRomanPSMT" w:eastAsia="Calibri" w:hAnsi="TimesNewRomanPSMT" w:cs="TimesNewRomanPSMT"/>
          <w:color w:val="000000"/>
          <w:sz w:val="24"/>
          <w:szCs w:val="24"/>
        </w:rPr>
      </w:pPr>
    </w:p>
    <w:p w:rsidR="002A5128" w:rsidRPr="002A5128" w:rsidRDefault="00E76CCA" w:rsidP="00826B73">
      <w:pPr>
        <w:spacing w:after="0" w:line="276" w:lineRule="auto"/>
        <w:jc w:val="both"/>
        <w:rPr>
          <w:rFonts w:ascii="Times New Roman" w:eastAsia="Cambria" w:hAnsi="Times New Roman" w:cs="Times New Roman"/>
          <w:sz w:val="24"/>
          <w:szCs w:val="24"/>
        </w:rPr>
      </w:pPr>
      <w:r w:rsidRPr="002A5128">
        <w:rPr>
          <w:rFonts w:ascii="Times New Roman" w:eastAsia="Calibri" w:hAnsi="Times New Roman" w:cs="Times New Roman"/>
          <w:color w:val="000000"/>
          <w:sz w:val="24"/>
          <w:szCs w:val="24"/>
        </w:rPr>
        <w:t>–</w:t>
      </w:r>
      <w:r w:rsidR="002A5128" w:rsidRPr="002A5128">
        <w:rPr>
          <w:rFonts w:ascii="Times New Roman" w:eastAsia="Cambria" w:hAnsi="Times New Roman" w:cs="Times New Roman"/>
          <w:sz w:val="24"/>
          <w:szCs w:val="24"/>
        </w:rPr>
        <w:t xml:space="preserve"> ustawę z 2 marca 2020 r. o szczególnych rozwiązaniach związanych z zapobieganiem, przeciwdziałaniem i zwalczaniem COVID-19, innych chorób zakaźnych oraz wywołanych nimi sytuacji kryzysowych. Stosownie do postanow</w:t>
      </w:r>
      <w:r>
        <w:rPr>
          <w:rFonts w:ascii="Times New Roman" w:eastAsia="Cambria" w:hAnsi="Times New Roman" w:cs="Times New Roman"/>
          <w:sz w:val="24"/>
          <w:szCs w:val="24"/>
        </w:rPr>
        <w:t>ień art. 15zi ust. 9 tej ustawy</w:t>
      </w:r>
      <w:r w:rsidR="002A5128" w:rsidRPr="002A5128">
        <w:rPr>
          <w:rFonts w:ascii="Times New Roman" w:eastAsia="Cambria" w:hAnsi="Times New Roman" w:cs="Times New Roman"/>
          <w:sz w:val="24"/>
          <w:szCs w:val="24"/>
        </w:rPr>
        <w:t xml:space="preserve"> w</w:t>
      </w:r>
      <w:r w:rsidR="007C5794">
        <w:rPr>
          <w:rFonts w:ascii="Times New Roman" w:eastAsia="Cambria" w:hAnsi="Times New Roman" w:cs="Times New Roman"/>
          <w:sz w:val="24"/>
          <w:szCs w:val="24"/>
        </w:rPr>
        <w:t> </w:t>
      </w:r>
      <w:r w:rsidR="002A5128" w:rsidRPr="002A5128">
        <w:rPr>
          <w:rFonts w:ascii="Times New Roman" w:eastAsia="Cambria" w:hAnsi="Times New Roman" w:cs="Times New Roman"/>
          <w:sz w:val="24"/>
          <w:szCs w:val="24"/>
        </w:rPr>
        <w:t>celu realizacji zadań związanych z przeciwdziałaniem COVID-19 dotacje z budżetu państwa na dofinansowanie zadań, o których mowa w art. 42 ust. 2 pkt 2 ustawy z dnia 13 listopada 2003</w:t>
      </w:r>
      <w:r w:rsidR="007C5794">
        <w:rPr>
          <w:rFonts w:ascii="Times New Roman" w:eastAsia="Cambria" w:hAnsi="Times New Roman" w:cs="Times New Roman"/>
          <w:sz w:val="24"/>
          <w:szCs w:val="24"/>
        </w:rPr>
        <w:t> </w:t>
      </w:r>
      <w:r w:rsidR="002A5128" w:rsidRPr="002A5128">
        <w:rPr>
          <w:rFonts w:ascii="Times New Roman" w:eastAsia="Cambria" w:hAnsi="Times New Roman" w:cs="Times New Roman"/>
          <w:sz w:val="24"/>
          <w:szCs w:val="24"/>
        </w:rPr>
        <w:t xml:space="preserve">r. o dochodach jednostek </w:t>
      </w:r>
      <w:r w:rsidR="002A5128" w:rsidRPr="002A5128">
        <w:rPr>
          <w:rFonts w:ascii="Times New Roman" w:eastAsia="Cambria" w:hAnsi="Times New Roman" w:cs="Times New Roman"/>
          <w:sz w:val="24"/>
          <w:szCs w:val="24"/>
        </w:rPr>
        <w:lastRenderedPageBreak/>
        <w:t>samorządu terytorialnego oraz w przepisach odrębnych, mogą być udzielane do</w:t>
      </w:r>
      <w:r w:rsidR="00F21469">
        <w:rPr>
          <w:rFonts w:ascii="Times New Roman" w:eastAsia="Cambria" w:hAnsi="Times New Roman" w:cs="Times New Roman"/>
          <w:sz w:val="24"/>
          <w:szCs w:val="24"/>
        </w:rPr>
        <w:t> </w:t>
      </w:r>
      <w:r w:rsidR="002A5128" w:rsidRPr="002A5128">
        <w:rPr>
          <w:rFonts w:ascii="Times New Roman" w:eastAsia="Cambria" w:hAnsi="Times New Roman" w:cs="Times New Roman"/>
          <w:sz w:val="24"/>
          <w:szCs w:val="24"/>
        </w:rPr>
        <w:t>wysokości 100%</w:t>
      </w:r>
      <w:r w:rsidR="00FF499C">
        <w:rPr>
          <w:rFonts w:ascii="Times New Roman" w:eastAsia="Cambria" w:hAnsi="Times New Roman" w:cs="Times New Roman"/>
          <w:sz w:val="24"/>
          <w:szCs w:val="24"/>
        </w:rPr>
        <w:t> </w:t>
      </w:r>
      <w:r w:rsidR="002A5128" w:rsidRPr="002A5128">
        <w:rPr>
          <w:rFonts w:ascii="Times New Roman" w:eastAsia="Cambria" w:hAnsi="Times New Roman" w:cs="Times New Roman"/>
          <w:sz w:val="24"/>
          <w:szCs w:val="24"/>
        </w:rPr>
        <w:t>planowanych wydatków jednostki samorządu terytorialnego na realizację danego zadania.</w:t>
      </w:r>
    </w:p>
    <w:p w:rsidR="002A5128" w:rsidRPr="002A5128" w:rsidRDefault="002A5128" w:rsidP="00826B73">
      <w:pPr>
        <w:spacing w:after="0" w:line="276" w:lineRule="auto"/>
        <w:jc w:val="both"/>
        <w:rPr>
          <w:rFonts w:ascii="Times New Roman" w:eastAsia="Cambria" w:hAnsi="Times New Roman" w:cs="Times New Roman"/>
          <w:sz w:val="24"/>
          <w:szCs w:val="24"/>
        </w:rPr>
      </w:pPr>
      <w:r w:rsidRPr="002A5128">
        <w:rPr>
          <w:rFonts w:ascii="Times New Roman" w:eastAsia="Cambria" w:hAnsi="Times New Roman" w:cs="Times New Roman"/>
          <w:sz w:val="24"/>
          <w:szCs w:val="24"/>
        </w:rPr>
        <w:t>W wyniku zmian wprowadzanych w roku bieżącym do ustawy z dnia 13 listopada 2003 r. o</w:t>
      </w:r>
      <w:r w:rsidR="007C5794">
        <w:rPr>
          <w:rFonts w:ascii="Times New Roman" w:eastAsia="Cambria" w:hAnsi="Times New Roman" w:cs="Times New Roman"/>
          <w:sz w:val="24"/>
          <w:szCs w:val="24"/>
        </w:rPr>
        <w:t> </w:t>
      </w:r>
      <w:r w:rsidRPr="002A5128">
        <w:rPr>
          <w:rFonts w:ascii="Times New Roman" w:eastAsia="Cambria" w:hAnsi="Times New Roman" w:cs="Times New Roman"/>
          <w:sz w:val="24"/>
          <w:szCs w:val="24"/>
        </w:rPr>
        <w:t xml:space="preserve">dochodach jednostek samorządu terytorialnego (art. 51 ust. 3 tej ustawy) z budżetu państwa mogą być udzielane właściwym jednostkom samorządu terytorialnego dotacje celowe na wsparcie realizacji zadań wynikających z przepisów o zapobieganiu oraz zwalczaniu zakażeń i chorób zakaźnych u ludzi. </w:t>
      </w:r>
      <w:r w:rsidR="006F7ED0">
        <w:rPr>
          <w:rFonts w:ascii="Times New Roman" w:eastAsia="Cambria" w:hAnsi="Times New Roman" w:cs="Times New Roman"/>
          <w:sz w:val="24"/>
          <w:szCs w:val="24"/>
        </w:rPr>
        <w:t>Do udzielenia tych dotacji nie stosuje się p</w:t>
      </w:r>
      <w:r w:rsidRPr="002A5128">
        <w:rPr>
          <w:rFonts w:ascii="Times New Roman" w:eastAsia="Cambria" w:hAnsi="Times New Roman" w:cs="Times New Roman"/>
          <w:sz w:val="24"/>
          <w:szCs w:val="24"/>
        </w:rPr>
        <w:t>rzepisu art. 128 ust. 2 ustawy z dnia 27 sierpnia 2009 r. o finansach publicznych (Dz. U. z 20</w:t>
      </w:r>
      <w:r w:rsidR="00000AF3">
        <w:rPr>
          <w:rFonts w:ascii="Times New Roman" w:eastAsia="Cambria" w:hAnsi="Times New Roman" w:cs="Times New Roman"/>
          <w:sz w:val="24"/>
          <w:szCs w:val="24"/>
        </w:rPr>
        <w:t>21</w:t>
      </w:r>
      <w:r w:rsidRPr="002A5128">
        <w:rPr>
          <w:rFonts w:ascii="Times New Roman" w:eastAsia="Cambria" w:hAnsi="Times New Roman" w:cs="Times New Roman"/>
          <w:sz w:val="24"/>
          <w:szCs w:val="24"/>
        </w:rPr>
        <w:t xml:space="preserve"> r. poz. </w:t>
      </w:r>
      <w:r w:rsidR="00000AF3">
        <w:rPr>
          <w:rFonts w:ascii="Times New Roman" w:eastAsia="Cambria" w:hAnsi="Times New Roman" w:cs="Times New Roman"/>
          <w:sz w:val="24"/>
          <w:szCs w:val="24"/>
        </w:rPr>
        <w:t>305</w:t>
      </w:r>
      <w:r w:rsidR="006F7ED0">
        <w:rPr>
          <w:rFonts w:ascii="Times New Roman" w:eastAsia="Cambria" w:hAnsi="Times New Roman" w:cs="Times New Roman"/>
          <w:sz w:val="24"/>
          <w:szCs w:val="24"/>
        </w:rPr>
        <w:t>)</w:t>
      </w:r>
      <w:r w:rsidR="00000AF3">
        <w:rPr>
          <w:rFonts w:ascii="Times New Roman" w:eastAsia="Cambria" w:hAnsi="Times New Roman" w:cs="Times New Roman"/>
          <w:sz w:val="24"/>
          <w:szCs w:val="24"/>
        </w:rPr>
        <w:t>,</w:t>
      </w:r>
      <w:r w:rsidR="00041850">
        <w:rPr>
          <w:rFonts w:ascii="Times New Roman" w:eastAsia="Cambria" w:hAnsi="Times New Roman" w:cs="Times New Roman"/>
          <w:sz w:val="24"/>
          <w:szCs w:val="24"/>
        </w:rPr>
        <w:t xml:space="preserve"> ograniczającego wysokość dotacji.</w:t>
      </w:r>
    </w:p>
    <w:p w:rsidR="0001194A" w:rsidRDefault="0001194A" w:rsidP="00826B73">
      <w:pPr>
        <w:autoSpaceDE w:val="0"/>
        <w:autoSpaceDN w:val="0"/>
        <w:adjustRightInd w:val="0"/>
        <w:spacing w:after="0" w:line="276" w:lineRule="auto"/>
        <w:jc w:val="both"/>
        <w:rPr>
          <w:rFonts w:ascii="Times New Roman" w:eastAsia="Cambria" w:hAnsi="Times New Roman" w:cs="Times New Roman"/>
          <w:sz w:val="24"/>
          <w:szCs w:val="24"/>
        </w:rPr>
      </w:pPr>
    </w:p>
    <w:p w:rsidR="00190B6E" w:rsidRDefault="00190B6E" w:rsidP="00826B73">
      <w:pPr>
        <w:autoSpaceDE w:val="0"/>
        <w:autoSpaceDN w:val="0"/>
        <w:adjustRightInd w:val="0"/>
        <w:spacing w:after="0" w:line="276" w:lineRule="auto"/>
        <w:jc w:val="both"/>
        <w:rPr>
          <w:rFonts w:ascii="Times New Roman" w:eastAsia="Cambria" w:hAnsi="Times New Roman" w:cs="Times New Roman"/>
          <w:sz w:val="24"/>
          <w:szCs w:val="24"/>
        </w:rPr>
      </w:pPr>
    </w:p>
    <w:p w:rsidR="00190B6E" w:rsidRPr="00190B6E" w:rsidRDefault="00190B6E" w:rsidP="00190B6E">
      <w:pPr>
        <w:pStyle w:val="Akapitzlist"/>
        <w:numPr>
          <w:ilvl w:val="0"/>
          <w:numId w:val="13"/>
        </w:numPr>
        <w:autoSpaceDE w:val="0"/>
        <w:autoSpaceDN w:val="0"/>
        <w:adjustRightInd w:val="0"/>
        <w:spacing w:after="0" w:line="276" w:lineRule="auto"/>
        <w:jc w:val="both"/>
        <w:rPr>
          <w:rFonts w:ascii="Times New Roman" w:eastAsia="Cambria" w:hAnsi="Times New Roman" w:cs="Times New Roman"/>
          <w:b/>
          <w:sz w:val="24"/>
          <w:szCs w:val="24"/>
        </w:rPr>
      </w:pPr>
      <w:r w:rsidRPr="00190B6E">
        <w:rPr>
          <w:rFonts w:ascii="Times New Roman" w:eastAsia="Cambria" w:hAnsi="Times New Roman" w:cs="Times New Roman"/>
          <w:b/>
          <w:sz w:val="24"/>
          <w:szCs w:val="24"/>
        </w:rPr>
        <w:t>Ocena rozwiązań proponowanych w projekcie ustawy</w:t>
      </w:r>
    </w:p>
    <w:p w:rsidR="00190B6E" w:rsidRPr="00190B6E" w:rsidRDefault="00190B6E" w:rsidP="00190B6E">
      <w:pPr>
        <w:pStyle w:val="Akapitzlist"/>
        <w:autoSpaceDE w:val="0"/>
        <w:autoSpaceDN w:val="0"/>
        <w:adjustRightInd w:val="0"/>
        <w:spacing w:after="0" w:line="276" w:lineRule="auto"/>
        <w:ind w:left="1080"/>
        <w:jc w:val="both"/>
        <w:rPr>
          <w:rFonts w:ascii="Times New Roman" w:eastAsia="Cambria" w:hAnsi="Times New Roman" w:cs="Times New Roman"/>
          <w:sz w:val="24"/>
          <w:szCs w:val="24"/>
        </w:rPr>
      </w:pPr>
    </w:p>
    <w:p w:rsidR="002A5128" w:rsidRPr="002A5128" w:rsidRDefault="002A5128" w:rsidP="00826B73">
      <w:pPr>
        <w:autoSpaceDE w:val="0"/>
        <w:autoSpaceDN w:val="0"/>
        <w:adjustRightInd w:val="0"/>
        <w:spacing w:after="0" w:line="276" w:lineRule="auto"/>
        <w:jc w:val="both"/>
        <w:rPr>
          <w:rFonts w:ascii="Times New Roman" w:eastAsia="Calibri" w:hAnsi="Times New Roman" w:cs="Times New Roman"/>
          <w:color w:val="000000"/>
          <w:sz w:val="23"/>
          <w:szCs w:val="23"/>
        </w:rPr>
      </w:pPr>
      <w:r w:rsidRPr="002A5128">
        <w:rPr>
          <w:rFonts w:ascii="Times New Roman" w:eastAsia="Cambria" w:hAnsi="Times New Roman" w:cs="Times New Roman"/>
          <w:sz w:val="24"/>
          <w:szCs w:val="24"/>
        </w:rPr>
        <w:t>Odnosząc się do treści projektowanej zmiany, polegającej na podwyższeniu wskaźników udziału jedn</w:t>
      </w:r>
      <w:r w:rsidR="003F6F31">
        <w:rPr>
          <w:rFonts w:ascii="Times New Roman" w:eastAsia="Cambria" w:hAnsi="Times New Roman" w:cs="Times New Roman"/>
          <w:sz w:val="24"/>
          <w:szCs w:val="24"/>
        </w:rPr>
        <w:t xml:space="preserve">ostek samorządu terytorialnego </w:t>
      </w:r>
      <w:r w:rsidRPr="002A5128">
        <w:rPr>
          <w:rFonts w:ascii="Times New Roman" w:eastAsia="Cambria" w:hAnsi="Times New Roman" w:cs="Times New Roman"/>
          <w:sz w:val="24"/>
          <w:szCs w:val="24"/>
        </w:rPr>
        <w:t>we wpływach z PIT, oraz jej skutków finansowych, należy zauważyć, co następuje.</w:t>
      </w:r>
    </w:p>
    <w:p w:rsidR="002A5128" w:rsidRPr="002A5128" w:rsidRDefault="00E76CCA" w:rsidP="00826B73">
      <w:pPr>
        <w:spacing w:after="0" w:line="276" w:lineRule="auto"/>
        <w:jc w:val="both"/>
        <w:rPr>
          <w:rFonts w:ascii="Times New Roman" w:eastAsia="Cambria" w:hAnsi="Times New Roman" w:cs="Times New Roman"/>
          <w:sz w:val="24"/>
          <w:szCs w:val="24"/>
        </w:rPr>
      </w:pPr>
      <w:r>
        <w:rPr>
          <w:rFonts w:ascii="Times New Roman" w:eastAsia="Cambria" w:hAnsi="Times New Roman" w:cs="Times New Roman"/>
          <w:sz w:val="24"/>
          <w:szCs w:val="24"/>
        </w:rPr>
        <w:t>Propozycja</w:t>
      </w:r>
      <w:r w:rsidR="002A5128" w:rsidRPr="002A5128">
        <w:rPr>
          <w:rFonts w:ascii="Times New Roman" w:eastAsia="Cambria" w:hAnsi="Times New Roman" w:cs="Times New Roman"/>
          <w:sz w:val="24"/>
          <w:szCs w:val="24"/>
        </w:rPr>
        <w:t xml:space="preserve"> zawarta w projekcie ustawy o zmianie ustawy o dochodach jednostek samorządu terytorialnego, zmierza do utrwalenia i wzmocnienia obecnych rozwiązań. Wejście w życie proponowanych zmian spowodowałoby jeszcze większe niż obecnie dysproporcje w dochodach podatkowych. Nierównomierny jest bowiem rozkład dochodów w poszczególnych jednostkach wynikający ze zróżnicowanej wydajności dochodów z tytułu udziału we wpływach z PIT. </w:t>
      </w:r>
    </w:p>
    <w:p w:rsidR="002A5128" w:rsidRPr="002A5128" w:rsidRDefault="002A5128" w:rsidP="00826B73">
      <w:pPr>
        <w:spacing w:after="0" w:line="276" w:lineRule="auto"/>
        <w:jc w:val="both"/>
        <w:rPr>
          <w:rFonts w:ascii="Times New Roman" w:eastAsia="Cambria" w:hAnsi="Times New Roman" w:cs="Times New Roman"/>
          <w:sz w:val="24"/>
          <w:szCs w:val="24"/>
        </w:rPr>
      </w:pPr>
      <w:r w:rsidRPr="002A5128">
        <w:rPr>
          <w:rFonts w:ascii="Times New Roman" w:eastAsia="Cambria" w:hAnsi="Times New Roman" w:cs="Times New Roman"/>
          <w:sz w:val="24"/>
          <w:szCs w:val="24"/>
        </w:rPr>
        <w:t>Podni</w:t>
      </w:r>
      <w:r w:rsidR="003F6F31">
        <w:rPr>
          <w:rFonts w:ascii="Times New Roman" w:eastAsia="Cambria" w:hAnsi="Times New Roman" w:cs="Times New Roman"/>
          <w:sz w:val="24"/>
          <w:szCs w:val="24"/>
        </w:rPr>
        <w:t xml:space="preserve">esienie udziałów we wpływach z </w:t>
      </w:r>
      <w:r w:rsidRPr="002A5128">
        <w:rPr>
          <w:rFonts w:ascii="Times New Roman" w:eastAsia="Cambria" w:hAnsi="Times New Roman" w:cs="Times New Roman"/>
          <w:sz w:val="24"/>
          <w:szCs w:val="24"/>
        </w:rPr>
        <w:t>PIT dla jednostek samorządu terytorialnego przyczyni się</w:t>
      </w:r>
      <w:r w:rsidR="004B3953">
        <w:rPr>
          <w:rFonts w:ascii="Times New Roman" w:eastAsia="Cambria" w:hAnsi="Times New Roman" w:cs="Times New Roman"/>
          <w:sz w:val="24"/>
          <w:szCs w:val="24"/>
        </w:rPr>
        <w:t> </w:t>
      </w:r>
      <w:r w:rsidRPr="002A5128">
        <w:rPr>
          <w:rFonts w:ascii="Times New Roman" w:eastAsia="Cambria" w:hAnsi="Times New Roman" w:cs="Times New Roman"/>
          <w:sz w:val="24"/>
          <w:szCs w:val="24"/>
        </w:rPr>
        <w:t>zatem do zwiększenia dochodów tylko niektórych samorządów, w których już obecnie dochody z PIT stanowią główne źródło dochodów, ale przede wszystkim utrwali istniejące rozwiązania.</w:t>
      </w:r>
    </w:p>
    <w:p w:rsidR="002A5128" w:rsidRPr="002A5128" w:rsidRDefault="008C3090" w:rsidP="00826B73">
      <w:pPr>
        <w:spacing w:after="0" w:line="276" w:lineRule="auto"/>
        <w:jc w:val="both"/>
        <w:rPr>
          <w:rFonts w:ascii="Times New Roman" w:eastAsia="Cambria" w:hAnsi="Times New Roman" w:cs="Times New Roman"/>
          <w:sz w:val="24"/>
          <w:szCs w:val="24"/>
        </w:rPr>
      </w:pPr>
      <w:r w:rsidRPr="008C3090">
        <w:rPr>
          <w:rFonts w:ascii="Times New Roman" w:eastAsia="Cambria" w:hAnsi="Times New Roman" w:cs="Times New Roman"/>
          <w:sz w:val="24"/>
          <w:szCs w:val="24"/>
        </w:rPr>
        <w:t>I</w:t>
      </w:r>
      <w:r>
        <w:rPr>
          <w:rFonts w:ascii="Times New Roman" w:eastAsia="Cambria" w:hAnsi="Times New Roman" w:cs="Times New Roman"/>
          <w:sz w:val="24"/>
          <w:szCs w:val="24"/>
        </w:rPr>
        <w:t xml:space="preserve">stotniejsze </w:t>
      </w:r>
      <w:r w:rsidR="002A5128" w:rsidRPr="002A5128">
        <w:rPr>
          <w:rFonts w:ascii="Times New Roman" w:eastAsia="Cambria" w:hAnsi="Times New Roman" w:cs="Times New Roman"/>
          <w:sz w:val="24"/>
          <w:szCs w:val="24"/>
        </w:rPr>
        <w:t>dla stabilności finansowej jednostek samorządu terytorialnego byłyby rozwiązani</w:t>
      </w:r>
      <w:r>
        <w:rPr>
          <w:rFonts w:ascii="Times New Roman" w:eastAsia="Cambria" w:hAnsi="Times New Roman" w:cs="Times New Roman"/>
          <w:sz w:val="24"/>
          <w:szCs w:val="24"/>
        </w:rPr>
        <w:t>a, które</w:t>
      </w:r>
      <w:r w:rsidR="002A5128" w:rsidRPr="002A5128">
        <w:rPr>
          <w:rFonts w:ascii="Times New Roman" w:eastAsia="Cambria" w:hAnsi="Times New Roman" w:cs="Times New Roman"/>
          <w:sz w:val="24"/>
          <w:szCs w:val="24"/>
        </w:rPr>
        <w:t xml:space="preserve"> bardziej kompleksowo</w:t>
      </w:r>
      <w:r>
        <w:rPr>
          <w:rFonts w:ascii="Times New Roman" w:eastAsia="Cambria" w:hAnsi="Times New Roman" w:cs="Times New Roman"/>
          <w:sz w:val="24"/>
          <w:szCs w:val="24"/>
        </w:rPr>
        <w:t>,</w:t>
      </w:r>
      <w:r w:rsidR="002A5128" w:rsidRPr="002A5128">
        <w:rPr>
          <w:rFonts w:ascii="Times New Roman" w:eastAsia="Cambria" w:hAnsi="Times New Roman" w:cs="Times New Roman"/>
          <w:sz w:val="24"/>
          <w:szCs w:val="24"/>
        </w:rPr>
        <w:t xml:space="preserve"> niż projekt ustawy</w:t>
      </w:r>
      <w:r>
        <w:rPr>
          <w:rFonts w:ascii="Times New Roman" w:eastAsia="Cambria" w:hAnsi="Times New Roman" w:cs="Times New Roman"/>
          <w:sz w:val="24"/>
          <w:szCs w:val="24"/>
        </w:rPr>
        <w:t>,</w:t>
      </w:r>
      <w:r w:rsidR="002A5128" w:rsidRPr="002A5128">
        <w:rPr>
          <w:rFonts w:ascii="Times New Roman" w:eastAsia="Cambria" w:hAnsi="Times New Roman" w:cs="Times New Roman"/>
          <w:sz w:val="24"/>
          <w:szCs w:val="24"/>
        </w:rPr>
        <w:t xml:space="preserve"> podchodziłyby do kwestii dochodów jednostek samorządu terytorialnego. Całościowe podejście do tej sprawy powinno obejmować zarówno system źródeł dochodów własnych, jak i system transferów w ramach redystrybucji pionowej i</w:t>
      </w:r>
      <w:r w:rsidR="007C5794">
        <w:rPr>
          <w:rFonts w:ascii="Times New Roman" w:eastAsia="Cambria" w:hAnsi="Times New Roman" w:cs="Times New Roman"/>
          <w:sz w:val="24"/>
          <w:szCs w:val="24"/>
        </w:rPr>
        <w:t> </w:t>
      </w:r>
      <w:r w:rsidR="002A5128" w:rsidRPr="002A5128">
        <w:rPr>
          <w:rFonts w:ascii="Times New Roman" w:eastAsia="Cambria" w:hAnsi="Times New Roman" w:cs="Times New Roman"/>
          <w:sz w:val="24"/>
          <w:szCs w:val="24"/>
        </w:rPr>
        <w:t>poziomej dochodów. Celem takich rozwiązań powinno być z jednej strony zapewnienie wydajnych źródeł fiskalnych a z drugiej strony zbudowanie spójnego systemu korekcyjno-wyrównawczego pozwalającego w sposób racjonalny zniwelować dysproporcje w potencjale dochodowym poszczególnych jednostek samorządu terytorialnego.</w:t>
      </w:r>
    </w:p>
    <w:p w:rsidR="008C3090" w:rsidRDefault="008C3090" w:rsidP="00826B73">
      <w:pPr>
        <w:spacing w:after="0" w:line="276" w:lineRule="auto"/>
        <w:jc w:val="both"/>
        <w:rPr>
          <w:rFonts w:ascii="Times New Roman" w:eastAsia="Cambria" w:hAnsi="Times New Roman" w:cs="Times New Roman"/>
          <w:sz w:val="24"/>
          <w:szCs w:val="24"/>
        </w:rPr>
      </w:pPr>
    </w:p>
    <w:p w:rsidR="002A5128" w:rsidRPr="002A5128" w:rsidRDefault="002A5128" w:rsidP="00826B73">
      <w:pPr>
        <w:spacing w:after="0" w:line="276" w:lineRule="auto"/>
        <w:jc w:val="both"/>
        <w:rPr>
          <w:rFonts w:ascii="Times New Roman" w:eastAsia="Cambria" w:hAnsi="Times New Roman" w:cs="Times New Roman"/>
          <w:sz w:val="24"/>
          <w:szCs w:val="24"/>
        </w:rPr>
      </w:pPr>
      <w:r w:rsidRPr="002A5128">
        <w:rPr>
          <w:rFonts w:ascii="Times New Roman" w:eastAsia="Cambria" w:hAnsi="Times New Roman" w:cs="Times New Roman"/>
          <w:sz w:val="24"/>
          <w:szCs w:val="24"/>
        </w:rPr>
        <w:t xml:space="preserve">Należy zaznaczyć, że trwają już prace </w:t>
      </w:r>
      <w:r w:rsidR="00B408DE">
        <w:rPr>
          <w:rFonts w:ascii="Times New Roman" w:eastAsia="Cambria" w:hAnsi="Times New Roman" w:cs="Times New Roman"/>
          <w:sz w:val="24"/>
          <w:szCs w:val="24"/>
        </w:rPr>
        <w:t xml:space="preserve">nad nowym systemem dochodów jednostek samorządu terytorialnego, w tym </w:t>
      </w:r>
      <w:r w:rsidRPr="002A5128">
        <w:rPr>
          <w:rFonts w:ascii="Times New Roman" w:eastAsia="Cambria" w:hAnsi="Times New Roman" w:cs="Times New Roman"/>
          <w:sz w:val="24"/>
          <w:szCs w:val="24"/>
        </w:rPr>
        <w:t>zmierzające do zbudowania spójnego systemu wyrównawczego dla</w:t>
      </w:r>
      <w:r w:rsidR="00F21469">
        <w:rPr>
          <w:rFonts w:ascii="Times New Roman" w:eastAsia="Cambria" w:hAnsi="Times New Roman" w:cs="Times New Roman"/>
          <w:sz w:val="24"/>
          <w:szCs w:val="24"/>
        </w:rPr>
        <w:t> </w:t>
      </w:r>
      <w:r w:rsidRPr="002A5128">
        <w:rPr>
          <w:rFonts w:ascii="Times New Roman" w:eastAsia="Cambria" w:hAnsi="Times New Roman" w:cs="Times New Roman"/>
          <w:sz w:val="24"/>
          <w:szCs w:val="24"/>
        </w:rPr>
        <w:t>wszystkich rodzajów samorządu terytorialnego.</w:t>
      </w:r>
    </w:p>
    <w:p w:rsidR="006A1A26" w:rsidRDefault="006A1A26" w:rsidP="006A1A26">
      <w:pPr>
        <w:autoSpaceDE w:val="0"/>
        <w:autoSpaceDN w:val="0"/>
        <w:adjustRightInd w:val="0"/>
        <w:spacing w:after="0" w:line="276" w:lineRule="auto"/>
        <w:jc w:val="both"/>
        <w:rPr>
          <w:rFonts w:ascii="Times New Roman" w:eastAsia="Cambria" w:hAnsi="Times New Roman" w:cs="Times New Roman"/>
          <w:sz w:val="24"/>
          <w:szCs w:val="24"/>
        </w:rPr>
      </w:pPr>
    </w:p>
    <w:p w:rsidR="006A1A26" w:rsidRPr="006A1A26" w:rsidRDefault="006A1A26" w:rsidP="006A1A26">
      <w:pPr>
        <w:autoSpaceDE w:val="0"/>
        <w:autoSpaceDN w:val="0"/>
        <w:adjustRightInd w:val="0"/>
        <w:spacing w:after="0" w:line="276" w:lineRule="auto"/>
        <w:jc w:val="both"/>
        <w:rPr>
          <w:rFonts w:ascii="Times New Roman" w:eastAsia="Cambria" w:hAnsi="Times New Roman" w:cs="Times New Roman"/>
          <w:sz w:val="24"/>
          <w:szCs w:val="24"/>
        </w:rPr>
      </w:pPr>
      <w:r w:rsidRPr="006A1A26">
        <w:rPr>
          <w:rFonts w:ascii="Times New Roman" w:eastAsia="Cambria" w:hAnsi="Times New Roman" w:cs="Times New Roman"/>
          <w:sz w:val="24"/>
          <w:szCs w:val="24"/>
        </w:rPr>
        <w:t>Zgodnie ze wspólnym ustaleniem strony rządowej i strony samorządowej podczas posiedzenia plenarnego Komisji Wspólnej Rządu i Samorządu Terytorialnego 7 sierpnia 2019 r. prace w</w:t>
      </w:r>
      <w:r w:rsidR="00F21469">
        <w:rPr>
          <w:rFonts w:ascii="Times New Roman" w:eastAsia="Cambria" w:hAnsi="Times New Roman" w:cs="Times New Roman"/>
          <w:sz w:val="24"/>
          <w:szCs w:val="24"/>
        </w:rPr>
        <w:t> </w:t>
      </w:r>
      <w:r w:rsidRPr="006A1A26">
        <w:rPr>
          <w:rFonts w:ascii="Times New Roman" w:eastAsia="Cambria" w:hAnsi="Times New Roman" w:cs="Times New Roman"/>
          <w:sz w:val="24"/>
          <w:szCs w:val="24"/>
        </w:rPr>
        <w:t>obszarze finans</w:t>
      </w:r>
      <w:r w:rsidR="003F6F31">
        <w:rPr>
          <w:rFonts w:ascii="Times New Roman" w:eastAsia="Cambria" w:hAnsi="Times New Roman" w:cs="Times New Roman"/>
          <w:sz w:val="24"/>
          <w:szCs w:val="24"/>
        </w:rPr>
        <w:t xml:space="preserve">ów samorządowych są prowadzone </w:t>
      </w:r>
      <w:r w:rsidRPr="006A1A26">
        <w:rPr>
          <w:rFonts w:ascii="Times New Roman" w:eastAsia="Cambria" w:hAnsi="Times New Roman" w:cs="Times New Roman"/>
          <w:sz w:val="24"/>
          <w:szCs w:val="24"/>
        </w:rPr>
        <w:t xml:space="preserve">w ramach specjalnie powołanego Zespołu ds. przeglądu finansów jednostek samorządu terytorialnego, w skład którego wchodzą zarówno </w:t>
      </w:r>
      <w:r w:rsidRPr="006A1A26">
        <w:rPr>
          <w:rFonts w:ascii="Times New Roman" w:eastAsia="Cambria" w:hAnsi="Times New Roman" w:cs="Times New Roman"/>
          <w:sz w:val="24"/>
          <w:szCs w:val="24"/>
        </w:rPr>
        <w:lastRenderedPageBreak/>
        <w:t>przedstawiciele rządu, jak i samorządu terytorialnego oraz przedstawiciele nauki. Ze</w:t>
      </w:r>
      <w:r w:rsidR="00846E19">
        <w:rPr>
          <w:rFonts w:ascii="Times New Roman" w:eastAsia="Cambria" w:hAnsi="Times New Roman" w:cs="Times New Roman"/>
          <w:sz w:val="24"/>
          <w:szCs w:val="24"/>
        </w:rPr>
        <w:t>spół ten</w:t>
      </w:r>
      <w:r w:rsidR="00FF499C">
        <w:rPr>
          <w:rFonts w:ascii="Times New Roman" w:eastAsia="Cambria" w:hAnsi="Times New Roman" w:cs="Times New Roman"/>
          <w:sz w:val="24"/>
          <w:szCs w:val="24"/>
        </w:rPr>
        <w:t> </w:t>
      </w:r>
      <w:r w:rsidR="00846E19">
        <w:rPr>
          <w:rFonts w:ascii="Times New Roman" w:eastAsia="Cambria" w:hAnsi="Times New Roman" w:cs="Times New Roman"/>
          <w:sz w:val="24"/>
          <w:szCs w:val="24"/>
        </w:rPr>
        <w:t xml:space="preserve">rozpoczął </w:t>
      </w:r>
      <w:r w:rsidRPr="006A1A26">
        <w:rPr>
          <w:rFonts w:ascii="Times New Roman" w:eastAsia="Cambria" w:hAnsi="Times New Roman" w:cs="Times New Roman"/>
          <w:sz w:val="24"/>
          <w:szCs w:val="24"/>
        </w:rPr>
        <w:t>swoje prace pod koniec lutego 20</w:t>
      </w:r>
      <w:r>
        <w:rPr>
          <w:rFonts w:ascii="Times New Roman" w:eastAsia="Cambria" w:hAnsi="Times New Roman" w:cs="Times New Roman"/>
          <w:sz w:val="24"/>
          <w:szCs w:val="24"/>
        </w:rPr>
        <w:t>20 r.</w:t>
      </w:r>
    </w:p>
    <w:p w:rsidR="006A1A26" w:rsidRPr="006A1A26" w:rsidRDefault="006A1A26" w:rsidP="006A1A26">
      <w:pPr>
        <w:autoSpaceDE w:val="0"/>
        <w:autoSpaceDN w:val="0"/>
        <w:adjustRightInd w:val="0"/>
        <w:spacing w:after="0" w:line="276" w:lineRule="auto"/>
        <w:jc w:val="both"/>
        <w:rPr>
          <w:rFonts w:ascii="Times New Roman" w:eastAsia="Cambria" w:hAnsi="Times New Roman" w:cs="Times New Roman"/>
          <w:sz w:val="24"/>
          <w:szCs w:val="24"/>
        </w:rPr>
      </w:pPr>
      <w:r w:rsidRPr="006A1A26">
        <w:rPr>
          <w:rFonts w:ascii="Times New Roman" w:eastAsia="Cambria" w:hAnsi="Times New Roman" w:cs="Times New Roman"/>
          <w:sz w:val="24"/>
          <w:szCs w:val="24"/>
        </w:rPr>
        <w:t>30 października 2020 r. odbyło się posiedzenie Podzespołu ds. podatków dochodowych. Przedmiotem spotkania było omówienie obowiązujących regulacji dotyczących udziału we</w:t>
      </w:r>
      <w:r w:rsidR="00F21469">
        <w:rPr>
          <w:rFonts w:ascii="Times New Roman" w:eastAsia="Cambria" w:hAnsi="Times New Roman" w:cs="Times New Roman"/>
          <w:sz w:val="24"/>
          <w:szCs w:val="24"/>
        </w:rPr>
        <w:t> </w:t>
      </w:r>
      <w:r w:rsidRPr="006A1A26">
        <w:rPr>
          <w:rFonts w:ascii="Times New Roman" w:eastAsia="Cambria" w:hAnsi="Times New Roman" w:cs="Times New Roman"/>
          <w:sz w:val="24"/>
          <w:szCs w:val="24"/>
        </w:rPr>
        <w:t>wpływach z PIT i CIT, w tym w szczególności ich mocnych i słabych stron. Kolejne, plenarne spotkanie Zespołu ds. przeglądu finansów samorządowych odbyło się 21 grudnia 2020 r. Na</w:t>
      </w:r>
      <w:r w:rsidR="004B3953">
        <w:rPr>
          <w:rFonts w:ascii="Times New Roman" w:eastAsia="Cambria" w:hAnsi="Times New Roman" w:cs="Times New Roman"/>
          <w:sz w:val="24"/>
          <w:szCs w:val="24"/>
        </w:rPr>
        <w:t> </w:t>
      </w:r>
      <w:r w:rsidRPr="006A1A26">
        <w:rPr>
          <w:rFonts w:ascii="Times New Roman" w:eastAsia="Cambria" w:hAnsi="Times New Roman" w:cs="Times New Roman"/>
          <w:sz w:val="24"/>
          <w:szCs w:val="24"/>
        </w:rPr>
        <w:t>spotkaniu tym Ministerstwo Finansów zaprezentowało proponowane kierunki zmian w</w:t>
      </w:r>
      <w:r w:rsidR="004B3953">
        <w:rPr>
          <w:rFonts w:ascii="Times New Roman" w:eastAsia="Cambria" w:hAnsi="Times New Roman" w:cs="Times New Roman"/>
          <w:sz w:val="24"/>
          <w:szCs w:val="24"/>
        </w:rPr>
        <w:t> </w:t>
      </w:r>
      <w:r w:rsidRPr="006A1A26">
        <w:rPr>
          <w:rFonts w:ascii="Times New Roman" w:eastAsia="Cambria" w:hAnsi="Times New Roman" w:cs="Times New Roman"/>
          <w:sz w:val="24"/>
          <w:szCs w:val="24"/>
        </w:rPr>
        <w:t>systemie finansowania samorządów, których celem jest m.in. zwiększenie stabilności finansowej jednostek samorządu terytorialnego w zakresie wpływów z tytułu udziałów w</w:t>
      </w:r>
      <w:r w:rsidR="004B3953">
        <w:rPr>
          <w:rFonts w:ascii="Times New Roman" w:eastAsia="Cambria" w:hAnsi="Times New Roman" w:cs="Times New Roman"/>
          <w:sz w:val="24"/>
          <w:szCs w:val="24"/>
        </w:rPr>
        <w:t> </w:t>
      </w:r>
      <w:r w:rsidRPr="006A1A26">
        <w:rPr>
          <w:rFonts w:ascii="Times New Roman" w:eastAsia="Cambria" w:hAnsi="Times New Roman" w:cs="Times New Roman"/>
          <w:sz w:val="24"/>
          <w:szCs w:val="24"/>
        </w:rPr>
        <w:t xml:space="preserve">podatkach dochodowych. Prace Zespołu </w:t>
      </w:r>
      <w:r>
        <w:rPr>
          <w:rFonts w:ascii="Times New Roman" w:eastAsia="Cambria" w:hAnsi="Times New Roman" w:cs="Times New Roman"/>
          <w:sz w:val="24"/>
          <w:szCs w:val="24"/>
        </w:rPr>
        <w:t>będą</w:t>
      </w:r>
      <w:r w:rsidRPr="006A1A26">
        <w:rPr>
          <w:rFonts w:ascii="Times New Roman" w:eastAsia="Cambria" w:hAnsi="Times New Roman" w:cs="Times New Roman"/>
          <w:sz w:val="24"/>
          <w:szCs w:val="24"/>
        </w:rPr>
        <w:t xml:space="preserve"> kontynuowane.</w:t>
      </w:r>
    </w:p>
    <w:p w:rsidR="006A1A26" w:rsidRPr="006A1A26" w:rsidRDefault="006A1A26" w:rsidP="006A1A26">
      <w:pPr>
        <w:autoSpaceDE w:val="0"/>
        <w:autoSpaceDN w:val="0"/>
        <w:adjustRightInd w:val="0"/>
        <w:spacing w:after="0" w:line="276" w:lineRule="auto"/>
        <w:jc w:val="both"/>
        <w:rPr>
          <w:rFonts w:ascii="Times New Roman" w:eastAsia="Cambria" w:hAnsi="Times New Roman" w:cs="Times New Roman"/>
          <w:sz w:val="24"/>
          <w:szCs w:val="24"/>
        </w:rPr>
      </w:pPr>
    </w:p>
    <w:p w:rsidR="006A1A26" w:rsidRPr="006A1A26" w:rsidRDefault="006A1A26" w:rsidP="006A1A26">
      <w:pPr>
        <w:autoSpaceDE w:val="0"/>
        <w:autoSpaceDN w:val="0"/>
        <w:adjustRightInd w:val="0"/>
        <w:spacing w:after="0" w:line="276" w:lineRule="auto"/>
        <w:jc w:val="both"/>
        <w:rPr>
          <w:rFonts w:ascii="Times New Roman" w:eastAsia="Cambria" w:hAnsi="Times New Roman" w:cs="Times New Roman"/>
          <w:sz w:val="24"/>
          <w:szCs w:val="24"/>
        </w:rPr>
      </w:pPr>
      <w:r w:rsidRPr="006A1A26">
        <w:rPr>
          <w:rFonts w:ascii="Times New Roman" w:eastAsia="Cambria" w:hAnsi="Times New Roman" w:cs="Times New Roman"/>
          <w:sz w:val="24"/>
          <w:szCs w:val="24"/>
        </w:rPr>
        <w:t xml:space="preserve">Trwają również prace Zespołu do spraw monitorowania finansów oświaty, powstałego zgodnie </w:t>
      </w:r>
    </w:p>
    <w:p w:rsidR="006A1A26" w:rsidRDefault="006A1A26" w:rsidP="00296D2C">
      <w:pPr>
        <w:autoSpaceDE w:val="0"/>
        <w:autoSpaceDN w:val="0"/>
        <w:adjustRightInd w:val="0"/>
        <w:spacing w:after="0" w:line="276" w:lineRule="auto"/>
        <w:jc w:val="both"/>
        <w:rPr>
          <w:rFonts w:ascii="Times New Roman" w:eastAsia="Cambria" w:hAnsi="Times New Roman" w:cs="Times New Roman"/>
          <w:sz w:val="24"/>
          <w:szCs w:val="24"/>
        </w:rPr>
      </w:pPr>
      <w:r w:rsidRPr="006A1A26">
        <w:rPr>
          <w:rFonts w:ascii="Times New Roman" w:eastAsia="Cambria" w:hAnsi="Times New Roman" w:cs="Times New Roman"/>
          <w:sz w:val="24"/>
          <w:szCs w:val="24"/>
        </w:rPr>
        <w:t xml:space="preserve">z ustaleniami Komisji Wspólnej Rządu i Samorządu. W pracach Zespołu biorą udział przedstawiciele strony samorządowej i przedstawiciele strony rządowej. </w:t>
      </w:r>
    </w:p>
    <w:p w:rsidR="002A5128" w:rsidRPr="002A5128" w:rsidRDefault="002A5128" w:rsidP="002A5128">
      <w:pPr>
        <w:spacing w:after="0" w:line="240" w:lineRule="auto"/>
        <w:jc w:val="both"/>
        <w:rPr>
          <w:rFonts w:ascii="Times New Roman" w:eastAsia="Cambria" w:hAnsi="Times New Roman" w:cs="Times New Roman"/>
          <w:sz w:val="24"/>
          <w:szCs w:val="24"/>
        </w:rPr>
      </w:pPr>
    </w:p>
    <w:p w:rsidR="002A5128" w:rsidRPr="002A5128" w:rsidRDefault="00EA590F" w:rsidP="00826B73">
      <w:pPr>
        <w:spacing w:after="120" w:line="276" w:lineRule="auto"/>
        <w:jc w:val="both"/>
        <w:rPr>
          <w:rFonts w:ascii="Times New Roman" w:eastAsia="Cambria" w:hAnsi="Times New Roman" w:cs="Times New Roman"/>
          <w:sz w:val="24"/>
          <w:szCs w:val="24"/>
        </w:rPr>
      </w:pPr>
      <w:r>
        <w:rPr>
          <w:rFonts w:ascii="Times New Roman" w:eastAsia="Cambria" w:hAnsi="Times New Roman" w:cs="Times New Roman"/>
          <w:sz w:val="24"/>
          <w:szCs w:val="24"/>
        </w:rPr>
        <w:t xml:space="preserve">Odnosząc się do </w:t>
      </w:r>
      <w:r w:rsidR="002A5128" w:rsidRPr="002A5128">
        <w:rPr>
          <w:rFonts w:ascii="Times New Roman" w:eastAsia="Cambria" w:hAnsi="Times New Roman" w:cs="Times New Roman"/>
          <w:sz w:val="24"/>
          <w:szCs w:val="24"/>
        </w:rPr>
        <w:t>skutk</w:t>
      </w:r>
      <w:r>
        <w:rPr>
          <w:rFonts w:ascii="Times New Roman" w:eastAsia="Cambria" w:hAnsi="Times New Roman" w:cs="Times New Roman"/>
          <w:sz w:val="24"/>
          <w:szCs w:val="24"/>
        </w:rPr>
        <w:t>ów</w:t>
      </w:r>
      <w:r w:rsidR="002A5128" w:rsidRPr="002A5128">
        <w:rPr>
          <w:rFonts w:ascii="Times New Roman" w:eastAsia="Cambria" w:hAnsi="Times New Roman" w:cs="Times New Roman"/>
          <w:sz w:val="24"/>
          <w:szCs w:val="24"/>
        </w:rPr>
        <w:t xml:space="preserve"> finansow</w:t>
      </w:r>
      <w:r>
        <w:rPr>
          <w:rFonts w:ascii="Times New Roman" w:eastAsia="Cambria" w:hAnsi="Times New Roman" w:cs="Times New Roman"/>
          <w:sz w:val="24"/>
          <w:szCs w:val="24"/>
        </w:rPr>
        <w:t>ych</w:t>
      </w:r>
      <w:r w:rsidR="002A5128" w:rsidRPr="002A5128">
        <w:rPr>
          <w:rFonts w:ascii="Times New Roman" w:eastAsia="Cambria" w:hAnsi="Times New Roman" w:cs="Times New Roman"/>
          <w:sz w:val="24"/>
          <w:szCs w:val="24"/>
        </w:rPr>
        <w:t xml:space="preserve"> rozwiązań, zawartych w projekcie ustawy, należy podkreślić, iż propozycja zwiększenia wielkości udziałów w PIT dla jednostek samorządu terytorialnego wyniesie łącznie 6,02 punktów procentowych, z tego dla:</w:t>
      </w:r>
    </w:p>
    <w:p w:rsidR="002A5128" w:rsidRPr="002A5128" w:rsidRDefault="00E76CCA" w:rsidP="002A5128">
      <w:pPr>
        <w:spacing w:after="120" w:line="300" w:lineRule="atLeast"/>
        <w:jc w:val="both"/>
        <w:rPr>
          <w:rFonts w:ascii="Times New Roman" w:eastAsia="Cambria" w:hAnsi="Times New Roman" w:cs="Times New Roman"/>
          <w:sz w:val="24"/>
          <w:szCs w:val="24"/>
        </w:rPr>
      </w:pPr>
      <w:r w:rsidRPr="002A5128">
        <w:rPr>
          <w:rFonts w:ascii="Times New Roman" w:eastAsia="Calibri" w:hAnsi="Times New Roman" w:cs="Times New Roman"/>
          <w:color w:val="000000"/>
          <w:sz w:val="24"/>
          <w:szCs w:val="24"/>
        </w:rPr>
        <w:t>–</w:t>
      </w:r>
      <w:r w:rsidR="002A5128" w:rsidRPr="002A5128">
        <w:rPr>
          <w:rFonts w:ascii="Times New Roman" w:eastAsia="Cambria" w:hAnsi="Times New Roman" w:cs="Times New Roman"/>
          <w:sz w:val="24"/>
          <w:szCs w:val="24"/>
        </w:rPr>
        <w:t xml:space="preserve"> gmin</w:t>
      </w:r>
      <w:r w:rsidR="002A5128" w:rsidRPr="002A5128">
        <w:rPr>
          <w:rFonts w:ascii="Times New Roman" w:eastAsia="Cambria" w:hAnsi="Times New Roman" w:cs="Times New Roman"/>
          <w:sz w:val="24"/>
          <w:szCs w:val="24"/>
        </w:rPr>
        <w:tab/>
      </w:r>
      <w:r w:rsidR="002A5128" w:rsidRPr="002A5128">
        <w:rPr>
          <w:rFonts w:ascii="Times New Roman" w:eastAsia="Cambria" w:hAnsi="Times New Roman" w:cs="Times New Roman"/>
          <w:sz w:val="24"/>
          <w:szCs w:val="24"/>
        </w:rPr>
        <w:tab/>
      </w:r>
      <w:r w:rsidR="002A5128" w:rsidRPr="002A5128">
        <w:rPr>
          <w:rFonts w:ascii="Times New Roman" w:eastAsia="Cambria" w:hAnsi="Times New Roman" w:cs="Times New Roman"/>
          <w:sz w:val="24"/>
          <w:szCs w:val="24"/>
        </w:rPr>
        <w:tab/>
        <w:t>o 4,59 punktów procentowych, tj. z 39,34% do 43,93%,</w:t>
      </w:r>
    </w:p>
    <w:p w:rsidR="002A5128" w:rsidRPr="002A5128" w:rsidRDefault="00E76CCA" w:rsidP="002A5128">
      <w:pPr>
        <w:spacing w:after="120" w:line="300" w:lineRule="atLeast"/>
        <w:jc w:val="both"/>
        <w:rPr>
          <w:rFonts w:ascii="Times New Roman" w:eastAsia="Cambria" w:hAnsi="Times New Roman" w:cs="Times New Roman"/>
          <w:sz w:val="24"/>
          <w:szCs w:val="24"/>
        </w:rPr>
      </w:pPr>
      <w:r w:rsidRPr="002A5128">
        <w:rPr>
          <w:rFonts w:ascii="Times New Roman" w:eastAsia="Calibri" w:hAnsi="Times New Roman" w:cs="Times New Roman"/>
          <w:color w:val="000000"/>
          <w:sz w:val="24"/>
          <w:szCs w:val="24"/>
        </w:rPr>
        <w:t>–</w:t>
      </w:r>
      <w:r w:rsidR="002A5128" w:rsidRPr="002A5128">
        <w:rPr>
          <w:rFonts w:ascii="Times New Roman" w:eastAsia="Cambria" w:hAnsi="Times New Roman" w:cs="Times New Roman"/>
          <w:sz w:val="24"/>
          <w:szCs w:val="24"/>
        </w:rPr>
        <w:t xml:space="preserve"> powiatów</w:t>
      </w:r>
      <w:r w:rsidR="002A5128" w:rsidRPr="002A5128">
        <w:rPr>
          <w:rFonts w:ascii="Times New Roman" w:eastAsia="Cambria" w:hAnsi="Times New Roman" w:cs="Times New Roman"/>
          <w:sz w:val="24"/>
          <w:szCs w:val="24"/>
        </w:rPr>
        <w:tab/>
      </w:r>
      <w:r w:rsidR="002A5128" w:rsidRPr="002A5128">
        <w:rPr>
          <w:rFonts w:ascii="Times New Roman" w:eastAsia="Cambria" w:hAnsi="Times New Roman" w:cs="Times New Roman"/>
          <w:sz w:val="24"/>
          <w:szCs w:val="24"/>
        </w:rPr>
        <w:tab/>
        <w:t>o 1,24 punktów procentowych, tj. z 10,25% do 11,49%,</w:t>
      </w:r>
    </w:p>
    <w:p w:rsidR="002A5128" w:rsidRPr="002A5128" w:rsidRDefault="00E76CCA" w:rsidP="002A5128">
      <w:pPr>
        <w:spacing w:after="120" w:line="300" w:lineRule="atLeast"/>
        <w:jc w:val="both"/>
        <w:rPr>
          <w:rFonts w:ascii="Times New Roman" w:eastAsia="Cambria" w:hAnsi="Times New Roman" w:cs="Times New Roman"/>
          <w:sz w:val="24"/>
          <w:szCs w:val="24"/>
        </w:rPr>
      </w:pPr>
      <w:r w:rsidRPr="002A5128">
        <w:rPr>
          <w:rFonts w:ascii="Times New Roman" w:eastAsia="Calibri" w:hAnsi="Times New Roman" w:cs="Times New Roman"/>
          <w:color w:val="000000"/>
          <w:sz w:val="24"/>
          <w:szCs w:val="24"/>
        </w:rPr>
        <w:t>–</w:t>
      </w:r>
      <w:r w:rsidR="002A5128" w:rsidRPr="002A5128">
        <w:rPr>
          <w:rFonts w:ascii="Times New Roman" w:eastAsia="Cambria" w:hAnsi="Times New Roman" w:cs="Times New Roman"/>
          <w:sz w:val="24"/>
          <w:szCs w:val="24"/>
        </w:rPr>
        <w:t xml:space="preserve"> województw</w:t>
      </w:r>
      <w:r w:rsidR="002A5128" w:rsidRPr="002A5128">
        <w:rPr>
          <w:rFonts w:ascii="Times New Roman" w:eastAsia="Cambria" w:hAnsi="Times New Roman" w:cs="Times New Roman"/>
          <w:sz w:val="24"/>
          <w:szCs w:val="24"/>
        </w:rPr>
        <w:tab/>
      </w:r>
      <w:r w:rsidR="002A5128" w:rsidRPr="002A5128">
        <w:rPr>
          <w:rFonts w:ascii="Times New Roman" w:eastAsia="Cambria" w:hAnsi="Times New Roman" w:cs="Times New Roman"/>
          <w:sz w:val="24"/>
          <w:szCs w:val="24"/>
        </w:rPr>
        <w:tab/>
        <w:t>o 0,19 punktów procentowych, tj. z 1,60% do 1,79%.</w:t>
      </w:r>
    </w:p>
    <w:p w:rsidR="002A5128" w:rsidRPr="002A5128" w:rsidRDefault="002A5128" w:rsidP="002A5128">
      <w:pPr>
        <w:spacing w:after="120" w:line="300" w:lineRule="atLeast"/>
        <w:jc w:val="both"/>
        <w:rPr>
          <w:rFonts w:ascii="Times New Roman" w:eastAsia="Cambria" w:hAnsi="Times New Roman" w:cs="Times New Roman"/>
          <w:sz w:val="24"/>
          <w:szCs w:val="24"/>
        </w:rPr>
      </w:pPr>
    </w:p>
    <w:p w:rsidR="002A5128" w:rsidRPr="002A5128" w:rsidRDefault="002A5128" w:rsidP="002A5128">
      <w:pPr>
        <w:spacing w:after="120" w:line="300" w:lineRule="atLeast"/>
        <w:jc w:val="both"/>
        <w:rPr>
          <w:rFonts w:ascii="Times New Roman" w:eastAsia="Cambria" w:hAnsi="Times New Roman" w:cs="Times New Roman"/>
          <w:sz w:val="24"/>
          <w:szCs w:val="24"/>
        </w:rPr>
      </w:pPr>
      <w:r w:rsidRPr="002A5128">
        <w:rPr>
          <w:rFonts w:ascii="Times New Roman" w:eastAsia="Cambria" w:hAnsi="Times New Roman" w:cs="Times New Roman"/>
          <w:sz w:val="24"/>
          <w:szCs w:val="24"/>
        </w:rPr>
        <w:t>Skutki finansowe, wynikające ze zwi</w:t>
      </w:r>
      <w:r w:rsidR="003F6F31">
        <w:rPr>
          <w:rFonts w:ascii="Times New Roman" w:eastAsia="Cambria" w:hAnsi="Times New Roman" w:cs="Times New Roman"/>
          <w:sz w:val="24"/>
          <w:szCs w:val="24"/>
        </w:rPr>
        <w:t xml:space="preserve">ększenia udziału we wpływach z </w:t>
      </w:r>
      <w:r w:rsidRPr="002A5128">
        <w:rPr>
          <w:rFonts w:ascii="Times New Roman" w:eastAsia="Cambria" w:hAnsi="Times New Roman" w:cs="Times New Roman"/>
          <w:sz w:val="24"/>
          <w:szCs w:val="24"/>
        </w:rPr>
        <w:t>PIT, w warunkach 2019 r., wyn</w:t>
      </w:r>
      <w:r w:rsidR="006A1A26">
        <w:rPr>
          <w:rFonts w:ascii="Times New Roman" w:eastAsia="Cambria" w:hAnsi="Times New Roman" w:cs="Times New Roman"/>
          <w:sz w:val="24"/>
          <w:szCs w:val="24"/>
        </w:rPr>
        <w:t>i</w:t>
      </w:r>
      <w:r w:rsidRPr="002A5128">
        <w:rPr>
          <w:rFonts w:ascii="Times New Roman" w:eastAsia="Cambria" w:hAnsi="Times New Roman" w:cs="Times New Roman"/>
          <w:sz w:val="24"/>
          <w:szCs w:val="24"/>
        </w:rPr>
        <w:t>os</w:t>
      </w:r>
      <w:r w:rsidR="006A1A26">
        <w:rPr>
          <w:rFonts w:ascii="Times New Roman" w:eastAsia="Cambria" w:hAnsi="Times New Roman" w:cs="Times New Roman"/>
          <w:sz w:val="24"/>
          <w:szCs w:val="24"/>
        </w:rPr>
        <w:t>łyby</w:t>
      </w:r>
      <w:r w:rsidRPr="002A5128">
        <w:rPr>
          <w:rFonts w:ascii="Times New Roman" w:eastAsia="Cambria" w:hAnsi="Times New Roman" w:cs="Times New Roman"/>
          <w:sz w:val="24"/>
          <w:szCs w:val="24"/>
        </w:rPr>
        <w:t xml:space="preserve"> łącznie 6.768.126 tys. zł, z tego:</w:t>
      </w:r>
    </w:p>
    <w:p w:rsidR="002A5128" w:rsidRPr="002A5128" w:rsidRDefault="00E76CCA" w:rsidP="002A5128">
      <w:pPr>
        <w:spacing w:after="120" w:line="300" w:lineRule="atLeast"/>
        <w:jc w:val="both"/>
        <w:rPr>
          <w:rFonts w:ascii="Times New Roman" w:eastAsia="Cambria" w:hAnsi="Times New Roman" w:cs="Times New Roman"/>
          <w:sz w:val="24"/>
          <w:szCs w:val="24"/>
        </w:rPr>
      </w:pPr>
      <w:r w:rsidRPr="002A5128">
        <w:rPr>
          <w:rFonts w:ascii="Times New Roman" w:eastAsia="Calibri" w:hAnsi="Times New Roman" w:cs="Times New Roman"/>
          <w:color w:val="000000"/>
          <w:sz w:val="24"/>
          <w:szCs w:val="24"/>
        </w:rPr>
        <w:t>–</w:t>
      </w:r>
      <w:r w:rsidR="002A5128" w:rsidRPr="002A5128">
        <w:rPr>
          <w:rFonts w:ascii="Times New Roman" w:eastAsia="Cambria" w:hAnsi="Times New Roman" w:cs="Times New Roman"/>
          <w:sz w:val="24"/>
          <w:szCs w:val="24"/>
        </w:rPr>
        <w:t xml:space="preserve"> dla gmin </w:t>
      </w:r>
      <w:r w:rsidR="002A5128" w:rsidRPr="002A5128">
        <w:rPr>
          <w:rFonts w:ascii="Times New Roman" w:eastAsia="Cambria" w:hAnsi="Times New Roman" w:cs="Times New Roman"/>
          <w:sz w:val="24"/>
          <w:szCs w:val="24"/>
        </w:rPr>
        <w:tab/>
      </w:r>
      <w:r w:rsidR="002A5128" w:rsidRPr="002A5128">
        <w:rPr>
          <w:rFonts w:ascii="Times New Roman" w:eastAsia="Cambria" w:hAnsi="Times New Roman" w:cs="Times New Roman"/>
          <w:sz w:val="24"/>
          <w:szCs w:val="24"/>
        </w:rPr>
        <w:tab/>
      </w:r>
      <w:r w:rsidR="002A5128" w:rsidRPr="002A5128">
        <w:rPr>
          <w:rFonts w:ascii="Times New Roman" w:eastAsia="Cambria" w:hAnsi="Times New Roman" w:cs="Times New Roman"/>
          <w:sz w:val="24"/>
          <w:szCs w:val="24"/>
        </w:rPr>
        <w:tab/>
        <w:t>5.160.415 tys. zł,</w:t>
      </w:r>
    </w:p>
    <w:p w:rsidR="002A5128" w:rsidRPr="002A5128" w:rsidRDefault="00E76CCA" w:rsidP="002A5128">
      <w:pPr>
        <w:spacing w:after="120" w:line="300" w:lineRule="atLeast"/>
        <w:jc w:val="both"/>
        <w:rPr>
          <w:rFonts w:ascii="Times New Roman" w:eastAsia="Cambria" w:hAnsi="Times New Roman" w:cs="Times New Roman"/>
          <w:sz w:val="24"/>
          <w:szCs w:val="24"/>
        </w:rPr>
      </w:pPr>
      <w:r w:rsidRPr="002A5128">
        <w:rPr>
          <w:rFonts w:ascii="Times New Roman" w:eastAsia="Calibri" w:hAnsi="Times New Roman" w:cs="Times New Roman"/>
          <w:color w:val="000000"/>
          <w:sz w:val="24"/>
          <w:szCs w:val="24"/>
        </w:rPr>
        <w:t>–</w:t>
      </w:r>
      <w:r w:rsidR="002A5128" w:rsidRPr="002A5128">
        <w:rPr>
          <w:rFonts w:ascii="Times New Roman" w:eastAsia="Cambria" w:hAnsi="Times New Roman" w:cs="Times New Roman"/>
          <w:sz w:val="24"/>
          <w:szCs w:val="24"/>
        </w:rPr>
        <w:t xml:space="preserve"> dla powiatów</w:t>
      </w:r>
      <w:r w:rsidR="002A5128" w:rsidRPr="002A5128">
        <w:rPr>
          <w:rFonts w:ascii="Times New Roman" w:eastAsia="Cambria" w:hAnsi="Times New Roman" w:cs="Times New Roman"/>
          <w:sz w:val="24"/>
          <w:szCs w:val="24"/>
        </w:rPr>
        <w:tab/>
      </w:r>
      <w:r w:rsidR="002A5128" w:rsidRPr="002A5128">
        <w:rPr>
          <w:rFonts w:ascii="Times New Roman" w:eastAsia="Cambria" w:hAnsi="Times New Roman" w:cs="Times New Roman"/>
          <w:sz w:val="24"/>
          <w:szCs w:val="24"/>
        </w:rPr>
        <w:tab/>
        <w:t>1.394.099 tys. zł,</w:t>
      </w:r>
    </w:p>
    <w:p w:rsidR="002A5128" w:rsidRPr="002A5128" w:rsidRDefault="00E76CCA" w:rsidP="002A5128">
      <w:pPr>
        <w:spacing w:after="120" w:line="300" w:lineRule="atLeast"/>
        <w:jc w:val="both"/>
        <w:rPr>
          <w:rFonts w:ascii="Times New Roman" w:eastAsia="Cambria" w:hAnsi="Times New Roman" w:cs="Times New Roman"/>
          <w:sz w:val="24"/>
          <w:szCs w:val="24"/>
        </w:rPr>
      </w:pPr>
      <w:r w:rsidRPr="002A5128">
        <w:rPr>
          <w:rFonts w:ascii="Times New Roman" w:eastAsia="Calibri" w:hAnsi="Times New Roman" w:cs="Times New Roman"/>
          <w:color w:val="000000"/>
          <w:sz w:val="24"/>
          <w:szCs w:val="24"/>
        </w:rPr>
        <w:t>–</w:t>
      </w:r>
      <w:r w:rsidR="002A5128" w:rsidRPr="002A5128">
        <w:rPr>
          <w:rFonts w:ascii="Times New Roman" w:eastAsia="Cambria" w:hAnsi="Times New Roman" w:cs="Times New Roman"/>
          <w:sz w:val="24"/>
          <w:szCs w:val="24"/>
        </w:rPr>
        <w:t xml:space="preserve"> dl</w:t>
      </w:r>
      <w:r w:rsidR="003F6F31">
        <w:rPr>
          <w:rFonts w:ascii="Times New Roman" w:eastAsia="Cambria" w:hAnsi="Times New Roman" w:cs="Times New Roman"/>
          <w:sz w:val="24"/>
          <w:szCs w:val="24"/>
        </w:rPr>
        <w:t>a województw</w:t>
      </w:r>
      <w:r w:rsidR="003F6F31">
        <w:rPr>
          <w:rFonts w:ascii="Times New Roman" w:eastAsia="Cambria" w:hAnsi="Times New Roman" w:cs="Times New Roman"/>
          <w:sz w:val="24"/>
          <w:szCs w:val="24"/>
        </w:rPr>
        <w:tab/>
      </w:r>
      <w:r w:rsidR="003F6F31">
        <w:rPr>
          <w:rFonts w:ascii="Times New Roman" w:eastAsia="Cambria" w:hAnsi="Times New Roman" w:cs="Times New Roman"/>
          <w:sz w:val="24"/>
          <w:szCs w:val="24"/>
        </w:rPr>
        <w:tab/>
      </w:r>
      <w:r w:rsidR="002A5128" w:rsidRPr="002A5128">
        <w:rPr>
          <w:rFonts w:ascii="Times New Roman" w:eastAsia="Cambria" w:hAnsi="Times New Roman" w:cs="Times New Roman"/>
          <w:sz w:val="24"/>
          <w:szCs w:val="24"/>
        </w:rPr>
        <w:t>213.612 tys. zł.</w:t>
      </w:r>
    </w:p>
    <w:p w:rsidR="002A5128" w:rsidRPr="002A5128" w:rsidRDefault="002A5128" w:rsidP="002A5128">
      <w:pPr>
        <w:spacing w:after="120" w:line="300" w:lineRule="atLeast"/>
        <w:jc w:val="both"/>
        <w:rPr>
          <w:rFonts w:ascii="Times New Roman" w:eastAsia="Cambria" w:hAnsi="Times New Roman" w:cs="Times New Roman"/>
          <w:sz w:val="24"/>
          <w:szCs w:val="24"/>
        </w:rPr>
      </w:pPr>
    </w:p>
    <w:p w:rsidR="002A5128" w:rsidRPr="002A5128" w:rsidRDefault="002A5128" w:rsidP="00826B73">
      <w:pPr>
        <w:spacing w:after="120" w:line="276" w:lineRule="auto"/>
        <w:jc w:val="both"/>
        <w:rPr>
          <w:rFonts w:ascii="Times New Roman" w:eastAsia="Cambria" w:hAnsi="Times New Roman" w:cs="Times New Roman"/>
          <w:sz w:val="24"/>
          <w:szCs w:val="24"/>
        </w:rPr>
      </w:pPr>
      <w:r w:rsidRPr="002A5128">
        <w:rPr>
          <w:rFonts w:ascii="Times New Roman" w:eastAsia="Cambria" w:hAnsi="Times New Roman" w:cs="Times New Roman"/>
          <w:sz w:val="24"/>
          <w:szCs w:val="24"/>
        </w:rPr>
        <w:t>Zwiększenie udziału jednostek samorządu terytorialnego we wpływach z PIT m</w:t>
      </w:r>
      <w:r w:rsidR="00E27289">
        <w:rPr>
          <w:rFonts w:ascii="Times New Roman" w:eastAsia="Cambria" w:hAnsi="Times New Roman" w:cs="Times New Roman"/>
          <w:sz w:val="24"/>
          <w:szCs w:val="24"/>
        </w:rPr>
        <w:t xml:space="preserve">iałoby </w:t>
      </w:r>
      <w:r w:rsidRPr="002A5128">
        <w:rPr>
          <w:rFonts w:ascii="Times New Roman" w:eastAsia="Cambria" w:hAnsi="Times New Roman" w:cs="Times New Roman"/>
          <w:sz w:val="24"/>
          <w:szCs w:val="24"/>
        </w:rPr>
        <w:t>wpływ na</w:t>
      </w:r>
      <w:r w:rsidR="00F21469">
        <w:rPr>
          <w:rFonts w:ascii="Times New Roman" w:eastAsia="Cambria" w:hAnsi="Times New Roman" w:cs="Times New Roman"/>
          <w:sz w:val="24"/>
          <w:szCs w:val="24"/>
        </w:rPr>
        <w:t> </w:t>
      </w:r>
      <w:r w:rsidRPr="002A5128">
        <w:rPr>
          <w:rFonts w:ascii="Times New Roman" w:eastAsia="Cambria" w:hAnsi="Times New Roman" w:cs="Times New Roman"/>
          <w:sz w:val="24"/>
          <w:szCs w:val="24"/>
        </w:rPr>
        <w:t>wysokość subwencji ogólnej.</w:t>
      </w:r>
    </w:p>
    <w:p w:rsidR="002A5128" w:rsidRPr="002A5128" w:rsidRDefault="002A5128" w:rsidP="00826B73">
      <w:pPr>
        <w:spacing w:after="120" w:line="276" w:lineRule="auto"/>
        <w:jc w:val="both"/>
        <w:rPr>
          <w:rFonts w:ascii="Times New Roman" w:eastAsia="Cambria" w:hAnsi="Times New Roman" w:cs="Times New Roman"/>
          <w:sz w:val="24"/>
          <w:szCs w:val="24"/>
        </w:rPr>
      </w:pPr>
      <w:r w:rsidRPr="002A5128">
        <w:rPr>
          <w:rFonts w:ascii="Times New Roman" w:eastAsia="Cambria" w:hAnsi="Times New Roman" w:cs="Times New Roman"/>
          <w:sz w:val="24"/>
          <w:szCs w:val="24"/>
        </w:rPr>
        <w:t xml:space="preserve">Zakładając, że w 2019 r. wielkość udziału we wpływach z PIT </w:t>
      </w:r>
      <w:r w:rsidR="003F6F31">
        <w:rPr>
          <w:rFonts w:ascii="Times New Roman" w:eastAsia="Cambria" w:hAnsi="Times New Roman" w:cs="Times New Roman"/>
          <w:sz w:val="24"/>
          <w:szCs w:val="24"/>
        </w:rPr>
        <w:t>wynosiła</w:t>
      </w:r>
      <w:r w:rsidRPr="002A5128">
        <w:rPr>
          <w:rFonts w:ascii="Times New Roman" w:eastAsia="Cambria" w:hAnsi="Times New Roman" w:cs="Times New Roman"/>
          <w:sz w:val="24"/>
          <w:szCs w:val="24"/>
        </w:rPr>
        <w:t> 42,67% dla gmin, 11,49%</w:t>
      </w:r>
      <w:r w:rsidR="00FF499C">
        <w:rPr>
          <w:rFonts w:ascii="Times New Roman" w:eastAsia="Cambria" w:hAnsi="Times New Roman" w:cs="Times New Roman"/>
          <w:sz w:val="24"/>
          <w:szCs w:val="24"/>
        </w:rPr>
        <w:t> </w:t>
      </w:r>
      <w:r w:rsidRPr="002A5128">
        <w:rPr>
          <w:rFonts w:ascii="Times New Roman" w:eastAsia="Cambria" w:hAnsi="Times New Roman" w:cs="Times New Roman"/>
          <w:sz w:val="24"/>
          <w:szCs w:val="24"/>
        </w:rPr>
        <w:t>dla powiatów i 1,79% dla województw, wówczas wielkość planowanej na 2021 r. subwencji ogólnej (część wyrównawcza i część równoważąca/regionalna) byłaby wyższa łącznie o 1.218.327 tys. zł, z tego:</w:t>
      </w:r>
    </w:p>
    <w:p w:rsidR="002A5128" w:rsidRPr="002A5128" w:rsidRDefault="00E13FE2" w:rsidP="00826B73">
      <w:pPr>
        <w:spacing w:after="120" w:line="276" w:lineRule="auto"/>
        <w:jc w:val="both"/>
        <w:rPr>
          <w:rFonts w:ascii="Times New Roman" w:eastAsia="Cambria" w:hAnsi="Times New Roman" w:cs="Times New Roman"/>
          <w:sz w:val="24"/>
          <w:szCs w:val="24"/>
        </w:rPr>
      </w:pPr>
      <w:r w:rsidRPr="002A5128">
        <w:rPr>
          <w:rFonts w:ascii="Times New Roman" w:eastAsia="Calibri" w:hAnsi="Times New Roman" w:cs="Times New Roman"/>
          <w:color w:val="000000"/>
          <w:sz w:val="24"/>
          <w:szCs w:val="24"/>
        </w:rPr>
        <w:t>–</w:t>
      </w:r>
      <w:r w:rsidR="002A5128" w:rsidRPr="002A5128">
        <w:rPr>
          <w:rFonts w:ascii="Times New Roman" w:eastAsia="Cambria" w:hAnsi="Times New Roman" w:cs="Times New Roman"/>
          <w:sz w:val="24"/>
          <w:szCs w:val="24"/>
        </w:rPr>
        <w:t xml:space="preserve"> części wyrównawcze wyższe o 975.932 tys. zł,</w:t>
      </w:r>
    </w:p>
    <w:p w:rsidR="002A5128" w:rsidRPr="002A5128" w:rsidRDefault="00E13FE2" w:rsidP="00826B73">
      <w:pPr>
        <w:spacing w:after="120" w:line="276" w:lineRule="auto"/>
        <w:jc w:val="both"/>
        <w:rPr>
          <w:rFonts w:ascii="Times New Roman" w:eastAsia="Cambria" w:hAnsi="Times New Roman" w:cs="Times New Roman"/>
          <w:sz w:val="24"/>
          <w:szCs w:val="24"/>
        </w:rPr>
      </w:pPr>
      <w:r w:rsidRPr="002A5128">
        <w:rPr>
          <w:rFonts w:ascii="Times New Roman" w:eastAsia="Calibri" w:hAnsi="Times New Roman" w:cs="Times New Roman"/>
          <w:color w:val="000000"/>
          <w:sz w:val="24"/>
          <w:szCs w:val="24"/>
        </w:rPr>
        <w:t>–</w:t>
      </w:r>
      <w:r w:rsidR="002A5128" w:rsidRPr="002A5128">
        <w:rPr>
          <w:rFonts w:ascii="Times New Roman" w:eastAsia="Cambria" w:hAnsi="Times New Roman" w:cs="Times New Roman"/>
          <w:sz w:val="24"/>
          <w:szCs w:val="24"/>
        </w:rPr>
        <w:t xml:space="preserve"> części równoważące i regionalna wyższe o 242.395 tys. zł.</w:t>
      </w:r>
    </w:p>
    <w:p w:rsidR="002A5128" w:rsidRPr="002A5128" w:rsidRDefault="00950FE3" w:rsidP="00826B73">
      <w:pPr>
        <w:spacing w:after="120" w:line="276" w:lineRule="auto"/>
        <w:jc w:val="both"/>
        <w:rPr>
          <w:rFonts w:ascii="Times New Roman" w:eastAsia="Cambria" w:hAnsi="Times New Roman" w:cs="Times New Roman"/>
          <w:sz w:val="24"/>
          <w:szCs w:val="24"/>
        </w:rPr>
      </w:pPr>
      <w:r>
        <w:rPr>
          <w:rFonts w:ascii="Times New Roman" w:eastAsia="Cambria" w:hAnsi="Times New Roman" w:cs="Times New Roman"/>
          <w:sz w:val="24"/>
          <w:szCs w:val="24"/>
        </w:rPr>
        <w:lastRenderedPageBreak/>
        <w:t>Wyższe byłyby</w:t>
      </w:r>
      <w:r w:rsidR="002A5128" w:rsidRPr="002A5128">
        <w:rPr>
          <w:rFonts w:ascii="Times New Roman" w:eastAsia="Cambria" w:hAnsi="Times New Roman" w:cs="Times New Roman"/>
          <w:sz w:val="24"/>
          <w:szCs w:val="24"/>
        </w:rPr>
        <w:t xml:space="preserve"> również dochody budżetu państwa z tytułu wpłat do budżetu państwa (o 242.395</w:t>
      </w:r>
      <w:r w:rsidR="00FF499C">
        <w:rPr>
          <w:rFonts w:ascii="Times New Roman" w:eastAsia="Cambria" w:hAnsi="Times New Roman" w:cs="Times New Roman"/>
          <w:sz w:val="24"/>
          <w:szCs w:val="24"/>
        </w:rPr>
        <w:t> </w:t>
      </w:r>
      <w:r w:rsidR="002A5128" w:rsidRPr="002A5128">
        <w:rPr>
          <w:rFonts w:ascii="Times New Roman" w:eastAsia="Cambria" w:hAnsi="Times New Roman" w:cs="Times New Roman"/>
          <w:sz w:val="24"/>
          <w:szCs w:val="24"/>
        </w:rPr>
        <w:t>tys. zł), ale wzrost ten zrównoważy zwiększenie części równoważących i regionalnej subwencji ogólnej.</w:t>
      </w:r>
    </w:p>
    <w:p w:rsidR="00D52B95" w:rsidRPr="007E01D4" w:rsidRDefault="007E01D4" w:rsidP="007E01D4">
      <w:pPr>
        <w:pStyle w:val="Akapitzlist"/>
        <w:numPr>
          <w:ilvl w:val="0"/>
          <w:numId w:val="13"/>
        </w:numPr>
        <w:spacing w:after="0" w:line="240" w:lineRule="auto"/>
        <w:jc w:val="both"/>
        <w:rPr>
          <w:rFonts w:ascii="Times New Roman" w:eastAsia="Cambria" w:hAnsi="Times New Roman" w:cs="Times New Roman"/>
          <w:b/>
          <w:sz w:val="24"/>
          <w:szCs w:val="24"/>
        </w:rPr>
      </w:pPr>
      <w:r w:rsidRPr="007E01D4">
        <w:rPr>
          <w:rFonts w:ascii="Times New Roman" w:eastAsia="Cambria" w:hAnsi="Times New Roman" w:cs="Times New Roman"/>
          <w:b/>
          <w:sz w:val="24"/>
          <w:szCs w:val="24"/>
        </w:rPr>
        <w:t>Podsumowanie</w:t>
      </w:r>
    </w:p>
    <w:p w:rsidR="007E01D4" w:rsidRPr="007E01D4" w:rsidRDefault="007E01D4" w:rsidP="007E01D4">
      <w:pPr>
        <w:pStyle w:val="Akapitzlist"/>
        <w:spacing w:after="0" w:line="240" w:lineRule="auto"/>
        <w:ind w:left="1080"/>
        <w:jc w:val="both"/>
        <w:rPr>
          <w:rFonts w:ascii="Times New Roman" w:eastAsia="Cambria" w:hAnsi="Times New Roman" w:cs="Times New Roman"/>
          <w:sz w:val="24"/>
          <w:szCs w:val="24"/>
        </w:rPr>
      </w:pPr>
    </w:p>
    <w:p w:rsidR="00950600" w:rsidRDefault="009A4A9B" w:rsidP="006A1A26">
      <w:pPr>
        <w:tabs>
          <w:tab w:val="left" w:pos="3647"/>
        </w:tabs>
        <w:spacing w:line="276"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Zwiększenie </w:t>
      </w:r>
      <w:r w:rsidR="006A1A26" w:rsidRPr="006A1A26">
        <w:rPr>
          <w:rFonts w:ascii="Times New Roman" w:eastAsia="Calibri" w:hAnsi="Times New Roman" w:cs="Times New Roman"/>
          <w:color w:val="000000"/>
          <w:sz w:val="24"/>
          <w:szCs w:val="24"/>
        </w:rPr>
        <w:t xml:space="preserve">udziału jednostek samorządu terytorialnego </w:t>
      </w:r>
      <w:r>
        <w:rPr>
          <w:rFonts w:ascii="Times New Roman" w:eastAsia="Calibri" w:hAnsi="Times New Roman" w:cs="Times New Roman"/>
          <w:color w:val="000000"/>
          <w:sz w:val="24"/>
          <w:szCs w:val="24"/>
        </w:rPr>
        <w:t xml:space="preserve">z tytułu udziału w PIT spowodowałoby konieczność wyrównania dysproporcji </w:t>
      </w:r>
      <w:r w:rsidR="006A1A26" w:rsidRPr="006A1A26">
        <w:rPr>
          <w:rFonts w:ascii="Times New Roman" w:eastAsia="Calibri" w:hAnsi="Times New Roman" w:cs="Times New Roman"/>
          <w:color w:val="000000"/>
          <w:sz w:val="24"/>
          <w:szCs w:val="24"/>
        </w:rPr>
        <w:t xml:space="preserve">w dochodach </w:t>
      </w:r>
      <w:r w:rsidR="000D126A">
        <w:rPr>
          <w:rFonts w:ascii="Times New Roman" w:eastAsia="Calibri" w:hAnsi="Times New Roman" w:cs="Times New Roman"/>
          <w:color w:val="000000"/>
          <w:sz w:val="24"/>
          <w:szCs w:val="24"/>
        </w:rPr>
        <w:t>środkami z budżetu państwa. Pona</w:t>
      </w:r>
      <w:r w:rsidR="00950600">
        <w:rPr>
          <w:rFonts w:ascii="Times New Roman" w:eastAsia="Calibri" w:hAnsi="Times New Roman" w:cs="Times New Roman"/>
          <w:color w:val="000000"/>
          <w:sz w:val="24"/>
          <w:szCs w:val="24"/>
        </w:rPr>
        <w:t xml:space="preserve">dto </w:t>
      </w:r>
      <w:r w:rsidR="000D126A">
        <w:rPr>
          <w:rFonts w:ascii="Times New Roman" w:eastAsia="Calibri" w:hAnsi="Times New Roman" w:cs="Times New Roman"/>
          <w:color w:val="000000"/>
          <w:sz w:val="24"/>
          <w:szCs w:val="24"/>
        </w:rPr>
        <w:t xml:space="preserve">konsekwencją wprowadzenia proponowanych zmian </w:t>
      </w:r>
      <w:r w:rsidR="00E13FE2">
        <w:rPr>
          <w:rFonts w:ascii="Times New Roman" w:eastAsia="Calibri" w:hAnsi="Times New Roman" w:cs="Times New Roman"/>
          <w:color w:val="000000"/>
          <w:sz w:val="24"/>
          <w:szCs w:val="24"/>
        </w:rPr>
        <w:t>w art. 4</w:t>
      </w:r>
      <w:r w:rsidR="00E13FE2" w:rsidRPr="002A5128">
        <w:rPr>
          <w:rFonts w:ascii="Times New Roman" w:eastAsia="Calibri" w:hAnsi="Times New Roman" w:cs="Times New Roman"/>
          <w:color w:val="000000"/>
          <w:sz w:val="24"/>
          <w:szCs w:val="24"/>
        </w:rPr>
        <w:t>–</w:t>
      </w:r>
      <w:r w:rsidR="00950600">
        <w:rPr>
          <w:rFonts w:ascii="Times New Roman" w:eastAsia="Calibri" w:hAnsi="Times New Roman" w:cs="Times New Roman"/>
          <w:color w:val="000000"/>
          <w:sz w:val="24"/>
          <w:szCs w:val="24"/>
        </w:rPr>
        <w:t>6 ustawy o dochodach jednostek samor</w:t>
      </w:r>
      <w:r w:rsidR="006A1A26" w:rsidRPr="006A1A26">
        <w:rPr>
          <w:rFonts w:ascii="Times New Roman" w:eastAsia="Calibri" w:hAnsi="Times New Roman" w:cs="Times New Roman"/>
          <w:color w:val="000000"/>
          <w:sz w:val="24"/>
          <w:szCs w:val="24"/>
        </w:rPr>
        <w:t>z</w:t>
      </w:r>
      <w:r w:rsidR="00950600">
        <w:rPr>
          <w:rFonts w:ascii="Times New Roman" w:eastAsia="Calibri" w:hAnsi="Times New Roman" w:cs="Times New Roman"/>
          <w:color w:val="000000"/>
          <w:sz w:val="24"/>
          <w:szCs w:val="24"/>
        </w:rPr>
        <w:t>ądu terytorialnego byłoby nie tylko zwiększenie dochodów</w:t>
      </w:r>
      <w:r w:rsidR="00950600" w:rsidRPr="00950600">
        <w:t xml:space="preserve"> </w:t>
      </w:r>
      <w:r w:rsidR="00950600" w:rsidRPr="00950600">
        <w:rPr>
          <w:rFonts w:ascii="Times New Roman" w:eastAsia="Calibri" w:hAnsi="Times New Roman" w:cs="Times New Roman"/>
          <w:color w:val="000000"/>
          <w:sz w:val="24"/>
          <w:szCs w:val="24"/>
        </w:rPr>
        <w:t>jednos</w:t>
      </w:r>
      <w:r w:rsidR="003F6F31">
        <w:rPr>
          <w:rFonts w:ascii="Times New Roman" w:eastAsia="Calibri" w:hAnsi="Times New Roman" w:cs="Times New Roman"/>
          <w:color w:val="000000"/>
          <w:sz w:val="24"/>
          <w:szCs w:val="24"/>
        </w:rPr>
        <w:t xml:space="preserve">tek samorządu terytorialnego z </w:t>
      </w:r>
      <w:r w:rsidR="00950600" w:rsidRPr="00950600">
        <w:rPr>
          <w:rFonts w:ascii="Times New Roman" w:eastAsia="Calibri" w:hAnsi="Times New Roman" w:cs="Times New Roman"/>
          <w:color w:val="000000"/>
          <w:sz w:val="24"/>
          <w:szCs w:val="24"/>
        </w:rPr>
        <w:t>tytułu udziału we wpływach z podatku dochodowego od osób fizycznych, ale</w:t>
      </w:r>
      <w:r w:rsidR="00F21469">
        <w:rPr>
          <w:rFonts w:ascii="Times New Roman" w:eastAsia="Calibri" w:hAnsi="Times New Roman" w:cs="Times New Roman"/>
          <w:color w:val="000000"/>
          <w:sz w:val="24"/>
          <w:szCs w:val="24"/>
        </w:rPr>
        <w:t> </w:t>
      </w:r>
      <w:r w:rsidR="00950600" w:rsidRPr="00950600">
        <w:rPr>
          <w:rFonts w:ascii="Times New Roman" w:eastAsia="Calibri" w:hAnsi="Times New Roman" w:cs="Times New Roman"/>
          <w:color w:val="000000"/>
          <w:sz w:val="24"/>
          <w:szCs w:val="24"/>
        </w:rPr>
        <w:t>również zwiększenie wpłat do budżetu państwa.</w:t>
      </w:r>
    </w:p>
    <w:p w:rsidR="006A1A26" w:rsidRPr="006A1A26" w:rsidRDefault="0065511E" w:rsidP="006A1A26">
      <w:pPr>
        <w:tabs>
          <w:tab w:val="left" w:pos="3647"/>
        </w:tabs>
        <w:spacing w:line="276" w:lineRule="auto"/>
        <w:jc w:val="both"/>
        <w:rPr>
          <w:rFonts w:ascii="Times New Roman" w:eastAsia="Calibri" w:hAnsi="Times New Roman" w:cs="Times New Roman"/>
          <w:color w:val="000000"/>
          <w:sz w:val="24"/>
          <w:szCs w:val="24"/>
        </w:rPr>
      </w:pPr>
      <w:r w:rsidRPr="0065511E">
        <w:rPr>
          <w:rFonts w:ascii="Times New Roman" w:eastAsia="Calibri" w:hAnsi="Times New Roman" w:cs="Times New Roman"/>
          <w:color w:val="000000"/>
          <w:sz w:val="24"/>
          <w:szCs w:val="24"/>
        </w:rPr>
        <w:t>Ustawodawca, wprowadzając konstrukcję udziału jednos</w:t>
      </w:r>
      <w:r w:rsidR="003F6F31">
        <w:rPr>
          <w:rFonts w:ascii="Times New Roman" w:eastAsia="Calibri" w:hAnsi="Times New Roman" w:cs="Times New Roman"/>
          <w:color w:val="000000"/>
          <w:sz w:val="24"/>
          <w:szCs w:val="24"/>
        </w:rPr>
        <w:t>tek samorządu terytorialnego w</w:t>
      </w:r>
      <w:r w:rsidR="00F21469">
        <w:rPr>
          <w:rFonts w:ascii="Times New Roman" w:eastAsia="Calibri" w:hAnsi="Times New Roman" w:cs="Times New Roman"/>
          <w:color w:val="000000"/>
          <w:sz w:val="24"/>
          <w:szCs w:val="24"/>
        </w:rPr>
        <w:t> </w:t>
      </w:r>
      <w:r w:rsidRPr="0065511E">
        <w:rPr>
          <w:rFonts w:ascii="Times New Roman" w:eastAsia="Calibri" w:hAnsi="Times New Roman" w:cs="Times New Roman"/>
          <w:color w:val="000000"/>
          <w:sz w:val="24"/>
          <w:szCs w:val="24"/>
        </w:rPr>
        <w:t>dochodach z podatku dochodowego od osób fizycznych</w:t>
      </w:r>
      <w:r w:rsidR="00E13FE2">
        <w:rPr>
          <w:rFonts w:ascii="Times New Roman" w:eastAsia="Calibri" w:hAnsi="Times New Roman" w:cs="Times New Roman"/>
          <w:color w:val="000000"/>
          <w:sz w:val="24"/>
          <w:szCs w:val="24"/>
        </w:rPr>
        <w:t>,</w:t>
      </w:r>
      <w:r w:rsidR="006A1A26" w:rsidRPr="006A1A26">
        <w:rPr>
          <w:rFonts w:ascii="Times New Roman" w:eastAsia="Calibri" w:hAnsi="Times New Roman" w:cs="Times New Roman"/>
          <w:color w:val="000000"/>
          <w:sz w:val="24"/>
          <w:szCs w:val="24"/>
        </w:rPr>
        <w:t xml:space="preserve"> dążył nie tylko do tego, aby w ramach posiadanych przez samorządy kompetencji zaktywizować ich </w:t>
      </w:r>
      <w:r w:rsidR="003F6F31">
        <w:rPr>
          <w:rFonts w:ascii="Times New Roman" w:eastAsia="Calibri" w:hAnsi="Times New Roman" w:cs="Times New Roman"/>
          <w:color w:val="000000"/>
          <w:sz w:val="24"/>
          <w:szCs w:val="24"/>
        </w:rPr>
        <w:t>wpływ na rozwój gospodarczy i</w:t>
      </w:r>
      <w:r w:rsidR="00F21469">
        <w:rPr>
          <w:rFonts w:ascii="Times New Roman" w:eastAsia="Calibri" w:hAnsi="Times New Roman" w:cs="Times New Roman"/>
          <w:color w:val="000000"/>
          <w:sz w:val="24"/>
          <w:szCs w:val="24"/>
        </w:rPr>
        <w:t> </w:t>
      </w:r>
      <w:r w:rsidR="006A1A26" w:rsidRPr="006A1A26">
        <w:rPr>
          <w:rFonts w:ascii="Times New Roman" w:eastAsia="Calibri" w:hAnsi="Times New Roman" w:cs="Times New Roman"/>
          <w:color w:val="000000"/>
          <w:sz w:val="24"/>
          <w:szCs w:val="24"/>
        </w:rPr>
        <w:t>społeczny terenu ale również, aby w przypadku wprowadzania określonych ulg służących celom gospodarczym, czy społecznym, konsekwencje takich decyzji ponosił zarówno budżet państwa jak i samorządy. Takie podejście oznacza, że konsekwencje prowadzenia działań zmierzających do obniżenia skali opodatkowania, które jednocześnie niosą ze sobą zagrożenie utraty części wpływów podatkowych</w:t>
      </w:r>
      <w:r w:rsidR="00E13FE2">
        <w:rPr>
          <w:rFonts w:ascii="Times New Roman" w:eastAsia="Calibri" w:hAnsi="Times New Roman" w:cs="Times New Roman"/>
          <w:color w:val="000000"/>
          <w:sz w:val="24"/>
          <w:szCs w:val="24"/>
        </w:rPr>
        <w:t>,</w:t>
      </w:r>
      <w:r w:rsidR="006A1A26" w:rsidRPr="006A1A26">
        <w:rPr>
          <w:rFonts w:ascii="Times New Roman" w:eastAsia="Calibri" w:hAnsi="Times New Roman" w:cs="Times New Roman"/>
          <w:color w:val="000000"/>
          <w:sz w:val="24"/>
          <w:szCs w:val="24"/>
        </w:rPr>
        <w:t xml:space="preserve"> ale równocześnie mogą prowadzić do poprawy koniunktury i wzrostu dochodu do dyspozycji, co w szczególności w dłuższym okresie może prowadzić do wzrostu dochodów podatkowych, powinny być ponoszone wspólnie przez budżet państwa i budżety </w:t>
      </w:r>
      <w:r>
        <w:rPr>
          <w:rFonts w:ascii="Times New Roman" w:eastAsia="Calibri" w:hAnsi="Times New Roman" w:cs="Times New Roman"/>
          <w:color w:val="000000"/>
          <w:sz w:val="24"/>
          <w:szCs w:val="24"/>
        </w:rPr>
        <w:t xml:space="preserve">jednostek </w:t>
      </w:r>
      <w:r w:rsidR="006A1A26" w:rsidRPr="006A1A26">
        <w:rPr>
          <w:rFonts w:ascii="Times New Roman" w:eastAsia="Calibri" w:hAnsi="Times New Roman" w:cs="Times New Roman"/>
          <w:color w:val="000000"/>
          <w:sz w:val="24"/>
          <w:szCs w:val="24"/>
        </w:rPr>
        <w:t>samorządu terytorialnego.</w:t>
      </w:r>
    </w:p>
    <w:p w:rsidR="006A1A26" w:rsidRPr="006A1A26" w:rsidRDefault="006A1A26" w:rsidP="006A1A26">
      <w:pPr>
        <w:tabs>
          <w:tab w:val="left" w:pos="3647"/>
        </w:tabs>
        <w:spacing w:line="276" w:lineRule="auto"/>
        <w:jc w:val="both"/>
        <w:rPr>
          <w:rFonts w:ascii="Times New Roman" w:eastAsia="Calibri" w:hAnsi="Times New Roman" w:cs="Times New Roman"/>
          <w:color w:val="000000"/>
          <w:sz w:val="24"/>
          <w:szCs w:val="24"/>
        </w:rPr>
      </w:pPr>
      <w:r w:rsidRPr="006A1A26">
        <w:rPr>
          <w:rFonts w:ascii="Times New Roman" w:eastAsia="Calibri" w:hAnsi="Times New Roman" w:cs="Times New Roman"/>
          <w:color w:val="000000"/>
          <w:sz w:val="24"/>
          <w:szCs w:val="24"/>
        </w:rPr>
        <w:t>Zaprop</w:t>
      </w:r>
      <w:r w:rsidR="006D67EE">
        <w:rPr>
          <w:rFonts w:ascii="Times New Roman" w:eastAsia="Calibri" w:hAnsi="Times New Roman" w:cs="Times New Roman"/>
          <w:color w:val="000000"/>
          <w:sz w:val="24"/>
          <w:szCs w:val="24"/>
        </w:rPr>
        <w:t>onowana w projekcie konstrukcja</w:t>
      </w:r>
      <w:r w:rsidRPr="006A1A26">
        <w:rPr>
          <w:rFonts w:ascii="Times New Roman" w:eastAsia="Calibri" w:hAnsi="Times New Roman" w:cs="Times New Roman"/>
          <w:color w:val="000000"/>
          <w:sz w:val="24"/>
          <w:szCs w:val="24"/>
        </w:rPr>
        <w:t>, opierająca się na podniesieniu udziału w podatku dochodowym od osób fizycznych, ugruntuje obecny system f</w:t>
      </w:r>
      <w:r w:rsidR="003F6F31">
        <w:rPr>
          <w:rFonts w:ascii="Times New Roman" w:eastAsia="Calibri" w:hAnsi="Times New Roman" w:cs="Times New Roman"/>
          <w:color w:val="000000"/>
          <w:sz w:val="24"/>
          <w:szCs w:val="24"/>
        </w:rPr>
        <w:t>inansowania i pogłębi różnice w</w:t>
      </w:r>
      <w:r w:rsidR="00F21469">
        <w:rPr>
          <w:rFonts w:ascii="Times New Roman" w:eastAsia="Calibri" w:hAnsi="Times New Roman" w:cs="Times New Roman"/>
          <w:color w:val="000000"/>
          <w:sz w:val="24"/>
          <w:szCs w:val="24"/>
        </w:rPr>
        <w:t> </w:t>
      </w:r>
      <w:r w:rsidRPr="006A1A26">
        <w:rPr>
          <w:rFonts w:ascii="Times New Roman" w:eastAsia="Calibri" w:hAnsi="Times New Roman" w:cs="Times New Roman"/>
          <w:color w:val="000000"/>
          <w:sz w:val="24"/>
          <w:szCs w:val="24"/>
        </w:rPr>
        <w:t xml:space="preserve">dochodach jednostek samorządu terytorialnego. </w:t>
      </w:r>
    </w:p>
    <w:p w:rsidR="006A1A26" w:rsidRDefault="006A1A26" w:rsidP="006A1A26">
      <w:pPr>
        <w:tabs>
          <w:tab w:val="left" w:pos="3647"/>
        </w:tabs>
        <w:spacing w:line="276" w:lineRule="auto"/>
        <w:jc w:val="both"/>
        <w:rPr>
          <w:rFonts w:ascii="Times New Roman" w:eastAsia="Calibri" w:hAnsi="Times New Roman" w:cs="Times New Roman"/>
          <w:color w:val="000000"/>
          <w:sz w:val="24"/>
          <w:szCs w:val="24"/>
        </w:rPr>
      </w:pPr>
      <w:r w:rsidRPr="006A1A26">
        <w:rPr>
          <w:rFonts w:ascii="Times New Roman" w:eastAsia="Calibri" w:hAnsi="Times New Roman" w:cs="Times New Roman"/>
          <w:color w:val="000000"/>
          <w:sz w:val="24"/>
          <w:szCs w:val="24"/>
        </w:rPr>
        <w:t xml:space="preserve">Ze względu na fakt, iż </w:t>
      </w:r>
      <w:r w:rsidR="00A16A69">
        <w:rPr>
          <w:rFonts w:ascii="Times New Roman" w:eastAsia="Calibri" w:hAnsi="Times New Roman" w:cs="Times New Roman"/>
          <w:color w:val="000000"/>
          <w:sz w:val="24"/>
          <w:szCs w:val="24"/>
        </w:rPr>
        <w:t xml:space="preserve">ww. </w:t>
      </w:r>
      <w:r w:rsidRPr="006A1A26">
        <w:rPr>
          <w:rFonts w:ascii="Times New Roman" w:eastAsia="Calibri" w:hAnsi="Times New Roman" w:cs="Times New Roman"/>
          <w:color w:val="000000"/>
          <w:sz w:val="24"/>
          <w:szCs w:val="24"/>
        </w:rPr>
        <w:t>udziały stanowią jeden z elementów wykorzystywanych dla ustalenia wskaźnika potencjału dochodowego danej jednostki samorządu terytorialnego ich wzrost wpłynie również na inne elementy systemu finansowania samorządu terytorialnego. Zwiększone dysproporcje w potencjale dochodowym jednostek samorządu terytorialnego będą musiały być wyrównane zarówno poprzez mechanizm redystrybucji pionowej</w:t>
      </w:r>
      <w:r w:rsidR="00E13FE2">
        <w:rPr>
          <w:rFonts w:ascii="Times New Roman" w:eastAsia="Calibri" w:hAnsi="Times New Roman" w:cs="Times New Roman"/>
          <w:color w:val="000000"/>
          <w:sz w:val="24"/>
          <w:szCs w:val="24"/>
        </w:rPr>
        <w:t>,</w:t>
      </w:r>
      <w:r w:rsidRPr="006A1A26">
        <w:rPr>
          <w:rFonts w:ascii="Times New Roman" w:eastAsia="Calibri" w:hAnsi="Times New Roman" w:cs="Times New Roman"/>
          <w:color w:val="000000"/>
          <w:sz w:val="24"/>
          <w:szCs w:val="24"/>
        </w:rPr>
        <w:t xml:space="preserve"> jak</w:t>
      </w:r>
      <w:r w:rsidR="003F6F31">
        <w:rPr>
          <w:rFonts w:ascii="Times New Roman" w:eastAsia="Calibri" w:hAnsi="Times New Roman" w:cs="Times New Roman"/>
          <w:color w:val="000000"/>
          <w:sz w:val="24"/>
          <w:szCs w:val="24"/>
        </w:rPr>
        <w:t xml:space="preserve"> i </w:t>
      </w:r>
      <w:r w:rsidRPr="006A1A26">
        <w:rPr>
          <w:rFonts w:ascii="Times New Roman" w:eastAsia="Calibri" w:hAnsi="Times New Roman" w:cs="Times New Roman"/>
          <w:color w:val="000000"/>
          <w:sz w:val="24"/>
          <w:szCs w:val="24"/>
        </w:rPr>
        <w:t>red</w:t>
      </w:r>
      <w:r w:rsidR="00E13FE2">
        <w:rPr>
          <w:rFonts w:ascii="Times New Roman" w:eastAsia="Calibri" w:hAnsi="Times New Roman" w:cs="Times New Roman"/>
          <w:color w:val="000000"/>
          <w:sz w:val="24"/>
          <w:szCs w:val="24"/>
        </w:rPr>
        <w:t>ystrybucji poziomej. Oznacza to</w:t>
      </w:r>
      <w:r w:rsidRPr="006A1A26">
        <w:rPr>
          <w:rFonts w:ascii="Times New Roman" w:eastAsia="Calibri" w:hAnsi="Times New Roman" w:cs="Times New Roman"/>
          <w:color w:val="000000"/>
          <w:sz w:val="24"/>
          <w:szCs w:val="24"/>
        </w:rPr>
        <w:t xml:space="preserve"> wyższe wydatki zarówno z budżetu państwa na część wyrównawczą subwencji ogólnej, jak i z budżetów samorządowych na wpłaty na część równoważącą i część regionalną subwencji ogólnej.</w:t>
      </w:r>
    </w:p>
    <w:p w:rsidR="006A1A26" w:rsidRPr="00D7414F" w:rsidRDefault="00296D2C" w:rsidP="00D7414F">
      <w:pPr>
        <w:tabs>
          <w:tab w:val="left" w:pos="3647"/>
        </w:tabs>
        <w:spacing w:line="276" w:lineRule="auto"/>
        <w:jc w:val="both"/>
        <w:rPr>
          <w:rFonts w:ascii="Times New Roman" w:eastAsia="Calibri" w:hAnsi="Times New Roman" w:cs="Times New Roman"/>
          <w:color w:val="0D0D0D" w:themeColor="text1" w:themeTint="F2"/>
          <w:sz w:val="24"/>
          <w:szCs w:val="24"/>
          <w:u w:val="single"/>
        </w:rPr>
      </w:pPr>
      <w:r>
        <w:rPr>
          <w:rFonts w:ascii="Times New Roman" w:eastAsia="Calibri" w:hAnsi="Times New Roman" w:cs="Times New Roman"/>
          <w:color w:val="0D0D0D" w:themeColor="text1" w:themeTint="F2"/>
          <w:sz w:val="24"/>
          <w:szCs w:val="24"/>
          <w:u w:val="single"/>
        </w:rPr>
        <w:t>Uwzględniając fakt, iż</w:t>
      </w:r>
    </w:p>
    <w:p w:rsidR="00296D2C" w:rsidRDefault="00000AF3" w:rsidP="00296D2C">
      <w:pPr>
        <w:pStyle w:val="Akapitzlist"/>
        <w:numPr>
          <w:ilvl w:val="0"/>
          <w:numId w:val="16"/>
        </w:numPr>
        <w:tabs>
          <w:tab w:val="left" w:pos="3647"/>
        </w:tabs>
        <w:spacing w:line="276"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w:t>
      </w:r>
      <w:r w:rsidR="006A1A26" w:rsidRPr="00296D2C">
        <w:rPr>
          <w:rFonts w:ascii="Times New Roman" w:eastAsia="Calibri" w:hAnsi="Times New Roman" w:cs="Times New Roman"/>
          <w:color w:val="000000"/>
          <w:sz w:val="24"/>
          <w:szCs w:val="24"/>
        </w:rPr>
        <w:t>rojekt ustawy wywołuje dodatkowe negatywne skutki finansowe dla budżetu państwa</w:t>
      </w:r>
      <w:r>
        <w:rPr>
          <w:rFonts w:ascii="Times New Roman" w:eastAsia="Calibri" w:hAnsi="Times New Roman" w:cs="Times New Roman"/>
          <w:color w:val="000000"/>
          <w:sz w:val="24"/>
          <w:szCs w:val="24"/>
        </w:rPr>
        <w:t>,</w:t>
      </w:r>
    </w:p>
    <w:p w:rsidR="006A1A26" w:rsidRPr="00296D2C" w:rsidRDefault="00000AF3" w:rsidP="00296D2C">
      <w:pPr>
        <w:pStyle w:val="Akapitzlist"/>
        <w:numPr>
          <w:ilvl w:val="0"/>
          <w:numId w:val="16"/>
        </w:numPr>
        <w:tabs>
          <w:tab w:val="left" w:pos="3647"/>
        </w:tabs>
        <w:spacing w:line="276"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z</w:t>
      </w:r>
      <w:r w:rsidR="002A5128" w:rsidRPr="00296D2C">
        <w:rPr>
          <w:rFonts w:ascii="Times New Roman" w:eastAsia="Calibri" w:hAnsi="Times New Roman" w:cs="Times New Roman"/>
          <w:color w:val="000000"/>
          <w:sz w:val="24"/>
          <w:szCs w:val="24"/>
        </w:rPr>
        <w:t xml:space="preserve">większenie </w:t>
      </w:r>
      <w:r w:rsidR="00E13FE2">
        <w:rPr>
          <w:rFonts w:ascii="Times New Roman" w:eastAsia="Calibri" w:hAnsi="Times New Roman" w:cs="Times New Roman"/>
          <w:color w:val="000000"/>
          <w:sz w:val="24"/>
          <w:szCs w:val="24"/>
        </w:rPr>
        <w:t>dochodów z tytułu udziału w PIT</w:t>
      </w:r>
      <w:r w:rsidR="002A5128" w:rsidRPr="00296D2C">
        <w:rPr>
          <w:rFonts w:ascii="Times New Roman" w:eastAsia="Calibri" w:hAnsi="Times New Roman" w:cs="Times New Roman"/>
          <w:color w:val="000000"/>
          <w:sz w:val="24"/>
          <w:szCs w:val="24"/>
        </w:rPr>
        <w:t xml:space="preserve"> spowodowałoby konieczność wyrównania dysproporcji w docho</w:t>
      </w:r>
      <w:r>
        <w:rPr>
          <w:rFonts w:ascii="Times New Roman" w:eastAsia="Calibri" w:hAnsi="Times New Roman" w:cs="Times New Roman"/>
          <w:color w:val="000000"/>
          <w:sz w:val="24"/>
          <w:szCs w:val="24"/>
        </w:rPr>
        <w:t>dach środkami z budżetu państwa,</w:t>
      </w:r>
      <w:r w:rsidR="002A5128" w:rsidRPr="00296D2C">
        <w:rPr>
          <w:rFonts w:ascii="Times New Roman" w:eastAsia="Calibri" w:hAnsi="Times New Roman" w:cs="Times New Roman"/>
          <w:color w:val="000000"/>
          <w:sz w:val="24"/>
          <w:szCs w:val="24"/>
        </w:rPr>
        <w:t xml:space="preserve"> </w:t>
      </w:r>
    </w:p>
    <w:p w:rsidR="002A5128" w:rsidRPr="00296D2C" w:rsidRDefault="00000AF3" w:rsidP="00296D2C">
      <w:pPr>
        <w:pStyle w:val="Akapitzlist"/>
        <w:numPr>
          <w:ilvl w:val="0"/>
          <w:numId w:val="16"/>
        </w:numPr>
        <w:tabs>
          <w:tab w:val="left" w:pos="3647"/>
        </w:tabs>
        <w:spacing w:line="276"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k</w:t>
      </w:r>
      <w:r w:rsidR="002A5128" w:rsidRPr="00296D2C">
        <w:rPr>
          <w:rFonts w:ascii="Times New Roman" w:eastAsia="Calibri" w:hAnsi="Times New Roman" w:cs="Times New Roman"/>
          <w:color w:val="000000"/>
          <w:sz w:val="24"/>
          <w:szCs w:val="24"/>
        </w:rPr>
        <w:t xml:space="preserve">onsekwencją wprowadzenia </w:t>
      </w:r>
      <w:r w:rsidR="00274C2A" w:rsidRPr="00296D2C">
        <w:rPr>
          <w:rFonts w:ascii="Times New Roman" w:eastAsia="Calibri" w:hAnsi="Times New Roman" w:cs="Times New Roman"/>
          <w:color w:val="000000"/>
          <w:sz w:val="24"/>
          <w:szCs w:val="24"/>
        </w:rPr>
        <w:t xml:space="preserve">proponowanych zmian </w:t>
      </w:r>
      <w:r w:rsidR="002A5128" w:rsidRPr="00296D2C">
        <w:rPr>
          <w:rFonts w:ascii="Times New Roman" w:eastAsia="Calibri" w:hAnsi="Times New Roman" w:cs="Times New Roman"/>
          <w:color w:val="000000"/>
          <w:sz w:val="24"/>
          <w:szCs w:val="24"/>
        </w:rPr>
        <w:t>byłoby nie tylko zwiększenie dochodów jednostek samorządu terytorialnego z</w:t>
      </w:r>
      <w:r w:rsidR="007C5794" w:rsidRPr="00296D2C">
        <w:rPr>
          <w:rFonts w:ascii="Times New Roman" w:eastAsia="Calibri" w:hAnsi="Times New Roman" w:cs="Times New Roman"/>
          <w:color w:val="000000"/>
          <w:sz w:val="24"/>
          <w:szCs w:val="24"/>
        </w:rPr>
        <w:t> </w:t>
      </w:r>
      <w:r w:rsidR="002A5128" w:rsidRPr="00296D2C">
        <w:rPr>
          <w:rFonts w:ascii="Times New Roman" w:eastAsia="Calibri" w:hAnsi="Times New Roman" w:cs="Times New Roman"/>
          <w:color w:val="000000"/>
          <w:sz w:val="24"/>
          <w:szCs w:val="24"/>
        </w:rPr>
        <w:t>tytułu udziału we wpływach z </w:t>
      </w:r>
      <w:r w:rsidR="00274C2A" w:rsidRPr="00296D2C">
        <w:rPr>
          <w:rFonts w:ascii="Times New Roman" w:eastAsia="Calibri" w:hAnsi="Times New Roman" w:cs="Times New Roman"/>
          <w:color w:val="000000"/>
          <w:sz w:val="24"/>
          <w:szCs w:val="24"/>
        </w:rPr>
        <w:t>PIT</w:t>
      </w:r>
      <w:r w:rsidR="002A5128" w:rsidRPr="00296D2C">
        <w:rPr>
          <w:rFonts w:ascii="Times New Roman" w:eastAsia="Calibri" w:hAnsi="Times New Roman" w:cs="Times New Roman"/>
          <w:color w:val="000000"/>
          <w:sz w:val="24"/>
          <w:szCs w:val="24"/>
        </w:rPr>
        <w:t>, ale</w:t>
      </w:r>
      <w:r w:rsidR="00F21469">
        <w:rPr>
          <w:rFonts w:ascii="Times New Roman" w:eastAsia="Calibri" w:hAnsi="Times New Roman" w:cs="Times New Roman"/>
          <w:color w:val="000000"/>
          <w:sz w:val="24"/>
          <w:szCs w:val="24"/>
        </w:rPr>
        <w:t> </w:t>
      </w:r>
      <w:r w:rsidR="002A5128" w:rsidRPr="00296D2C">
        <w:rPr>
          <w:rFonts w:ascii="Times New Roman" w:eastAsia="Calibri" w:hAnsi="Times New Roman" w:cs="Times New Roman"/>
          <w:color w:val="000000"/>
          <w:sz w:val="24"/>
          <w:szCs w:val="24"/>
        </w:rPr>
        <w:t>również zwięk</w:t>
      </w:r>
      <w:r w:rsidR="00B408DE" w:rsidRPr="00296D2C">
        <w:rPr>
          <w:rFonts w:ascii="Times New Roman" w:eastAsia="Calibri" w:hAnsi="Times New Roman" w:cs="Times New Roman"/>
          <w:color w:val="000000"/>
          <w:sz w:val="24"/>
          <w:szCs w:val="24"/>
        </w:rPr>
        <w:t xml:space="preserve">szenie wpłat </w:t>
      </w:r>
      <w:r w:rsidR="007F4ABF" w:rsidRPr="00296D2C">
        <w:rPr>
          <w:rFonts w:ascii="Times New Roman" w:eastAsia="Calibri" w:hAnsi="Times New Roman" w:cs="Times New Roman"/>
          <w:color w:val="000000"/>
          <w:sz w:val="24"/>
          <w:szCs w:val="24"/>
        </w:rPr>
        <w:t xml:space="preserve">JST </w:t>
      </w:r>
      <w:r>
        <w:rPr>
          <w:rFonts w:ascii="Times New Roman" w:eastAsia="Calibri" w:hAnsi="Times New Roman" w:cs="Times New Roman"/>
          <w:color w:val="000000"/>
          <w:sz w:val="24"/>
          <w:szCs w:val="24"/>
        </w:rPr>
        <w:t>do budżetu państwa,</w:t>
      </w:r>
      <w:r w:rsidR="00B408DE" w:rsidRPr="00296D2C">
        <w:rPr>
          <w:rFonts w:ascii="Times New Roman" w:eastAsia="Calibri" w:hAnsi="Times New Roman" w:cs="Times New Roman"/>
          <w:color w:val="000000"/>
          <w:sz w:val="24"/>
          <w:szCs w:val="24"/>
        </w:rPr>
        <w:t xml:space="preserve"> </w:t>
      </w:r>
    </w:p>
    <w:p w:rsidR="00274C2A" w:rsidRPr="00296D2C" w:rsidRDefault="00000AF3" w:rsidP="00296D2C">
      <w:pPr>
        <w:pStyle w:val="Akapitzlist"/>
        <w:numPr>
          <w:ilvl w:val="0"/>
          <w:numId w:val="16"/>
        </w:numPr>
        <w:tabs>
          <w:tab w:val="left" w:pos="3647"/>
        </w:tabs>
        <w:spacing w:line="276"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w:t>
      </w:r>
      <w:r w:rsidR="007F4ABF" w:rsidRPr="00296D2C">
        <w:rPr>
          <w:rFonts w:ascii="Times New Roman" w:eastAsia="Calibri" w:hAnsi="Times New Roman" w:cs="Times New Roman"/>
          <w:color w:val="000000"/>
          <w:sz w:val="24"/>
          <w:szCs w:val="24"/>
        </w:rPr>
        <w:t xml:space="preserve">rwają już prace nad nowym systemem dochodów jednostek </w:t>
      </w:r>
      <w:r w:rsidR="00B914C2" w:rsidRPr="00296D2C">
        <w:rPr>
          <w:rFonts w:ascii="Times New Roman" w:eastAsia="Calibri" w:hAnsi="Times New Roman" w:cs="Times New Roman"/>
          <w:color w:val="000000"/>
          <w:sz w:val="24"/>
          <w:szCs w:val="24"/>
        </w:rPr>
        <w:t>samorządu terytorialnego, w</w:t>
      </w:r>
      <w:r w:rsidR="00F21469">
        <w:rPr>
          <w:rFonts w:ascii="Times New Roman" w:eastAsia="Calibri" w:hAnsi="Times New Roman" w:cs="Times New Roman"/>
          <w:color w:val="000000"/>
          <w:sz w:val="24"/>
          <w:szCs w:val="24"/>
        </w:rPr>
        <w:t> </w:t>
      </w:r>
      <w:r w:rsidR="00B914C2" w:rsidRPr="00296D2C">
        <w:rPr>
          <w:rFonts w:ascii="Times New Roman" w:eastAsia="Calibri" w:hAnsi="Times New Roman" w:cs="Times New Roman"/>
          <w:color w:val="000000"/>
          <w:sz w:val="24"/>
          <w:szCs w:val="24"/>
        </w:rPr>
        <w:t xml:space="preserve">tym </w:t>
      </w:r>
      <w:r w:rsidR="007F4ABF" w:rsidRPr="00296D2C">
        <w:rPr>
          <w:rFonts w:ascii="Times New Roman" w:eastAsia="Calibri" w:hAnsi="Times New Roman" w:cs="Times New Roman"/>
          <w:color w:val="000000"/>
          <w:sz w:val="24"/>
          <w:szCs w:val="24"/>
        </w:rPr>
        <w:t>zmierzające do zbudowania spójnego systemu wyrównawczego dla wszystkich ro</w:t>
      </w:r>
      <w:r>
        <w:rPr>
          <w:rFonts w:ascii="Times New Roman" w:eastAsia="Calibri" w:hAnsi="Times New Roman" w:cs="Times New Roman"/>
          <w:color w:val="000000"/>
          <w:sz w:val="24"/>
          <w:szCs w:val="24"/>
        </w:rPr>
        <w:t>dzajów samorządu terytorialnego</w:t>
      </w:r>
    </w:p>
    <w:p w:rsidR="002A5128" w:rsidRPr="00FF499C" w:rsidRDefault="00E13FE2" w:rsidP="00FF499C">
      <w:pPr>
        <w:tabs>
          <w:tab w:val="left" w:pos="3647"/>
        </w:tabs>
        <w:spacing w:line="276" w:lineRule="auto"/>
        <w:jc w:val="both"/>
        <w:rPr>
          <w:rFonts w:ascii="Times New Roman" w:eastAsia="Calibri" w:hAnsi="Times New Roman" w:cs="Times New Roman"/>
          <w:color w:val="000000"/>
          <w:sz w:val="24"/>
          <w:szCs w:val="24"/>
        </w:rPr>
      </w:pPr>
      <w:r w:rsidRPr="002A5128">
        <w:rPr>
          <w:rFonts w:ascii="Times New Roman" w:eastAsia="Calibri" w:hAnsi="Times New Roman" w:cs="Times New Roman"/>
          <w:color w:val="000000"/>
          <w:sz w:val="24"/>
          <w:szCs w:val="24"/>
        </w:rPr>
        <w:t>–</w:t>
      </w:r>
      <w:r w:rsidR="00000AF3">
        <w:rPr>
          <w:rFonts w:ascii="Times New Roman" w:eastAsia="Calibri" w:hAnsi="Times New Roman" w:cs="Times New Roman"/>
          <w:color w:val="000000"/>
          <w:sz w:val="24"/>
          <w:szCs w:val="24"/>
        </w:rPr>
        <w:t xml:space="preserve"> </w:t>
      </w:r>
      <w:r w:rsidR="006A1A26" w:rsidRPr="006A1A26">
        <w:rPr>
          <w:rFonts w:ascii="Times New Roman" w:eastAsia="Calibri" w:hAnsi="Times New Roman" w:cs="Times New Roman"/>
          <w:color w:val="000000"/>
          <w:sz w:val="24"/>
          <w:szCs w:val="24"/>
        </w:rPr>
        <w:t>Rząd negatywnie opiniuje zmiany proponowane w projekcie ustawy o zmianie ustawy o</w:t>
      </w:r>
      <w:r w:rsidR="00F21469">
        <w:rPr>
          <w:rFonts w:ascii="Times New Roman" w:eastAsia="Calibri" w:hAnsi="Times New Roman" w:cs="Times New Roman"/>
          <w:color w:val="000000"/>
          <w:sz w:val="24"/>
          <w:szCs w:val="24"/>
        </w:rPr>
        <w:t> </w:t>
      </w:r>
      <w:r w:rsidR="006A1A26" w:rsidRPr="006A1A26">
        <w:rPr>
          <w:rFonts w:ascii="Times New Roman" w:eastAsia="Calibri" w:hAnsi="Times New Roman" w:cs="Times New Roman"/>
          <w:color w:val="000000"/>
          <w:sz w:val="24"/>
          <w:szCs w:val="24"/>
        </w:rPr>
        <w:t>dochodach jednostek sam</w:t>
      </w:r>
      <w:r w:rsidR="003F6F31">
        <w:rPr>
          <w:rFonts w:ascii="Times New Roman" w:eastAsia="Calibri" w:hAnsi="Times New Roman" w:cs="Times New Roman"/>
          <w:color w:val="000000"/>
          <w:sz w:val="24"/>
          <w:szCs w:val="24"/>
        </w:rPr>
        <w:t xml:space="preserve">orządu terytorialnego (druk nr </w:t>
      </w:r>
      <w:r w:rsidR="006A1A26" w:rsidRPr="006A1A26">
        <w:rPr>
          <w:rFonts w:ascii="Times New Roman" w:eastAsia="Calibri" w:hAnsi="Times New Roman" w:cs="Times New Roman"/>
          <w:color w:val="000000"/>
          <w:sz w:val="24"/>
          <w:szCs w:val="24"/>
        </w:rPr>
        <w:t>971).</w:t>
      </w:r>
    </w:p>
    <w:sectPr w:rsidR="002A5128" w:rsidRPr="00FF499C" w:rsidSect="000A78C7">
      <w:headerReference w:type="even" r:id="rId19"/>
      <w:headerReference w:type="default" r:id="rId20"/>
      <w:footerReference w:type="even" r:id="rId21"/>
      <w:footerReference w:type="default" r:id="rId22"/>
      <w:headerReference w:type="first" r:id="rId23"/>
      <w:footerReference w:type="first" r:id="rId24"/>
      <w:pgSz w:w="11900" w:h="16840"/>
      <w:pgMar w:top="1701" w:right="1134" w:bottom="1701"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0BA4" w:rsidRDefault="00FF0BA4">
      <w:pPr>
        <w:spacing w:after="0" w:line="240" w:lineRule="auto"/>
      </w:pPr>
      <w:r>
        <w:separator/>
      </w:r>
    </w:p>
  </w:endnote>
  <w:endnote w:type="continuationSeparator" w:id="0">
    <w:p w:rsidR="00FF0BA4" w:rsidRDefault="00FF0B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NewRomanPSMT">
    <w:altName w:val="Arial"/>
    <w:panose1 w:val="00000000000000000000"/>
    <w:charset w:val="00"/>
    <w:family w:val="swiss"/>
    <w:notTrueType/>
    <w:pitch w:val="default"/>
    <w:sig w:usb0="00000007" w:usb1="00000000" w:usb2="00000000" w:usb3="00000000" w:csb0="00000003"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9BB" w:rsidRDefault="00D939B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D4D" w:rsidRDefault="007C5794" w:rsidP="006F6D4D">
    <w:pPr>
      <w:pStyle w:val="Stopka"/>
      <w:jc w:val="right"/>
      <w:rPr>
        <w:rFonts w:ascii="Arial" w:hAnsi="Arial" w:cs="Arial"/>
        <w:color w:val="7F7F7F"/>
        <w:sz w:val="16"/>
        <w:szCs w:val="16"/>
      </w:rPr>
    </w:pPr>
    <w:r>
      <w:rPr>
        <w:rFonts w:ascii="Arial" w:hAnsi="Arial" w:cs="Arial"/>
        <w:color w:val="7F7F7F"/>
        <w:sz w:val="16"/>
        <w:szCs w:val="16"/>
      </w:rPr>
      <w:fldChar w:fldCharType="begin"/>
    </w:r>
    <w:r>
      <w:rPr>
        <w:rFonts w:ascii="Arial" w:hAnsi="Arial" w:cs="Arial"/>
        <w:color w:val="7F7F7F"/>
        <w:sz w:val="16"/>
        <w:szCs w:val="16"/>
      </w:rPr>
      <w:instrText xml:space="preserve"> PAGE   \* MERGEFORMAT </w:instrText>
    </w:r>
    <w:r>
      <w:rPr>
        <w:rFonts w:ascii="Arial" w:hAnsi="Arial" w:cs="Arial"/>
        <w:color w:val="7F7F7F"/>
        <w:sz w:val="16"/>
        <w:szCs w:val="16"/>
      </w:rPr>
      <w:fldChar w:fldCharType="separate"/>
    </w:r>
    <w:r w:rsidR="00D939BB">
      <w:rPr>
        <w:rFonts w:ascii="Arial" w:hAnsi="Arial" w:cs="Arial"/>
        <w:noProof/>
        <w:color w:val="7F7F7F"/>
        <w:sz w:val="16"/>
        <w:szCs w:val="16"/>
      </w:rPr>
      <w:t>17</w:t>
    </w:r>
    <w:r>
      <w:rPr>
        <w:rFonts w:ascii="Arial" w:hAnsi="Arial" w:cs="Arial"/>
        <w:color w:val="7F7F7F"/>
        <w:sz w:val="16"/>
        <w:szCs w:val="16"/>
      </w:rPr>
      <w:fldChar w:fldCharType="end"/>
    </w:r>
  </w:p>
  <w:p w:rsidR="00C94A80" w:rsidRDefault="00FF0BA4">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094D" w:rsidRDefault="00FF0BA4">
    <w:pPr>
      <w:pStyle w:val="Stopka"/>
    </w:pPr>
    <w:bookmarkStart w:id="0" w:name="_GoBack"/>
    <w:bookmarkEnd w:id="0"/>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0BA4" w:rsidRDefault="00FF0BA4">
      <w:pPr>
        <w:spacing w:after="0" w:line="240" w:lineRule="auto"/>
      </w:pPr>
      <w:r>
        <w:separator/>
      </w:r>
    </w:p>
  </w:footnote>
  <w:footnote w:type="continuationSeparator" w:id="0">
    <w:p w:rsidR="00FF0BA4" w:rsidRDefault="00FF0BA4">
      <w:pPr>
        <w:spacing w:after="0" w:line="240" w:lineRule="auto"/>
      </w:pPr>
      <w:r>
        <w:continuationSeparator/>
      </w:r>
    </w:p>
  </w:footnote>
  <w:footnote w:id="1">
    <w:p w:rsidR="00D55F9B" w:rsidRPr="00D55F9B" w:rsidRDefault="00D55F9B" w:rsidP="00F560BB">
      <w:pPr>
        <w:pStyle w:val="Tekstprzypisudolnego"/>
        <w:jc w:val="both"/>
        <w:rPr>
          <w:rFonts w:ascii="Times New Roman" w:eastAsia="Cambria" w:hAnsi="Times New Roman" w:cs="Times New Roman"/>
        </w:rPr>
      </w:pPr>
      <w:r w:rsidRPr="00DC3265">
        <w:rPr>
          <w:rStyle w:val="Odwoanieprzypisudolnego"/>
        </w:rPr>
        <w:footnoteRef/>
      </w:r>
      <w:r w:rsidRPr="00DC3265">
        <w:t xml:space="preserve"> </w:t>
      </w:r>
      <w:r w:rsidRPr="00DC3265">
        <w:rPr>
          <w:rFonts w:ascii="Times New Roman" w:eastAsia="Cambria" w:hAnsi="Times New Roman" w:cs="Times New Roman"/>
        </w:rPr>
        <w:t xml:space="preserve">Jedyny wyjątek stanowi </w:t>
      </w:r>
      <w:r w:rsidR="00B871F5" w:rsidRPr="00DC3265">
        <w:rPr>
          <w:rFonts w:ascii="Times New Roman" w:eastAsia="Cambria" w:hAnsi="Times New Roman" w:cs="Times New Roman"/>
        </w:rPr>
        <w:t xml:space="preserve">zmniejszenie </w:t>
      </w:r>
      <w:r w:rsidR="00741DD2" w:rsidRPr="00DC3265">
        <w:rPr>
          <w:rFonts w:ascii="Times New Roman" w:eastAsia="Cambria" w:hAnsi="Times New Roman" w:cs="Times New Roman"/>
        </w:rPr>
        <w:t xml:space="preserve">dochodów </w:t>
      </w:r>
      <w:r w:rsidR="002A7A39" w:rsidRPr="00DC3265">
        <w:rPr>
          <w:rFonts w:ascii="Times New Roman" w:eastAsia="Cambria" w:hAnsi="Times New Roman" w:cs="Times New Roman"/>
        </w:rPr>
        <w:t xml:space="preserve">z </w:t>
      </w:r>
      <w:r w:rsidR="00741DD2" w:rsidRPr="00DC3265">
        <w:rPr>
          <w:rFonts w:ascii="Times New Roman" w:eastAsia="Cambria" w:hAnsi="Times New Roman" w:cs="Times New Roman"/>
        </w:rPr>
        <w:t xml:space="preserve">CIT w </w:t>
      </w:r>
      <w:r w:rsidR="00B70156" w:rsidRPr="00DC3265">
        <w:rPr>
          <w:rFonts w:ascii="Times New Roman" w:eastAsia="Cambria" w:hAnsi="Times New Roman" w:cs="Times New Roman"/>
        </w:rPr>
        <w:t>latach 2012-</w:t>
      </w:r>
      <w:r w:rsidR="00741DD2" w:rsidRPr="00DC3265">
        <w:rPr>
          <w:rFonts w:ascii="Times New Roman" w:eastAsia="Cambria" w:hAnsi="Times New Roman" w:cs="Times New Roman"/>
        </w:rPr>
        <w:t xml:space="preserve">2013 </w:t>
      </w:r>
      <w:r w:rsidR="00B871F5" w:rsidRPr="00DC3265">
        <w:rPr>
          <w:rFonts w:ascii="Times New Roman" w:eastAsia="Cambria" w:hAnsi="Times New Roman" w:cs="Times New Roman"/>
        </w:rPr>
        <w:t>spowodowane wahaniami</w:t>
      </w:r>
      <w:r w:rsidRPr="00DC3265">
        <w:rPr>
          <w:rFonts w:ascii="Times New Roman" w:eastAsia="Cambria" w:hAnsi="Times New Roman" w:cs="Times New Roman"/>
        </w:rPr>
        <w:t xml:space="preserve"> koniunktur</w:t>
      </w:r>
      <w:r w:rsidR="00B871F5" w:rsidRPr="00DC3265">
        <w:rPr>
          <w:rFonts w:ascii="Times New Roman" w:eastAsia="Cambria" w:hAnsi="Times New Roman" w:cs="Times New Roman"/>
        </w:rPr>
        <w:t>y</w:t>
      </w:r>
      <w:r w:rsidR="002A7A39" w:rsidRPr="00DC3265">
        <w:rPr>
          <w:rFonts w:ascii="Times New Roman" w:eastAsia="Cambria" w:hAnsi="Times New Roman" w:cs="Times New Roman"/>
        </w:rPr>
        <w:t xml:space="preserve"> oraz </w:t>
      </w:r>
      <w:r w:rsidR="00F87DC8" w:rsidRPr="00DC3265">
        <w:rPr>
          <w:rFonts w:ascii="Times New Roman" w:eastAsia="Cambria" w:hAnsi="Times New Roman" w:cs="Times New Roman"/>
        </w:rPr>
        <w:t xml:space="preserve">zmniejszenie </w:t>
      </w:r>
      <w:r w:rsidR="002A7A39" w:rsidRPr="00DC3265">
        <w:rPr>
          <w:rFonts w:ascii="Times New Roman" w:eastAsia="Cambria" w:hAnsi="Times New Roman" w:cs="Times New Roman"/>
        </w:rPr>
        <w:t>w 2020 r. dochodów z PIT</w:t>
      </w:r>
      <w:r w:rsidR="00B871F5" w:rsidRPr="00DC3265">
        <w:rPr>
          <w:rFonts w:ascii="Times New Roman" w:eastAsia="Cambria" w:hAnsi="Times New Roman" w:cs="Times New Roman"/>
        </w:rPr>
        <w:t xml:space="preserve"> z powodu </w:t>
      </w:r>
      <w:r w:rsidR="00D40ED8" w:rsidRPr="00DC3265">
        <w:rPr>
          <w:rFonts w:ascii="Times New Roman" w:eastAsia="Cambria" w:hAnsi="Times New Roman" w:cs="Times New Roman"/>
        </w:rPr>
        <w:t xml:space="preserve">pogorszenia się sytuacji gospodarczej </w:t>
      </w:r>
      <w:r w:rsidR="00846E19">
        <w:rPr>
          <w:rFonts w:ascii="Times New Roman" w:eastAsia="Cambria" w:hAnsi="Times New Roman" w:cs="Times New Roman"/>
        </w:rPr>
        <w:t>będącej efektem wpływu</w:t>
      </w:r>
      <w:r w:rsidR="00F87DC8" w:rsidRPr="00DC3265">
        <w:rPr>
          <w:rFonts w:ascii="Times New Roman" w:eastAsia="Cambria" w:hAnsi="Times New Roman" w:cs="Times New Roman"/>
        </w:rPr>
        <w:t xml:space="preserve"> pandemii.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9BB" w:rsidRDefault="00D939B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9BB" w:rsidRDefault="00D939BB">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094D" w:rsidRPr="00526523" w:rsidRDefault="00526523" w:rsidP="00526523">
    <w:pPr>
      <w:pStyle w:val="Nagwek"/>
      <w:rPr>
        <w:rFonts w:ascii="Times New Roman" w:hAnsi="Times New Roman" w:cs="Times New Roman"/>
      </w:rPr>
    </w:pPr>
    <w:r>
      <w:tab/>
    </w:r>
    <w:r>
      <w:tab/>
    </w:r>
    <w:r w:rsidR="003F6F31">
      <w:rPr>
        <w:rFonts w:ascii="Times New Roman" w:hAnsi="Times New Roman" w:cs="Times New Roman"/>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F00F0"/>
    <w:multiLevelType w:val="hybridMultilevel"/>
    <w:tmpl w:val="EA5088E2"/>
    <w:lvl w:ilvl="0" w:tplc="E1200EA8">
      <w:start w:val="1"/>
      <w:numFmt w:val="decimal"/>
      <w:lvlText w:val="%1)"/>
      <w:lvlJc w:val="left"/>
      <w:pPr>
        <w:ind w:left="360" w:hanging="360"/>
      </w:pPr>
      <w:rPr>
        <w:b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3A60E0F"/>
    <w:multiLevelType w:val="hybridMultilevel"/>
    <w:tmpl w:val="1DB87D02"/>
    <w:lvl w:ilvl="0" w:tplc="1A7EA8E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33F32CA9"/>
    <w:multiLevelType w:val="hybridMultilevel"/>
    <w:tmpl w:val="3320D9A2"/>
    <w:lvl w:ilvl="0" w:tplc="1A7EA8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47F30C8"/>
    <w:multiLevelType w:val="hybridMultilevel"/>
    <w:tmpl w:val="369EB394"/>
    <w:lvl w:ilvl="0" w:tplc="7E68C3E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 w15:restartNumberingAfterBreak="0">
    <w:nsid w:val="39A51C65"/>
    <w:multiLevelType w:val="hybridMultilevel"/>
    <w:tmpl w:val="24564A8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3A25564C"/>
    <w:multiLevelType w:val="hybridMultilevel"/>
    <w:tmpl w:val="F454E3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F137749"/>
    <w:multiLevelType w:val="hybridMultilevel"/>
    <w:tmpl w:val="45D680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A031B5B"/>
    <w:multiLevelType w:val="hybridMultilevel"/>
    <w:tmpl w:val="359C1F8A"/>
    <w:lvl w:ilvl="0" w:tplc="1A7EA8EA">
      <w:start w:val="1"/>
      <w:numFmt w:val="bullet"/>
      <w:lvlText w:val=""/>
      <w:lvlJc w:val="left"/>
      <w:pPr>
        <w:ind w:left="1004" w:hanging="360"/>
      </w:pPr>
      <w:rPr>
        <w:rFonts w:ascii="Symbol" w:hAnsi="Symbol" w:hint="default"/>
      </w:rPr>
    </w:lvl>
    <w:lvl w:ilvl="1" w:tplc="005873BE">
      <w:start w:val="1"/>
      <w:numFmt w:val="decimal"/>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8" w15:restartNumberingAfterBreak="0">
    <w:nsid w:val="52FB2A2E"/>
    <w:multiLevelType w:val="hybridMultilevel"/>
    <w:tmpl w:val="DEDC230C"/>
    <w:lvl w:ilvl="0" w:tplc="1A7EA8EA">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59002E0C"/>
    <w:multiLevelType w:val="hybridMultilevel"/>
    <w:tmpl w:val="5AF611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C755129"/>
    <w:multiLevelType w:val="hybridMultilevel"/>
    <w:tmpl w:val="5D448412"/>
    <w:lvl w:ilvl="0" w:tplc="7BCCB7CA">
      <w:start w:val="1"/>
      <w:numFmt w:val="upperRoman"/>
      <w:lvlText w:val="%1."/>
      <w:lvlJc w:val="left"/>
      <w:pPr>
        <w:ind w:left="1571"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D041A50"/>
    <w:multiLevelType w:val="hybridMultilevel"/>
    <w:tmpl w:val="5AF030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92A02BC"/>
    <w:multiLevelType w:val="hybridMultilevel"/>
    <w:tmpl w:val="50B0FD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5"/>
  </w:num>
  <w:num w:numId="10">
    <w:abstractNumId w:val="0"/>
  </w:num>
  <w:num w:numId="11">
    <w:abstractNumId w:val="4"/>
  </w:num>
  <w:num w:numId="12">
    <w:abstractNumId w:val="12"/>
  </w:num>
  <w:num w:numId="13">
    <w:abstractNumId w:val="10"/>
  </w:num>
  <w:num w:numId="14">
    <w:abstractNumId w:val="6"/>
  </w:num>
  <w:num w:numId="15">
    <w:abstractNumId w:val="2"/>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128"/>
    <w:rsid w:val="00000AF3"/>
    <w:rsid w:val="00005A10"/>
    <w:rsid w:val="00005E0D"/>
    <w:rsid w:val="0001194A"/>
    <w:rsid w:val="0002356D"/>
    <w:rsid w:val="00034047"/>
    <w:rsid w:val="00041850"/>
    <w:rsid w:val="00053456"/>
    <w:rsid w:val="00064CF3"/>
    <w:rsid w:val="000653EF"/>
    <w:rsid w:val="000739CB"/>
    <w:rsid w:val="00074C89"/>
    <w:rsid w:val="00075DBB"/>
    <w:rsid w:val="00087070"/>
    <w:rsid w:val="000975DA"/>
    <w:rsid w:val="000A4B0D"/>
    <w:rsid w:val="000D126A"/>
    <w:rsid w:val="000E48DC"/>
    <w:rsid w:val="000E7BC7"/>
    <w:rsid w:val="00120AAF"/>
    <w:rsid w:val="00145584"/>
    <w:rsid w:val="0014641B"/>
    <w:rsid w:val="0015235F"/>
    <w:rsid w:val="00175C5B"/>
    <w:rsid w:val="001774FD"/>
    <w:rsid w:val="00182057"/>
    <w:rsid w:val="001865DE"/>
    <w:rsid w:val="00190B6E"/>
    <w:rsid w:val="001B6996"/>
    <w:rsid w:val="001C0C45"/>
    <w:rsid w:val="001C77F3"/>
    <w:rsid w:val="001D6309"/>
    <w:rsid w:val="001E480D"/>
    <w:rsid w:val="002063E6"/>
    <w:rsid w:val="00207053"/>
    <w:rsid w:val="00222DE0"/>
    <w:rsid w:val="0022422E"/>
    <w:rsid w:val="00225A03"/>
    <w:rsid w:val="00245045"/>
    <w:rsid w:val="00267D91"/>
    <w:rsid w:val="00274C2A"/>
    <w:rsid w:val="0029166A"/>
    <w:rsid w:val="00296D2C"/>
    <w:rsid w:val="002A350A"/>
    <w:rsid w:val="002A39F4"/>
    <w:rsid w:val="002A5128"/>
    <w:rsid w:val="002A7A39"/>
    <w:rsid w:val="002B0355"/>
    <w:rsid w:val="002B06F7"/>
    <w:rsid w:val="002C67C2"/>
    <w:rsid w:val="002D1CA1"/>
    <w:rsid w:val="002D73BA"/>
    <w:rsid w:val="002E4E6E"/>
    <w:rsid w:val="002F1E8C"/>
    <w:rsid w:val="00317E7A"/>
    <w:rsid w:val="003202DA"/>
    <w:rsid w:val="00353BAC"/>
    <w:rsid w:val="00381C2D"/>
    <w:rsid w:val="0039093C"/>
    <w:rsid w:val="00393D3B"/>
    <w:rsid w:val="00396280"/>
    <w:rsid w:val="003A5A0A"/>
    <w:rsid w:val="003C0B8B"/>
    <w:rsid w:val="003C2255"/>
    <w:rsid w:val="003C2301"/>
    <w:rsid w:val="003F6F31"/>
    <w:rsid w:val="00406888"/>
    <w:rsid w:val="004274C2"/>
    <w:rsid w:val="00435D4F"/>
    <w:rsid w:val="00435E3D"/>
    <w:rsid w:val="00455CB8"/>
    <w:rsid w:val="00476B62"/>
    <w:rsid w:val="00487B07"/>
    <w:rsid w:val="004A591D"/>
    <w:rsid w:val="004B3953"/>
    <w:rsid w:val="004B4430"/>
    <w:rsid w:val="004B4E00"/>
    <w:rsid w:val="004B50E7"/>
    <w:rsid w:val="004E2194"/>
    <w:rsid w:val="00515FB2"/>
    <w:rsid w:val="0052074B"/>
    <w:rsid w:val="00522406"/>
    <w:rsid w:val="005263F4"/>
    <w:rsid w:val="00526523"/>
    <w:rsid w:val="005419B2"/>
    <w:rsid w:val="00552F95"/>
    <w:rsid w:val="00564F1F"/>
    <w:rsid w:val="00573F82"/>
    <w:rsid w:val="00576F40"/>
    <w:rsid w:val="005910A4"/>
    <w:rsid w:val="005943BA"/>
    <w:rsid w:val="005A0BBD"/>
    <w:rsid w:val="005A18BB"/>
    <w:rsid w:val="005A4FD8"/>
    <w:rsid w:val="005B5FC7"/>
    <w:rsid w:val="005E57AB"/>
    <w:rsid w:val="005F4B55"/>
    <w:rsid w:val="005F58C5"/>
    <w:rsid w:val="00605B0A"/>
    <w:rsid w:val="006067AD"/>
    <w:rsid w:val="00610B88"/>
    <w:rsid w:val="0062631B"/>
    <w:rsid w:val="00630F90"/>
    <w:rsid w:val="00635586"/>
    <w:rsid w:val="0065511E"/>
    <w:rsid w:val="0066343F"/>
    <w:rsid w:val="00667CC4"/>
    <w:rsid w:val="006A1A26"/>
    <w:rsid w:val="006A55E4"/>
    <w:rsid w:val="006D2145"/>
    <w:rsid w:val="006D67EE"/>
    <w:rsid w:val="006F7ED0"/>
    <w:rsid w:val="00716A84"/>
    <w:rsid w:val="00725562"/>
    <w:rsid w:val="007276BF"/>
    <w:rsid w:val="00741DD2"/>
    <w:rsid w:val="0074711C"/>
    <w:rsid w:val="00760041"/>
    <w:rsid w:val="00761CC6"/>
    <w:rsid w:val="007632A7"/>
    <w:rsid w:val="00772D65"/>
    <w:rsid w:val="00776EEE"/>
    <w:rsid w:val="00786561"/>
    <w:rsid w:val="007A2A18"/>
    <w:rsid w:val="007B116D"/>
    <w:rsid w:val="007C1573"/>
    <w:rsid w:val="007C562F"/>
    <w:rsid w:val="007C5794"/>
    <w:rsid w:val="007D1CDC"/>
    <w:rsid w:val="007E01D4"/>
    <w:rsid w:val="007F4ABF"/>
    <w:rsid w:val="007F6D3F"/>
    <w:rsid w:val="00826B73"/>
    <w:rsid w:val="008278C0"/>
    <w:rsid w:val="0083732E"/>
    <w:rsid w:val="008421FA"/>
    <w:rsid w:val="0084341A"/>
    <w:rsid w:val="008443A1"/>
    <w:rsid w:val="00846E19"/>
    <w:rsid w:val="00852EFC"/>
    <w:rsid w:val="0086214A"/>
    <w:rsid w:val="00871578"/>
    <w:rsid w:val="00891091"/>
    <w:rsid w:val="008A2683"/>
    <w:rsid w:val="008C10DD"/>
    <w:rsid w:val="008C2540"/>
    <w:rsid w:val="008C3090"/>
    <w:rsid w:val="008E2039"/>
    <w:rsid w:val="00900487"/>
    <w:rsid w:val="00902DFA"/>
    <w:rsid w:val="00903078"/>
    <w:rsid w:val="009108C7"/>
    <w:rsid w:val="0091291D"/>
    <w:rsid w:val="00921135"/>
    <w:rsid w:val="009237F4"/>
    <w:rsid w:val="00925276"/>
    <w:rsid w:val="00925D86"/>
    <w:rsid w:val="00934F75"/>
    <w:rsid w:val="00942A6B"/>
    <w:rsid w:val="009476AD"/>
    <w:rsid w:val="00947AC5"/>
    <w:rsid w:val="00950600"/>
    <w:rsid w:val="00950FE3"/>
    <w:rsid w:val="00967220"/>
    <w:rsid w:val="0098159C"/>
    <w:rsid w:val="00982815"/>
    <w:rsid w:val="009958A1"/>
    <w:rsid w:val="009A35BB"/>
    <w:rsid w:val="009A4A9B"/>
    <w:rsid w:val="009A64AC"/>
    <w:rsid w:val="009B6037"/>
    <w:rsid w:val="009C3BDD"/>
    <w:rsid w:val="009C4413"/>
    <w:rsid w:val="009C7BD8"/>
    <w:rsid w:val="009D14FB"/>
    <w:rsid w:val="009D48D3"/>
    <w:rsid w:val="009D5E81"/>
    <w:rsid w:val="009E5902"/>
    <w:rsid w:val="009F3B40"/>
    <w:rsid w:val="00A16A69"/>
    <w:rsid w:val="00A27939"/>
    <w:rsid w:val="00A36781"/>
    <w:rsid w:val="00A472DC"/>
    <w:rsid w:val="00A7582B"/>
    <w:rsid w:val="00A80205"/>
    <w:rsid w:val="00A86810"/>
    <w:rsid w:val="00A8766E"/>
    <w:rsid w:val="00A95B28"/>
    <w:rsid w:val="00AA3257"/>
    <w:rsid w:val="00AA7798"/>
    <w:rsid w:val="00AB179D"/>
    <w:rsid w:val="00AD1415"/>
    <w:rsid w:val="00AD6652"/>
    <w:rsid w:val="00B07480"/>
    <w:rsid w:val="00B14FC2"/>
    <w:rsid w:val="00B26CAC"/>
    <w:rsid w:val="00B37BD8"/>
    <w:rsid w:val="00B408DE"/>
    <w:rsid w:val="00B51F6A"/>
    <w:rsid w:val="00B549A1"/>
    <w:rsid w:val="00B62B03"/>
    <w:rsid w:val="00B70156"/>
    <w:rsid w:val="00B871F5"/>
    <w:rsid w:val="00B914C2"/>
    <w:rsid w:val="00B93489"/>
    <w:rsid w:val="00BA2F35"/>
    <w:rsid w:val="00BD702D"/>
    <w:rsid w:val="00BE3E66"/>
    <w:rsid w:val="00BE4052"/>
    <w:rsid w:val="00BE4F5C"/>
    <w:rsid w:val="00BE5491"/>
    <w:rsid w:val="00BE7BA5"/>
    <w:rsid w:val="00BF3488"/>
    <w:rsid w:val="00C12A89"/>
    <w:rsid w:val="00C2103F"/>
    <w:rsid w:val="00C22489"/>
    <w:rsid w:val="00C22877"/>
    <w:rsid w:val="00C24278"/>
    <w:rsid w:val="00C33DAA"/>
    <w:rsid w:val="00C34D66"/>
    <w:rsid w:val="00C744CB"/>
    <w:rsid w:val="00C93BCF"/>
    <w:rsid w:val="00CA2129"/>
    <w:rsid w:val="00CC2B1D"/>
    <w:rsid w:val="00CD6331"/>
    <w:rsid w:val="00D05D8D"/>
    <w:rsid w:val="00D17B3B"/>
    <w:rsid w:val="00D26304"/>
    <w:rsid w:val="00D264F2"/>
    <w:rsid w:val="00D32B5C"/>
    <w:rsid w:val="00D33FD6"/>
    <w:rsid w:val="00D3538E"/>
    <w:rsid w:val="00D36D77"/>
    <w:rsid w:val="00D40ED8"/>
    <w:rsid w:val="00D52B95"/>
    <w:rsid w:val="00D55EBE"/>
    <w:rsid w:val="00D55F9B"/>
    <w:rsid w:val="00D5687A"/>
    <w:rsid w:val="00D7414F"/>
    <w:rsid w:val="00D9051F"/>
    <w:rsid w:val="00D90A80"/>
    <w:rsid w:val="00D939BB"/>
    <w:rsid w:val="00DB6241"/>
    <w:rsid w:val="00DC13AE"/>
    <w:rsid w:val="00DC20FD"/>
    <w:rsid w:val="00DC3265"/>
    <w:rsid w:val="00DD30F0"/>
    <w:rsid w:val="00DE2319"/>
    <w:rsid w:val="00DF066C"/>
    <w:rsid w:val="00DF44A7"/>
    <w:rsid w:val="00E13FE2"/>
    <w:rsid w:val="00E229DF"/>
    <w:rsid w:val="00E24A78"/>
    <w:rsid w:val="00E27289"/>
    <w:rsid w:val="00E35D97"/>
    <w:rsid w:val="00E43BD1"/>
    <w:rsid w:val="00E43FE1"/>
    <w:rsid w:val="00E549FE"/>
    <w:rsid w:val="00E551A9"/>
    <w:rsid w:val="00E641C7"/>
    <w:rsid w:val="00E72A37"/>
    <w:rsid w:val="00E753F5"/>
    <w:rsid w:val="00E754A0"/>
    <w:rsid w:val="00E76CCA"/>
    <w:rsid w:val="00E91E73"/>
    <w:rsid w:val="00EA590F"/>
    <w:rsid w:val="00EA62D1"/>
    <w:rsid w:val="00EC0C2C"/>
    <w:rsid w:val="00EC486C"/>
    <w:rsid w:val="00EC6568"/>
    <w:rsid w:val="00EC703E"/>
    <w:rsid w:val="00ED33C0"/>
    <w:rsid w:val="00EF0259"/>
    <w:rsid w:val="00EF395B"/>
    <w:rsid w:val="00F05221"/>
    <w:rsid w:val="00F21469"/>
    <w:rsid w:val="00F23BC6"/>
    <w:rsid w:val="00F26723"/>
    <w:rsid w:val="00F40E30"/>
    <w:rsid w:val="00F41CE5"/>
    <w:rsid w:val="00F506D8"/>
    <w:rsid w:val="00F560BB"/>
    <w:rsid w:val="00F62BAC"/>
    <w:rsid w:val="00F6560A"/>
    <w:rsid w:val="00F72BB2"/>
    <w:rsid w:val="00F77214"/>
    <w:rsid w:val="00F87DC8"/>
    <w:rsid w:val="00F9457D"/>
    <w:rsid w:val="00FA19E4"/>
    <w:rsid w:val="00FA365B"/>
    <w:rsid w:val="00FF0BA4"/>
    <w:rsid w:val="00FF499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262FB2"/>
  <w15:chartTrackingRefBased/>
  <w15:docId w15:val="{67CF15C2-258D-48F0-9DDC-E5B8938E2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A5128"/>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A512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A5128"/>
  </w:style>
  <w:style w:type="paragraph" w:styleId="Stopka">
    <w:name w:val="footer"/>
    <w:basedOn w:val="Normalny"/>
    <w:link w:val="StopkaZnak"/>
    <w:uiPriority w:val="99"/>
    <w:unhideWhenUsed/>
    <w:rsid w:val="002A512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A5128"/>
  </w:style>
  <w:style w:type="paragraph" w:customStyle="1" w:styleId="Default">
    <w:name w:val="Default"/>
    <w:rsid w:val="002A5128"/>
    <w:pPr>
      <w:autoSpaceDE w:val="0"/>
      <w:autoSpaceDN w:val="0"/>
      <w:adjustRightInd w:val="0"/>
      <w:spacing w:after="0" w:line="240" w:lineRule="auto"/>
    </w:pPr>
    <w:rPr>
      <w:rFonts w:ascii="Times New Roman" w:hAnsi="Times New Roman" w:cs="Times New Roman"/>
      <w:color w:val="000000"/>
      <w:sz w:val="24"/>
      <w:szCs w:val="24"/>
    </w:rPr>
  </w:style>
  <w:style w:type="paragraph" w:styleId="Tekstdymka">
    <w:name w:val="Balloon Text"/>
    <w:basedOn w:val="Normalny"/>
    <w:link w:val="TekstdymkaZnak"/>
    <w:uiPriority w:val="99"/>
    <w:semiHidden/>
    <w:unhideWhenUsed/>
    <w:rsid w:val="0001194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1194A"/>
    <w:rPr>
      <w:rFonts w:ascii="Segoe UI" w:hAnsi="Segoe UI" w:cs="Segoe UI"/>
      <w:sz w:val="18"/>
      <w:szCs w:val="18"/>
    </w:rPr>
  </w:style>
  <w:style w:type="paragraph" w:styleId="Tekstprzypisudolnego">
    <w:name w:val="footnote text"/>
    <w:basedOn w:val="Normalny"/>
    <w:link w:val="TekstprzypisudolnegoZnak"/>
    <w:uiPriority w:val="99"/>
    <w:semiHidden/>
    <w:unhideWhenUsed/>
    <w:rsid w:val="00D55F9B"/>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55F9B"/>
    <w:rPr>
      <w:sz w:val="20"/>
      <w:szCs w:val="20"/>
    </w:rPr>
  </w:style>
  <w:style w:type="character" w:styleId="Odwoanieprzypisudolnego">
    <w:name w:val="footnote reference"/>
    <w:basedOn w:val="Domylnaczcionkaakapitu"/>
    <w:uiPriority w:val="99"/>
    <w:semiHidden/>
    <w:unhideWhenUsed/>
    <w:rsid w:val="00D55F9B"/>
    <w:rPr>
      <w:vertAlign w:val="superscript"/>
    </w:rPr>
  </w:style>
  <w:style w:type="paragraph" w:styleId="Akapitzlist">
    <w:name w:val="List Paragraph"/>
    <w:basedOn w:val="Normalny"/>
    <w:uiPriority w:val="34"/>
    <w:qFormat/>
    <w:rsid w:val="00741D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25391">
      <w:bodyDiv w:val="1"/>
      <w:marLeft w:val="0"/>
      <w:marRight w:val="0"/>
      <w:marTop w:val="0"/>
      <w:marBottom w:val="0"/>
      <w:divBdr>
        <w:top w:val="none" w:sz="0" w:space="0" w:color="auto"/>
        <w:left w:val="none" w:sz="0" w:space="0" w:color="auto"/>
        <w:bottom w:val="none" w:sz="0" w:space="0" w:color="auto"/>
        <w:right w:val="none" w:sz="0" w:space="0" w:color="auto"/>
      </w:divBdr>
    </w:div>
    <w:div w:id="367922967">
      <w:bodyDiv w:val="1"/>
      <w:marLeft w:val="0"/>
      <w:marRight w:val="0"/>
      <w:marTop w:val="0"/>
      <w:marBottom w:val="0"/>
      <w:divBdr>
        <w:top w:val="none" w:sz="0" w:space="0" w:color="auto"/>
        <w:left w:val="none" w:sz="0" w:space="0" w:color="auto"/>
        <w:bottom w:val="none" w:sz="0" w:space="0" w:color="auto"/>
        <w:right w:val="none" w:sz="0" w:space="0" w:color="auto"/>
      </w:divBdr>
    </w:div>
    <w:div w:id="409160007">
      <w:bodyDiv w:val="1"/>
      <w:marLeft w:val="0"/>
      <w:marRight w:val="0"/>
      <w:marTop w:val="0"/>
      <w:marBottom w:val="0"/>
      <w:divBdr>
        <w:top w:val="none" w:sz="0" w:space="0" w:color="auto"/>
        <w:left w:val="none" w:sz="0" w:space="0" w:color="auto"/>
        <w:bottom w:val="none" w:sz="0" w:space="0" w:color="auto"/>
        <w:right w:val="none" w:sz="0" w:space="0" w:color="auto"/>
      </w:divBdr>
    </w:div>
    <w:div w:id="756169971">
      <w:bodyDiv w:val="1"/>
      <w:marLeft w:val="0"/>
      <w:marRight w:val="0"/>
      <w:marTop w:val="0"/>
      <w:marBottom w:val="0"/>
      <w:divBdr>
        <w:top w:val="none" w:sz="0" w:space="0" w:color="auto"/>
        <w:left w:val="none" w:sz="0" w:space="0" w:color="auto"/>
        <w:bottom w:val="none" w:sz="0" w:space="0" w:color="auto"/>
        <w:right w:val="none" w:sz="0" w:space="0" w:color="auto"/>
      </w:divBdr>
    </w:div>
    <w:div w:id="971057144">
      <w:bodyDiv w:val="1"/>
      <w:marLeft w:val="0"/>
      <w:marRight w:val="0"/>
      <w:marTop w:val="0"/>
      <w:marBottom w:val="0"/>
      <w:divBdr>
        <w:top w:val="none" w:sz="0" w:space="0" w:color="auto"/>
        <w:left w:val="none" w:sz="0" w:space="0" w:color="auto"/>
        <w:bottom w:val="none" w:sz="0" w:space="0" w:color="auto"/>
        <w:right w:val="none" w:sz="0" w:space="0" w:color="auto"/>
      </w:divBdr>
    </w:div>
    <w:div w:id="1248466460">
      <w:bodyDiv w:val="1"/>
      <w:marLeft w:val="0"/>
      <w:marRight w:val="0"/>
      <w:marTop w:val="0"/>
      <w:marBottom w:val="0"/>
      <w:divBdr>
        <w:top w:val="none" w:sz="0" w:space="0" w:color="auto"/>
        <w:left w:val="none" w:sz="0" w:space="0" w:color="auto"/>
        <w:bottom w:val="none" w:sz="0" w:space="0" w:color="auto"/>
        <w:right w:val="none" w:sz="0" w:space="0" w:color="auto"/>
      </w:divBdr>
    </w:div>
    <w:div w:id="1327323090">
      <w:bodyDiv w:val="1"/>
      <w:marLeft w:val="0"/>
      <w:marRight w:val="0"/>
      <w:marTop w:val="0"/>
      <w:marBottom w:val="0"/>
      <w:divBdr>
        <w:top w:val="none" w:sz="0" w:space="0" w:color="auto"/>
        <w:left w:val="none" w:sz="0" w:space="0" w:color="auto"/>
        <w:bottom w:val="none" w:sz="0" w:space="0" w:color="auto"/>
        <w:right w:val="none" w:sz="0" w:space="0" w:color="auto"/>
      </w:divBdr>
    </w:div>
    <w:div w:id="2121487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header" Target="header3.xml"/><Relationship Id="rId10" Type="http://schemas.openxmlformats.org/officeDocument/2006/relationships/chart" Target="charts/chart3.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oleObject" Target="file:///\\FSR-WIN-003.mf.gov.pl\folders_citrix\amkn\Dokumenty\Analiza%20do%20proj%20ustawy%20o%20doch%20JS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FSR-WIN-003.mf.gov.pl\folders_citrix\amkn\Dokumenty\ustawa%20Analizy%20MKv1.xlsx"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file:///\\FSR-WIN-003.mf.gov.pl\folders_citrix\amkn\Dokumenty\Analiza%20do%20proj%20ustawy%20o%20doch%20JST%20po%20PM.xlsx" TargetMode="External"/><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3" Type="http://schemas.openxmlformats.org/officeDocument/2006/relationships/oleObject" Target="file:///\\FSR-WIN-003.mf.gov.pl\folders_citrix\amkn\Dokumenty\Analiza%20do%20proj%20ustawy%20o%20doch%20JST.xlsx"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FSR-WIN-003.mf.gov.pl\folders_citrix\amkn\Dokumenty\Analiza%20do%20proj%20ustawy%20o%20doch%20JST%20po%20PM.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FSR-WIN-003.mf.gov.pl\folders_citrix\amkn\Dokumenty\Analiza%20do%20proj%20ustawy%20o%20doch%20JST.xlsx" TargetMode="External"/></Relationships>
</file>

<file path=word/charts/_rels/chart7.xml.rels><?xml version="1.0" encoding="UTF-8" standalone="yes"?>
<Relationships xmlns="http://schemas.openxmlformats.org/package/2006/relationships"><Relationship Id="rId3" Type="http://schemas.openxmlformats.org/officeDocument/2006/relationships/oleObject" Target="file:///\\FSR-WIN-003.mf.gov.pl\folders_citrix\amkn\Dokumenty\Analiza%20do%20proj%20ustawy%20o%20doch%20JST.xlsx" TargetMode="External"/><Relationship Id="rId2" Type="http://schemas.microsoft.com/office/2011/relationships/chartColorStyle" Target="colors6.xml"/><Relationship Id="rId1" Type="http://schemas.microsoft.com/office/2011/relationships/chartStyle" Target="style6.xm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FSR-WIN-003.mf.gov.pl\folders_citrix\amkn\Dokumenty\Analiza%20do%20proj%20ustawy%20o%20doch%20JST.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FSR-WIN-003.mf.gov.pl\folders_citrix\amkn\Dokumenty\Analiza%20do%20proj%20ustawy%20o%20doch%20JST.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FSR-WIN-003\homes_citrix\AKAE.MF\Wp&#322;ywy\Kopia%20Wp&#322;ywy%20PIT%20i%20CIT%202010-2019.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FSR-WIN-003\homes_citrix\AKAE.MF\Wp&#322;ywy\Kopia%20Wp&#322;ywy%20PIT%20i%20CIT%202010-201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pl-PL" sz="1050">
                <a:latin typeface="Times New Roman" panose="02020603050405020304" pitchFamily="18" charset="0"/>
                <a:cs typeface="Times New Roman" panose="02020603050405020304" pitchFamily="18" charset="0"/>
              </a:rPr>
              <a:t>Dochody ogółem w latach 2010-2020</a:t>
            </a:r>
            <a:endParaRPr lang="en-US" sz="1050">
              <a:latin typeface="Times New Roman" panose="02020603050405020304" pitchFamily="18" charset="0"/>
              <a:cs typeface="Times New Roman" panose="02020603050405020304" pitchFamily="18" charset="0"/>
            </a:endParaRPr>
          </a:p>
        </c:rich>
      </c:tx>
      <c:layout>
        <c:manualLayout>
          <c:xMode val="edge"/>
          <c:yMode val="edge"/>
          <c:x val="0.33507901274951907"/>
          <c:y val="1.7021276595744681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pl-PL"/>
        </a:p>
      </c:txPr>
    </c:title>
    <c:autoTitleDeleted val="0"/>
    <c:plotArea>
      <c:layout/>
      <c:lineChart>
        <c:grouping val="standard"/>
        <c:varyColors val="0"/>
        <c:ser>
          <c:idx val="0"/>
          <c:order val="0"/>
          <c:tx>
            <c:strRef>
              <c:f>Arkusz2!$A$3</c:f>
              <c:strCache>
                <c:ptCount val="1"/>
                <c:pt idx="0">
                  <c:v>DOCHODY OGÓŁEM</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Arkusz2!$B$1:$L$1</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Arkusz2!$B$3:$L$3</c:f>
              <c:numCache>
                <c:formatCode>#,##0.00</c:formatCode>
                <c:ptCount val="11"/>
                <c:pt idx="0">
                  <c:v>162796584402.92999</c:v>
                </c:pt>
                <c:pt idx="1">
                  <c:v>171309128801.39001</c:v>
                </c:pt>
                <c:pt idx="2">
                  <c:v>177413490845.94</c:v>
                </c:pt>
                <c:pt idx="3">
                  <c:v>183458280710.19</c:v>
                </c:pt>
                <c:pt idx="4">
                  <c:v>194337188058.85001</c:v>
                </c:pt>
                <c:pt idx="5">
                  <c:v>199018948994.62</c:v>
                </c:pt>
                <c:pt idx="6">
                  <c:v>213668930360.17001</c:v>
                </c:pt>
                <c:pt idx="7">
                  <c:v>229878740936.60001</c:v>
                </c:pt>
                <c:pt idx="8">
                  <c:v>251846418583.67999</c:v>
                </c:pt>
                <c:pt idx="9">
                  <c:v>278507113590.26001</c:v>
                </c:pt>
                <c:pt idx="10">
                  <c:v>304927057518.19</c:v>
                </c:pt>
              </c:numCache>
            </c:numRef>
          </c:val>
          <c:smooth val="0"/>
          <c:extLst>
            <c:ext xmlns:c16="http://schemas.microsoft.com/office/drawing/2014/chart" uri="{C3380CC4-5D6E-409C-BE32-E72D297353CC}">
              <c16:uniqueId val="{00000000-703B-4F33-BB0B-2A1735E4C1F8}"/>
            </c:ext>
          </c:extLst>
        </c:ser>
        <c:dLbls>
          <c:dLblPos val="t"/>
          <c:showLegendKey val="0"/>
          <c:showVal val="1"/>
          <c:showCatName val="0"/>
          <c:showSerName val="0"/>
          <c:showPercent val="0"/>
          <c:showBubbleSize val="0"/>
        </c:dLbls>
        <c:upDownBars>
          <c:gapWidth val="150"/>
          <c:upBars>
            <c:spPr>
              <a:solidFill>
                <a:schemeClr val="lt1"/>
              </a:solidFill>
              <a:ln w="9525">
                <a:solidFill>
                  <a:schemeClr val="tx1">
                    <a:lumMod val="15000"/>
                    <a:lumOff val="85000"/>
                  </a:schemeClr>
                </a:solidFill>
              </a:ln>
              <a:effectLst/>
            </c:spPr>
          </c:upBars>
          <c:downBars>
            <c:spPr>
              <a:solidFill>
                <a:schemeClr val="dk1">
                  <a:lumMod val="65000"/>
                  <a:lumOff val="35000"/>
                </a:schemeClr>
              </a:solidFill>
              <a:ln w="9525">
                <a:solidFill>
                  <a:schemeClr val="tx1">
                    <a:lumMod val="65000"/>
                    <a:lumOff val="35000"/>
                  </a:schemeClr>
                </a:solidFill>
              </a:ln>
              <a:effectLst/>
            </c:spPr>
          </c:downBars>
        </c:upDownBars>
        <c:smooth val="0"/>
        <c:axId val="453583312"/>
        <c:axId val="453584880"/>
      </c:lineChart>
      <c:catAx>
        <c:axId val="45358331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53584880"/>
        <c:crosses val="autoZero"/>
        <c:auto val="1"/>
        <c:lblAlgn val="ctr"/>
        <c:lblOffset val="100"/>
        <c:noMultiLvlLbl val="0"/>
      </c:catAx>
      <c:valAx>
        <c:axId val="453584880"/>
        <c:scaling>
          <c:orientation val="minMax"/>
          <c:min val="10000000000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53583312"/>
        <c:crosses val="autoZero"/>
        <c:crossBetween val="between"/>
        <c:dispUnits>
          <c:builtInUnit val="billions"/>
          <c:dispUnitsLbl>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dispUnitsLbl>
        </c:dispUnits>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cap="none" spc="0" normalizeH="0" baseline="0">
                <a:solidFill>
                  <a:schemeClr val="dk1">
                    <a:lumMod val="50000"/>
                    <a:lumOff val="50000"/>
                  </a:schemeClr>
                </a:solidFill>
                <a:latin typeface="Times New Roman" panose="02020603050405020304" pitchFamily="18" charset="0"/>
                <a:ea typeface="+mj-ea"/>
                <a:cs typeface="Times New Roman" panose="02020603050405020304" pitchFamily="18" charset="0"/>
              </a:defRPr>
            </a:pPr>
            <a:r>
              <a:rPr lang="pl-PL" sz="1000" b="0">
                <a:solidFill>
                  <a:sysClr val="windowText" lastClr="000000"/>
                </a:solidFill>
                <a:latin typeface="Times New Roman" panose="02020603050405020304" pitchFamily="18" charset="0"/>
                <a:cs typeface="Times New Roman" panose="02020603050405020304" pitchFamily="18" charset="0"/>
              </a:rPr>
              <a:t>Dochody JST w latach 2010-2020 w mln zł</a:t>
            </a:r>
          </a:p>
        </c:rich>
      </c:tx>
      <c:overlay val="0"/>
      <c:spPr>
        <a:noFill/>
        <a:ln>
          <a:noFill/>
        </a:ln>
        <a:effectLst/>
      </c:spPr>
      <c:txPr>
        <a:bodyPr rot="0" spcFirstLastPara="1" vertOverflow="ellipsis" vert="horz" wrap="square" anchor="ctr" anchorCtr="1"/>
        <a:lstStyle/>
        <a:p>
          <a:pPr>
            <a:defRPr sz="1000" b="0" i="0" u="none" strike="noStrike" kern="1200" cap="none" spc="0" normalizeH="0" baseline="0">
              <a:solidFill>
                <a:schemeClr val="dk1">
                  <a:lumMod val="50000"/>
                  <a:lumOff val="50000"/>
                </a:schemeClr>
              </a:solidFill>
              <a:latin typeface="Times New Roman" panose="02020603050405020304" pitchFamily="18" charset="0"/>
              <a:ea typeface="+mj-ea"/>
              <a:cs typeface="Times New Roman" panose="02020603050405020304" pitchFamily="18" charset="0"/>
            </a:defRPr>
          </a:pPr>
          <a:endParaRPr lang="pl-PL"/>
        </a:p>
      </c:txPr>
    </c:title>
    <c:autoTitleDeleted val="0"/>
    <c:plotArea>
      <c:layout>
        <c:manualLayout>
          <c:layoutTarget val="inner"/>
          <c:xMode val="edge"/>
          <c:yMode val="edge"/>
          <c:x val="7.2094271036299909E-2"/>
          <c:y val="8.8260284048241738E-2"/>
          <c:w val="0.92770265307726807"/>
          <c:h val="0.74698731918186945"/>
        </c:manualLayout>
      </c:layout>
      <c:lineChart>
        <c:grouping val="standard"/>
        <c:varyColors val="0"/>
        <c:ser>
          <c:idx val="2"/>
          <c:order val="2"/>
          <c:tx>
            <c:strRef>
              <c:f>'wykres doc'!$B$43</c:f>
              <c:strCache>
                <c:ptCount val="1"/>
                <c:pt idx="0">
                  <c:v>Dotacje ogółem</c:v>
                </c:pt>
              </c:strCache>
            </c:strRef>
          </c:tx>
          <c:spPr>
            <a:ln w="73025" cap="rnd">
              <a:solidFill>
                <a:schemeClr val="accent6">
                  <a:lumMod val="60000"/>
                  <a:lumOff val="40000"/>
                </a:schemeClr>
              </a:solidFill>
              <a:round/>
            </a:ln>
            <a:effectLst/>
          </c:spPr>
          <c:marker>
            <c:symbol val="none"/>
          </c:marker>
          <c:dLbls>
            <c:dLbl>
              <c:idx val="6"/>
              <c:layout>
                <c:manualLayout>
                  <c:x val="-2.5557860755970403E-2"/>
                  <c:y val="4.18789656084344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F5A-4F3C-8042-0035D876F752}"/>
                </c:ext>
              </c:extLst>
            </c:dLbl>
            <c:dLbl>
              <c:idx val="7"/>
              <c:layout>
                <c:manualLayout>
                  <c:x val="-3.7717950834721722E-2"/>
                  <c:y val="-1.86511769860237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F5A-4F3C-8042-0035D876F752}"/>
                </c:ext>
              </c:extLst>
            </c:dLbl>
            <c:dLbl>
              <c:idx val="8"/>
              <c:layout>
                <c:manualLayout>
                  <c:x val="-4.3035067562271295E-2"/>
                  <c:y val="-4.7186025239340873E-2"/>
                </c:manualLayout>
              </c:layout>
              <c:numFmt formatCode="#,##0" sourceLinked="0"/>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dk1">
                          <a:lumMod val="75000"/>
                          <a:lumOff val="25000"/>
                        </a:schemeClr>
                      </a:solidFill>
                      <a:latin typeface="+mn-lt"/>
                      <a:ea typeface="+mn-ea"/>
                      <a:cs typeface="+mn-cs"/>
                    </a:defRPr>
                  </a:pPr>
                  <a:endParaRPr lang="pl-PL"/>
                </a:p>
              </c:txPr>
              <c:dLblPos val="r"/>
              <c:showLegendKey val="0"/>
              <c:showVal val="1"/>
              <c:showCatName val="0"/>
              <c:showSerName val="0"/>
              <c:showPercent val="0"/>
              <c:showBubbleSize val="0"/>
              <c:extLst>
                <c:ext xmlns:c15="http://schemas.microsoft.com/office/drawing/2012/chart" uri="{CE6537A1-D6FC-4f65-9D91-7224C49458BB}">
                  <c15:layout>
                    <c:manualLayout>
                      <c:w val="8.1891157410633408E-2"/>
                      <c:h val="9.1118207747251406E-2"/>
                    </c:manualLayout>
                  </c15:layout>
                </c:ext>
                <c:ext xmlns:c16="http://schemas.microsoft.com/office/drawing/2014/chart" uri="{C3380CC4-5D6E-409C-BE32-E72D297353CC}">
                  <c16:uniqueId val="{00000002-6F5A-4F3C-8042-0035D876F752}"/>
                </c:ext>
              </c:extLst>
            </c:dLbl>
            <c:dLbl>
              <c:idx val="9"/>
              <c:layout>
                <c:manualLayout>
                  <c:x val="-5.7092498393453033E-2"/>
                  <c:y val="-3.0999731844665004E-2"/>
                </c:manualLayout>
              </c:layout>
              <c:numFmt formatCode="#,##0" sourceLinked="0"/>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dk1">
                          <a:lumMod val="75000"/>
                          <a:lumOff val="25000"/>
                        </a:schemeClr>
                      </a:solidFill>
                      <a:latin typeface="+mn-lt"/>
                      <a:ea typeface="+mn-ea"/>
                      <a:cs typeface="+mn-cs"/>
                    </a:defRPr>
                  </a:pPr>
                  <a:endParaRPr lang="pl-PL"/>
                </a:p>
              </c:txPr>
              <c:dLblPos val="r"/>
              <c:showLegendKey val="0"/>
              <c:showVal val="1"/>
              <c:showCatName val="0"/>
              <c:showSerName val="0"/>
              <c:showPercent val="0"/>
              <c:showBubbleSize val="0"/>
              <c:extLst>
                <c:ext xmlns:c15="http://schemas.microsoft.com/office/drawing/2012/chart" uri="{CE6537A1-D6FC-4f65-9D91-7224C49458BB}">
                  <c15:layout>
                    <c:manualLayout>
                      <c:w val="8.2509310230026542E-2"/>
                      <c:h val="0.13267903431575698"/>
                    </c:manualLayout>
                  </c15:layout>
                </c:ext>
                <c:ext xmlns:c16="http://schemas.microsoft.com/office/drawing/2014/chart" uri="{C3380CC4-5D6E-409C-BE32-E72D297353CC}">
                  <c16:uniqueId val="{00000003-6F5A-4F3C-8042-0035D876F752}"/>
                </c:ext>
              </c:extLst>
            </c:dLbl>
            <c:dLbl>
              <c:idx val="10"/>
              <c:layout>
                <c:manualLayout>
                  <c:x val="-2.7389496666899084E-2"/>
                  <c:y val="-3.5676360888325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F5A-4F3C-8042-0035D876F752}"/>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pl-PL"/>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'wykres doc'!$C$41:$M$41</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'wykres doc'!$C$43:$M$43</c:f>
              <c:numCache>
                <c:formatCode>#\ ##0_ ;\-#\ ##0\ </c:formatCode>
                <c:ptCount val="11"/>
                <c:pt idx="0">
                  <c:v>37037.549438089998</c:v>
                </c:pt>
                <c:pt idx="1">
                  <c:v>39317.204232300006</c:v>
                </c:pt>
                <c:pt idx="2">
                  <c:v>39664.685896459989</c:v>
                </c:pt>
                <c:pt idx="3">
                  <c:v>40400.883379580002</c:v>
                </c:pt>
                <c:pt idx="4">
                  <c:v>44540.90943675</c:v>
                </c:pt>
                <c:pt idx="5">
                  <c:v>44234.596575339994</c:v>
                </c:pt>
                <c:pt idx="6">
                  <c:v>53949.369495969993</c:v>
                </c:pt>
                <c:pt idx="7">
                  <c:v>62352.718757439987</c:v>
                </c:pt>
                <c:pt idx="8">
                  <c:v>71374.544797299997</c:v>
                </c:pt>
                <c:pt idx="9">
                  <c:v>80992.977498189983</c:v>
                </c:pt>
                <c:pt idx="10">
                  <c:v>91547.412174730009</c:v>
                </c:pt>
              </c:numCache>
            </c:numRef>
          </c:val>
          <c:smooth val="0"/>
          <c:extLst>
            <c:ext xmlns:c16="http://schemas.microsoft.com/office/drawing/2014/chart" uri="{C3380CC4-5D6E-409C-BE32-E72D297353CC}">
              <c16:uniqueId val="{00000005-6F5A-4F3C-8042-0035D876F752}"/>
            </c:ext>
          </c:extLst>
        </c:ser>
        <c:ser>
          <c:idx val="3"/>
          <c:order val="3"/>
          <c:tx>
            <c:strRef>
              <c:f>'wykres doc'!$B$44</c:f>
              <c:strCache>
                <c:ptCount val="1"/>
                <c:pt idx="0">
                  <c:v>Subwencja ogólna </c:v>
                </c:pt>
              </c:strCache>
            </c:strRef>
          </c:tx>
          <c:spPr>
            <a:ln w="69850" cap="rnd">
              <a:solidFill>
                <a:schemeClr val="accent4"/>
              </a:solidFill>
              <a:round/>
            </a:ln>
            <a:effectLst/>
          </c:spPr>
          <c:marker>
            <c:symbol val="none"/>
          </c:marker>
          <c:dLbls>
            <c:dLbl>
              <c:idx val="3"/>
              <c:layout>
                <c:manualLayout>
                  <c:x val="-1.9170507825674987E-2"/>
                  <c:y val="-2.395532141368422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dk1">
                          <a:lumMod val="75000"/>
                          <a:lumOff val="25000"/>
                        </a:schemeClr>
                      </a:solidFill>
                      <a:latin typeface="+mn-lt"/>
                      <a:ea typeface="+mn-ea"/>
                      <a:cs typeface="+mn-cs"/>
                    </a:defRPr>
                  </a:pPr>
                  <a:endParaRPr lang="pl-PL"/>
                </a:p>
              </c:txPr>
              <c:dLblPos val="r"/>
              <c:showLegendKey val="0"/>
              <c:showVal val="1"/>
              <c:showCatName val="0"/>
              <c:showSerName val="0"/>
              <c:showPercent val="0"/>
              <c:showBubbleSize val="0"/>
              <c:extLst>
                <c:ext xmlns:c15="http://schemas.microsoft.com/office/drawing/2012/chart" uri="{CE6537A1-D6FC-4f65-9D91-7224C49458BB}">
                  <c15:layout>
                    <c:manualLayout>
                      <c:w val="7.1996066863323507E-2"/>
                      <c:h val="5.0381999463689327E-2"/>
                    </c:manualLayout>
                  </c15:layout>
                </c:ext>
                <c:ext xmlns:c16="http://schemas.microsoft.com/office/drawing/2014/chart" uri="{C3380CC4-5D6E-409C-BE32-E72D297353CC}">
                  <c16:uniqueId val="{00000006-6F5A-4F3C-8042-0035D876F752}"/>
                </c:ext>
              </c:extLst>
            </c:dLbl>
            <c:dLbl>
              <c:idx val="6"/>
              <c:layout>
                <c:manualLayout>
                  <c:x val="-3.4724528550425918E-2"/>
                  <c:y val="-4.407129239562970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F5A-4F3C-8042-0035D876F752}"/>
                </c:ext>
              </c:extLst>
            </c:dLbl>
            <c:dLbl>
              <c:idx val="7"/>
              <c:layout>
                <c:manualLayout>
                  <c:x val="-2.8995361178891389E-2"/>
                  <c:y val="4.58141058793716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F5A-4F3C-8042-0035D876F752}"/>
                </c:ext>
              </c:extLst>
            </c:dLbl>
            <c:dLbl>
              <c:idx val="8"/>
              <c:layout>
                <c:manualLayout>
                  <c:x val="-4.8592045463343635E-2"/>
                  <c:y val="6.1844421150142534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dk1">
                          <a:lumMod val="75000"/>
                          <a:lumOff val="25000"/>
                        </a:schemeClr>
                      </a:solidFill>
                      <a:latin typeface="+mn-lt"/>
                      <a:ea typeface="+mn-ea"/>
                      <a:cs typeface="+mn-cs"/>
                    </a:defRPr>
                  </a:pPr>
                  <a:endParaRPr lang="pl-PL"/>
                </a:p>
              </c:txPr>
              <c:dLblPos val="r"/>
              <c:showLegendKey val="0"/>
              <c:showVal val="1"/>
              <c:showCatName val="0"/>
              <c:showSerName val="0"/>
              <c:showPercent val="0"/>
              <c:showBubbleSize val="0"/>
              <c:extLst>
                <c:ext xmlns:c15="http://schemas.microsoft.com/office/drawing/2012/chart" uri="{CE6537A1-D6FC-4f65-9D91-7224C49458BB}">
                  <c15:layout>
                    <c:manualLayout>
                      <c:w val="7.0384874457064539E-2"/>
                      <c:h val="9.6078268854164123E-2"/>
                    </c:manualLayout>
                  </c15:layout>
                </c:ext>
                <c:ext xmlns:c16="http://schemas.microsoft.com/office/drawing/2014/chart" uri="{C3380CC4-5D6E-409C-BE32-E72D297353CC}">
                  <c16:uniqueId val="{00000009-6F5A-4F3C-8042-0035D876F752}"/>
                </c:ext>
              </c:extLst>
            </c:dLbl>
            <c:dLbl>
              <c:idx val="9"/>
              <c:layout>
                <c:manualLayout>
                  <c:x val="-4.0725772110344616E-2"/>
                  <c:y val="6.2249742002063832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dk1">
                          <a:lumMod val="75000"/>
                          <a:lumOff val="25000"/>
                        </a:schemeClr>
                      </a:solidFill>
                      <a:latin typeface="+mn-lt"/>
                      <a:ea typeface="+mn-ea"/>
                      <a:cs typeface="+mn-cs"/>
                    </a:defRPr>
                  </a:pPr>
                  <a:endParaRPr lang="pl-PL"/>
                </a:p>
              </c:txPr>
              <c:dLblPos val="r"/>
              <c:showLegendKey val="0"/>
              <c:showVal val="1"/>
              <c:showCatName val="0"/>
              <c:showSerName val="0"/>
              <c:showPercent val="0"/>
              <c:showBubbleSize val="0"/>
              <c:extLst>
                <c:ext xmlns:c15="http://schemas.microsoft.com/office/drawing/2012/chart" uri="{CE6537A1-D6FC-4f65-9D91-7224C49458BB}">
                  <c15:layout>
                    <c:manualLayout>
                      <c:w val="9.0050557839562104E-2"/>
                      <c:h val="0.12142171083103775"/>
                    </c:manualLayout>
                  </c15:layout>
                </c:ext>
                <c:ext xmlns:c16="http://schemas.microsoft.com/office/drawing/2014/chart" uri="{C3380CC4-5D6E-409C-BE32-E72D297353CC}">
                  <c16:uniqueId val="{0000000A-6F5A-4F3C-8042-0035D876F752}"/>
                </c:ext>
              </c:extLst>
            </c:dLbl>
            <c:dLbl>
              <c:idx val="10"/>
              <c:layout>
                <c:manualLayout>
                  <c:x val="-8.5026982246702609E-4"/>
                  <c:y val="5.73683397934390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6F5A-4F3C-8042-0035D876F752}"/>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dk1">
                        <a:lumMod val="75000"/>
                        <a:lumOff val="25000"/>
                      </a:schemeClr>
                    </a:solidFill>
                    <a:latin typeface="+mn-lt"/>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'wykres doc'!$C$41:$M$41</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'wykres doc'!$C$44:$M$44</c:f>
              <c:numCache>
                <c:formatCode>#\ ##0_ ;\-#\ ##0\ </c:formatCode>
                <c:ptCount val="11"/>
                <c:pt idx="0">
                  <c:v>47171.061462999998</c:v>
                </c:pt>
                <c:pt idx="1">
                  <c:v>48347.868951999997</c:v>
                </c:pt>
                <c:pt idx="2">
                  <c:v>50657.550486</c:v>
                </c:pt>
                <c:pt idx="3">
                  <c:v>51257.088355</c:v>
                </c:pt>
                <c:pt idx="4">
                  <c:v>51203.573656</c:v>
                </c:pt>
                <c:pt idx="5">
                  <c:v>51343.303152</c:v>
                </c:pt>
                <c:pt idx="6">
                  <c:v>53036.092166900002</c:v>
                </c:pt>
                <c:pt idx="7">
                  <c:v>54280.749493210002</c:v>
                </c:pt>
                <c:pt idx="8">
                  <c:v>56429.729403999998</c:v>
                </c:pt>
                <c:pt idx="9">
                  <c:v>61745.548381589993</c:v>
                </c:pt>
                <c:pt idx="10">
                  <c:v>67029.41443484</c:v>
                </c:pt>
              </c:numCache>
            </c:numRef>
          </c:val>
          <c:smooth val="0"/>
          <c:extLst>
            <c:ext xmlns:c16="http://schemas.microsoft.com/office/drawing/2014/chart" uri="{C3380CC4-5D6E-409C-BE32-E72D297353CC}">
              <c16:uniqueId val="{0000000C-6F5A-4F3C-8042-0035D876F752}"/>
            </c:ext>
          </c:extLst>
        </c:ser>
        <c:dLbls>
          <c:showLegendKey val="0"/>
          <c:showVal val="0"/>
          <c:showCatName val="0"/>
          <c:showSerName val="0"/>
          <c:showPercent val="0"/>
          <c:showBubbleSize val="0"/>
        </c:dLbls>
        <c:marker val="1"/>
        <c:smooth val="0"/>
        <c:axId val="453584488"/>
        <c:axId val="453583704"/>
        <c:extLst>
          <c:ext xmlns:c15="http://schemas.microsoft.com/office/drawing/2012/chart" uri="{02D57815-91ED-43cb-92C2-25804820EDAC}">
            <c15:filteredLineSeries>
              <c15:ser>
                <c:idx val="0"/>
                <c:order val="0"/>
                <c:tx>
                  <c:strRef>
                    <c:extLst>
                      <c:ext uri="{02D57815-91ED-43cb-92C2-25804820EDAC}">
                        <c15:formulaRef>
                          <c15:sqref>'wykres doc'!#REF!</c15:sqref>
                        </c15:formulaRef>
                      </c:ext>
                    </c:extLst>
                    <c:strCache>
                      <c:ptCount val="1"/>
                      <c:pt idx="0">
                        <c:v>#REF!</c:v>
                      </c:pt>
                    </c:strCache>
                  </c:strRef>
                </c:tx>
                <c:spPr>
                  <a:ln w="22225" cap="rnd">
                    <a:solidFill>
                      <a:schemeClr val="accent1"/>
                    </a:solidFill>
                    <a:round/>
                  </a:ln>
                  <a:effectLst/>
                </c:spPr>
                <c:marker>
                  <c:symbol val="none"/>
                </c:marker>
                <c:cat>
                  <c:numRef>
                    <c:extLst>
                      <c:ext uri="{02D57815-91ED-43cb-92C2-25804820EDAC}">
                        <c15:formulaRef>
                          <c15:sqref>'wykres doc'!$C$41:$M$41</c15:sqref>
                        </c15:formulaRef>
                      </c:ext>
                    </c:extLst>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extLst>
                      <c:ext uri="{02D57815-91ED-43cb-92C2-25804820EDAC}">
                        <c15:formulaRef>
                          <c15:sqref>'wykres doc'!#REF!</c15:sqref>
                        </c15:formulaRef>
                      </c:ext>
                    </c:extLst>
                    <c:numCache>
                      <c:formatCode>General</c:formatCode>
                      <c:ptCount val="1"/>
                      <c:pt idx="0">
                        <c:v>1</c:v>
                      </c:pt>
                    </c:numCache>
                  </c:numRef>
                </c:val>
                <c:smooth val="0"/>
                <c:extLst>
                  <c:ext xmlns:c16="http://schemas.microsoft.com/office/drawing/2014/chart" uri="{C3380CC4-5D6E-409C-BE32-E72D297353CC}">
                    <c16:uniqueId val="{0000000F-6F5A-4F3C-8042-0035D876F752}"/>
                  </c:ext>
                </c:extLst>
              </c15:ser>
            </c15:filteredLineSeries>
          </c:ext>
        </c:extLst>
      </c:lineChart>
      <c:lineChart>
        <c:grouping val="standard"/>
        <c:varyColors val="0"/>
        <c:ser>
          <c:idx val="1"/>
          <c:order val="1"/>
          <c:tx>
            <c:strRef>
              <c:f>'wykres doc'!$B$42</c:f>
              <c:strCache>
                <c:ptCount val="1"/>
                <c:pt idx="0">
                  <c:v> Dochody własne </c:v>
                </c:pt>
              </c:strCache>
            </c:strRef>
          </c:tx>
          <c:spPr>
            <a:ln w="76200" cap="rnd">
              <a:solidFill>
                <a:srgbClr val="00B0F0"/>
              </a:solidFill>
              <a:round/>
            </a:ln>
            <a:effectLst/>
          </c:spPr>
          <c:marker>
            <c:symbol val="none"/>
          </c:marker>
          <c:dLbls>
            <c:dLbl>
              <c:idx val="9"/>
              <c:layout>
                <c:manualLayout>
                  <c:x val="-8.5391803900618624E-2"/>
                  <c:y val="-4.3943021054256765E-2"/>
                </c:manualLayout>
              </c:layout>
              <c:numFmt formatCode="#,##0" sourceLinked="0"/>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dk1">
                          <a:lumMod val="75000"/>
                          <a:lumOff val="25000"/>
                        </a:schemeClr>
                      </a:solidFill>
                      <a:latin typeface="+mn-lt"/>
                      <a:ea typeface="+mn-ea"/>
                      <a:cs typeface="+mn-cs"/>
                    </a:defRPr>
                  </a:pPr>
                  <a:endParaRPr lang="pl-PL"/>
                </a:p>
              </c:txPr>
              <c:dLblPos val="r"/>
              <c:showLegendKey val="0"/>
              <c:showVal val="1"/>
              <c:showCatName val="0"/>
              <c:showSerName val="0"/>
              <c:showPercent val="0"/>
              <c:showBubbleSize val="0"/>
              <c:extLst>
                <c:ext xmlns:c15="http://schemas.microsoft.com/office/drawing/2012/chart" uri="{CE6537A1-D6FC-4f65-9D91-7224C49458BB}">
                  <c15:layout>
                    <c:manualLayout>
                      <c:w val="9.9182248236669532E-2"/>
                      <c:h val="7.4357361676539654E-2"/>
                    </c:manualLayout>
                  </c15:layout>
                </c:ext>
                <c:ext xmlns:c16="http://schemas.microsoft.com/office/drawing/2014/chart" uri="{C3380CC4-5D6E-409C-BE32-E72D297353CC}">
                  <c16:uniqueId val="{0000000D-6F5A-4F3C-8042-0035D876F752}"/>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dk1">
                        <a:lumMod val="75000"/>
                        <a:lumOff val="25000"/>
                      </a:schemeClr>
                    </a:solidFill>
                    <a:latin typeface="+mn-lt"/>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'wykres doc'!$C$41:$M$41</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'wykres doc'!$C$42:$M$42</c:f>
              <c:numCache>
                <c:formatCode>#\ ##0_ ;\-#\ ##0\ </c:formatCode>
                <c:ptCount val="11"/>
                <c:pt idx="0">
                  <c:v>78587.973501839995</c:v>
                </c:pt>
                <c:pt idx="1">
                  <c:v>83644.055617090009</c:v>
                </c:pt>
                <c:pt idx="2">
                  <c:v>87091.254463480014</c:v>
                </c:pt>
                <c:pt idx="3">
                  <c:v>91800.30897560998</c:v>
                </c:pt>
                <c:pt idx="4">
                  <c:v>98592.704966100006</c:v>
                </c:pt>
                <c:pt idx="5">
                  <c:v>103441.04926728</c:v>
                </c:pt>
                <c:pt idx="6">
                  <c:v>106683.46869730002</c:v>
                </c:pt>
                <c:pt idx="7">
                  <c:v>113245.27268595004</c:v>
                </c:pt>
                <c:pt idx="8">
                  <c:v>124042.14438238001</c:v>
                </c:pt>
                <c:pt idx="9">
                  <c:v>135768.58771048</c:v>
                </c:pt>
                <c:pt idx="10">
                  <c:v>146350.23090862</c:v>
                </c:pt>
              </c:numCache>
            </c:numRef>
          </c:val>
          <c:smooth val="0"/>
          <c:extLst>
            <c:ext xmlns:c16="http://schemas.microsoft.com/office/drawing/2014/chart" uri="{C3380CC4-5D6E-409C-BE32-E72D297353CC}">
              <c16:uniqueId val="{0000000E-6F5A-4F3C-8042-0035D876F752}"/>
            </c:ext>
          </c:extLst>
        </c:ser>
        <c:dLbls>
          <c:showLegendKey val="0"/>
          <c:showVal val="0"/>
          <c:showCatName val="0"/>
          <c:showSerName val="0"/>
          <c:showPercent val="0"/>
          <c:showBubbleSize val="0"/>
        </c:dLbls>
        <c:marker val="1"/>
        <c:smooth val="0"/>
        <c:axId val="453582528"/>
        <c:axId val="453579784"/>
      </c:lineChart>
      <c:catAx>
        <c:axId val="453584488"/>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pl-PL"/>
          </a:p>
        </c:txPr>
        <c:crossAx val="453583704"/>
        <c:crosses val="autoZero"/>
        <c:auto val="1"/>
        <c:lblAlgn val="ctr"/>
        <c:lblOffset val="100"/>
        <c:noMultiLvlLbl val="0"/>
      </c:catAx>
      <c:valAx>
        <c:axId val="453583704"/>
        <c:scaling>
          <c:orientation val="minMax"/>
          <c:min val="20000"/>
        </c:scaling>
        <c:delete val="0"/>
        <c:axPos val="l"/>
        <c:majorGridlines>
          <c:spPr>
            <a:ln w="9525" cap="flat" cmpd="sng" algn="ctr">
              <a:solidFill>
                <a:schemeClr val="dk1">
                  <a:lumMod val="15000"/>
                  <a:lumOff val="85000"/>
                  <a:alpha val="54000"/>
                </a:schemeClr>
              </a:solidFill>
              <a:round/>
            </a:ln>
            <a:effectLst/>
          </c:spPr>
        </c:majorGridlines>
        <c:numFmt formatCode="#\ ##0_ ;\-#\ ##0\ "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l-PL"/>
          </a:p>
        </c:txPr>
        <c:crossAx val="453584488"/>
        <c:crosses val="autoZero"/>
        <c:crossBetween val="between"/>
        <c:majorUnit val="10000"/>
      </c:valAx>
      <c:valAx>
        <c:axId val="453579784"/>
        <c:scaling>
          <c:orientation val="minMax"/>
        </c:scaling>
        <c:delete val="1"/>
        <c:axPos val="r"/>
        <c:numFmt formatCode="#\ ##0_ ;\-#\ ##0\ " sourceLinked="1"/>
        <c:majorTickMark val="out"/>
        <c:minorTickMark val="none"/>
        <c:tickLblPos val="nextTo"/>
        <c:crossAx val="453582528"/>
        <c:crosses val="max"/>
        <c:crossBetween val="between"/>
      </c:valAx>
      <c:catAx>
        <c:axId val="453582528"/>
        <c:scaling>
          <c:orientation val="minMax"/>
        </c:scaling>
        <c:delete val="1"/>
        <c:axPos val="b"/>
        <c:numFmt formatCode="General" sourceLinked="1"/>
        <c:majorTickMark val="out"/>
        <c:minorTickMark val="none"/>
        <c:tickLblPos val="nextTo"/>
        <c:crossAx val="453579784"/>
        <c:crosses val="autoZero"/>
        <c:auto val="1"/>
        <c:lblAlgn val="ctr"/>
        <c:lblOffset val="100"/>
        <c:noMultiLvlLbl val="0"/>
      </c:catAx>
      <c:spPr>
        <a:solidFill>
          <a:schemeClr val="bg1"/>
        </a:solid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lt1"/>
    </a:solidFill>
    <a:ln w="9525" cap="flat" cmpd="sng" algn="ctr">
      <a:noFill/>
      <a:round/>
    </a:ln>
    <a:effectLst/>
  </c:spPr>
  <c:txPr>
    <a:bodyPr/>
    <a:lstStyle/>
    <a:p>
      <a:pPr>
        <a:defRPr/>
      </a:pPr>
      <a:endParaRPr lang="pl-PL"/>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pl-PL" sz="1100">
                <a:latin typeface="Times New Roman" panose="02020603050405020304" pitchFamily="18" charset="0"/>
                <a:cs typeface="Times New Roman" panose="02020603050405020304" pitchFamily="18" charset="0"/>
              </a:rPr>
              <a:t>Dynamika PKB i dochodów ogółem </a:t>
            </a:r>
          </a:p>
        </c:rich>
      </c:tx>
      <c:overlay val="0"/>
      <c:spPr>
        <a:noFill/>
        <a:ln>
          <a:noFill/>
        </a:ln>
        <a:effectLst/>
      </c:spPr>
    </c:title>
    <c:autoTitleDeleted val="0"/>
    <c:plotArea>
      <c:layout>
        <c:manualLayout>
          <c:layoutTarget val="inner"/>
          <c:xMode val="edge"/>
          <c:yMode val="edge"/>
          <c:x val="3.5856363147891306E-2"/>
          <c:y val="0.17568888888888889"/>
          <c:w val="0.94990332284458834"/>
          <c:h val="0.61954050743657041"/>
        </c:manualLayout>
      </c:layout>
      <c:lineChart>
        <c:grouping val="standard"/>
        <c:varyColors val="0"/>
        <c:ser>
          <c:idx val="0"/>
          <c:order val="0"/>
          <c:tx>
            <c:strRef>
              <c:f>Arkusz2!$A$7</c:f>
              <c:strCache>
                <c:ptCount val="1"/>
                <c:pt idx="0">
                  <c:v>Produkt krajowy brutto (ceny bieżące)</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dLbl>
              <c:idx val="0"/>
              <c:layout>
                <c:manualLayout>
                  <c:x val="-3.3777903500418233E-2"/>
                  <c:y val="-4.6768308517053055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l-PL"/>
                </a:p>
              </c:txPr>
              <c:dLblPos val="r"/>
              <c:showLegendKey val="0"/>
              <c:showVal val="1"/>
              <c:showCatName val="0"/>
              <c:showSerName val="0"/>
              <c:showPercent val="0"/>
              <c:showBubbleSize val="0"/>
              <c:extLst>
                <c:ext xmlns:c15="http://schemas.microsoft.com/office/drawing/2012/chart" uri="{CE6537A1-D6FC-4f65-9D91-7224C49458BB}">
                  <c15:layout>
                    <c:manualLayout>
                      <c:w val="6.8505233204908159E-2"/>
                      <c:h val="0.17326663820460117"/>
                    </c:manualLayout>
                  </c15:layout>
                </c:ext>
                <c:ext xmlns:c16="http://schemas.microsoft.com/office/drawing/2014/chart" uri="{C3380CC4-5D6E-409C-BE32-E72D297353CC}">
                  <c16:uniqueId val="{00000000-B71D-4959-91B9-67CE3A65B0BB}"/>
                </c:ext>
              </c:extLst>
            </c:dLbl>
            <c:dLbl>
              <c:idx val="1"/>
              <c:layout>
                <c:manualLayout>
                  <c:x val="-2.9980427424784357E-2"/>
                  <c:y val="-9.1212704057604857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l-PL"/>
                </a:p>
              </c:txPr>
              <c:dLblPos val="r"/>
              <c:showLegendKey val="0"/>
              <c:showVal val="1"/>
              <c:showCatName val="0"/>
              <c:showSerName val="0"/>
              <c:showPercent val="0"/>
              <c:showBubbleSize val="0"/>
              <c:extLst>
                <c:ext xmlns:c15="http://schemas.microsoft.com/office/drawing/2012/chart" uri="{CE6537A1-D6FC-4f65-9D91-7224C49458BB}">
                  <c15:layout>
                    <c:manualLayout>
                      <c:w val="6.8505233204908159E-2"/>
                      <c:h val="0.20707825160759324"/>
                    </c:manualLayout>
                  </c15:layout>
                </c:ext>
                <c:ext xmlns:c16="http://schemas.microsoft.com/office/drawing/2014/chart" uri="{C3380CC4-5D6E-409C-BE32-E72D297353CC}">
                  <c16:uniqueId val="{00000001-B71D-4959-91B9-67CE3A65B0BB}"/>
                </c:ext>
              </c:extLst>
            </c:dLbl>
            <c:dLbl>
              <c:idx val="4"/>
              <c:layout>
                <c:manualLayout>
                  <c:x val="-5.0649509084435038E-2"/>
                  <c:y val="-0.12461455174447524"/>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l-PL"/>
                </a:p>
              </c:txPr>
              <c:dLblPos val="r"/>
              <c:showLegendKey val="0"/>
              <c:showVal val="1"/>
              <c:showCatName val="0"/>
              <c:showSerName val="0"/>
              <c:showPercent val="0"/>
              <c:showBubbleSize val="0"/>
              <c:extLst>
                <c:ext xmlns:c15="http://schemas.microsoft.com/office/drawing/2012/chart" uri="{CE6537A1-D6FC-4f65-9D91-7224C49458BB}">
                  <c15:layout>
                    <c:manualLayout>
                      <c:w val="6.9114903292264204E-2"/>
                      <c:h val="0.21340343217299068"/>
                    </c:manualLayout>
                  </c15:layout>
                </c:ext>
                <c:ext xmlns:c16="http://schemas.microsoft.com/office/drawing/2014/chart" uri="{C3380CC4-5D6E-409C-BE32-E72D297353CC}">
                  <c16:uniqueId val="{00000002-B71D-4959-91B9-67CE3A65B0B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l-PL"/>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Arkusz2!$B$6:$K$6</c:f>
              <c:numCache>
                <c:formatCode>General</c:formatCode>
                <c:ptCount val="10"/>
                <c:pt idx="0">
                  <c:v>2011</c:v>
                </c:pt>
                <c:pt idx="1">
                  <c:v>2012</c:v>
                </c:pt>
                <c:pt idx="2">
                  <c:v>2013</c:v>
                </c:pt>
                <c:pt idx="3">
                  <c:v>2014</c:v>
                </c:pt>
                <c:pt idx="4">
                  <c:v>2015</c:v>
                </c:pt>
                <c:pt idx="5">
                  <c:v>2016</c:v>
                </c:pt>
                <c:pt idx="6">
                  <c:v>2017</c:v>
                </c:pt>
                <c:pt idx="7">
                  <c:v>2018</c:v>
                </c:pt>
                <c:pt idx="8">
                  <c:v>2019</c:v>
                </c:pt>
                <c:pt idx="9">
                  <c:v>2020</c:v>
                </c:pt>
              </c:numCache>
            </c:numRef>
          </c:cat>
          <c:val>
            <c:numRef>
              <c:f>Arkusz2!$B$7:$K$7</c:f>
              <c:numCache>
                <c:formatCode>0.0%</c:formatCode>
                <c:ptCount val="10"/>
                <c:pt idx="0">
                  <c:v>1.0820000000000001</c:v>
                </c:pt>
                <c:pt idx="1">
                  <c:v>1.0371769057147564</c:v>
                </c:pt>
                <c:pt idx="2">
                  <c:v>1.0143407604519408</c:v>
                </c:pt>
                <c:pt idx="3">
                  <c:v>1.039181006603475</c:v>
                </c:pt>
                <c:pt idx="4">
                  <c:v>1.0525160581990578</c:v>
                </c:pt>
                <c:pt idx="5">
                  <c:v>1.0346313277575185</c:v>
                </c:pt>
                <c:pt idx="6">
                  <c:v>1.0678017645307838</c:v>
                </c:pt>
                <c:pt idx="7">
                  <c:v>1.0661966577523578</c:v>
                </c:pt>
                <c:pt idx="8">
                  <c:v>1.0783308940847631</c:v>
                </c:pt>
                <c:pt idx="9">
                  <c:v>1.012829658007649</c:v>
                </c:pt>
              </c:numCache>
            </c:numRef>
          </c:val>
          <c:smooth val="0"/>
          <c:extLst>
            <c:ext xmlns:c16="http://schemas.microsoft.com/office/drawing/2014/chart" uri="{C3380CC4-5D6E-409C-BE32-E72D297353CC}">
              <c16:uniqueId val="{00000003-B71D-4959-91B9-67CE3A65B0BB}"/>
            </c:ext>
          </c:extLst>
        </c:ser>
        <c:ser>
          <c:idx val="1"/>
          <c:order val="1"/>
          <c:tx>
            <c:strRef>
              <c:f>Arkusz2!$A$8</c:f>
              <c:strCache>
                <c:ptCount val="1"/>
                <c:pt idx="0">
                  <c:v>DOCHODY OGÓŁEM</c:v>
                </c:pt>
              </c:strCache>
            </c:strRef>
          </c:tx>
          <c:spPr>
            <a:ln w="34925" cap="rnd">
              <a:solidFill>
                <a:schemeClr val="accent2"/>
              </a:solidFill>
              <a:round/>
            </a:ln>
            <a:effectLst>
              <a:outerShdw blurRad="57150" dist="19050" dir="5400000" algn="ctr" rotWithShape="0">
                <a:srgbClr val="000000">
                  <a:alpha val="63000"/>
                </a:srgbClr>
              </a:outerShdw>
            </a:effectLst>
          </c:spPr>
          <c:marker>
            <c:symbol val="none"/>
          </c:marker>
          <c:dLbls>
            <c:dLbl>
              <c:idx val="0"/>
              <c:layout>
                <c:manualLayout>
                  <c:x val="-3.4771714915681082E-2"/>
                  <c:y val="0.10777675764257807"/>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l-PL"/>
                </a:p>
              </c:txPr>
              <c:dLblPos val="r"/>
              <c:showLegendKey val="0"/>
              <c:showVal val="1"/>
              <c:showCatName val="0"/>
              <c:showSerName val="0"/>
              <c:showPercent val="0"/>
              <c:showBubbleSize val="0"/>
              <c:extLst>
                <c:ext xmlns:c15="http://schemas.microsoft.com/office/drawing/2012/chart" uri="{CE6537A1-D6FC-4f65-9D91-7224C49458BB}">
                  <c15:layout>
                    <c:manualLayout>
                      <c:w val="6.9024169499873819E-2"/>
                      <c:h val="0.21097608746363383"/>
                    </c:manualLayout>
                  </c15:layout>
                </c:ext>
                <c:ext xmlns:c16="http://schemas.microsoft.com/office/drawing/2014/chart" uri="{C3380CC4-5D6E-409C-BE32-E72D297353CC}">
                  <c16:uniqueId val="{00000004-B71D-4959-91B9-67CE3A65B0BB}"/>
                </c:ext>
              </c:extLst>
            </c:dLbl>
            <c:dLbl>
              <c:idx val="1"/>
              <c:layout>
                <c:manualLayout>
                  <c:x val="-2.6809764504825036E-2"/>
                  <c:y val="8.669991251093613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71D-4959-91B9-67CE3A65B0BB}"/>
                </c:ext>
              </c:extLst>
            </c:dLbl>
            <c:dLbl>
              <c:idx val="4"/>
              <c:layout>
                <c:manualLayout>
                  <c:x val="-4.4055754771720634E-2"/>
                  <c:y val="0.11185371672028978"/>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l-PL"/>
                </a:p>
              </c:txPr>
              <c:dLblPos val="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layout>
                    <c:manualLayout>
                      <c:w val="7.5972548071754423E-2"/>
                      <c:h val="0.20767727538808906"/>
                    </c:manualLayout>
                  </c15:layout>
                </c:ext>
                <c:ext xmlns:c16="http://schemas.microsoft.com/office/drawing/2014/chart" uri="{C3380CC4-5D6E-409C-BE32-E72D297353CC}">
                  <c16:uniqueId val="{00000006-B71D-4959-91B9-67CE3A65B0B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Arkusz2!$B$6:$K$6</c:f>
              <c:numCache>
                <c:formatCode>General</c:formatCode>
                <c:ptCount val="10"/>
                <c:pt idx="0">
                  <c:v>2011</c:v>
                </c:pt>
                <c:pt idx="1">
                  <c:v>2012</c:v>
                </c:pt>
                <c:pt idx="2">
                  <c:v>2013</c:v>
                </c:pt>
                <c:pt idx="3">
                  <c:v>2014</c:v>
                </c:pt>
                <c:pt idx="4">
                  <c:v>2015</c:v>
                </c:pt>
                <c:pt idx="5">
                  <c:v>2016</c:v>
                </c:pt>
                <c:pt idx="6">
                  <c:v>2017</c:v>
                </c:pt>
                <c:pt idx="7">
                  <c:v>2018</c:v>
                </c:pt>
                <c:pt idx="8">
                  <c:v>2019</c:v>
                </c:pt>
                <c:pt idx="9">
                  <c:v>2020</c:v>
                </c:pt>
              </c:numCache>
            </c:numRef>
          </c:cat>
          <c:val>
            <c:numRef>
              <c:f>Arkusz2!$B$8:$K$8</c:f>
              <c:numCache>
                <c:formatCode>0.0%</c:formatCode>
                <c:ptCount val="10"/>
                <c:pt idx="0">
                  <c:v>1.0522894533056728</c:v>
                </c:pt>
                <c:pt idx="1">
                  <c:v>1.03563360626057</c:v>
                </c:pt>
                <c:pt idx="2">
                  <c:v>1.0340717599063483</c:v>
                </c:pt>
                <c:pt idx="3">
                  <c:v>1.0592990804587636</c:v>
                </c:pt>
                <c:pt idx="4">
                  <c:v>1.024090916321956</c:v>
                </c:pt>
                <c:pt idx="5">
                  <c:v>1.073610987494191</c:v>
                </c:pt>
                <c:pt idx="6">
                  <c:v>1.0758641443522274</c:v>
                </c:pt>
                <c:pt idx="7">
                  <c:v>1.0955620235154264</c:v>
                </c:pt>
                <c:pt idx="8">
                  <c:v>1.1058609257042962</c:v>
                </c:pt>
                <c:pt idx="9">
                  <c:v>1.0948627257212504</c:v>
                </c:pt>
              </c:numCache>
            </c:numRef>
          </c:val>
          <c:smooth val="0"/>
          <c:extLst>
            <c:ext xmlns:c16="http://schemas.microsoft.com/office/drawing/2014/chart" uri="{C3380CC4-5D6E-409C-BE32-E72D297353CC}">
              <c16:uniqueId val="{00000007-B71D-4959-91B9-67CE3A65B0BB}"/>
            </c:ext>
          </c:extLst>
        </c:ser>
        <c:dLbls>
          <c:showLegendKey val="0"/>
          <c:showVal val="0"/>
          <c:showCatName val="0"/>
          <c:showSerName val="0"/>
          <c:showPercent val="0"/>
          <c:showBubbleSize val="0"/>
        </c:dLbls>
        <c:smooth val="0"/>
        <c:axId val="453580568"/>
        <c:axId val="453584096"/>
      </c:lineChart>
      <c:catAx>
        <c:axId val="45358056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53584096"/>
        <c:crosses val="autoZero"/>
        <c:auto val="1"/>
        <c:lblAlgn val="ctr"/>
        <c:lblOffset val="100"/>
        <c:noMultiLvlLbl val="0"/>
      </c:catAx>
      <c:valAx>
        <c:axId val="45358409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53580568"/>
        <c:crosses val="autoZero"/>
        <c:crossBetween val="between"/>
      </c:valAx>
      <c:spPr>
        <a:noFill/>
        <a:ln>
          <a:noFill/>
        </a:ln>
        <a:effectLst/>
      </c:spPr>
    </c:plotArea>
    <c:legend>
      <c:legendPos val="b"/>
      <c:layout>
        <c:manualLayout>
          <c:xMode val="edge"/>
          <c:yMode val="edge"/>
          <c:x val="0.19682065741588634"/>
          <c:y val="0.90158958232410724"/>
          <c:w val="0.60635853267445861"/>
          <c:h val="9.841041767589270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pl-PL" sz="1000">
                <a:latin typeface="Times New Roman" panose="02020603050405020304" pitchFamily="18" charset="0"/>
                <a:cs typeface="Times New Roman" panose="02020603050405020304" pitchFamily="18" charset="0"/>
              </a:rPr>
              <a:t>PIT i CIT dla JST w latach 2010-2020</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title>
    <c:autoTitleDeleted val="0"/>
    <c:plotArea>
      <c:layout/>
      <c:barChart>
        <c:barDir val="col"/>
        <c:grouping val="clustered"/>
        <c:varyColors val="0"/>
        <c:ser>
          <c:idx val="1"/>
          <c:order val="1"/>
          <c:tx>
            <c:strRef>
              <c:f>Arkusz2!$A$14</c:f>
              <c:strCache>
                <c:ptCount val="1"/>
                <c:pt idx="0">
                  <c:v>podatek dochodowy od osób prawnych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Arkusz2!$B$12:$L$12</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Arkusz2!$B$14:$L$14</c:f>
              <c:numCache>
                <c:formatCode>#,##0.00</c:formatCode>
                <c:ptCount val="11"/>
                <c:pt idx="0">
                  <c:v>6121740300.1199999</c:v>
                </c:pt>
                <c:pt idx="1">
                  <c:v>6876872022.1300001</c:v>
                </c:pt>
                <c:pt idx="2">
                  <c:v>6800645858.0699997</c:v>
                </c:pt>
                <c:pt idx="3">
                  <c:v>6300130709.3699999</c:v>
                </c:pt>
                <c:pt idx="4">
                  <c:v>6440482258.4300003</c:v>
                </c:pt>
                <c:pt idx="5">
                  <c:v>7076144141.7399998</c:v>
                </c:pt>
                <c:pt idx="6">
                  <c:v>7441198539.1999998</c:v>
                </c:pt>
                <c:pt idx="7">
                  <c:v>8381104083.9300003</c:v>
                </c:pt>
                <c:pt idx="8">
                  <c:v>9697633490.9599991</c:v>
                </c:pt>
                <c:pt idx="9">
                  <c:v>10901635388.860001</c:v>
                </c:pt>
                <c:pt idx="10">
                  <c:v>11325481352.51</c:v>
                </c:pt>
              </c:numCache>
            </c:numRef>
          </c:val>
          <c:extLst>
            <c:ext xmlns:c16="http://schemas.microsoft.com/office/drawing/2014/chart" uri="{C3380CC4-5D6E-409C-BE32-E72D297353CC}">
              <c16:uniqueId val="{00000000-3443-4163-B6CA-191793F47227}"/>
            </c:ext>
          </c:extLst>
        </c:ser>
        <c:ser>
          <c:idx val="2"/>
          <c:order val="2"/>
          <c:tx>
            <c:strRef>
              <c:f>Arkusz2!$A$15</c:f>
              <c:strCache>
                <c:ptCount val="1"/>
                <c:pt idx="0">
                  <c:v>podatek dochodowy od osób fizycznych </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Arkusz2!$B$12:$L$12</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Arkusz2!$B$15:$L$15</c:f>
              <c:numCache>
                <c:formatCode>#,##0.00</c:formatCode>
                <c:ptCount val="11"/>
                <c:pt idx="0">
                  <c:v>26894356747</c:v>
                </c:pt>
                <c:pt idx="1">
                  <c:v>29430198409</c:v>
                </c:pt>
                <c:pt idx="2">
                  <c:v>30812513415</c:v>
                </c:pt>
                <c:pt idx="3">
                  <c:v>32460779095</c:v>
                </c:pt>
                <c:pt idx="4">
                  <c:v>35105402065</c:v>
                </c:pt>
                <c:pt idx="5">
                  <c:v>38100102141</c:v>
                </c:pt>
                <c:pt idx="6">
                  <c:v>41108133705</c:v>
                </c:pt>
                <c:pt idx="7">
                  <c:v>44885429583</c:v>
                </c:pt>
                <c:pt idx="8">
                  <c:v>50907920031</c:v>
                </c:pt>
                <c:pt idx="9">
                  <c:v>56140278244</c:v>
                </c:pt>
                <c:pt idx="10">
                  <c:v>55077614588</c:v>
                </c:pt>
              </c:numCache>
            </c:numRef>
          </c:val>
          <c:extLst>
            <c:ext xmlns:c16="http://schemas.microsoft.com/office/drawing/2014/chart" uri="{C3380CC4-5D6E-409C-BE32-E72D297353CC}">
              <c16:uniqueId val="{00000001-3443-4163-B6CA-191793F47227}"/>
            </c:ext>
          </c:extLst>
        </c:ser>
        <c:dLbls>
          <c:showLegendKey val="0"/>
          <c:showVal val="0"/>
          <c:showCatName val="0"/>
          <c:showSerName val="0"/>
          <c:showPercent val="0"/>
          <c:showBubbleSize val="0"/>
        </c:dLbls>
        <c:gapWidth val="219"/>
        <c:axId val="453585272"/>
        <c:axId val="453581352"/>
      </c:barChart>
      <c:lineChart>
        <c:grouping val="standard"/>
        <c:varyColors val="0"/>
        <c:dLbls>
          <c:showLegendKey val="0"/>
          <c:showVal val="0"/>
          <c:showCatName val="0"/>
          <c:showSerName val="0"/>
          <c:showPercent val="0"/>
          <c:showBubbleSize val="0"/>
        </c:dLbls>
        <c:marker val="1"/>
        <c:smooth val="0"/>
        <c:axId val="453585272"/>
        <c:axId val="453581352"/>
        <c:extLst>
          <c:ext xmlns:c15="http://schemas.microsoft.com/office/drawing/2012/chart" uri="{02D57815-91ED-43cb-92C2-25804820EDAC}">
            <c15:filteredLineSeries>
              <c15:ser>
                <c:idx val="0"/>
                <c:order val="0"/>
                <c:tx>
                  <c:strRef>
                    <c:extLst>
                      <c:ext uri="{02D57815-91ED-43cb-92C2-25804820EDAC}">
                        <c15:formulaRef>
                          <c15:sqref>Arkusz2!$A$13</c15:sqref>
                        </c15:formulaRef>
                      </c:ext>
                    </c:extLst>
                    <c:strCache>
                      <c:ptCount val="1"/>
                      <c:pt idx="0">
                        <c:v>Razem dochody własne </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t"/>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c:ext uri="{02D57815-91ED-43cb-92C2-25804820EDAC}">
                        <c15:formulaRef>
                          <c15:sqref>Arkusz2!$B$12:$K$12</c15:sqref>
                        </c15:formulaRef>
                      </c:ext>
                    </c:extLst>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extLst>
                      <c:ext uri="{02D57815-91ED-43cb-92C2-25804820EDAC}">
                        <c15:formulaRef>
                          <c15:sqref>Arkusz2!$B$13:$K$13</c15:sqref>
                        </c15:formulaRef>
                      </c:ext>
                    </c:extLst>
                    <c:numCache>
                      <c:formatCode>#,##0.00</c:formatCode>
                      <c:ptCount val="10"/>
                      <c:pt idx="0">
                        <c:v>78587973501.839996</c:v>
                      </c:pt>
                      <c:pt idx="1">
                        <c:v>83644055617.090012</c:v>
                      </c:pt>
                      <c:pt idx="2">
                        <c:v>87091254463.480011</c:v>
                      </c:pt>
                      <c:pt idx="3">
                        <c:v>91800308975.609985</c:v>
                      </c:pt>
                      <c:pt idx="4">
                        <c:v>98592704966.100006</c:v>
                      </c:pt>
                      <c:pt idx="5">
                        <c:v>103441049267.28</c:v>
                      </c:pt>
                      <c:pt idx="6">
                        <c:v>106683468697.30002</c:v>
                      </c:pt>
                      <c:pt idx="7">
                        <c:v>113245272685.95004</c:v>
                      </c:pt>
                      <c:pt idx="8">
                        <c:v>124042144382.38</c:v>
                      </c:pt>
                      <c:pt idx="9">
                        <c:v>135768587710.48001</c:v>
                      </c:pt>
                    </c:numCache>
                  </c:numRef>
                </c:val>
                <c:smooth val="0"/>
                <c:extLst>
                  <c:ext xmlns:c16="http://schemas.microsoft.com/office/drawing/2014/chart" uri="{C3380CC4-5D6E-409C-BE32-E72D297353CC}">
                    <c16:uniqueId val="{00000002-3443-4163-B6CA-191793F47227}"/>
                  </c:ext>
                </c:extLst>
              </c15:ser>
            </c15:filteredLineSeries>
          </c:ext>
        </c:extLst>
      </c:lineChart>
      <c:catAx>
        <c:axId val="45358527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pl-PL"/>
          </a:p>
        </c:txPr>
        <c:crossAx val="453581352"/>
        <c:crosses val="autoZero"/>
        <c:auto val="1"/>
        <c:lblAlgn val="ctr"/>
        <c:lblOffset val="100"/>
        <c:noMultiLvlLbl val="0"/>
      </c:catAx>
      <c:valAx>
        <c:axId val="4535813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53585272"/>
        <c:crosses val="autoZero"/>
        <c:crossBetween val="between"/>
        <c:dispUnits>
          <c:builtInUnit val="billions"/>
          <c:dispUnitsLbl>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pl-PL" sz="1000">
                <a:latin typeface="Times New Roman" panose="02020603050405020304" pitchFamily="18" charset="0"/>
                <a:cs typeface="Times New Roman" panose="02020603050405020304" pitchFamily="18" charset="0"/>
              </a:rPr>
              <a:t>Dynamika wzrostu dochodów własnych w tym PIT i CIT w stosunku do dynamiki PKB  </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title>
    <c:autoTitleDeleted val="0"/>
    <c:plotArea>
      <c:layout/>
      <c:lineChart>
        <c:grouping val="standard"/>
        <c:varyColors val="0"/>
        <c:ser>
          <c:idx val="0"/>
          <c:order val="0"/>
          <c:tx>
            <c:strRef>
              <c:f>Arkusz2!$A$20</c:f>
              <c:strCache>
                <c:ptCount val="1"/>
                <c:pt idx="0">
                  <c:v>Produkt krajowy brutto (ceny bieżące)</c:v>
                </c:pt>
              </c:strCache>
            </c:strRef>
          </c:tx>
          <c:spPr>
            <a:ln w="66675" cap="rnd">
              <a:solidFill>
                <a:schemeClr val="tx1"/>
              </a:solidFill>
              <a:prstDash val="sysDot"/>
              <a:round/>
            </a:ln>
            <a:effectLst>
              <a:outerShdw blurRad="57150" dist="19050" dir="5400000" algn="ctr" rotWithShape="0">
                <a:srgbClr val="000000">
                  <a:alpha val="63000"/>
                </a:srgbClr>
              </a:outerShdw>
            </a:effectLst>
          </c:spPr>
          <c:marker>
            <c:symbol val="none"/>
          </c:marker>
          <c:cat>
            <c:numRef>
              <c:f>Arkusz2!$B$19:$L$19</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Arkusz2!$B$20:$L$20</c:f>
              <c:numCache>
                <c:formatCode>0.0%</c:formatCode>
                <c:ptCount val="11"/>
                <c:pt idx="1">
                  <c:v>1.0820000000000001</c:v>
                </c:pt>
                <c:pt idx="2">
                  <c:v>1.0371769057147564</c:v>
                </c:pt>
                <c:pt idx="3">
                  <c:v>1.0143407604519408</c:v>
                </c:pt>
                <c:pt idx="4">
                  <c:v>1.039181006603475</c:v>
                </c:pt>
                <c:pt idx="5">
                  <c:v>1.0525160581990578</c:v>
                </c:pt>
                <c:pt idx="6">
                  <c:v>1.0346313277575185</c:v>
                </c:pt>
                <c:pt idx="7">
                  <c:v>1.0678017645307838</c:v>
                </c:pt>
                <c:pt idx="8">
                  <c:v>1.0661966577523578</c:v>
                </c:pt>
                <c:pt idx="9">
                  <c:v>1.0783308940847631</c:v>
                </c:pt>
                <c:pt idx="10">
                  <c:v>1.012829658007649</c:v>
                </c:pt>
              </c:numCache>
            </c:numRef>
          </c:val>
          <c:smooth val="0"/>
          <c:extLst>
            <c:ext xmlns:c16="http://schemas.microsoft.com/office/drawing/2014/chart" uri="{C3380CC4-5D6E-409C-BE32-E72D297353CC}">
              <c16:uniqueId val="{00000000-B914-40FE-9219-8CB56DD06F62}"/>
            </c:ext>
          </c:extLst>
        </c:ser>
        <c:ser>
          <c:idx val="1"/>
          <c:order val="1"/>
          <c:tx>
            <c:strRef>
              <c:f>Arkusz2!$A$21</c:f>
              <c:strCache>
                <c:ptCount val="1"/>
                <c:pt idx="0">
                  <c:v>Razem dochody własne </c:v>
                </c:pt>
              </c:strCache>
            </c:strRef>
          </c:tx>
          <c:spPr>
            <a:ln w="34925" cap="rnd">
              <a:solidFill>
                <a:schemeClr val="accent2"/>
              </a:solidFill>
              <a:round/>
            </a:ln>
            <a:effectLst>
              <a:outerShdw blurRad="57150" dist="19050" dir="5400000" algn="ctr" rotWithShape="0">
                <a:srgbClr val="000000">
                  <a:alpha val="63000"/>
                </a:srgbClr>
              </a:outerShdw>
            </a:effectLst>
          </c:spPr>
          <c:marker>
            <c:symbol val="none"/>
          </c:marker>
          <c:cat>
            <c:numRef>
              <c:f>Arkusz2!$B$19:$L$19</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Arkusz2!$B$21:$L$21</c:f>
              <c:numCache>
                <c:formatCode>0.0%</c:formatCode>
                <c:ptCount val="11"/>
                <c:pt idx="1">
                  <c:v>1.0643365885383422</c:v>
                </c:pt>
                <c:pt idx="2">
                  <c:v>1.0412127176397419</c:v>
                </c:pt>
                <c:pt idx="3">
                  <c:v>1.0540703488672865</c:v>
                </c:pt>
                <c:pt idx="4">
                  <c:v>1.0739909926914806</c:v>
                </c:pt>
                <c:pt idx="5">
                  <c:v>1.0491754872010768</c:v>
                </c:pt>
                <c:pt idx="6">
                  <c:v>1.0313455775341371</c:v>
                </c:pt>
                <c:pt idx="7">
                  <c:v>1.0615072238349155</c:v>
                </c:pt>
                <c:pt idx="8">
                  <c:v>1.0953405951555406</c:v>
                </c:pt>
                <c:pt idx="9">
                  <c:v>1.0945359610355603</c:v>
                </c:pt>
                <c:pt idx="10">
                  <c:v>1.0779388176350839</c:v>
                </c:pt>
              </c:numCache>
            </c:numRef>
          </c:val>
          <c:smooth val="0"/>
          <c:extLst>
            <c:ext xmlns:c16="http://schemas.microsoft.com/office/drawing/2014/chart" uri="{C3380CC4-5D6E-409C-BE32-E72D297353CC}">
              <c16:uniqueId val="{00000001-B914-40FE-9219-8CB56DD06F62}"/>
            </c:ext>
          </c:extLst>
        </c:ser>
        <c:ser>
          <c:idx val="2"/>
          <c:order val="2"/>
          <c:tx>
            <c:strRef>
              <c:f>Arkusz2!$A$22</c:f>
              <c:strCache>
                <c:ptCount val="1"/>
                <c:pt idx="0">
                  <c:v>podatek dochodowy od osób prawnych </c:v>
                </c:pt>
              </c:strCache>
            </c:strRef>
          </c:tx>
          <c:spPr>
            <a:ln w="34925" cap="rnd">
              <a:solidFill>
                <a:schemeClr val="accent1">
                  <a:lumMod val="75000"/>
                </a:schemeClr>
              </a:solidFill>
              <a:round/>
            </a:ln>
            <a:effectLst>
              <a:outerShdw blurRad="57150" dist="19050" dir="5400000" algn="ctr" rotWithShape="0">
                <a:srgbClr val="000000">
                  <a:alpha val="63000"/>
                </a:srgbClr>
              </a:outerShdw>
            </a:effectLst>
          </c:spPr>
          <c:marker>
            <c:symbol val="none"/>
          </c:marker>
          <c:cat>
            <c:numRef>
              <c:f>Arkusz2!$B$19:$L$19</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Arkusz2!$B$22:$L$22</c:f>
              <c:numCache>
                <c:formatCode>0.0%</c:formatCode>
                <c:ptCount val="11"/>
                <c:pt idx="1">
                  <c:v>1.123352459429747</c:v>
                </c:pt>
                <c:pt idx="2">
                  <c:v>0.98891557617842796</c:v>
                </c:pt>
                <c:pt idx="3">
                  <c:v>0.92640182136435434</c:v>
                </c:pt>
                <c:pt idx="4">
                  <c:v>1.022277561456187</c:v>
                </c:pt>
                <c:pt idx="5">
                  <c:v>1.0986978704083807</c:v>
                </c:pt>
                <c:pt idx="6">
                  <c:v>1.0515894518466147</c:v>
                </c:pt>
                <c:pt idx="7">
                  <c:v>1.1263110424723393</c:v>
                </c:pt>
                <c:pt idx="8">
                  <c:v>1.1570830518086899</c:v>
                </c:pt>
                <c:pt idx="9">
                  <c:v>1.1241541968999298</c:v>
                </c:pt>
                <c:pt idx="10">
                  <c:v>1.0388791175389256</c:v>
                </c:pt>
              </c:numCache>
            </c:numRef>
          </c:val>
          <c:smooth val="0"/>
          <c:extLst>
            <c:ext xmlns:c16="http://schemas.microsoft.com/office/drawing/2014/chart" uri="{C3380CC4-5D6E-409C-BE32-E72D297353CC}">
              <c16:uniqueId val="{00000002-B914-40FE-9219-8CB56DD06F62}"/>
            </c:ext>
          </c:extLst>
        </c:ser>
        <c:ser>
          <c:idx val="3"/>
          <c:order val="3"/>
          <c:tx>
            <c:strRef>
              <c:f>Arkusz2!$A$23</c:f>
              <c:strCache>
                <c:ptCount val="1"/>
                <c:pt idx="0">
                  <c:v>podatek dochodowy od osób fizycznych </c:v>
                </c:pt>
              </c:strCache>
            </c:strRef>
          </c:tx>
          <c:spPr>
            <a:ln w="34925" cap="rnd">
              <a:solidFill>
                <a:srgbClr val="FF0000"/>
              </a:solidFill>
              <a:round/>
            </a:ln>
            <a:effectLst>
              <a:outerShdw blurRad="57150" dist="19050" dir="5400000" algn="ctr" rotWithShape="0">
                <a:srgbClr val="000000">
                  <a:alpha val="63000"/>
                </a:srgbClr>
              </a:outerShdw>
            </a:effectLst>
          </c:spPr>
          <c:marker>
            <c:symbol val="none"/>
          </c:marker>
          <c:cat>
            <c:numRef>
              <c:f>Arkusz2!$B$19:$L$19</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Arkusz2!$B$23:$L$23</c:f>
              <c:numCache>
                <c:formatCode>0.0%</c:formatCode>
                <c:ptCount val="11"/>
                <c:pt idx="1">
                  <c:v>1.0942889873089405</c:v>
                </c:pt>
                <c:pt idx="2">
                  <c:v>1.0469692724048125</c:v>
                </c:pt>
                <c:pt idx="3">
                  <c:v>1.0534933862032041</c:v>
                </c:pt>
                <c:pt idx="4">
                  <c:v>1.0814713338290565</c:v>
                </c:pt>
                <c:pt idx="5">
                  <c:v>1.0853059614715455</c:v>
                </c:pt>
                <c:pt idx="6">
                  <c:v>1.0789507480286522</c:v>
                </c:pt>
                <c:pt idx="7">
                  <c:v>1.0918868247609248</c:v>
                </c:pt>
                <c:pt idx="8">
                  <c:v>1.1341747311755923</c:v>
                </c:pt>
                <c:pt idx="9">
                  <c:v>1.1027808287946903</c:v>
                </c:pt>
                <c:pt idx="10">
                  <c:v>0.98107127913792314</c:v>
                </c:pt>
              </c:numCache>
            </c:numRef>
          </c:val>
          <c:smooth val="0"/>
          <c:extLst>
            <c:ext xmlns:c16="http://schemas.microsoft.com/office/drawing/2014/chart" uri="{C3380CC4-5D6E-409C-BE32-E72D297353CC}">
              <c16:uniqueId val="{00000003-B914-40FE-9219-8CB56DD06F62}"/>
            </c:ext>
          </c:extLst>
        </c:ser>
        <c:dLbls>
          <c:showLegendKey val="0"/>
          <c:showVal val="0"/>
          <c:showCatName val="0"/>
          <c:showSerName val="0"/>
          <c:showPercent val="0"/>
          <c:showBubbleSize val="0"/>
        </c:dLbls>
        <c:smooth val="0"/>
        <c:axId val="453581744"/>
        <c:axId val="453582136"/>
      </c:lineChart>
      <c:catAx>
        <c:axId val="45358174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pl-PL"/>
          </a:p>
        </c:txPr>
        <c:crossAx val="453582136"/>
        <c:crosses val="autoZero"/>
        <c:auto val="1"/>
        <c:lblAlgn val="ctr"/>
        <c:lblOffset val="100"/>
        <c:noMultiLvlLbl val="0"/>
      </c:catAx>
      <c:valAx>
        <c:axId val="453582136"/>
        <c:scaling>
          <c:orientation val="minMax"/>
          <c:min val="0.9"/>
        </c:scaling>
        <c:delete val="0"/>
        <c:axPos val="l"/>
        <c:majorGridlines>
          <c:spPr>
            <a:ln w="9525" cap="flat" cmpd="sng" algn="ctr">
              <a:solidFill>
                <a:schemeClr val="tx1">
                  <a:lumMod val="15000"/>
                  <a:lumOff val="85000"/>
                </a:schemeClr>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535817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pl-PL" sz="1000">
                <a:latin typeface="Times New Roman" panose="02020603050405020304" pitchFamily="18" charset="0"/>
                <a:cs typeface="Times New Roman" panose="02020603050405020304" pitchFamily="18" charset="0"/>
              </a:rPr>
              <a:t>Subwencja ogólna, w tym część oświatowa w latach 2010-2020</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1"/>
          <c:order val="0"/>
          <c:tx>
            <c:strRef>
              <c:f>Arkusz2!$A$40</c:f>
              <c:strCache>
                <c:ptCount val="1"/>
                <c:pt idx="0">
                  <c:v>część oświatowa</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Arkusz2!$B$38:$L$38</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Arkusz2!$B$40:$L$40</c:f>
              <c:numCache>
                <c:formatCode>#,##0.00</c:formatCode>
                <c:ptCount val="11"/>
                <c:pt idx="0">
                  <c:v>35009605525</c:v>
                </c:pt>
                <c:pt idx="1">
                  <c:v>36924741417</c:v>
                </c:pt>
                <c:pt idx="2">
                  <c:v>39161095000</c:v>
                </c:pt>
                <c:pt idx="3">
                  <c:v>39509195000</c:v>
                </c:pt>
                <c:pt idx="4">
                  <c:v>39499597000</c:v>
                </c:pt>
                <c:pt idx="5">
                  <c:v>40376935291</c:v>
                </c:pt>
                <c:pt idx="6">
                  <c:v>41496900587.900002</c:v>
                </c:pt>
                <c:pt idx="7">
                  <c:v>41909520391.209999</c:v>
                </c:pt>
                <c:pt idx="8">
                  <c:v>43075129000</c:v>
                </c:pt>
                <c:pt idx="9">
                  <c:v>46899413597.589996</c:v>
                </c:pt>
                <c:pt idx="10">
                  <c:v>50156575249.839996</c:v>
                </c:pt>
              </c:numCache>
            </c:numRef>
          </c:val>
          <c:extLst>
            <c:ext xmlns:c16="http://schemas.microsoft.com/office/drawing/2014/chart" uri="{C3380CC4-5D6E-409C-BE32-E72D297353CC}">
              <c16:uniqueId val="{00000000-F9AF-47A2-98E3-BB8541FD04A8}"/>
            </c:ext>
          </c:extLst>
        </c:ser>
        <c:ser>
          <c:idx val="0"/>
          <c:order val="1"/>
          <c:tx>
            <c:strRef>
              <c:f>Arkusz2!$A$39</c:f>
              <c:strCache>
                <c:ptCount val="1"/>
                <c:pt idx="0">
                  <c:v>Subwencja ogólna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Arkusz2!$B$38:$L$38</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Arkusz2!$B$39:$L$39</c:f>
              <c:numCache>
                <c:formatCode>#,##0.00</c:formatCode>
                <c:ptCount val="11"/>
                <c:pt idx="0">
                  <c:v>47171061463</c:v>
                </c:pt>
                <c:pt idx="1">
                  <c:v>48347868952</c:v>
                </c:pt>
                <c:pt idx="2">
                  <c:v>50657550486</c:v>
                </c:pt>
                <c:pt idx="3">
                  <c:v>51257088355</c:v>
                </c:pt>
                <c:pt idx="4">
                  <c:v>51203573656</c:v>
                </c:pt>
                <c:pt idx="5">
                  <c:v>51343303152</c:v>
                </c:pt>
                <c:pt idx="6">
                  <c:v>53036092166.900002</c:v>
                </c:pt>
                <c:pt idx="7">
                  <c:v>54280749493.209999</c:v>
                </c:pt>
                <c:pt idx="8">
                  <c:v>56429729404</c:v>
                </c:pt>
                <c:pt idx="9">
                  <c:v>61745548381.589996</c:v>
                </c:pt>
                <c:pt idx="10">
                  <c:v>67029414434.839996</c:v>
                </c:pt>
              </c:numCache>
            </c:numRef>
          </c:val>
          <c:extLst>
            <c:ext xmlns:c16="http://schemas.microsoft.com/office/drawing/2014/chart" uri="{C3380CC4-5D6E-409C-BE32-E72D297353CC}">
              <c16:uniqueId val="{00000001-F9AF-47A2-98E3-BB8541FD04A8}"/>
            </c:ext>
          </c:extLst>
        </c:ser>
        <c:dLbls>
          <c:showLegendKey val="0"/>
          <c:showVal val="0"/>
          <c:showCatName val="0"/>
          <c:showSerName val="0"/>
          <c:showPercent val="0"/>
          <c:showBubbleSize val="0"/>
        </c:dLbls>
        <c:gapWidth val="150"/>
        <c:shape val="box"/>
        <c:axId val="555351464"/>
        <c:axId val="555344016"/>
        <c:axId val="0"/>
      </c:bar3DChart>
      <c:catAx>
        <c:axId val="55535146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pl-PL"/>
          </a:p>
        </c:txPr>
        <c:crossAx val="555344016"/>
        <c:crosses val="autoZero"/>
        <c:auto val="1"/>
        <c:lblAlgn val="ctr"/>
        <c:lblOffset val="100"/>
        <c:noMultiLvlLbl val="0"/>
      </c:catAx>
      <c:valAx>
        <c:axId val="5553440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pl-PL"/>
          </a:p>
        </c:txPr>
        <c:crossAx val="555351464"/>
        <c:crosses val="autoZero"/>
        <c:crossBetween val="between"/>
        <c:dispUnits>
          <c:builtInUnit val="billions"/>
          <c:dispUnitsLbl>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legend>
    <c:plotVisOnly val="1"/>
    <c:dispBlanksAs val="zero"/>
    <c:showDLblsOverMax val="0"/>
  </c:chart>
  <c:spPr>
    <a:solidFill>
      <a:schemeClr val="bg1"/>
    </a:solidFill>
    <a:ln w="9525" cap="flat" cmpd="sng" algn="ctr">
      <a:noFill/>
      <a:round/>
    </a:ln>
    <a:effectLst/>
  </c:spPr>
  <c:txPr>
    <a:bodyPr/>
    <a:lstStyle/>
    <a:p>
      <a:pPr>
        <a:defRPr/>
      </a:pPr>
      <a:endParaRPr lang="pl-PL"/>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pl-PL" sz="1050">
                <a:latin typeface="Times New Roman" panose="02020603050405020304" pitchFamily="18" charset="0"/>
                <a:cs typeface="Times New Roman" panose="02020603050405020304" pitchFamily="18" charset="0"/>
              </a:rPr>
              <a:t>Wydatki w latach 2010-2020</a:t>
            </a:r>
          </a:p>
        </c:rich>
      </c:tx>
      <c:overlay val="0"/>
      <c:spPr>
        <a:noFill/>
        <a:ln>
          <a:noFill/>
        </a:ln>
        <a:effectLst/>
      </c:spPr>
      <c:txPr>
        <a:bodyPr rot="0" spcFirstLastPara="1" vertOverflow="ellipsis" vert="horz" wrap="square" anchor="ctr" anchorCtr="1"/>
        <a:lstStyle/>
        <a:p>
          <a:pPr>
            <a:defRPr sz="105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title>
    <c:autoTitleDeleted val="0"/>
    <c:plotArea>
      <c:layout/>
      <c:lineChart>
        <c:grouping val="standard"/>
        <c:varyColors val="0"/>
        <c:ser>
          <c:idx val="1"/>
          <c:order val="1"/>
          <c:tx>
            <c:strRef>
              <c:f>Arkusz1!$A$134</c:f>
              <c:strCache>
                <c:ptCount val="1"/>
                <c:pt idx="0">
                  <c:v>WYDATKI OGÓŁEM</c:v>
                </c:pt>
              </c:strCache>
            </c:strRef>
          </c:tx>
          <c:spPr>
            <a:ln w="34925" cap="rnd">
              <a:solidFill>
                <a:schemeClr val="accent2"/>
              </a:solidFill>
              <a:round/>
            </a:ln>
            <a:effectLst>
              <a:outerShdw blurRad="57150" dist="19050" dir="5400000" algn="ctr" rotWithShape="0">
                <a:srgbClr val="000000">
                  <a:alpha val="63000"/>
                </a:srgbClr>
              </a:outerShdw>
            </a:effectLst>
          </c:spPr>
          <c:marker>
            <c:symbol val="none"/>
          </c:marker>
          <c:cat>
            <c:numRef>
              <c:f>Arkusz1!$B$133:$L$133</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Arkusz1!$B$134:$L$134</c:f>
              <c:numCache>
                <c:formatCode>#,##0.00</c:formatCode>
                <c:ptCount val="11"/>
                <c:pt idx="0">
                  <c:v>177766153468.51001</c:v>
                </c:pt>
                <c:pt idx="1">
                  <c:v>181594742105.35001</c:v>
                </c:pt>
                <c:pt idx="2">
                  <c:v>180459271007.67001</c:v>
                </c:pt>
                <c:pt idx="3">
                  <c:v>183838643433.29001</c:v>
                </c:pt>
                <c:pt idx="4">
                  <c:v>196754150209.47</c:v>
                </c:pt>
                <c:pt idx="5">
                  <c:v>196415299949.5</c:v>
                </c:pt>
                <c:pt idx="6">
                  <c:v>206034558052.25</c:v>
                </c:pt>
                <c:pt idx="7">
                  <c:v>230166344186.42001</c:v>
                </c:pt>
                <c:pt idx="8">
                  <c:v>259386267950.67001</c:v>
                </c:pt>
                <c:pt idx="9">
                  <c:v>280208973920.25</c:v>
                </c:pt>
                <c:pt idx="10">
                  <c:v>297228976010.28998</c:v>
                </c:pt>
              </c:numCache>
            </c:numRef>
          </c:val>
          <c:smooth val="0"/>
          <c:extLst>
            <c:ext xmlns:c16="http://schemas.microsoft.com/office/drawing/2014/chart" uri="{C3380CC4-5D6E-409C-BE32-E72D297353CC}">
              <c16:uniqueId val="{00000000-6D71-4B02-956E-419050D60BB8}"/>
            </c:ext>
          </c:extLst>
        </c:ser>
        <c:ser>
          <c:idx val="2"/>
          <c:order val="2"/>
          <c:tx>
            <c:strRef>
              <c:f>Arkusz1!$A$135</c:f>
              <c:strCache>
                <c:ptCount val="1"/>
                <c:pt idx="0">
                  <c:v>wydatki majątkowe      </c:v>
                </c:pt>
              </c:strCache>
            </c:strRef>
          </c:tx>
          <c:spPr>
            <a:ln w="34925" cap="rnd">
              <a:solidFill>
                <a:schemeClr val="accent3"/>
              </a:solidFill>
              <a:round/>
            </a:ln>
            <a:effectLst>
              <a:outerShdw blurRad="57150" dist="19050" dir="5400000" algn="ctr" rotWithShape="0">
                <a:srgbClr val="000000">
                  <a:alpha val="63000"/>
                </a:srgbClr>
              </a:outerShdw>
            </a:effectLst>
          </c:spPr>
          <c:marker>
            <c:symbol val="none"/>
          </c:marker>
          <c:cat>
            <c:numRef>
              <c:f>Arkusz1!$B$133:$L$133</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Arkusz1!$B$135:$L$135</c:f>
              <c:numCache>
                <c:formatCode>#,##0.00</c:formatCode>
                <c:ptCount val="11"/>
                <c:pt idx="0">
                  <c:v>44249245425.290001</c:v>
                </c:pt>
                <c:pt idx="1">
                  <c:v>42434189612.57</c:v>
                </c:pt>
                <c:pt idx="2">
                  <c:v>35616479242.220001</c:v>
                </c:pt>
                <c:pt idx="3">
                  <c:v>35006706581.309998</c:v>
                </c:pt>
                <c:pt idx="4">
                  <c:v>41350216296.949997</c:v>
                </c:pt>
                <c:pt idx="5">
                  <c:v>38575884980.260002</c:v>
                </c:pt>
                <c:pt idx="6">
                  <c:v>25830643915.150002</c:v>
                </c:pt>
                <c:pt idx="7">
                  <c:v>35214635712.919998</c:v>
                </c:pt>
                <c:pt idx="8">
                  <c:v>52877937427.129997</c:v>
                </c:pt>
                <c:pt idx="9">
                  <c:v>51052364870.720001</c:v>
                </c:pt>
                <c:pt idx="10">
                  <c:v>48020178289.220001</c:v>
                </c:pt>
              </c:numCache>
            </c:numRef>
          </c:val>
          <c:smooth val="0"/>
          <c:extLst>
            <c:ext xmlns:c16="http://schemas.microsoft.com/office/drawing/2014/chart" uri="{C3380CC4-5D6E-409C-BE32-E72D297353CC}">
              <c16:uniqueId val="{00000001-6D71-4B02-956E-419050D60BB8}"/>
            </c:ext>
          </c:extLst>
        </c:ser>
        <c:ser>
          <c:idx val="3"/>
          <c:order val="3"/>
          <c:tx>
            <c:strRef>
              <c:f>Arkusz1!$A$136</c:f>
              <c:strCache>
                <c:ptCount val="1"/>
                <c:pt idx="0">
                  <c:v>wydatki bieżące </c:v>
                </c:pt>
              </c:strCache>
            </c:strRef>
          </c:tx>
          <c:spPr>
            <a:ln w="34925" cap="rnd">
              <a:solidFill>
                <a:schemeClr val="accent4"/>
              </a:solidFill>
              <a:round/>
            </a:ln>
            <a:effectLst>
              <a:outerShdw blurRad="57150" dist="19050" dir="5400000" algn="ctr" rotWithShape="0">
                <a:srgbClr val="000000">
                  <a:alpha val="63000"/>
                </a:srgbClr>
              </a:outerShdw>
            </a:effectLst>
          </c:spPr>
          <c:marker>
            <c:symbol val="none"/>
          </c:marker>
          <c:cat>
            <c:numRef>
              <c:f>Arkusz1!$B$133:$L$133</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Arkusz1!$B$136:$L$136</c:f>
              <c:numCache>
                <c:formatCode>#,##0.00</c:formatCode>
                <c:ptCount val="11"/>
                <c:pt idx="0">
                  <c:v>133516908043.22</c:v>
                </c:pt>
                <c:pt idx="1">
                  <c:v>139160552492.78</c:v>
                </c:pt>
                <c:pt idx="2">
                  <c:v>144842791765.45001</c:v>
                </c:pt>
                <c:pt idx="3">
                  <c:v>148831936851.98001</c:v>
                </c:pt>
                <c:pt idx="4">
                  <c:v>155403933912.52002</c:v>
                </c:pt>
                <c:pt idx="5">
                  <c:v>157839414969.23999</c:v>
                </c:pt>
                <c:pt idx="6">
                  <c:v>180203914137.10001</c:v>
                </c:pt>
                <c:pt idx="7">
                  <c:v>194951708473.5</c:v>
                </c:pt>
                <c:pt idx="8">
                  <c:v>206508330523.54001</c:v>
                </c:pt>
                <c:pt idx="9">
                  <c:v>229156609049.53</c:v>
                </c:pt>
                <c:pt idx="10">
                  <c:v>249208797721.06998</c:v>
                </c:pt>
              </c:numCache>
            </c:numRef>
          </c:val>
          <c:smooth val="0"/>
          <c:extLst>
            <c:ext xmlns:c16="http://schemas.microsoft.com/office/drawing/2014/chart" uri="{C3380CC4-5D6E-409C-BE32-E72D297353CC}">
              <c16:uniqueId val="{00000002-6D71-4B02-956E-419050D60BB8}"/>
            </c:ext>
          </c:extLst>
        </c:ser>
        <c:dLbls>
          <c:showLegendKey val="0"/>
          <c:showVal val="0"/>
          <c:showCatName val="0"/>
          <c:showSerName val="0"/>
          <c:showPercent val="0"/>
          <c:showBubbleSize val="0"/>
        </c:dLbls>
        <c:smooth val="0"/>
        <c:axId val="555348720"/>
        <c:axId val="555343624"/>
        <c:extLst>
          <c:ext xmlns:c15="http://schemas.microsoft.com/office/drawing/2012/chart" uri="{02D57815-91ED-43cb-92C2-25804820EDAC}">
            <c15:filteredLineSeries>
              <c15:ser>
                <c:idx val="0"/>
                <c:order val="0"/>
                <c:tx>
                  <c:strRef>
                    <c:extLst>
                      <c:ext uri="{02D57815-91ED-43cb-92C2-25804820EDAC}">
                        <c15:formulaRef>
                          <c15:sqref>Arkusz1!$A$133</c15:sqref>
                        </c15:formulaRef>
                      </c:ext>
                    </c:extLst>
                    <c:strCache>
                      <c:ptCount val="1"/>
                      <c:pt idx="0">
                        <c:v>w zł</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cat>
                  <c:numRef>
                    <c:extLst>
                      <c:ext uri="{02D57815-91ED-43cb-92C2-25804820EDAC}">
                        <c15:formulaRef>
                          <c15:sqref>Arkusz1!$B$133:$L$133</c15:sqref>
                        </c15:formulaRef>
                      </c:ext>
                    </c:extLst>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extLst>
                      <c:ext uri="{02D57815-91ED-43cb-92C2-25804820EDAC}">
                        <c15:formulaRef>
                          <c15:sqref>Arkusz1!$B$133:$J$133</c15:sqref>
                        </c15:formulaRef>
                      </c:ext>
                    </c:extLst>
                    <c:numCache>
                      <c:formatCode>General</c:formatCode>
                      <c:ptCount val="9"/>
                      <c:pt idx="0">
                        <c:v>2010</c:v>
                      </c:pt>
                      <c:pt idx="1">
                        <c:v>2011</c:v>
                      </c:pt>
                      <c:pt idx="2">
                        <c:v>2012</c:v>
                      </c:pt>
                      <c:pt idx="3">
                        <c:v>2013</c:v>
                      </c:pt>
                      <c:pt idx="4">
                        <c:v>2014</c:v>
                      </c:pt>
                      <c:pt idx="5">
                        <c:v>2015</c:v>
                      </c:pt>
                      <c:pt idx="6">
                        <c:v>2016</c:v>
                      </c:pt>
                      <c:pt idx="7">
                        <c:v>2017</c:v>
                      </c:pt>
                      <c:pt idx="8">
                        <c:v>2018</c:v>
                      </c:pt>
                    </c:numCache>
                  </c:numRef>
                </c:val>
                <c:smooth val="0"/>
                <c:extLst>
                  <c:ext xmlns:c16="http://schemas.microsoft.com/office/drawing/2014/chart" uri="{C3380CC4-5D6E-409C-BE32-E72D297353CC}">
                    <c16:uniqueId val="{00000003-6D71-4B02-956E-419050D60BB8}"/>
                  </c:ext>
                </c:extLst>
              </c15:ser>
            </c15:filteredLineSeries>
          </c:ext>
        </c:extLst>
      </c:lineChart>
      <c:catAx>
        <c:axId val="55534872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55343624"/>
        <c:crosses val="autoZero"/>
        <c:auto val="1"/>
        <c:lblAlgn val="ctr"/>
        <c:lblOffset val="100"/>
        <c:noMultiLvlLbl val="0"/>
      </c:catAx>
      <c:valAx>
        <c:axId val="55534362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55348720"/>
        <c:crosses val="autoZero"/>
        <c:crossBetween val="between"/>
        <c:dispUnits>
          <c:builtInUnit val="billions"/>
          <c:dispUnitsLbl>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dispUnitsLbl>
        </c:dispUnits>
      </c:valAx>
      <c:spPr>
        <a:noFill/>
        <a:ln>
          <a:solidFill>
            <a:schemeClr val="accent1"/>
          </a:solid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mn-cs"/>
              </a:defRPr>
            </a:pPr>
            <a:r>
              <a:rPr lang="pl-PL" sz="1050"/>
              <a:t>Nadwyżka operacyjna w latach 2010-2020 w mld zł</a:t>
            </a:r>
          </a:p>
        </c:rich>
      </c:tx>
      <c:layout>
        <c:manualLayout>
          <c:xMode val="edge"/>
          <c:yMode val="edge"/>
          <c:x val="0.25354171396253766"/>
          <c:y val="0"/>
        </c:manualLayout>
      </c:layout>
      <c:overlay val="0"/>
      <c:spPr>
        <a:noFill/>
        <a:ln>
          <a:noFill/>
        </a:ln>
        <a:effectLst/>
      </c:spPr>
      <c:txPr>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manualLayout>
          <c:layoutTarget val="inner"/>
          <c:xMode val="edge"/>
          <c:yMode val="edge"/>
          <c:x val="8.5619015725976563E-2"/>
          <c:y val="0.10368513474301608"/>
          <c:w val="0.88622607025239364"/>
          <c:h val="0.71228157988065754"/>
        </c:manualLayout>
      </c:layout>
      <c:lineChart>
        <c:grouping val="standard"/>
        <c:varyColors val="0"/>
        <c:ser>
          <c:idx val="0"/>
          <c:order val="0"/>
          <c:tx>
            <c:strRef>
              <c:f>Arkusz1!$A$160</c:f>
              <c:strCache>
                <c:ptCount val="1"/>
                <c:pt idx="0">
                  <c:v>Nadwyżka operacyjna </c:v>
                </c:pt>
              </c:strCache>
            </c:strRef>
          </c:tx>
          <c:spPr>
            <a:ln w="76200"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Arkusz1!$B$159:$I$159</c:f>
              <c:numCache>
                <c:formatCode>General</c:formatCode>
                <c:ptCount val="8"/>
                <c:pt idx="0">
                  <c:v>2013</c:v>
                </c:pt>
                <c:pt idx="1">
                  <c:v>2014</c:v>
                </c:pt>
                <c:pt idx="2">
                  <c:v>2015</c:v>
                </c:pt>
                <c:pt idx="3">
                  <c:v>2016</c:v>
                </c:pt>
                <c:pt idx="4">
                  <c:v>2017</c:v>
                </c:pt>
                <c:pt idx="5">
                  <c:v>2018</c:v>
                </c:pt>
                <c:pt idx="6">
                  <c:v>2019</c:v>
                </c:pt>
                <c:pt idx="7">
                  <c:v>2020</c:v>
                </c:pt>
              </c:numCache>
            </c:numRef>
          </c:cat>
          <c:val>
            <c:numRef>
              <c:f>Arkusz1!$B$160:$I$160</c:f>
              <c:numCache>
                <c:formatCode>#,##0.00</c:formatCode>
                <c:ptCount val="8"/>
                <c:pt idx="0">
                  <c:v>14.336788104149994</c:v>
                </c:pt>
                <c:pt idx="1">
                  <c:v>16.317609969819976</c:v>
                </c:pt>
                <c:pt idx="2">
                  <c:v>18.227614019920015</c:v>
                </c:pt>
                <c:pt idx="3">
                  <c:v>20.525656526740022</c:v>
                </c:pt>
                <c:pt idx="4">
                  <c:v>21.178439822710022</c:v>
                </c:pt>
                <c:pt idx="5">
                  <c:v>23.122010649869996</c:v>
                </c:pt>
                <c:pt idx="6">
                  <c:v>24.155624135970001</c:v>
                </c:pt>
                <c:pt idx="7">
                  <c:v>21.386238015109985</c:v>
                </c:pt>
              </c:numCache>
            </c:numRef>
          </c:val>
          <c:smooth val="0"/>
          <c:extLst>
            <c:ext xmlns:c16="http://schemas.microsoft.com/office/drawing/2014/chart" uri="{C3380CC4-5D6E-409C-BE32-E72D297353CC}">
              <c16:uniqueId val="{00000000-7EA0-4ED1-A4C4-30A47865B0E9}"/>
            </c:ext>
          </c:extLst>
        </c:ser>
        <c:ser>
          <c:idx val="1"/>
          <c:order val="1"/>
          <c:tx>
            <c:strRef>
              <c:f>Arkusz1!$A$161</c:f>
              <c:strCache>
                <c:ptCount val="1"/>
                <c:pt idx="0">
                  <c:v>Nadwyżka operacyjna netto</c:v>
                </c:pt>
              </c:strCache>
            </c:strRef>
          </c:tx>
          <c:spPr>
            <a:ln w="76200" cap="rnd">
              <a:solidFill>
                <a:schemeClr val="accent2"/>
              </a:solidFill>
              <a:round/>
            </a:ln>
            <a:effectLst/>
          </c:spPr>
          <c:marker>
            <c:symbol val="none"/>
          </c:marker>
          <c:dLbls>
            <c:dLbl>
              <c:idx val="0"/>
              <c:layout>
                <c:manualLayout>
                  <c:x val="-6.5786223472896144E-2"/>
                  <c:y val="3.4429130194814833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r"/>
              <c:showLegendKey val="0"/>
              <c:showVal val="1"/>
              <c:showCatName val="0"/>
              <c:showSerName val="0"/>
              <c:showPercent val="0"/>
              <c:showBubbleSize val="0"/>
              <c:extLst>
                <c:ext xmlns:c15="http://schemas.microsoft.com/office/drawing/2012/chart" uri="{CE6537A1-D6FC-4f65-9D91-7224C49458BB}">
                  <c15:layout>
                    <c:manualLayout>
                      <c:w val="5.9626641264593959E-2"/>
                      <c:h val="6.4804206766949701E-2"/>
                    </c:manualLayout>
                  </c15:layout>
                </c:ext>
                <c:ext xmlns:c16="http://schemas.microsoft.com/office/drawing/2014/chart" uri="{C3380CC4-5D6E-409C-BE32-E72D297353CC}">
                  <c16:uniqueId val="{00000001-7EA0-4ED1-A4C4-30A47865B0E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Arkusz1!$B$159:$I$159</c:f>
              <c:numCache>
                <c:formatCode>General</c:formatCode>
                <c:ptCount val="8"/>
                <c:pt idx="0">
                  <c:v>2013</c:v>
                </c:pt>
                <c:pt idx="1">
                  <c:v>2014</c:v>
                </c:pt>
                <c:pt idx="2">
                  <c:v>2015</c:v>
                </c:pt>
                <c:pt idx="3">
                  <c:v>2016</c:v>
                </c:pt>
                <c:pt idx="4">
                  <c:v>2017</c:v>
                </c:pt>
                <c:pt idx="5">
                  <c:v>2018</c:v>
                </c:pt>
                <c:pt idx="6">
                  <c:v>2019</c:v>
                </c:pt>
                <c:pt idx="7">
                  <c:v>2020</c:v>
                </c:pt>
              </c:numCache>
            </c:numRef>
          </c:cat>
          <c:val>
            <c:numRef>
              <c:f>Arkusz1!$B$161:$I$161</c:f>
              <c:numCache>
                <c:formatCode>#,##0.00</c:formatCode>
                <c:ptCount val="8"/>
                <c:pt idx="0">
                  <c:v>2.4980694689999998</c:v>
                </c:pt>
                <c:pt idx="1">
                  <c:v>8.3169144011399769</c:v>
                </c:pt>
                <c:pt idx="2">
                  <c:v>9.9360378411500125</c:v>
                </c:pt>
                <c:pt idx="3">
                  <c:v>12.688056942760021</c:v>
                </c:pt>
                <c:pt idx="4">
                  <c:v>12.705579424840023</c:v>
                </c:pt>
                <c:pt idx="5">
                  <c:v>14.375227073069995</c:v>
                </c:pt>
                <c:pt idx="6">
                  <c:v>14.132787227920002</c:v>
                </c:pt>
                <c:pt idx="7">
                  <c:v>11.797840026419985</c:v>
                </c:pt>
              </c:numCache>
            </c:numRef>
          </c:val>
          <c:smooth val="0"/>
          <c:extLst>
            <c:ext xmlns:c16="http://schemas.microsoft.com/office/drawing/2014/chart" uri="{C3380CC4-5D6E-409C-BE32-E72D297353CC}">
              <c16:uniqueId val="{00000002-7EA0-4ED1-A4C4-30A47865B0E9}"/>
            </c:ext>
          </c:extLst>
        </c:ser>
        <c:dLbls>
          <c:showLegendKey val="0"/>
          <c:showVal val="0"/>
          <c:showCatName val="0"/>
          <c:showSerName val="0"/>
          <c:showPercent val="0"/>
          <c:showBubbleSize val="0"/>
        </c:dLbls>
        <c:smooth val="0"/>
        <c:axId val="555339704"/>
        <c:axId val="555344408"/>
      </c:lineChart>
      <c:catAx>
        <c:axId val="555339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55344408"/>
        <c:crosses val="autoZero"/>
        <c:auto val="1"/>
        <c:lblAlgn val="ctr"/>
        <c:lblOffset val="100"/>
        <c:noMultiLvlLbl val="0"/>
      </c:catAx>
      <c:valAx>
        <c:axId val="5553444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55339704"/>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pl-PL"/>
              <a:t>Okres spłaty zadłużenia poprzez nadwyżkę operacyjną w latach</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title>
    <c:autoTitleDeleted val="0"/>
    <c:plotArea>
      <c:layout/>
      <c:areaChart>
        <c:grouping val="standard"/>
        <c:varyColors val="0"/>
        <c:ser>
          <c:idx val="0"/>
          <c:order val="0"/>
          <c:tx>
            <c:strRef>
              <c:f>Arkusz1!$A$189</c:f>
              <c:strCache>
                <c:ptCount val="1"/>
                <c:pt idx="0">
                  <c:v>Okres spłaty zadłużenia po przez nadwyżke operacyjną w latach</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dLbls>
            <c:dLbl>
              <c:idx val="0"/>
              <c:layout>
                <c:manualLayout>
                  <c:x val="1.5267175572519083E-2"/>
                  <c:y val="4.629629629629544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5BF-48F0-B98B-8B8427AF4E2B}"/>
                </c:ext>
              </c:extLst>
            </c:dLbl>
            <c:dLbl>
              <c:idx val="8"/>
              <c:layout>
                <c:manualLayout>
                  <c:x val="-1.6284987277353689E-2"/>
                  <c:y val="4.629629629629629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5BF-48F0-B98B-8B8427AF4E2B}"/>
                </c:ext>
              </c:extLst>
            </c:dLbl>
            <c:dLbl>
              <c:idx val="9"/>
              <c:layout>
                <c:manualLayout>
                  <c:x val="-1.931123221095286E-2"/>
                  <c:y val="-8.0673802189433615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5BF-48F0-B98B-8B8427AF4E2B}"/>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Arkusz1!$B$188:$K$188</c:f>
              <c:numCache>
                <c:formatCode>General</c:formatCode>
                <c:ptCount val="10"/>
                <c:pt idx="0">
                  <c:v>2011</c:v>
                </c:pt>
                <c:pt idx="1">
                  <c:v>2012</c:v>
                </c:pt>
                <c:pt idx="2">
                  <c:v>2013</c:v>
                </c:pt>
                <c:pt idx="3">
                  <c:v>2014</c:v>
                </c:pt>
                <c:pt idx="4">
                  <c:v>2015</c:v>
                </c:pt>
                <c:pt idx="5">
                  <c:v>2016</c:v>
                </c:pt>
                <c:pt idx="6">
                  <c:v>2017</c:v>
                </c:pt>
                <c:pt idx="7">
                  <c:v>2018</c:v>
                </c:pt>
                <c:pt idx="8">
                  <c:v>2019</c:v>
                </c:pt>
                <c:pt idx="9">
                  <c:v>2020</c:v>
                </c:pt>
              </c:numCache>
            </c:numRef>
          </c:cat>
          <c:val>
            <c:numRef>
              <c:f>Arkusz1!$B$189:$K$189</c:f>
              <c:numCache>
                <c:formatCode>#,##0.00</c:formatCode>
                <c:ptCount val="10"/>
                <c:pt idx="0">
                  <c:v>5.9811239239946978</c:v>
                </c:pt>
                <c:pt idx="1">
                  <c:v>5.8348524085111588</c:v>
                </c:pt>
                <c:pt idx="2">
                  <c:v>4.8238916125230924</c:v>
                </c:pt>
                <c:pt idx="3">
                  <c:v>4.4191441774481603</c:v>
                </c:pt>
                <c:pt idx="4">
                  <c:v>3.9300085994784708</c:v>
                </c:pt>
                <c:pt idx="5">
                  <c:v>3.3626176188953343</c:v>
                </c:pt>
                <c:pt idx="6">
                  <c:v>3.2545398530825356</c:v>
                </c:pt>
                <c:pt idx="7">
                  <c:v>3.2919195023810772</c:v>
                </c:pt>
                <c:pt idx="8">
                  <c:v>3.3961464967862538</c:v>
                </c:pt>
                <c:pt idx="9">
                  <c:v>4.2</c:v>
                </c:pt>
              </c:numCache>
            </c:numRef>
          </c:val>
          <c:extLst>
            <c:ext xmlns:c16="http://schemas.microsoft.com/office/drawing/2014/chart" uri="{C3380CC4-5D6E-409C-BE32-E72D297353CC}">
              <c16:uniqueId val="{00000003-15BF-48F0-B98B-8B8427AF4E2B}"/>
            </c:ext>
          </c:extLst>
        </c:ser>
        <c:dLbls>
          <c:showLegendKey val="0"/>
          <c:showVal val="1"/>
          <c:showCatName val="0"/>
          <c:showSerName val="0"/>
          <c:showPercent val="0"/>
          <c:showBubbleSize val="0"/>
        </c:dLbls>
        <c:axId val="555346760"/>
        <c:axId val="555350680"/>
      </c:areaChart>
      <c:catAx>
        <c:axId val="55534676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pl-PL"/>
          </a:p>
        </c:txPr>
        <c:crossAx val="555350680"/>
        <c:crosses val="autoZero"/>
        <c:auto val="1"/>
        <c:lblAlgn val="ctr"/>
        <c:lblOffset val="100"/>
        <c:noMultiLvlLbl val="0"/>
      </c:catAx>
      <c:valAx>
        <c:axId val="5553506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pl-PL"/>
          </a:p>
        </c:txPr>
        <c:crossAx val="555346760"/>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mn-lt"/>
                <a:ea typeface="+mn-ea"/>
                <a:cs typeface="+mn-cs"/>
              </a:defRPr>
            </a:pPr>
            <a:r>
              <a:rPr lang="pl-PL" sz="1200"/>
              <a:t>Wpływy </a:t>
            </a:r>
            <a:r>
              <a:rPr lang="en-US" sz="1200"/>
              <a:t>z PIT</a:t>
            </a:r>
            <a:r>
              <a:rPr lang="pl-PL" sz="1200"/>
              <a:t> </a:t>
            </a:r>
            <a:r>
              <a:rPr lang="en-US" sz="1200"/>
              <a:t>w mld zł</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mn-lt"/>
              <a:ea typeface="+mn-ea"/>
              <a:cs typeface="+mn-cs"/>
            </a:defRPr>
          </a:pPr>
          <a:endParaRPr lang="pl-PL"/>
        </a:p>
      </c:txPr>
    </c:title>
    <c:autoTitleDeleted val="0"/>
    <c:plotArea>
      <c:layout/>
      <c:lineChart>
        <c:grouping val="standard"/>
        <c:varyColors val="0"/>
        <c:ser>
          <c:idx val="0"/>
          <c:order val="0"/>
          <c:tx>
            <c:strRef>
              <c:f>'Wykres PIT i CIT'!$C$2</c:f>
              <c:strCache>
                <c:ptCount val="1"/>
                <c:pt idx="0">
                  <c:v>Kwota wpływów z tytułu PIT
w mld zł</c:v>
                </c:pt>
              </c:strCache>
            </c:strRef>
          </c:tx>
          <c:spPr>
            <a:ln w="31750" cap="flat">
              <a:solidFill>
                <a:schemeClr val="accent1"/>
              </a:solidFill>
              <a:round/>
            </a:ln>
            <a:effectLst/>
          </c:spPr>
          <c:marker>
            <c:symbol val="circle"/>
            <c:size val="8"/>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'Wykres PIT i CIT'!$B$4:$B$13</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'Wykres PIT i CIT'!$C$4:$C$13</c:f>
              <c:numCache>
                <c:formatCode>0.0</c:formatCode>
                <c:ptCount val="10"/>
                <c:pt idx="0">
                  <c:v>62.487000000000009</c:v>
                </c:pt>
                <c:pt idx="1">
                  <c:v>67.505099999999999</c:v>
                </c:pt>
                <c:pt idx="2">
                  <c:v>70.621899999999997</c:v>
                </c:pt>
                <c:pt idx="3">
                  <c:v>73.750899999999987</c:v>
                </c:pt>
                <c:pt idx="4">
                  <c:v>78.127400000000009</c:v>
                </c:pt>
                <c:pt idx="5">
                  <c:v>83.140100000000004</c:v>
                </c:pt>
                <c:pt idx="6">
                  <c:v>89.340500000000006</c:v>
                </c:pt>
                <c:pt idx="7">
                  <c:v>97.561199999999999</c:v>
                </c:pt>
                <c:pt idx="8">
                  <c:v>110.8</c:v>
                </c:pt>
                <c:pt idx="9">
                  <c:v>122</c:v>
                </c:pt>
              </c:numCache>
            </c:numRef>
          </c:val>
          <c:smooth val="0"/>
          <c:extLst>
            <c:ext xmlns:c16="http://schemas.microsoft.com/office/drawing/2014/chart" uri="{C3380CC4-5D6E-409C-BE32-E72D297353CC}">
              <c16:uniqueId val="{00000000-D314-498F-B3C8-66C19126FAAB}"/>
            </c:ext>
          </c:extLst>
        </c:ser>
        <c:dLbls>
          <c:dLblPos val="t"/>
          <c:showLegendKey val="0"/>
          <c:showVal val="1"/>
          <c:showCatName val="0"/>
          <c:showSerName val="0"/>
          <c:showPercent val="0"/>
          <c:showBubbleSize val="0"/>
        </c:dLbls>
        <c:marker val="1"/>
        <c:smooth val="0"/>
        <c:axId val="555351856"/>
        <c:axId val="555340096"/>
      </c:lineChart>
      <c:catAx>
        <c:axId val="55535185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pl-PL"/>
          </a:p>
        </c:txPr>
        <c:crossAx val="555340096"/>
        <c:crosses val="autoZero"/>
        <c:auto val="1"/>
        <c:lblAlgn val="ctr"/>
        <c:lblOffset val="100"/>
        <c:noMultiLvlLbl val="0"/>
      </c:catAx>
      <c:valAx>
        <c:axId val="555340096"/>
        <c:scaling>
          <c:orientation val="minMax"/>
          <c:min val="50"/>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 sourceLinked="1"/>
        <c:majorTickMark val="none"/>
        <c:minorTickMark val="none"/>
        <c:tickLblPos val="nextTo"/>
        <c:crossAx val="555351856"/>
        <c:crosses val="autoZero"/>
        <c:crossBetween val="between"/>
      </c:valAx>
      <c:spPr>
        <a:noFill/>
        <a:ln w="25400">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l-PL"/>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mn-lt"/>
                <a:ea typeface="+mn-ea"/>
                <a:cs typeface="+mn-cs"/>
              </a:defRPr>
            </a:pPr>
            <a:r>
              <a:rPr lang="pl-PL" sz="1200"/>
              <a:t>Wpływy z CIT w mld zł</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mn-lt"/>
              <a:ea typeface="+mn-ea"/>
              <a:cs typeface="+mn-cs"/>
            </a:defRPr>
          </a:pPr>
          <a:endParaRPr lang="pl-PL"/>
        </a:p>
      </c:txPr>
    </c:title>
    <c:autoTitleDeleted val="0"/>
    <c:plotArea>
      <c:layout/>
      <c:lineChart>
        <c:grouping val="standard"/>
        <c:varyColors val="0"/>
        <c:ser>
          <c:idx val="0"/>
          <c:order val="0"/>
          <c:spPr>
            <a:ln w="31750" cap="rnd">
              <a:solidFill>
                <a:schemeClr val="accent1"/>
              </a:solidFill>
              <a:round/>
            </a:ln>
            <a:effectLst/>
          </c:spPr>
          <c:marker>
            <c:symbol val="circle"/>
            <c:size val="8"/>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'Wykres PIT i CIT'!$B$22:$B$31</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'Wykres PIT i CIT'!$C$22:$C$31</c:f>
              <c:numCache>
                <c:formatCode>0.0</c:formatCode>
                <c:ptCount val="10"/>
                <c:pt idx="0">
                  <c:v>27.8919</c:v>
                </c:pt>
                <c:pt idx="1">
                  <c:v>31.739300000000004</c:v>
                </c:pt>
                <c:pt idx="2">
                  <c:v>31.949900000000003</c:v>
                </c:pt>
                <c:pt idx="3">
                  <c:v>29.379600000000007</c:v>
                </c:pt>
                <c:pt idx="4">
                  <c:v>29.709499999999998</c:v>
                </c:pt>
                <c:pt idx="5">
                  <c:v>32.894199999999998</c:v>
                </c:pt>
                <c:pt idx="6">
                  <c:v>33.825199999999995</c:v>
                </c:pt>
                <c:pt idx="7">
                  <c:v>38.144400000000005</c:v>
                </c:pt>
                <c:pt idx="8">
                  <c:v>44.3</c:v>
                </c:pt>
                <c:pt idx="9">
                  <c:v>50.9</c:v>
                </c:pt>
              </c:numCache>
            </c:numRef>
          </c:val>
          <c:smooth val="0"/>
          <c:extLst>
            <c:ext xmlns:c16="http://schemas.microsoft.com/office/drawing/2014/chart" uri="{C3380CC4-5D6E-409C-BE32-E72D297353CC}">
              <c16:uniqueId val="{00000000-88DA-4860-BDCA-93E3BFABDDD1}"/>
            </c:ext>
          </c:extLst>
        </c:ser>
        <c:dLbls>
          <c:dLblPos val="t"/>
          <c:showLegendKey val="0"/>
          <c:showVal val="1"/>
          <c:showCatName val="0"/>
          <c:showSerName val="0"/>
          <c:showPercent val="0"/>
          <c:showBubbleSize val="0"/>
        </c:dLbls>
        <c:marker val="1"/>
        <c:smooth val="0"/>
        <c:axId val="555349504"/>
        <c:axId val="555347936"/>
      </c:lineChart>
      <c:catAx>
        <c:axId val="55534950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pl-PL"/>
          </a:p>
        </c:txPr>
        <c:crossAx val="555347936"/>
        <c:crosses val="autoZero"/>
        <c:auto val="1"/>
        <c:lblAlgn val="ctr"/>
        <c:lblOffset val="100"/>
        <c:noMultiLvlLbl val="0"/>
      </c:catAx>
      <c:valAx>
        <c:axId val="555347936"/>
        <c:scaling>
          <c:orientation val="minMax"/>
          <c:min val="20"/>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 sourceLinked="1"/>
        <c:majorTickMark val="none"/>
        <c:minorTickMark val="none"/>
        <c:tickLblPos val="nextTo"/>
        <c:crossAx val="55534950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l-PL"/>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xml><?xml version="1.0" encoding="utf-8"?>
<cs:chartStyle xmlns:cs="http://schemas.microsoft.com/office/drawing/2012/chartStyle" xmlns:a="http://schemas.openxmlformats.org/drawingml/2006/main" id="35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9.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1A1B34-B35E-44D6-97F9-C7EA34A61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17</Pages>
  <Words>4688</Words>
  <Characters>28134</Characters>
  <Application>Microsoft Office Word</Application>
  <DocSecurity>0</DocSecurity>
  <Lines>234</Lines>
  <Paragraphs>65</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32757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Duda Anna</dc:creator>
  <cp:keywords/>
  <dc:description/>
  <cp:lastModifiedBy>Sabiniewicz Marcin</cp:lastModifiedBy>
  <cp:revision>21</cp:revision>
  <cp:lastPrinted>2020-11-20T09:48:00Z</cp:lastPrinted>
  <dcterms:created xsi:type="dcterms:W3CDTF">2021-04-29T15:31:00Z</dcterms:created>
  <dcterms:modified xsi:type="dcterms:W3CDTF">2021-04-29T16:52:00Z</dcterms:modified>
</cp:coreProperties>
</file>