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DC2" w:rsidRDefault="007F7DC2" w:rsidP="000E2192">
      <w:pPr>
        <w:pStyle w:val="OZNRODZAKTUtznustawalubrozporzdzenieiorganwydajcy"/>
      </w:pPr>
      <w:r>
        <w:t>Uzasadnienie</w:t>
      </w:r>
    </w:p>
    <w:p w:rsidR="007F7DC2" w:rsidRDefault="007F7DC2" w:rsidP="000E2192">
      <w:pPr>
        <w:pStyle w:val="NIEARTTEKSTtekstnieartykuowanynppodstprawnarozplubpreambua"/>
      </w:pPr>
      <w:r>
        <w:t>1. Celem ustawy jest zmiana organu uprawnionego do wydania, oraz umiejscowienia w systemie źródeł prawa, regulaminu Trybunału Stanu. Zamiast przez Sejm, regulamin Trybunału Stanu będzie wydawany przez Trybunał Stanu.</w:t>
      </w:r>
    </w:p>
    <w:p w:rsidR="007F7DC2" w:rsidRDefault="007F7DC2" w:rsidP="000E2192">
      <w:pPr>
        <w:pStyle w:val="NIEARTTEKSTtekstnieartykuowanynppodstprawnarozplubpreambua"/>
      </w:pPr>
      <w:r>
        <w:t>Konsekwencją tej zmiany jest jednak uznanie wydanego przez Trybunał Stanu regulaminu za akt o charakterze wewnętrznym. Uchwała Sejmu z 1982 r. w sprawie regulaminu czynności przed Trybunałem Stanu, ze względu na brak w ówczesnym systemie źródeł prawa wyraźnego podziału na źródła prawa o charakterze powszechnie obowiązującym i akty normatywne o charakterze wewnętrznym - nie mieściła się wyłącznie w tej ostatniej grupie.</w:t>
      </w:r>
    </w:p>
    <w:p w:rsidR="007F7DC2" w:rsidRDefault="007F7DC2" w:rsidP="000E2192">
      <w:pPr>
        <w:pStyle w:val="NIEARTTEKSTtekstnieartykuowanynppodstprawnarozplubpreambua"/>
      </w:pPr>
      <w:r>
        <w:t>Projekt jest konsekwencją petycji (</w:t>
      </w:r>
      <w:hyperlink r:id="rId8" w:history="1">
        <w:r w:rsidRPr="004B0B40">
          <w:rPr>
            <w:rStyle w:val="Hipercze"/>
          </w:rPr>
          <w:t>P9-52/19</w:t>
        </w:r>
      </w:hyperlink>
      <w:r>
        <w:t>) złożonej do Senatu, w której zaproponowano by przepisowi art. 27 nadać brzmienie: „Organem właściwym do wydania regulaminu czynności Trybunału Stanu jest Przewodniczący Trybunału Stanu”.</w:t>
      </w:r>
    </w:p>
    <w:p w:rsidR="007F7DC2" w:rsidRDefault="007F7DC2" w:rsidP="000E2192">
      <w:pPr>
        <w:pStyle w:val="NIEARTTEKSTtekstnieartykuowanynppodstprawnarozplubpreambua"/>
      </w:pPr>
      <w:r>
        <w:t>2. Uchwała Sejmu Polskiej Rzeczypospolitej Ludowej z dnia 6 lipca 1982 r. w sprawie regulaminu czynności Trybunału Stanu została wydana na podstawie art. 21 (po praktykowanym niegdyś przenumerowywaniu obecnie przepis jest oznaczony jako art. 27), który stanowi, że „</w:t>
      </w:r>
      <w:r w:rsidRPr="009657C5">
        <w:t>Sejm uchwala regu</w:t>
      </w:r>
      <w:r>
        <w:t>lamin czynności Trybunału Stanu”. W okresie, gdy uchwalano ustawę o Trybunale Stanu (1982 r.) hierarchia źródeł prawa, a w szczególności podział na źródła prawa powszechnie obowiązującego i akty o charakterze wewnętrznym, nie były tak wyraźne jak obecnie, zwłaszcza po wejściu w życie Konstytucji RP z 1997 r. Obecnie dany organ władzy publicznej może wydawać podustawowe akty normatywne dotyczące innego organu jedynie wtedy, gdy: 1) ten ostatni jest mu organizacyjnie podległy, albo 2) na podstawie upoważnienia ustawowego został upoważniony do wydania aktu wykonawczego, będącego źródłem powszechnie obowiązującego prawa (rozporządzenia). Tymczasem Trybunał Stanu nie jest jednostką organizacyjną podległą Sejmowi (co wyklucza wydawanie przez Sejm aktów o charakterze wewnętrznym wobec Trybunału Stanu), ani też Sejm nie został upoważniony w ustawie do wydawania rozporządzenia w tym zakresie (Konstytucja RP w ogóle nie przewiduje możliwości wydawania rozporządzeń przez Sejm). Stąd nowelizacja art. 27 jest zasadna.</w:t>
      </w:r>
    </w:p>
    <w:p w:rsidR="007F7DC2" w:rsidRDefault="007F7DC2" w:rsidP="000E2192">
      <w:pPr>
        <w:pStyle w:val="NIEARTTEKSTtekstnieartykuowanynppodstprawnarozplubpreambua"/>
      </w:pPr>
      <w:r>
        <w:t xml:space="preserve">3. Dostosowania treści art. 27 do obecnie obowiązującego systemu źródeł prawa można dokonać co najmniej na dwa sposoby. Oprócz zaproponowanego w projekcie, zamiast upoważnienia zawartego w art. 27 można wprowadzić wprost do ustawy niezbędne do </w:t>
      </w:r>
      <w:r>
        <w:lastRenderedPageBreak/>
        <w:t xml:space="preserve">funkcjonowania Trybunału Stanu normy regulujące niektóre elementy postępowania przed Trybunałem. </w:t>
      </w:r>
      <w:r w:rsidRPr="0098147F">
        <w:t>Uchwała Sejmu Polskiej Rzeczypospolitej L</w:t>
      </w:r>
      <w:r>
        <w:t>udowej z dnia 6 lipca 1982 r. w </w:t>
      </w:r>
      <w:r w:rsidRPr="0098147F">
        <w:t>sprawie regulaminu czynności Trybunału Stanu</w:t>
      </w:r>
      <w:r>
        <w:t xml:space="preserve"> liczy (bez przepisu o wejściu uchwały w życie) dziesięć paragrafów. Jednakże co najmniej dwa z nich w zasadzie nie obowiązują, bo choć nie zostały uchylone, na skutek reguł kolizyjnych nie mogą być stosowane. Materia § 8 jest obecnie regulowana przez art. 26a ustawy o Trybunale, a materia § 10 jest obecnie regulowana przez art. 20e ust. 2 ustawy. Z kolei przepis § 2 pkt 3 nie może być stosowany ponieważ Konstytucja RP z 1997 r. nie przewiduje stanowiska „zastępcy członka Trybunału Stanu”. Wątpliwości budzi też przepis § 5 ust. 2, który reguluje kwestię należącą do materii ustawowej (przepis stanowi, że wyroki Trybunału Stanu są wykonywane przez Sąd Wojewódzki w Warszawie); podobnie ust. 1 (uprawnia przewodniczącego Trybunału do nadzoru nad innymi organami w zakresie wykonywania orzeczeń Trybunału). Rozważenia wymaga też przeniesienie do ustawy sposobu wyznaczania składów orzekających i ich przewodniczących i sprawozdawców (§ 2 pkt 1 i 2) oraz organu uprawnionego do wydawania zarządzeń poza rozprawą (</w:t>
      </w:r>
      <w:r>
        <w:rPr>
          <w:rFonts w:cs="Times"/>
        </w:rPr>
        <w:t>§</w:t>
      </w:r>
      <w:r>
        <w:t xml:space="preserve"> 2 pkt 5). W przypadku innych sądów, kwestie te regulowane są w ustawie lub w akcie wykonawczym do ustawy - rozporządzeniu. W przypadku Trybunału ostatnie rozwiązanie nie wchodzi w grę (wszystkie organy, które można by upoważnić do wydania rozporządzenia, podlegają sądowej „kontroli” Trybunału Stanu).</w:t>
      </w:r>
    </w:p>
    <w:p w:rsidR="007F7DC2" w:rsidRDefault="007F7DC2" w:rsidP="000E2192">
      <w:pPr>
        <w:pStyle w:val="NIEARTTEKSTtekstnieartykuowanynppodstprawnarozplubpreambua"/>
      </w:pPr>
      <w:r>
        <w:t xml:space="preserve">Przewodniczący Trybunału Stanu, w </w:t>
      </w:r>
      <w:hyperlink r:id="rId9" w:history="1">
        <w:r w:rsidRPr="004B0B40">
          <w:rPr>
            <w:rStyle w:val="Hipercze"/>
          </w:rPr>
          <w:t>piśmie z 27 lipca 2020 r.</w:t>
        </w:r>
      </w:hyperlink>
      <w:r>
        <w:t xml:space="preserve"> pozytywnie zaopiniował propozycję zawartą w petycji ograniczająca się do zmiany organu uprawnionego do wydania regulaminu. W projekcie przyjęto jednak, że regulamin będzie wydawany przez Trybunał Stanu, a nie jego przewodniczącego, jak proponował autor petycji. Trybunał Stanu nie jest jednostką podległą organizacyjnie przewodniczącemu Trybunału.</w:t>
      </w:r>
    </w:p>
    <w:p w:rsidR="007F7DC2" w:rsidRPr="00AC3C6E" w:rsidRDefault="007F7DC2" w:rsidP="000E2192">
      <w:pPr>
        <w:pStyle w:val="NIEARTTEKSTtekstnieartykuowanynppodstprawnarozplubpreambua"/>
      </w:pPr>
      <w:r>
        <w:t>4. W projekcie zaproponowano minimalną ingerencję w dotychczasowe rozwiązania. Jego bezpośrednią konsekwencją będzie zmiana organu uprawnionego do wydania regulaminu czynności Trybunału Stanu, a dalszą niemożność regulowania w uchwale Trybunału Stanu materii o randze ustawowej, a nawet szerzej: przepisów o charakterze powszechnie obowiązującym (np. o charakterze rozporządzeniowym). Jeżeli regulacje takie okażą się zdaniem podmiotów opiniujących projekt wskazane, konieczne będzie poszerzenie projektu o nowelizację innych przepisów ustawy o Trybunale Stanu. Ponadto, określenie „regulamin czynności” zamieniono na określenie „regulamin”, co może pozwolić, w razie potrzeby, uregulowanie innych wewnętrznych spraw Trybunału.</w:t>
      </w:r>
    </w:p>
    <w:p w:rsidR="007F7DC2" w:rsidRDefault="007F7DC2" w:rsidP="000E2192">
      <w:pPr>
        <w:pStyle w:val="NIEARTTEKSTtekstnieartykuowanynppodstprawnarozplubpreambua"/>
      </w:pPr>
      <w:r>
        <w:lastRenderedPageBreak/>
        <w:t>W związku z proponowaną zmianą niezbędne okazało się określenie procedury, wedle której Trybunał Stanu będzie uchwalał swój regulamin. Za właściwe uznano też publikowanie regulaminu w „Monitorze Polskim”.</w:t>
      </w:r>
    </w:p>
    <w:p w:rsidR="007F7DC2" w:rsidRPr="00AC3C6E" w:rsidRDefault="007F7DC2" w:rsidP="000E2192">
      <w:pPr>
        <w:pStyle w:val="ARTartustawynprozporzdzenia"/>
      </w:pPr>
      <w:r>
        <w:t>5. Konsekwencją wejścia w życie ustawy będzie utrata mocy przez dotychczasowy regulamin, ze względu na to, że nowy regulamin będzie miał nieco inny zakres przedmiotowy (będzie jedynie aktem o charakterze wewnętrznym, a jednocześnie będzie mógł regulować także inne sprawy wewnętrzne, niż tylko czynności).</w:t>
      </w:r>
    </w:p>
    <w:p w:rsidR="007F7DC2" w:rsidRPr="009E3997" w:rsidRDefault="007F7DC2" w:rsidP="000E2192">
      <w:pPr>
        <w:pStyle w:val="NIEARTTEKSTtekstnieartykuowanynppodstprawnarozplubpreambua"/>
      </w:pPr>
      <w:r>
        <w:t xml:space="preserve">6. </w:t>
      </w:r>
      <w:r w:rsidRPr="009E3997">
        <w:t>Nadesłane w ramach konsultacji opinie i uwagi są zamieszczone na senackiej stronie internetowej. Wyniki konsultacji zostały przedstawione w Ocenie Skutków Regulacji.</w:t>
      </w:r>
    </w:p>
    <w:p w:rsidR="007F7DC2" w:rsidRPr="004810D7" w:rsidRDefault="007F7DC2" w:rsidP="000E2192">
      <w:pPr>
        <w:pStyle w:val="NIEARTTEKSTtekstnieartykuowanynppodstprawnarozplubpreambua"/>
      </w:pPr>
      <w:r>
        <w:t>7. Przedmiot projektowanej ustawy</w:t>
      </w:r>
      <w:r w:rsidRPr="009E3997">
        <w:t xml:space="preserve"> </w:t>
      </w:r>
      <w:r>
        <w:t>nie jest objęty</w:t>
      </w:r>
      <w:r w:rsidRPr="009E3997">
        <w:t xml:space="preserve"> prawem Unii Europejskiej.</w:t>
      </w:r>
    </w:p>
    <w:p w:rsidR="00C70646" w:rsidRPr="00621566" w:rsidRDefault="00C70646" w:rsidP="00C70646"/>
    <w:p w:rsidR="007F7DC2" w:rsidRDefault="007F7DC2" w:rsidP="00C70646">
      <w:pPr>
        <w:sectPr w:rsidR="007F7DC2" w:rsidSect="007F7DC2">
          <w:headerReference w:type="default" r:id="rId10"/>
          <w:pgSz w:w="11906" w:h="16838"/>
          <w:pgMar w:top="1560" w:right="1434" w:bottom="1560" w:left="1418" w:header="709" w:footer="709" w:gutter="0"/>
          <w:pgNumType w:start="1"/>
          <w:cols w:space="708"/>
          <w:titlePg/>
          <w:docGrid w:linePitch="254"/>
        </w:sectPr>
      </w:pPr>
    </w:p>
    <w:p w:rsidR="007F7DC2" w:rsidRPr="007F7DC2" w:rsidRDefault="007F7DC2" w:rsidP="007F7DC2">
      <w:pPr>
        <w:widowControl/>
        <w:autoSpaceDE/>
        <w:autoSpaceDN/>
        <w:adjustRightInd/>
        <w:spacing w:line="240" w:lineRule="auto"/>
        <w:ind w:left="708"/>
        <w:jc w:val="left"/>
        <w:rPr>
          <w:rFonts w:eastAsia="Calibri" w:cs="Times New Roman"/>
          <w:color w:val="000000"/>
          <w:sz w:val="22"/>
          <w:szCs w:val="22"/>
          <w:lang w:eastAsia="en-US"/>
        </w:rPr>
      </w:pPr>
      <w:bookmarkStart w:id="0" w:name="_GoBack"/>
      <w:bookmarkEnd w:id="0"/>
    </w:p>
    <w:p w:rsidR="00C70646" w:rsidRPr="001B342E" w:rsidRDefault="00C70646" w:rsidP="00C70646"/>
    <w:sectPr w:rsidR="00C70646" w:rsidRPr="001B342E" w:rsidSect="007F7DC2">
      <w:headerReference w:type="default" r:id="rId11"/>
      <w:pgSz w:w="11906" w:h="16838"/>
      <w:pgMar w:top="568" w:right="707" w:bottom="568" w:left="720" w:header="0"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CD0" w:rsidRDefault="00DD0CD0">
      <w:r>
        <w:separator/>
      </w:r>
    </w:p>
  </w:endnote>
  <w:endnote w:type="continuationSeparator" w:id="0">
    <w:p w:rsidR="00DD0CD0" w:rsidRDefault="00DD0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CD0" w:rsidRDefault="00DD0CD0">
      <w:r>
        <w:separator/>
      </w:r>
    </w:p>
  </w:footnote>
  <w:footnote w:type="continuationSeparator" w:id="0">
    <w:p w:rsidR="00DD0CD0" w:rsidRDefault="00DD0C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sidR="0014230B">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DC2" w:rsidRPr="00B371CC" w:rsidRDefault="007F7DC2" w:rsidP="007F7DC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44B3DCB"/>
    <w:multiLevelType w:val="hybridMultilevel"/>
    <w:tmpl w:val="AEEAF5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0"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9"/>
  </w:num>
  <w:num w:numId="6">
    <w:abstractNumId w:val="34"/>
  </w:num>
  <w:num w:numId="7">
    <w:abstractNumId w:val="39"/>
  </w:num>
  <w:num w:numId="8">
    <w:abstractNumId w:val="34"/>
  </w:num>
  <w:num w:numId="9">
    <w:abstractNumId w:val="39"/>
  </w:num>
  <w:num w:numId="10">
    <w:abstractNumId w:val="34"/>
  </w:num>
  <w:num w:numId="11">
    <w:abstractNumId w:val="15"/>
  </w:num>
  <w:num w:numId="12">
    <w:abstractNumId w:val="11"/>
  </w:num>
  <w:num w:numId="13">
    <w:abstractNumId w:val="16"/>
  </w:num>
  <w:num w:numId="14">
    <w:abstractNumId w:val="28"/>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7"/>
  </w:num>
  <w:num w:numId="29">
    <w:abstractNumId w:val="40"/>
  </w:num>
  <w:num w:numId="30">
    <w:abstractNumId w:val="35"/>
  </w:num>
  <w:num w:numId="31">
    <w:abstractNumId w:val="20"/>
  </w:num>
  <w:num w:numId="32">
    <w:abstractNumId w:val="12"/>
  </w:num>
  <w:num w:numId="33">
    <w:abstractNumId w:val="33"/>
  </w:num>
  <w:num w:numId="34">
    <w:abstractNumId w:val="21"/>
  </w:num>
  <w:num w:numId="35">
    <w:abstractNumId w:val="18"/>
  </w:num>
  <w:num w:numId="36">
    <w:abstractNumId w:val="23"/>
  </w:num>
  <w:num w:numId="37">
    <w:abstractNumId w:val="29"/>
  </w:num>
  <w:num w:numId="38">
    <w:abstractNumId w:val="26"/>
  </w:num>
  <w:num w:numId="39">
    <w:abstractNumId w:val="14"/>
  </w:num>
  <w:num w:numId="40">
    <w:abstractNumId w:val="32"/>
  </w:num>
  <w:num w:numId="41">
    <w:abstractNumId w:val="30"/>
  </w:num>
  <w:num w:numId="42">
    <w:abstractNumId w:val="22"/>
  </w:num>
  <w:num w:numId="43">
    <w:abstractNumId w:val="37"/>
  </w:num>
  <w:num w:numId="44">
    <w:abstractNumId w:val="13"/>
  </w:num>
  <w:num w:numId="45">
    <w:abstractNumId w:val="31"/>
  </w:num>
  <w:num w:numId="46">
    <w:abstractNumId w:val="10"/>
  </w:num>
  <w:num w:numId="47">
    <w:abstractNumId w:val="25"/>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7DF"/>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192"/>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4230B"/>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7F7DC2"/>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D0"/>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057DF"/>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FA32664-D8A2-4C20-9E2A-BC8C17B2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057DF"/>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Ppogrubienie">
    <w:name w:val="_P_ – pogrubienie"/>
    <w:basedOn w:val="Domylnaczcionkaakapitu"/>
    <w:uiPriority w:val="1"/>
    <w:qFormat/>
    <w:rsid w:val="007F7DC2"/>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F7DC2"/>
    <w:rPr>
      <w:bCs/>
    </w:rPr>
  </w:style>
  <w:style w:type="character" w:styleId="Hipercze">
    <w:name w:val="Hyperlink"/>
    <w:basedOn w:val="Domylnaczcionkaakapitu"/>
    <w:uiPriority w:val="99"/>
    <w:unhideWhenUsed/>
    <w:rsid w:val="007F7D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at.gov.pl/gfx/senat/userfiles/_public/k9/petycje/p95219/p9-52-19_pet.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nat.gov.pl/gfx/senat/userfiles/_public/k9/petycje/p95219/odpowiedz_sn_t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91076-E042-45CC-8486-3B7FC5E8F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Template>
  <TotalTime>11</TotalTime>
  <Pages>4</Pages>
  <Words>867</Words>
  <Characters>5207</Characters>
  <Application>Microsoft Office Word</Application>
  <DocSecurity>0</DocSecurity>
  <Lines>43</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6062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Justyna Mazur</dc:creator>
  <cp:keywords/>
  <dc:description/>
  <cp:lastModifiedBy>Grzegorz Molesztak</cp:lastModifiedBy>
  <cp:revision>1</cp:revision>
  <cp:lastPrinted>2012-07-23T08:40:00Z</cp:lastPrinted>
  <dcterms:created xsi:type="dcterms:W3CDTF">2021-01-13T07:57:00Z</dcterms:created>
  <dcterms:modified xsi:type="dcterms:W3CDTF">2021-01-15T08:24:00Z</dcterms:modified>
</cp:coreProperties>
</file>